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8" w:rsidRDefault="00FD3E28" w:rsidP="00FD3E28">
      <w:pPr>
        <w:pStyle w:val="a3"/>
        <w:shd w:val="clear" w:color="auto" w:fill="FFFFFF"/>
        <w:jc w:val="center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hint="eastAsia"/>
          <w:color w:val="333333"/>
          <w:sz w:val="44"/>
          <w:szCs w:val="44"/>
        </w:rPr>
        <w:t>关于2019年国有资本经营收支预算情况</w:t>
      </w:r>
      <w:r>
        <w:rPr>
          <w:rFonts w:hint="eastAsia"/>
          <w:b/>
          <w:bCs/>
          <w:color w:val="333333"/>
          <w:sz w:val="44"/>
          <w:szCs w:val="44"/>
        </w:rPr>
        <w:br/>
      </w:r>
      <w:r>
        <w:rPr>
          <w:rStyle w:val="a4"/>
          <w:rFonts w:hint="eastAsia"/>
          <w:color w:val="333333"/>
          <w:sz w:val="44"/>
          <w:szCs w:val="44"/>
        </w:rPr>
        <w:t>的说明</w:t>
      </w:r>
    </w:p>
    <w:p w:rsidR="00FD3E28" w:rsidRDefault="00FD3E28" w:rsidP="00FD3E28">
      <w:pPr>
        <w:pStyle w:val="a3"/>
        <w:shd w:val="clear" w:color="auto" w:fill="FFFFFF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hint="eastAsia"/>
          <w:color w:val="333333"/>
          <w:sz w:val="44"/>
          <w:szCs w:val="44"/>
        </w:rPr>
        <w:t> </w:t>
      </w:r>
    </w:p>
    <w:p w:rsidR="00FD3E28" w:rsidRDefault="00FD3E28" w:rsidP="00FD3E28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ascii="仿宋_GB2312" w:eastAsia="仿宋_GB2312" w:hAnsi="Simsun" w:hint="eastAsia"/>
          <w:color w:val="333333"/>
          <w:sz w:val="32"/>
          <w:szCs w:val="32"/>
        </w:rPr>
        <w:t>一、收入编制要求</w:t>
      </w:r>
    </w:p>
    <w:p w:rsidR="00FD3E28" w:rsidRDefault="00FD3E28" w:rsidP="00FD3E28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>叶县国有资本经营预算按照“统筹兼顾、科学安排、收支平衡、相互衔接”的要求编制。2019年国有资本经营预算收入0万元。</w:t>
      </w:r>
    </w:p>
    <w:p w:rsidR="00FD3E28" w:rsidRDefault="00FD3E28" w:rsidP="00FD3E28">
      <w:pPr>
        <w:pStyle w:val="a3"/>
        <w:shd w:val="clear" w:color="auto" w:fill="FFFFFF"/>
        <w:ind w:firstLine="645"/>
        <w:rPr>
          <w:rFonts w:ascii="Simsun" w:hAnsi="Simsun"/>
          <w:color w:val="666666"/>
          <w:sz w:val="21"/>
          <w:szCs w:val="21"/>
        </w:rPr>
      </w:pPr>
      <w:r>
        <w:rPr>
          <w:rStyle w:val="a4"/>
          <w:rFonts w:ascii="仿宋_GB2312" w:eastAsia="仿宋_GB2312" w:hAnsi="Simsun" w:hint="eastAsia"/>
          <w:color w:val="333333"/>
          <w:sz w:val="32"/>
          <w:szCs w:val="32"/>
        </w:rPr>
        <w:t>二、支出编制要求</w:t>
      </w:r>
    </w:p>
    <w:p w:rsidR="00FD3E28" w:rsidRDefault="00FD3E28" w:rsidP="00FD3E28">
      <w:pPr>
        <w:pStyle w:val="a3"/>
        <w:shd w:val="clear" w:color="auto" w:fill="FFFFFF"/>
        <w:rPr>
          <w:rFonts w:ascii="Simsun" w:hAnsi="Simsun"/>
          <w:color w:val="666666"/>
          <w:sz w:val="21"/>
          <w:szCs w:val="21"/>
        </w:rPr>
      </w:pPr>
      <w:r>
        <w:rPr>
          <w:rFonts w:ascii="仿宋_GB2312" w:eastAsia="仿宋_GB2312" w:hAnsi="Simsun" w:hint="eastAsia"/>
          <w:color w:val="333333"/>
          <w:sz w:val="32"/>
          <w:szCs w:val="32"/>
        </w:rPr>
        <w:t>按照《国务院关于深化预算管理制度改革的决定》（国发〔2014〕45号）要求，国有资本经营预算支出与一般公共预算支出统筹安排。2019年国有资本经营预算支出0万元。</w:t>
      </w:r>
    </w:p>
    <w:p w:rsidR="002B1461" w:rsidRPr="00FD3E28" w:rsidRDefault="002B1461">
      <w:pPr>
        <w:rPr>
          <w:rFonts w:hint="eastAsia"/>
        </w:rPr>
      </w:pPr>
    </w:p>
    <w:sectPr w:rsidR="002B1461" w:rsidRPr="00FD3E28" w:rsidSect="002B1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E28"/>
    <w:rsid w:val="002B146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3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2019-12-20T07:39:00Z</dcterms:created>
  <dcterms:modified xsi:type="dcterms:W3CDTF">2019-12-20T07:40:00Z</dcterms:modified>
</cp:coreProperties>
</file>