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仿宋_GB2312" w:hAnsi="仿宋_GB2312" w:eastAsia="仿宋_GB2312" w:cs="仿宋_GB2312"/>
          <w:b/>
          <w:bCs/>
          <w:sz w:val="44"/>
          <w:szCs w:val="44"/>
          <w:lang w:val="en-US" w:eastAsia="zh-CN"/>
        </w:rPr>
      </w:pPr>
      <w:r>
        <w:rPr>
          <w:rFonts w:hint="eastAsia" w:ascii="仿宋_GB2312" w:hAnsi="仿宋_GB2312" w:eastAsia="仿宋_GB2312" w:cs="仿宋_GB2312"/>
          <w:b/>
          <w:bCs/>
          <w:sz w:val="44"/>
          <w:szCs w:val="44"/>
          <w:lang w:val="en-US" w:eastAsia="zh-CN"/>
        </w:rPr>
        <w:t>县民政局证明事项告知承诺制清单</w:t>
      </w:r>
    </w:p>
    <w:p>
      <w:pPr>
        <w:jc w:val="center"/>
        <w:rPr>
          <w:rFonts w:hint="default" w:ascii="仿宋_GB2312" w:hAnsi="仿宋_GB2312" w:eastAsia="仿宋_GB2312" w:cs="仿宋_GB2312"/>
          <w:sz w:val="21"/>
          <w:szCs w:val="21"/>
          <w:lang w:val="en-US" w:eastAsia="zh-CN"/>
        </w:rPr>
      </w:pPr>
    </w:p>
    <w:tbl>
      <w:tblPr>
        <w:tblStyle w:val="3"/>
        <w:tblpPr w:leftFromText="180" w:rightFromText="180" w:vertAnchor="text" w:horzAnchor="page" w:tblpX="1255" w:tblpY="191"/>
        <w:tblOverlap w:val="never"/>
        <w:tblW w:w="1406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auto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810"/>
        <w:gridCol w:w="1138"/>
        <w:gridCol w:w="2889"/>
        <w:gridCol w:w="2278"/>
        <w:gridCol w:w="4590"/>
        <w:gridCol w:w="1388"/>
        <w:gridCol w:w="96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00" w:hRule="atLeast"/>
        </w:trPr>
        <w:tc>
          <w:tcPr>
            <w:tcW w:w="810" w:type="dxa"/>
            <w:shd w:val="clear" w:color="E2EFDA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序号</w:t>
            </w:r>
          </w:p>
        </w:tc>
        <w:tc>
          <w:tcPr>
            <w:tcW w:w="1138" w:type="dxa"/>
            <w:shd w:val="clear" w:color="E2EFDA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承办单位</w:t>
            </w:r>
          </w:p>
        </w:tc>
        <w:tc>
          <w:tcPr>
            <w:tcW w:w="2889" w:type="dxa"/>
            <w:shd w:val="clear" w:color="E2EFDA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行政事项名称</w:t>
            </w:r>
          </w:p>
        </w:tc>
        <w:tc>
          <w:tcPr>
            <w:tcW w:w="2278" w:type="dxa"/>
            <w:shd w:val="clear" w:color="E2EFDA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实行告知承诺制的证明事项</w:t>
            </w:r>
          </w:p>
        </w:tc>
        <w:tc>
          <w:tcPr>
            <w:tcW w:w="4590" w:type="dxa"/>
            <w:shd w:val="clear" w:color="E2EFDA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证明事项设定依据</w:t>
            </w:r>
          </w:p>
        </w:tc>
        <w:tc>
          <w:tcPr>
            <w:tcW w:w="1388" w:type="dxa"/>
            <w:shd w:val="clear" w:color="E2EFDA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核查方式</w:t>
            </w:r>
          </w:p>
        </w:tc>
        <w:tc>
          <w:tcPr>
            <w:tcW w:w="967" w:type="dxa"/>
            <w:shd w:val="clear" w:color="E2EFDA" w:fill="auto"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黑体" w:hAnsi="黑体" w:eastAsia="黑体" w:cs="黑体"/>
                <w:sz w:val="24"/>
                <w:szCs w:val="24"/>
              </w:rPr>
            </w:pPr>
            <w:r>
              <w:rPr>
                <w:rFonts w:hint="eastAsia" w:ascii="黑体" w:hAnsi="黑体" w:eastAsia="黑体" w:cs="黑体"/>
                <w:sz w:val="24"/>
                <w:szCs w:val="24"/>
                <w:lang w:val="en-US" w:eastAsia="zh-CN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050" w:hRule="atLeast"/>
        </w:trPr>
        <w:tc>
          <w:tcPr>
            <w:tcW w:w="810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sz w:val="21"/>
                <w:szCs w:val="21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1"/>
                <w:szCs w:val="21"/>
                <w:lang w:val="en-US" w:eastAsia="zh-CN"/>
              </w:rPr>
              <w:t>29</w:t>
            </w:r>
          </w:p>
        </w:tc>
        <w:tc>
          <w:tcPr>
            <w:tcW w:w="1138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sz w:val="21"/>
                <w:szCs w:val="21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1"/>
                <w:szCs w:val="21"/>
                <w:lang w:val="en-US" w:eastAsia="zh-CN"/>
              </w:rPr>
              <w:t>叶县民政局</w:t>
            </w:r>
          </w:p>
        </w:tc>
        <w:tc>
          <w:tcPr>
            <w:tcW w:w="2889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sz w:val="21"/>
                <w:szCs w:val="21"/>
              </w:rPr>
            </w:pPr>
            <w:r>
              <w:rPr>
                <w:rFonts w:ascii="PingFang SC" w:hAnsi="PingFang SC" w:eastAsia="PingFang SC" w:cs="PingFang SC"/>
                <w:i w:val="0"/>
                <w:iCs w:val="0"/>
                <w:caps w:val="0"/>
                <w:color w:val="000000"/>
                <w:spacing w:val="0"/>
                <w:sz w:val="21"/>
                <w:szCs w:val="21"/>
              </w:rPr>
              <w:t>父母一方死亡，另一方宣告失踪的孤儿认定</w:t>
            </w:r>
          </w:p>
        </w:tc>
        <w:tc>
          <w:tcPr>
            <w:tcW w:w="2278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sz w:val="21"/>
                <w:szCs w:val="21"/>
              </w:rPr>
            </w:pPr>
            <w:r>
              <w:rPr>
                <w:rFonts w:ascii="PingFang SC" w:hAnsi="PingFang SC" w:eastAsia="PingFang SC" w:cs="PingFang SC"/>
                <w:i w:val="0"/>
                <w:iCs w:val="0"/>
                <w:caps w:val="0"/>
                <w:color w:val="000000"/>
                <w:spacing w:val="0"/>
                <w:sz w:val="21"/>
                <w:szCs w:val="21"/>
              </w:rPr>
              <w:t>死亡证明</w:t>
            </w:r>
            <w:r>
              <w:rPr>
                <w:rFonts w:hint="eastAsia" w:ascii="PingFang SC" w:hAnsi="PingFang SC" w:cs="PingFang SC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lang w:eastAsia="zh-CN"/>
              </w:rPr>
              <w:t>、</w:t>
            </w:r>
            <w:r>
              <w:rPr>
                <w:rFonts w:ascii="PingFang SC" w:hAnsi="PingFang SC" w:eastAsia="PingFang SC" w:cs="PingFang SC"/>
                <w:i w:val="0"/>
                <w:iCs w:val="0"/>
                <w:caps w:val="0"/>
                <w:color w:val="000000"/>
                <w:spacing w:val="0"/>
                <w:sz w:val="21"/>
                <w:szCs w:val="21"/>
              </w:rPr>
              <w:t>宣告失踪判决书</w:t>
            </w:r>
          </w:p>
        </w:tc>
        <w:tc>
          <w:tcPr>
            <w:tcW w:w="4590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left"/>
              <w:rPr>
                <w:rFonts w:hint="eastAsia" w:ascii="仿宋_GB2312" w:hAnsi="仿宋_GB2312" w:eastAsia="仿宋_GB2312" w:cs="仿宋_GB2312"/>
                <w:sz w:val="21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 w:val="21"/>
                <w:szCs w:val="21"/>
              </w:rPr>
              <w:t>"河南省民政厅 河南省财政厅 关于进一步规范孤儿养育工作的通知"</w:t>
            </w:r>
          </w:p>
          <w:p>
            <w:pPr>
              <w:jc w:val="left"/>
              <w:rPr>
                <w:rFonts w:hint="eastAsia" w:ascii="仿宋_GB2312" w:hAnsi="仿宋_GB2312" w:eastAsia="仿宋_GB2312" w:cs="仿宋_GB2312"/>
                <w:sz w:val="21"/>
                <w:szCs w:val="21"/>
              </w:rPr>
            </w:pPr>
          </w:p>
          <w:p>
            <w:pPr>
              <w:jc w:val="left"/>
              <w:rPr>
                <w:rFonts w:hint="eastAsia" w:ascii="仿宋_GB2312" w:hAnsi="仿宋_GB2312" w:eastAsia="仿宋_GB2312" w:cs="仿宋_GB2312"/>
                <w:sz w:val="21"/>
                <w:szCs w:val="21"/>
              </w:rPr>
            </w:pPr>
          </w:p>
        </w:tc>
        <w:tc>
          <w:tcPr>
            <w:tcW w:w="1388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sz w:val="21"/>
                <w:szCs w:val="21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1"/>
                <w:szCs w:val="21"/>
                <w:lang w:val="en-US" w:eastAsia="zh-CN"/>
              </w:rPr>
              <w:t>现场核查</w:t>
            </w:r>
          </w:p>
        </w:tc>
        <w:tc>
          <w:tcPr>
            <w:tcW w:w="967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auto"/>
        </w:tblPrEx>
        <w:trPr>
          <w:trHeight w:val="1855" w:hRule="atLeast"/>
        </w:trPr>
        <w:tc>
          <w:tcPr>
            <w:tcW w:w="810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sz w:val="21"/>
                <w:szCs w:val="21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1"/>
                <w:szCs w:val="21"/>
                <w:lang w:val="en-US" w:eastAsia="zh-CN"/>
              </w:rPr>
              <w:t>32</w:t>
            </w:r>
          </w:p>
        </w:tc>
        <w:tc>
          <w:tcPr>
            <w:tcW w:w="1138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sz w:val="21"/>
                <w:szCs w:val="21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1"/>
                <w:szCs w:val="21"/>
                <w:lang w:val="en-US" w:eastAsia="zh-CN"/>
              </w:rPr>
              <w:t>叶县民政局</w:t>
            </w:r>
          </w:p>
        </w:tc>
        <w:tc>
          <w:tcPr>
            <w:tcW w:w="2889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tbl>
            <w:tblPr>
              <w:tblStyle w:val="3"/>
              <w:tblW w:w="12300" w:type="dxa"/>
              <w:tblInd w:w="-22" w:type="dxa"/>
              <w:tblBorders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insideH w:val="none" w:color="auto" w:sz="0" w:space="0"/>
                <w:insideV w:val="none" w:color="auto" w:sz="0" w:space="0"/>
              </w:tblBorders>
              <w:shd w:val="clear" w:color="auto" w:fill="auto"/>
              <w:tblLayout w:type="fixed"/>
              <w:tblCellMar>
                <w:top w:w="0" w:type="dxa"/>
                <w:left w:w="0" w:type="dxa"/>
                <w:bottom w:w="0" w:type="dxa"/>
                <w:right w:w="0" w:type="dxa"/>
              </w:tblCellMar>
            </w:tblPr>
            <w:tblGrid>
              <w:gridCol w:w="12300"/>
            </w:tblGrid>
            <w:tr>
              <w:tblPrEx>
                <w:tblBorders>
                  <w:top w:val="none" w:color="auto" w:sz="0" w:space="0"/>
                  <w:left w:val="none" w:color="auto" w:sz="0" w:space="0"/>
                  <w:bottom w:val="none" w:color="auto" w:sz="0" w:space="0"/>
                  <w:right w:val="none" w:color="auto" w:sz="0" w:space="0"/>
                  <w:insideH w:val="none" w:color="auto" w:sz="0" w:space="0"/>
                  <w:insideV w:val="none" w:color="auto" w:sz="0" w:space="0"/>
                </w:tblBorders>
                <w:shd w:val="clear" w:color="auto" w:fill="auto"/>
                <w:tblCellMar>
                  <w:top w:w="0" w:type="dxa"/>
                  <w:left w:w="0" w:type="dxa"/>
                  <w:bottom w:w="0" w:type="dxa"/>
                  <w:right w:w="0" w:type="dxa"/>
                </w:tblCellMar>
              </w:tblPrEx>
              <w:tc>
                <w:tcPr>
                  <w:tcW w:w="12300" w:type="dxa"/>
                  <w:tcBorders>
                    <w:top w:val="single" w:color="E2E2E2" w:sz="6" w:space="0"/>
                    <w:left w:val="single" w:color="E2E2E2" w:sz="6" w:space="0"/>
                    <w:bottom w:val="single" w:color="E2E2E2" w:sz="6" w:space="0"/>
                    <w:right w:val="single" w:color="E2E2E2" w:sz="6" w:space="0"/>
                  </w:tcBorders>
                  <w:shd w:val="clear" w:color="auto" w:fill="auto"/>
                  <w:vAlign w:val="top"/>
                </w:tcPr>
                <w:p>
                  <w:pPr>
                    <w:pStyle w:val="2"/>
                    <w:keepNext w:val="0"/>
                    <w:keepLines w:val="0"/>
                    <w:widowControl/>
                    <w:suppressLineNumbers w:val="0"/>
                    <w:pBdr>
                      <w:top w:val="none" w:color="auto" w:sz="0" w:space="0"/>
                      <w:left w:val="none" w:color="auto" w:sz="0" w:space="0"/>
                      <w:bottom w:val="none" w:color="auto" w:sz="0" w:space="0"/>
                      <w:right w:val="none" w:color="auto" w:sz="0" w:space="0"/>
                    </w:pBdr>
                    <w:wordWrap w:val="0"/>
                    <w:spacing w:before="0" w:beforeAutospacing="0" w:after="0" w:afterAutospacing="0" w:line="24" w:lineRule="atLeast"/>
                    <w:ind w:left="0" w:right="0"/>
                    <w:textAlignment w:val="baseline"/>
                  </w:pPr>
                  <w:r>
                    <w:rPr>
                      <w:rFonts w:ascii="PingFang SC" w:hAnsi="PingFang SC" w:eastAsia="PingFang SC" w:cs="PingFang SC"/>
                      <w:i w:val="0"/>
                      <w:iCs w:val="0"/>
                      <w:caps w:val="0"/>
                      <w:color w:val="000000"/>
                      <w:spacing w:val="0"/>
                      <w:sz w:val="21"/>
                      <w:szCs w:val="21"/>
                      <w:vertAlign w:val="baseline"/>
                    </w:rPr>
                    <w:t>父母双方均死亡的孤儿认定</w:t>
                  </w:r>
                </w:p>
              </w:tc>
            </w:tr>
          </w:tbl>
          <w:p>
            <w:pPr>
              <w:keepNext w:val="0"/>
              <w:keepLines w:val="0"/>
              <w:widowControl/>
              <w:suppressLineNumbers w:val="0"/>
              <w:jc w:val="left"/>
            </w:pPr>
          </w:p>
          <w:p>
            <w:pPr>
              <w:jc w:val="center"/>
              <w:rPr>
                <w:rFonts w:hint="eastAsia" w:ascii="仿宋_GB2312" w:hAnsi="仿宋_GB2312" w:eastAsia="仿宋_GB2312" w:cs="仿宋_GB2312"/>
                <w:sz w:val="21"/>
                <w:szCs w:val="21"/>
              </w:rPr>
            </w:pPr>
          </w:p>
        </w:tc>
        <w:tc>
          <w:tcPr>
            <w:tcW w:w="2278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sz w:val="21"/>
                <w:szCs w:val="21"/>
              </w:rPr>
            </w:pPr>
            <w:r>
              <w:rPr>
                <w:rFonts w:ascii="PingFang SC" w:hAnsi="PingFang SC" w:eastAsia="PingFang SC" w:cs="PingFang SC"/>
                <w:i w:val="0"/>
                <w:iCs w:val="0"/>
                <w:caps w:val="0"/>
                <w:color w:val="000000"/>
                <w:spacing w:val="0"/>
                <w:sz w:val="21"/>
                <w:szCs w:val="21"/>
              </w:rPr>
              <w:t>死亡证明</w:t>
            </w:r>
          </w:p>
        </w:tc>
        <w:tc>
          <w:tcPr>
            <w:tcW w:w="4590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left"/>
              <w:rPr>
                <w:rFonts w:hint="eastAsia" w:ascii="仿宋_GB2312" w:hAnsi="仿宋_GB2312" w:eastAsia="仿宋_GB2312" w:cs="仿宋_GB2312"/>
                <w:sz w:val="21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 w:val="21"/>
                <w:szCs w:val="21"/>
              </w:rPr>
              <w:t>"河南省民政厅 河南省财政厅 关于进一步规范孤儿养育工作的通知"</w:t>
            </w:r>
          </w:p>
        </w:tc>
        <w:tc>
          <w:tcPr>
            <w:tcW w:w="1388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sz w:val="21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 w:val="21"/>
                <w:szCs w:val="21"/>
                <w:lang w:val="en-US" w:eastAsia="zh-CN"/>
              </w:rPr>
              <w:t>现场核查</w:t>
            </w:r>
          </w:p>
        </w:tc>
        <w:tc>
          <w:tcPr>
            <w:tcW w:w="967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sz w:val="21"/>
                <w:szCs w:val="21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855" w:hRule="atLeast"/>
        </w:trPr>
        <w:tc>
          <w:tcPr>
            <w:tcW w:w="810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default" w:ascii="仿宋_GB2312" w:hAnsi="仿宋_GB2312" w:eastAsia="仿宋_GB2312" w:cs="仿宋_GB2312"/>
                <w:sz w:val="21"/>
                <w:szCs w:val="21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1"/>
                <w:szCs w:val="21"/>
                <w:lang w:val="en-US" w:eastAsia="zh-CN"/>
              </w:rPr>
              <w:t>40</w:t>
            </w:r>
          </w:p>
        </w:tc>
        <w:tc>
          <w:tcPr>
            <w:tcW w:w="1138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sz w:val="21"/>
                <w:szCs w:val="21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1"/>
                <w:szCs w:val="21"/>
                <w:lang w:val="en-US" w:eastAsia="zh-CN"/>
              </w:rPr>
              <w:t>叶县民政局</w:t>
            </w:r>
          </w:p>
        </w:tc>
        <w:tc>
          <w:tcPr>
            <w:tcW w:w="2889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PingFang SC" w:hAnsi="PingFang SC" w:eastAsia="PingFang SC" w:cs="PingFang SC"/>
                <w:i w:val="0"/>
                <w:iCs w:val="0"/>
                <w:caps w:val="0"/>
                <w:color w:val="000000"/>
                <w:spacing w:val="0"/>
                <w:sz w:val="21"/>
                <w:szCs w:val="21"/>
              </w:rPr>
            </w:pPr>
            <w:r>
              <w:rPr>
                <w:rFonts w:ascii="PingFang SC" w:hAnsi="PingFang SC" w:eastAsia="PingFang SC" w:cs="PingFang SC"/>
                <w:i w:val="0"/>
                <w:iCs w:val="0"/>
                <w:caps w:val="0"/>
                <w:color w:val="000000"/>
                <w:spacing w:val="0"/>
                <w:sz w:val="21"/>
                <w:szCs w:val="21"/>
              </w:rPr>
              <w:t>父母双方均宣告失踪的孤儿认定</w:t>
            </w:r>
          </w:p>
        </w:tc>
        <w:tc>
          <w:tcPr>
            <w:tcW w:w="2278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ascii="PingFang SC" w:hAnsi="PingFang SC" w:eastAsia="PingFang SC" w:cs="PingFang SC"/>
                <w:i w:val="0"/>
                <w:iCs w:val="0"/>
                <w:caps w:val="0"/>
                <w:color w:val="000000"/>
                <w:spacing w:val="0"/>
                <w:sz w:val="21"/>
                <w:szCs w:val="21"/>
              </w:rPr>
            </w:pPr>
            <w:r>
              <w:rPr>
                <w:rFonts w:ascii="PingFang SC" w:hAnsi="PingFang SC" w:eastAsia="PingFang SC" w:cs="PingFang SC"/>
                <w:i w:val="0"/>
                <w:iCs w:val="0"/>
                <w:caps w:val="0"/>
                <w:color w:val="000000"/>
                <w:spacing w:val="0"/>
                <w:sz w:val="21"/>
                <w:szCs w:val="21"/>
              </w:rPr>
              <w:t>宣告失踪判决书</w:t>
            </w:r>
          </w:p>
        </w:tc>
        <w:tc>
          <w:tcPr>
            <w:tcW w:w="4590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left"/>
              <w:rPr>
                <w:rFonts w:hint="eastAsia" w:ascii="仿宋_GB2312" w:hAnsi="仿宋_GB2312" w:eastAsia="仿宋_GB2312" w:cs="仿宋_GB2312"/>
                <w:sz w:val="21"/>
                <w:szCs w:val="21"/>
                <w:lang w:eastAsia="zh-CN"/>
              </w:rPr>
            </w:pPr>
            <w:r>
              <w:rPr>
                <w:rFonts w:hint="eastAsia" w:ascii="仿宋_GB2312" w:hAnsi="仿宋_GB2312" w:eastAsia="仿宋_GB2312" w:cs="仿宋_GB2312"/>
                <w:sz w:val="21"/>
                <w:szCs w:val="21"/>
              </w:rPr>
              <w:t>"河南省民政厅 河南省财政厅 关于进一步规范孤儿养育工作的通知"</w:t>
            </w:r>
          </w:p>
        </w:tc>
        <w:tc>
          <w:tcPr>
            <w:tcW w:w="1388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sz w:val="21"/>
                <w:szCs w:val="21"/>
              </w:rPr>
            </w:pPr>
            <w:r>
              <w:rPr>
                <w:rFonts w:hint="eastAsia" w:ascii="仿宋_GB2312" w:hAnsi="仿宋_GB2312" w:eastAsia="仿宋_GB2312" w:cs="仿宋_GB2312"/>
                <w:sz w:val="21"/>
                <w:szCs w:val="21"/>
                <w:lang w:val="en-US" w:eastAsia="zh-CN"/>
              </w:rPr>
              <w:t>现场核查</w:t>
            </w:r>
          </w:p>
        </w:tc>
        <w:tc>
          <w:tcPr>
            <w:tcW w:w="967" w:type="dxa"/>
            <w:shd w:val="clear" w:color="E2EFDA" w:fill="auto"/>
            <w:noWrap/>
            <w:tcMar>
              <w:top w:w="15" w:type="dxa"/>
              <w:left w:w="15" w:type="dxa"/>
              <w:right w:w="15" w:type="dxa"/>
            </w:tcMar>
            <w:vAlign w:val="center"/>
          </w:tcPr>
          <w:p>
            <w:pPr>
              <w:jc w:val="center"/>
              <w:rPr>
                <w:rFonts w:hint="eastAsia" w:ascii="仿宋_GB2312" w:hAnsi="仿宋_GB2312" w:eastAsia="仿宋_GB2312" w:cs="仿宋_GB2312"/>
                <w:sz w:val="21"/>
                <w:szCs w:val="21"/>
              </w:rPr>
            </w:pPr>
          </w:p>
        </w:tc>
      </w:tr>
    </w:tbl>
    <w:p>
      <w:pPr>
        <w:jc w:val="both"/>
      </w:pPr>
      <w:bookmarkStart w:id="0" w:name="_GoBack"/>
      <w:bookmarkEnd w:id="0"/>
    </w:p>
    <w:sectPr>
      <w:pgSz w:w="16783" w:h="11850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65A709CE-17F1-4804-882E-16D4E793AA43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2" w:fontKey="{AE0C0EBC-B64B-44DE-B1BB-5C7A13BE8E6B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70E7223F-0AE1-4216-91B0-C545A59418BD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4" w:fontKey="{EF25B886-7650-4D61-B398-88D9B632FC0B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5" w:fontKey="{94A86961-299C-4ECA-9F1F-3B6BDB265C75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6" w:fontKey="{679EE9A6-EDBA-4545-9FAB-DF2D957CFE81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7" w:fontKey="{79D19B04-1720-471F-A176-E86DE7F97232}"/>
  </w:font>
  <w:font w:name="PingFang S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  <w:embedRegular r:id="rId8" w:fontKey="{4D86B1B6-74A5-4B60-BCA6-F68F00DC1CBE}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9" w:fontKey="{DBD0C173-9D06-4F1D-AF17-C21F644990BD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7"/>
  <w:embedTrueType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E0618B"/>
    <w:rsid w:val="04C11A9B"/>
    <w:rsid w:val="050E252F"/>
    <w:rsid w:val="06A7391C"/>
    <w:rsid w:val="0A021A1D"/>
    <w:rsid w:val="11B02113"/>
    <w:rsid w:val="146438F4"/>
    <w:rsid w:val="15A65DD8"/>
    <w:rsid w:val="16D51E26"/>
    <w:rsid w:val="1DED6328"/>
    <w:rsid w:val="1E9702B7"/>
    <w:rsid w:val="1FA90F39"/>
    <w:rsid w:val="20F934FA"/>
    <w:rsid w:val="21175DFF"/>
    <w:rsid w:val="21681FA2"/>
    <w:rsid w:val="23B478CF"/>
    <w:rsid w:val="24344CC0"/>
    <w:rsid w:val="24A842DE"/>
    <w:rsid w:val="27175BF3"/>
    <w:rsid w:val="2B13371E"/>
    <w:rsid w:val="2B856895"/>
    <w:rsid w:val="2BF3234A"/>
    <w:rsid w:val="2D2F6345"/>
    <w:rsid w:val="31D025AD"/>
    <w:rsid w:val="3443251A"/>
    <w:rsid w:val="35E529D5"/>
    <w:rsid w:val="3B3A0968"/>
    <w:rsid w:val="3DAF7CE6"/>
    <w:rsid w:val="3E1301AC"/>
    <w:rsid w:val="44B83233"/>
    <w:rsid w:val="4A1A7155"/>
    <w:rsid w:val="4DC73EA9"/>
    <w:rsid w:val="4F2A0899"/>
    <w:rsid w:val="519B406E"/>
    <w:rsid w:val="519D78A6"/>
    <w:rsid w:val="520748EE"/>
    <w:rsid w:val="54912CA5"/>
    <w:rsid w:val="577153FE"/>
    <w:rsid w:val="578F3A88"/>
    <w:rsid w:val="590C7777"/>
    <w:rsid w:val="59BA3198"/>
    <w:rsid w:val="5E9A5410"/>
    <w:rsid w:val="632830E5"/>
    <w:rsid w:val="65411BF0"/>
    <w:rsid w:val="6B165A4E"/>
    <w:rsid w:val="6C56216B"/>
    <w:rsid w:val="71561D45"/>
    <w:rsid w:val="746025E7"/>
    <w:rsid w:val="746467CD"/>
    <w:rsid w:val="77ED6D48"/>
    <w:rsid w:val="78071C7E"/>
    <w:rsid w:val="787F61C9"/>
    <w:rsid w:val="7C6827E0"/>
    <w:rsid w:val="7CBA5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2021-06-29T01:03:00Z</dcterms:created>
  <dc:creator>Administrator</dc:creator>
  <cp:lastModifiedBy>Administrator</cp:lastModifiedBy>
  <cp:lastPrinted>2021-06-30T02:51:00Z</cp:lastPrinted>
  <dcterms:modified xsi:type="dcterms:W3CDTF">2021-12-09T01:56:33Z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12335EA525F34B4496CA2F0C00D55360</vt:lpwstr>
  </property>
  <property fmtid="{D5CDD505-2E9C-101B-9397-08002B2CF9AE}" pid="4" name="KSOSaveFontToCloudKey">
    <vt:lpwstr>309671656_embed</vt:lpwstr>
  </property>
</Properties>
</file>