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8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0"/>
          <w:szCs w:val="48"/>
          <w:lang w:val="en-US" w:eastAsia="zh-CN" w:bidi="ar-SA"/>
        </w:rPr>
        <w:t>申请补办评定残疾等级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1、办理依据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军人抚恤优待条例》及其解释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、申办对象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服役期间因战因公致残未能及时评定残疾等级的退役军人。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、办理机构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申请人户口所在地县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市、区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退役军人事务局优抚科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股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、提交资料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(1)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申请人的书面评残申请。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由本人亲笔签名，含申请人现在的身份，入伍时间、退役时间、服役部队、负伤时的身份、时间、原因、地点、部位、详细经过，在部队未能评残原因，本人联系方式等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 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(2)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申请人单位或乡镇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街道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向县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市、区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退役军人事务部门出具的正式文件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含申请人身份，入伍时间、退役时间、服役部队、负伤时的身份、时间、原因、地点、部位、详细经过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及审查意见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(3)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申请人提供有关档案材料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本人简历、档案中的负伤记载材料、负伤时的原始病例材料等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(4)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退伍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转业、复员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证、移交地方安置的军队离退休干部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士官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证或退伍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转业、复员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军人登记表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(5)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身份证、户口本复印件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(6)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《河南省实施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&lt;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伤残抚恤管理办法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&gt;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细则》上规定的需要本人提供的其他材料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注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: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因个案具体情况不同，申请人可先向户籍所在地县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市、区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退役军人事务局优抚科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(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股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)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进行政策咨询。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1BD9"/>
    <w:rsid w:val="5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2021-11-25T02:50:00Z</dcterms:created>
  <dc:creator>Nice</dc:creator>
  <cp:lastModifiedBy>Nice</cp:lastModifiedBy>
  <dcterms:modified xsi:type="dcterms:W3CDTF">2021-11-25T02:52:34Z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B0AE80BAB7604004848DC39F90D6752D</vt:lpwstr>
  </property>
</Properties>
</file>