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划拨类建设用地规划许可服务指南</w:t>
      </w:r>
    </w:p>
    <w:p>
      <w:pPr>
        <w:ind w:firstLine="420" w:firstLineChars="200"/>
        <w:jc w:val="left"/>
        <w:rPr>
          <w:rFonts w:asciiTheme="minorEastAsia" w:hAnsiTheme="minorEastAsia" w:cstheme="minorEastAsia"/>
          <w:szCs w:val="21"/>
        </w:rPr>
      </w:pPr>
    </w:p>
    <w:p>
      <w:pPr>
        <w:numPr>
          <w:ilvl w:val="0"/>
          <w:numId w:val="1"/>
        </w:numPr>
        <w:jc w:val="left"/>
        <w:rPr>
          <w:rFonts w:ascii="黑体" w:hAnsi="黑体" w:eastAsia="黑体" w:cs="黑体"/>
          <w:b/>
          <w:bCs/>
          <w:szCs w:val="21"/>
        </w:rPr>
      </w:pPr>
      <w:r>
        <w:rPr>
          <w:rFonts w:hint="eastAsia" w:ascii="黑体" w:hAnsi="黑体" w:eastAsia="黑体" w:cs="黑体"/>
          <w:b/>
          <w:bCs/>
          <w:szCs w:val="21"/>
        </w:rPr>
        <w:t>适用范围</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法人</w:t>
      </w:r>
    </w:p>
    <w:p>
      <w:pPr>
        <w:numPr>
          <w:ilvl w:val="0"/>
          <w:numId w:val="1"/>
        </w:numPr>
        <w:jc w:val="left"/>
        <w:rPr>
          <w:rFonts w:ascii="黑体" w:hAnsi="黑体" w:eastAsia="黑体" w:cs="黑体"/>
          <w:b/>
          <w:bCs/>
          <w:szCs w:val="21"/>
        </w:rPr>
      </w:pPr>
      <w:r>
        <w:rPr>
          <w:rFonts w:hint="eastAsia" w:ascii="黑体" w:hAnsi="黑体" w:eastAsia="黑体" w:cs="黑体"/>
          <w:b/>
          <w:bCs/>
          <w:szCs w:val="21"/>
        </w:rPr>
        <w:t>事项类型</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行政许可</w:t>
      </w:r>
    </w:p>
    <w:p>
      <w:pPr>
        <w:numPr>
          <w:ilvl w:val="0"/>
          <w:numId w:val="1"/>
        </w:numPr>
        <w:jc w:val="left"/>
        <w:rPr>
          <w:rFonts w:ascii="黑体" w:hAnsi="黑体" w:eastAsia="黑体" w:cs="黑体"/>
          <w:b/>
          <w:bCs/>
          <w:szCs w:val="21"/>
        </w:rPr>
      </w:pPr>
      <w:r>
        <w:rPr>
          <w:rFonts w:hint="eastAsia" w:ascii="黑体" w:hAnsi="黑体" w:eastAsia="黑体" w:cs="黑体"/>
          <w:b/>
          <w:bCs/>
          <w:szCs w:val="21"/>
        </w:rPr>
        <w:t>设立依据</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 xml:space="preserve">1.《中华人民共和国城乡规划法》（2007年10月28日公布 中华人民共和国主席令第74号）第三十七条：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                                               </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 xml:space="preserve">建设单位在取得建设用地规划许可证后，方可向县级以上地方人民政府土地主管部门申请用地，经县级以上人民政府审批后，由土地主管部门划拨土地。 </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2.《河南省实施&lt;中华人民共和国城乡规划法&gt;办法》（2010年7月30日河南省第十一届人民代表大会常务委员会第十六次会议通过  2010年7月30日河南省第十一届人民代表大会常务委员会公告第34号公布  自2010年12月1日起施行） 第三十九条 在城市、镇规划区内以划拔方式提供国有土地使用权的建设项目，经有关部门批准、核准后，建设单位应当持下列材料向城市、县人民政府城乡规划主管部门申请核发建设用地规划许可证：</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（一）建设用地规划许可申请书；</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（二）建设项目选址意见书；</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（三）建设项目批准、核准文件；</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（四）标绘有建设项目拟用地位置的规定比例尺的地形图；</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（五）法律、法规规定的其他材料。</w:t>
      </w:r>
    </w:p>
    <w:p>
      <w:pPr>
        <w:numPr>
          <w:ilvl w:val="0"/>
          <w:numId w:val="1"/>
        </w:numPr>
        <w:jc w:val="left"/>
        <w:rPr>
          <w:rFonts w:ascii="黑体" w:hAnsi="黑体" w:eastAsia="黑体" w:cs="黑体"/>
          <w:b/>
          <w:bCs/>
          <w:szCs w:val="21"/>
        </w:rPr>
      </w:pPr>
      <w:r>
        <w:rPr>
          <w:rFonts w:hint="eastAsia" w:ascii="黑体" w:hAnsi="黑体" w:eastAsia="黑体" w:cs="黑体"/>
          <w:b/>
          <w:bCs/>
          <w:szCs w:val="21"/>
        </w:rPr>
        <w:t>受理机构</w:t>
      </w:r>
    </w:p>
    <w:p>
      <w:pPr>
        <w:widowControl w:val="0"/>
        <w:numPr>
          <w:ilvl w:val="0"/>
          <w:numId w:val="0"/>
        </w:numPr>
        <w:wordWrap/>
        <w:adjustRightInd/>
        <w:snapToGrid/>
        <w:ind w:leftChars="0" w:firstLine="420" w:firstLineChars="200"/>
        <w:jc w:val="left"/>
        <w:textAlignment w:val="auto"/>
        <w:outlineLvl w:val="9"/>
        <w:rPr>
          <w:rFonts w:hint="eastAsia" w:ascii="宋体" w:hAnsi="宋体" w:cs="宋体"/>
          <w:b w:val="0"/>
          <w:bCs w:val="0"/>
          <w:color w:val="auto"/>
          <w:sz w:val="21"/>
          <w:szCs w:val="21"/>
          <w:lang w:val="en-US" w:eastAsia="zh-CN"/>
        </w:rPr>
      </w:pPr>
      <w:r>
        <w:rPr>
          <w:rFonts w:hint="eastAsia" w:ascii="宋体" w:hAnsi="宋体" w:eastAsia="宋体" w:cs="宋体"/>
          <w:color w:val="auto"/>
          <w:sz w:val="21"/>
          <w:szCs w:val="21"/>
          <w:lang w:val="en-US" w:eastAsia="zh-CN"/>
        </w:rPr>
        <w:t>平顶山市行政审批服务中心五楼</w:t>
      </w:r>
      <w:r>
        <w:rPr>
          <w:rFonts w:hint="eastAsia" w:ascii="宋体" w:hAnsi="宋体" w:cs="宋体"/>
          <w:color w:val="auto"/>
          <w:sz w:val="21"/>
          <w:szCs w:val="21"/>
          <w:lang w:val="en-US" w:eastAsia="zh-CN"/>
        </w:rPr>
        <w:t>自然资源和</w:t>
      </w:r>
      <w:r>
        <w:rPr>
          <w:rFonts w:hint="eastAsia" w:ascii="宋体" w:hAnsi="宋体" w:eastAsia="宋体" w:cs="宋体"/>
          <w:color w:val="auto"/>
          <w:sz w:val="21"/>
          <w:szCs w:val="21"/>
          <w:lang w:val="en-US" w:eastAsia="zh-CN"/>
        </w:rPr>
        <w:t>规划</w:t>
      </w:r>
      <w:r>
        <w:rPr>
          <w:rFonts w:hint="eastAsia" w:ascii="宋体" w:hAnsi="宋体" w:cs="宋体"/>
          <w:color w:val="auto"/>
          <w:sz w:val="21"/>
          <w:szCs w:val="21"/>
          <w:lang w:val="en-US" w:eastAsia="zh-CN"/>
        </w:rPr>
        <w:t>局</w:t>
      </w:r>
      <w:r>
        <w:rPr>
          <w:rFonts w:hint="eastAsia" w:ascii="宋体" w:hAnsi="宋体" w:eastAsia="宋体" w:cs="宋体"/>
          <w:color w:val="auto"/>
          <w:sz w:val="21"/>
          <w:szCs w:val="21"/>
          <w:lang w:val="en-US" w:eastAsia="zh-CN"/>
        </w:rPr>
        <w:t>业务窗口</w:t>
      </w:r>
    </w:p>
    <w:p>
      <w:pPr>
        <w:numPr>
          <w:ilvl w:val="0"/>
          <w:numId w:val="1"/>
        </w:numPr>
        <w:jc w:val="left"/>
        <w:rPr>
          <w:rFonts w:ascii="黑体" w:hAnsi="黑体" w:eastAsia="黑体" w:cs="黑体"/>
          <w:b/>
          <w:bCs/>
          <w:szCs w:val="21"/>
        </w:rPr>
      </w:pPr>
      <w:r>
        <w:rPr>
          <w:rFonts w:hint="eastAsia" w:ascii="黑体" w:hAnsi="黑体" w:eastAsia="黑体" w:cs="黑体"/>
          <w:b/>
          <w:bCs/>
          <w:szCs w:val="21"/>
        </w:rPr>
        <w:t>决定机构</w:t>
      </w:r>
    </w:p>
    <w:p>
      <w:pPr>
        <w:widowControl w:val="0"/>
        <w:numPr>
          <w:ilvl w:val="0"/>
          <w:numId w:val="0"/>
        </w:numPr>
        <w:wordWrap/>
        <w:adjustRightInd/>
        <w:snapToGrid/>
        <w:ind w:leftChars="0" w:firstLine="420" w:firstLineChars="200"/>
        <w:jc w:val="left"/>
        <w:textAlignment w:val="auto"/>
        <w:outlineLvl w:val="9"/>
        <w:rPr>
          <w:rFonts w:hint="eastAsia" w:ascii="宋体" w:hAnsi="宋体" w:cs="宋体"/>
          <w:color w:val="auto"/>
          <w:szCs w:val="21"/>
        </w:rPr>
      </w:pPr>
      <w:r>
        <w:rPr>
          <w:rFonts w:hint="eastAsia" w:ascii="宋体" w:hAnsi="宋体" w:cs="宋体"/>
          <w:color w:val="auto"/>
          <w:szCs w:val="21"/>
        </w:rPr>
        <w:t>平顶山市</w:t>
      </w:r>
      <w:r>
        <w:rPr>
          <w:rFonts w:hint="eastAsia" w:ascii="宋体" w:hAnsi="宋体" w:cs="宋体"/>
          <w:color w:val="auto"/>
          <w:szCs w:val="21"/>
          <w:lang w:eastAsia="zh-CN"/>
        </w:rPr>
        <w:t>自然资源和</w:t>
      </w:r>
      <w:r>
        <w:rPr>
          <w:rFonts w:hint="eastAsia" w:ascii="宋体" w:hAnsi="宋体" w:cs="宋体"/>
          <w:color w:val="auto"/>
          <w:szCs w:val="21"/>
        </w:rPr>
        <w:t>规划局</w:t>
      </w:r>
    </w:p>
    <w:p>
      <w:pPr>
        <w:numPr>
          <w:ilvl w:val="0"/>
          <w:numId w:val="1"/>
        </w:numPr>
        <w:jc w:val="left"/>
        <w:rPr>
          <w:rFonts w:ascii="黑体" w:hAnsi="黑体" w:eastAsia="黑体" w:cs="黑体"/>
          <w:b/>
          <w:bCs/>
          <w:szCs w:val="21"/>
        </w:rPr>
      </w:pPr>
      <w:r>
        <w:rPr>
          <w:rFonts w:hint="eastAsia" w:ascii="黑体" w:hAnsi="黑体" w:eastAsia="黑体" w:cs="黑体"/>
          <w:b/>
          <w:bCs/>
          <w:szCs w:val="21"/>
        </w:rPr>
        <w:t>办理条件</w:t>
      </w:r>
    </w:p>
    <w:p>
      <w:pPr>
        <w:ind w:firstLine="420" w:firstLineChars="200"/>
        <w:jc w:val="left"/>
        <w:rPr>
          <w:rFonts w:hint="eastAsia" w:asciiTheme="minorEastAsia" w:hAnsiTheme="minorEastAsia" w:cstheme="minorEastAsia"/>
          <w:szCs w:val="21"/>
        </w:rPr>
      </w:pPr>
      <w:r>
        <w:rPr>
          <w:rFonts w:hint="eastAsia" w:asciiTheme="minorEastAsia" w:hAnsiTheme="minorEastAsia" w:cstheme="minorEastAsia"/>
          <w:szCs w:val="21"/>
        </w:rPr>
        <w:t>（一）准予批准的条件：</w:t>
      </w:r>
    </w:p>
    <w:p>
      <w:pPr>
        <w:ind w:firstLine="420" w:firstLineChars="200"/>
        <w:jc w:val="left"/>
        <w:rPr>
          <w:rFonts w:hint="eastAsia"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eastAsia="zh-CN"/>
        </w:rPr>
        <w:t>建设项目用地方式为划拨用地的建设</w:t>
      </w:r>
      <w:r>
        <w:rPr>
          <w:rFonts w:hint="eastAsia" w:asciiTheme="minorEastAsia" w:hAnsiTheme="minorEastAsia" w:cstheme="minorEastAsia"/>
          <w:szCs w:val="21"/>
        </w:rPr>
        <w:t>单位；</w:t>
      </w:r>
    </w:p>
    <w:p>
      <w:pPr>
        <w:ind w:firstLine="420" w:firstLineChars="200"/>
        <w:jc w:val="left"/>
        <w:rPr>
          <w:rFonts w:hint="eastAsia" w:asciiTheme="minorEastAsia" w:hAnsiTheme="minorEastAsia" w:cstheme="minorEastAsia"/>
          <w:szCs w:val="21"/>
          <w:lang w:val="en-US" w:eastAsia="zh-CN"/>
        </w:rPr>
      </w:pPr>
      <w:r>
        <w:rPr>
          <w:rFonts w:hint="eastAsia" w:asciiTheme="minorEastAsia" w:hAnsiTheme="minorEastAsia" w:cstheme="minorEastAsia"/>
          <w:szCs w:val="21"/>
        </w:rPr>
        <w:t>2.申请材料齐全、规范的。</w:t>
      </w:r>
    </w:p>
    <w:p>
      <w:pPr>
        <w:ind w:firstLine="420" w:firstLineChars="200"/>
        <w:jc w:val="left"/>
        <w:rPr>
          <w:rFonts w:hint="eastAsia" w:asciiTheme="minorEastAsia" w:hAnsiTheme="minorEastAsia" w:cstheme="minorEastAsia"/>
          <w:szCs w:val="21"/>
        </w:rPr>
      </w:pPr>
      <w:r>
        <w:rPr>
          <w:rFonts w:hint="eastAsia" w:asciiTheme="minorEastAsia" w:hAnsiTheme="minorEastAsia" w:cstheme="minorEastAsia"/>
          <w:szCs w:val="21"/>
          <w:lang w:eastAsia="zh-CN"/>
        </w:rPr>
        <w:t>（二）</w:t>
      </w:r>
      <w:r>
        <w:rPr>
          <w:rFonts w:hint="eastAsia" w:asciiTheme="minorEastAsia" w:hAnsiTheme="minorEastAsia" w:cstheme="minorEastAsia"/>
          <w:szCs w:val="21"/>
        </w:rPr>
        <w:t>不准予批准的条件：</w:t>
      </w:r>
    </w:p>
    <w:p>
      <w:pPr>
        <w:ind w:firstLine="420" w:firstLineChars="200"/>
        <w:jc w:val="left"/>
        <w:rPr>
          <w:rFonts w:hint="eastAsia"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eastAsia="zh-CN"/>
        </w:rPr>
        <w:t>建设项目用地方式不是划拨用地的建设</w:t>
      </w:r>
      <w:r>
        <w:rPr>
          <w:rFonts w:hint="eastAsia" w:asciiTheme="minorEastAsia" w:hAnsiTheme="minorEastAsia" w:cstheme="minorEastAsia"/>
          <w:szCs w:val="21"/>
        </w:rPr>
        <w:t>单位；</w:t>
      </w:r>
    </w:p>
    <w:p>
      <w:pPr>
        <w:ind w:firstLine="420" w:firstLineChars="200"/>
        <w:jc w:val="left"/>
        <w:rPr>
          <w:rFonts w:hint="eastAsia" w:asciiTheme="minorEastAsia" w:hAnsiTheme="minorEastAsia" w:cstheme="minorEastAsia"/>
          <w:szCs w:val="21"/>
        </w:rPr>
      </w:pPr>
      <w:r>
        <w:rPr>
          <w:rFonts w:hint="eastAsia" w:asciiTheme="minorEastAsia" w:hAnsiTheme="minorEastAsia" w:cstheme="minorEastAsia"/>
          <w:szCs w:val="21"/>
        </w:rPr>
        <w:t>2.申请材料不齐全的。</w:t>
      </w:r>
    </w:p>
    <w:p>
      <w:pPr>
        <w:ind w:firstLine="420" w:firstLineChars="200"/>
        <w:jc w:val="left"/>
        <w:rPr>
          <w:rFonts w:hint="eastAsia" w:asciiTheme="minorEastAsia" w:hAnsiTheme="minorEastAsia" w:cstheme="minorEastAsia"/>
          <w:szCs w:val="21"/>
        </w:rPr>
      </w:pPr>
      <w:r>
        <w:rPr>
          <w:rFonts w:hint="eastAsia" w:asciiTheme="minorEastAsia" w:hAnsiTheme="minorEastAsia" w:cstheme="minorEastAsia"/>
          <w:szCs w:val="21"/>
        </w:rPr>
        <w:t>（三）其它需说明的情形：</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lang w:eastAsia="zh-CN"/>
        </w:rPr>
        <w:t>无</w:t>
      </w:r>
    </w:p>
    <w:p>
      <w:pPr>
        <w:numPr>
          <w:ilvl w:val="0"/>
          <w:numId w:val="1"/>
        </w:numPr>
        <w:jc w:val="left"/>
        <w:rPr>
          <w:rFonts w:ascii="黑体" w:hAnsi="黑体" w:eastAsia="黑体" w:cs="黑体"/>
          <w:b/>
          <w:bCs/>
          <w:szCs w:val="21"/>
        </w:rPr>
      </w:pPr>
      <w:r>
        <w:rPr>
          <w:rFonts w:hint="eastAsia" w:ascii="黑体" w:hAnsi="黑体" w:eastAsia="黑体" w:cs="黑体"/>
          <w:b/>
          <w:bCs/>
          <w:szCs w:val="21"/>
        </w:rPr>
        <w:t>申办材料</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申办材料应符合以下要求：</w:t>
      </w:r>
    </w:p>
    <w:p>
      <w:pPr>
        <w:jc w:val="left"/>
        <w:rPr>
          <w:rFonts w:asciiTheme="minorEastAsia" w:hAnsiTheme="minorEastAsia" w:cstheme="minorEastAsia"/>
          <w:szCs w:val="21"/>
        </w:rPr>
      </w:pPr>
    </w:p>
    <w:tbl>
      <w:tblPr>
        <w:tblStyle w:val="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430"/>
        <w:gridCol w:w="1458"/>
        <w:gridCol w:w="822"/>
        <w:gridCol w:w="156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2430"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提交材料名称</w:t>
            </w:r>
          </w:p>
        </w:tc>
        <w:tc>
          <w:tcPr>
            <w:tcW w:w="1458"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原件/复印件</w:t>
            </w:r>
          </w:p>
        </w:tc>
        <w:tc>
          <w:tcPr>
            <w:tcW w:w="822"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份数</w:t>
            </w:r>
          </w:p>
        </w:tc>
        <w:tc>
          <w:tcPr>
            <w:tcW w:w="1560"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纸质/电子版</w:t>
            </w:r>
          </w:p>
        </w:tc>
        <w:tc>
          <w:tcPr>
            <w:tcW w:w="2149"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42"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2430" w:type="dxa"/>
            <w:vAlign w:val="center"/>
          </w:tcPr>
          <w:p>
            <w:pPr>
              <w:widowControl/>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color w:val="000000"/>
                <w:kern w:val="0"/>
                <w:sz w:val="18"/>
                <w:szCs w:val="18"/>
              </w:rPr>
              <w:t>建设用地规划许可申请书（原件一份）</w:t>
            </w:r>
            <w:r>
              <w:rPr>
                <w:rFonts w:hint="eastAsia" w:asciiTheme="minorEastAsia" w:hAnsiTheme="minorEastAsia" w:cstheme="minorEastAsia"/>
                <w:color w:val="000000"/>
                <w:kern w:val="0"/>
                <w:sz w:val="18"/>
                <w:szCs w:val="18"/>
                <w:lang w:val="en-US" w:eastAsia="zh-CN"/>
              </w:rPr>
              <w:t>;</w:t>
            </w:r>
            <w:r>
              <w:rPr>
                <w:rFonts w:hint="eastAsia" w:asciiTheme="minorEastAsia" w:hAnsiTheme="minorEastAsia" w:cstheme="minorEastAsia"/>
                <w:color w:val="000000"/>
                <w:kern w:val="0"/>
                <w:sz w:val="18"/>
                <w:szCs w:val="18"/>
              </w:rPr>
              <w:t>营业执照或事业单位法人证书或组织机构代码证（复印件一份，核原件）</w:t>
            </w:r>
            <w:r>
              <w:rPr>
                <w:rFonts w:hint="eastAsia" w:asciiTheme="minorEastAsia" w:hAnsiTheme="minorEastAsia" w:cstheme="minorEastAsia"/>
                <w:color w:val="000000"/>
                <w:kern w:val="0"/>
                <w:sz w:val="18"/>
                <w:szCs w:val="18"/>
                <w:lang w:val="en-US" w:eastAsia="zh-CN"/>
              </w:rPr>
              <w:t>;</w:t>
            </w:r>
            <w:r>
              <w:rPr>
                <w:rFonts w:hint="eastAsia" w:asciiTheme="minorEastAsia" w:hAnsiTheme="minorEastAsia" w:cstheme="minorEastAsia"/>
                <w:color w:val="000000"/>
                <w:kern w:val="0"/>
                <w:sz w:val="18"/>
                <w:szCs w:val="18"/>
              </w:rPr>
              <w:t>授权委托书（原件一份）和受委托人身份证（复印件一份，核原件）</w:t>
            </w:r>
          </w:p>
        </w:tc>
        <w:tc>
          <w:tcPr>
            <w:tcW w:w="1458" w:type="dxa"/>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rPr>
              <w:t>原件</w:t>
            </w:r>
          </w:p>
        </w:tc>
        <w:tc>
          <w:tcPr>
            <w:tcW w:w="822"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1560"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纸质</w:t>
            </w:r>
          </w:p>
        </w:tc>
        <w:tc>
          <w:tcPr>
            <w:tcW w:w="2149"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color w:val="auto"/>
                <w:sz w:val="18"/>
                <w:szCs w:val="18"/>
                <w:lang w:eastAsia="zh-CN"/>
              </w:rPr>
              <w:t>申请书</w:t>
            </w:r>
            <w:r>
              <w:rPr>
                <w:rFonts w:hint="eastAsia" w:asciiTheme="minorEastAsia" w:hAnsiTheme="minorEastAsia" w:cstheme="minorEastAsia"/>
                <w:color w:val="auto"/>
                <w:sz w:val="18"/>
                <w:szCs w:val="18"/>
              </w:rPr>
              <w:t>需加盖</w:t>
            </w:r>
            <w:r>
              <w:rPr>
                <w:rFonts w:hint="eastAsia" w:asciiTheme="minorEastAsia" w:hAnsiTheme="minorEastAsia" w:cstheme="minorEastAsia"/>
                <w:color w:val="auto"/>
                <w:sz w:val="18"/>
                <w:szCs w:val="18"/>
                <w:lang w:eastAsia="zh-CN"/>
              </w:rPr>
              <w:t>申请</w:t>
            </w:r>
            <w:r>
              <w:rPr>
                <w:rFonts w:hint="eastAsia" w:asciiTheme="minorEastAsia" w:hAnsiTheme="minorEastAsia" w:cstheme="minorEastAsia"/>
                <w:color w:val="auto"/>
                <w:sz w:val="18"/>
                <w:szCs w:val="1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2"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2430" w:type="dxa"/>
            <w:vAlign w:val="center"/>
          </w:tcPr>
          <w:p>
            <w:pPr>
              <w:widowControl/>
              <w:jc w:val="center"/>
              <w:textAlignment w:val="center"/>
              <w:rPr>
                <w:rFonts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color w:val="000000"/>
                <w:kern w:val="0"/>
                <w:sz w:val="18"/>
                <w:szCs w:val="18"/>
              </w:rPr>
              <w:t>建设项目选址意见书及附图、附件（复印件一份，核原件）</w:t>
            </w:r>
          </w:p>
        </w:tc>
        <w:tc>
          <w:tcPr>
            <w:tcW w:w="1458" w:type="dxa"/>
            <w:vAlign w:val="center"/>
          </w:tcPr>
          <w:p>
            <w:pPr>
              <w:widowControl/>
              <w:jc w:val="center"/>
              <w:textAlignment w:val="center"/>
              <w:rPr>
                <w:rFonts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color w:val="000000"/>
                <w:kern w:val="0"/>
                <w:sz w:val="18"/>
                <w:szCs w:val="18"/>
              </w:rPr>
              <w:t>原件和复印件</w:t>
            </w:r>
          </w:p>
        </w:tc>
        <w:tc>
          <w:tcPr>
            <w:tcW w:w="822" w:type="dxa"/>
            <w:vAlign w:val="center"/>
          </w:tcPr>
          <w:p>
            <w:pPr>
              <w:jc w:val="center"/>
              <w:rPr>
                <w:rFonts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rPr>
              <w:t>1</w:t>
            </w:r>
          </w:p>
        </w:tc>
        <w:tc>
          <w:tcPr>
            <w:tcW w:w="1560" w:type="dxa"/>
            <w:vAlign w:val="center"/>
          </w:tcPr>
          <w:p>
            <w:pPr>
              <w:jc w:val="center"/>
              <w:rPr>
                <w:rFonts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rPr>
              <w:t>纸质</w:t>
            </w:r>
          </w:p>
        </w:tc>
        <w:tc>
          <w:tcPr>
            <w:tcW w:w="2149" w:type="dxa"/>
            <w:vAlign w:val="center"/>
          </w:tcPr>
          <w:p>
            <w:pPr>
              <w:jc w:val="center"/>
              <w:rPr>
                <w:rFonts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rPr>
              <w:t>审核原件，留存复印件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42"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2430" w:type="dxa"/>
            <w:vAlign w:val="center"/>
          </w:tcPr>
          <w:p>
            <w:pPr>
              <w:widowControl/>
              <w:jc w:val="center"/>
              <w:textAlignment w:val="center"/>
              <w:rPr>
                <w:rFonts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color w:val="000000"/>
                <w:kern w:val="0"/>
                <w:sz w:val="18"/>
                <w:szCs w:val="18"/>
              </w:rPr>
              <w:t>建设项目审批、核准或者备案文件（复印件一份，核原件）</w:t>
            </w:r>
          </w:p>
        </w:tc>
        <w:tc>
          <w:tcPr>
            <w:tcW w:w="1458" w:type="dxa"/>
            <w:vAlign w:val="center"/>
          </w:tcPr>
          <w:p>
            <w:pPr>
              <w:widowControl/>
              <w:jc w:val="center"/>
              <w:textAlignment w:val="center"/>
              <w:rPr>
                <w:rFonts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color w:val="000000"/>
                <w:kern w:val="0"/>
                <w:sz w:val="18"/>
                <w:szCs w:val="18"/>
              </w:rPr>
              <w:t>原件和复印件</w:t>
            </w:r>
          </w:p>
        </w:tc>
        <w:tc>
          <w:tcPr>
            <w:tcW w:w="822" w:type="dxa"/>
            <w:vAlign w:val="center"/>
          </w:tcPr>
          <w:p>
            <w:pPr>
              <w:jc w:val="center"/>
              <w:rPr>
                <w:rFonts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rPr>
              <w:t>1</w:t>
            </w:r>
          </w:p>
        </w:tc>
        <w:tc>
          <w:tcPr>
            <w:tcW w:w="1560" w:type="dxa"/>
            <w:vAlign w:val="center"/>
          </w:tcPr>
          <w:p>
            <w:pPr>
              <w:jc w:val="center"/>
              <w:rPr>
                <w:rFonts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rPr>
              <w:t>纸质</w:t>
            </w:r>
          </w:p>
        </w:tc>
        <w:tc>
          <w:tcPr>
            <w:tcW w:w="2149"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rPr>
              <w:t>审核原件，留存复印件；如因特殊原因</w:t>
            </w:r>
            <w:r>
              <w:rPr>
                <w:rFonts w:hint="eastAsia" w:asciiTheme="minorEastAsia" w:hAnsiTheme="minorEastAsia" w:cstheme="minorEastAsia"/>
                <w:sz w:val="18"/>
                <w:szCs w:val="18"/>
                <w:lang w:eastAsia="zh-CN"/>
              </w:rPr>
              <w:t>可</w:t>
            </w:r>
            <w:r>
              <w:rPr>
                <w:rFonts w:hint="eastAsia" w:asciiTheme="minorEastAsia" w:hAnsiTheme="minorEastAsia" w:cstheme="minorEastAsia"/>
                <w:sz w:val="18"/>
                <w:szCs w:val="18"/>
              </w:rPr>
              <w:t>留原件</w:t>
            </w:r>
            <w:r>
              <w:rPr>
                <w:rFonts w:hint="eastAsia" w:asciiTheme="minorEastAsia" w:hAnsiTheme="minorEastAsia" w:cstheme="minorEastAsia"/>
                <w:sz w:val="18"/>
                <w:szCs w:val="18"/>
                <w:lang w:eastAsia="zh-CN"/>
              </w:rPr>
              <w:t>（项目的首次审批办理）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42"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2430" w:type="dxa"/>
            <w:vAlign w:val="center"/>
          </w:tcPr>
          <w:p>
            <w:pPr>
              <w:widowControl/>
              <w:jc w:val="center"/>
              <w:textAlignment w:val="center"/>
              <w:rPr>
                <w:rFonts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cstheme="minorEastAsia"/>
                <w:color w:val="000000"/>
                <w:kern w:val="0"/>
                <w:sz w:val="18"/>
                <w:szCs w:val="18"/>
              </w:rPr>
              <w:t>标绘有建设项目拟用地位置的规定比例尺的地形图（原件俩份）</w:t>
            </w:r>
          </w:p>
        </w:tc>
        <w:tc>
          <w:tcPr>
            <w:tcW w:w="1458" w:type="dxa"/>
            <w:vAlign w:val="center"/>
          </w:tcPr>
          <w:p>
            <w:pPr>
              <w:widowControl/>
              <w:jc w:val="center"/>
              <w:textAlignment w:val="center"/>
              <w:rPr>
                <w:rFonts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cstheme="minorEastAsia"/>
                <w:color w:val="000000"/>
                <w:kern w:val="0"/>
                <w:sz w:val="18"/>
                <w:szCs w:val="18"/>
              </w:rPr>
              <w:t>原件</w:t>
            </w:r>
          </w:p>
        </w:tc>
        <w:tc>
          <w:tcPr>
            <w:tcW w:w="822" w:type="dxa"/>
            <w:vAlign w:val="center"/>
          </w:tcPr>
          <w:p>
            <w:pPr>
              <w:jc w:val="center"/>
              <w:rPr>
                <w:rFonts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rPr>
              <w:t>2</w:t>
            </w:r>
          </w:p>
        </w:tc>
        <w:tc>
          <w:tcPr>
            <w:tcW w:w="1560" w:type="dxa"/>
            <w:vAlign w:val="center"/>
          </w:tcPr>
          <w:p>
            <w:pPr>
              <w:jc w:val="center"/>
              <w:rPr>
                <w:rFonts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rPr>
              <w:t>纸质</w:t>
            </w:r>
          </w:p>
        </w:tc>
        <w:tc>
          <w:tcPr>
            <w:tcW w:w="2149" w:type="dxa"/>
            <w:vAlign w:val="center"/>
          </w:tcPr>
          <w:p>
            <w:pPr>
              <w:jc w:val="center"/>
              <w:rPr>
                <w:rFonts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rPr>
              <w:t>原件俩份，加盖测绘单位公章；</w:t>
            </w:r>
            <w:r>
              <w:rPr>
                <w:rFonts w:hint="eastAsia" w:asciiTheme="minorEastAsia" w:hAnsiTheme="minorEastAsia" w:cstheme="minorEastAsia"/>
                <w:sz w:val="18"/>
                <w:szCs w:val="18"/>
                <w:lang w:eastAsia="zh-CN"/>
              </w:rPr>
              <w:t>地图</w:t>
            </w:r>
            <w:r>
              <w:rPr>
                <w:rFonts w:hint="eastAsia" w:asciiTheme="minorEastAsia" w:hAnsiTheme="minorEastAsia" w:cstheme="minorEastAsia"/>
                <w:sz w:val="18"/>
                <w:szCs w:val="18"/>
              </w:rPr>
              <w:t>比例</w:t>
            </w:r>
            <w:r>
              <w:rPr>
                <w:rFonts w:hint="eastAsia" w:asciiTheme="minorEastAsia" w:hAnsiTheme="minorEastAsia" w:cstheme="minorEastAsia"/>
                <w:sz w:val="18"/>
                <w:szCs w:val="18"/>
                <w:lang w:eastAsia="zh-CN"/>
              </w:rPr>
              <w:t>尺宜</w:t>
            </w:r>
            <w:r>
              <w:rPr>
                <w:rFonts w:hint="eastAsia" w:asciiTheme="minorEastAsia" w:hAnsiTheme="minorEastAsia" w:cstheme="minorEastAsia"/>
                <w:sz w:val="18"/>
                <w:szCs w:val="18"/>
              </w:rPr>
              <w:t>为1:1000，面幅</w:t>
            </w:r>
            <w:r>
              <w:rPr>
                <w:rFonts w:hint="eastAsia" w:asciiTheme="minorEastAsia" w:hAnsiTheme="minorEastAsia" w:cstheme="minorEastAsia"/>
                <w:sz w:val="18"/>
                <w:szCs w:val="18"/>
                <w:lang w:eastAsia="zh-CN"/>
              </w:rPr>
              <w:t>宜</w:t>
            </w:r>
            <w:r>
              <w:rPr>
                <w:rFonts w:hint="eastAsia" w:asciiTheme="minorEastAsia" w:hAnsiTheme="minorEastAsia" w:cstheme="minorEastAsia"/>
                <w:sz w:val="18"/>
                <w:szCs w:val="18"/>
              </w:rPr>
              <w:t>为500mm×500mm</w:t>
            </w:r>
          </w:p>
        </w:tc>
      </w:tr>
    </w:tbl>
    <w:p>
      <w:pPr>
        <w:jc w:val="left"/>
        <w:rPr>
          <w:rFonts w:asciiTheme="minorEastAsia" w:hAnsiTheme="minorEastAsia" w:cstheme="minorEastAsia"/>
          <w:szCs w:val="21"/>
        </w:rPr>
      </w:pPr>
    </w:p>
    <w:p>
      <w:pPr>
        <w:numPr>
          <w:ilvl w:val="0"/>
          <w:numId w:val="1"/>
        </w:numPr>
        <w:jc w:val="left"/>
        <w:rPr>
          <w:rFonts w:ascii="黑体" w:hAnsi="黑体" w:eastAsia="黑体" w:cs="黑体"/>
          <w:b/>
          <w:bCs/>
          <w:szCs w:val="21"/>
        </w:rPr>
      </w:pPr>
      <w:r>
        <w:rPr>
          <w:rFonts w:hint="eastAsia" w:ascii="黑体" w:hAnsi="黑体" w:eastAsia="黑体" w:cs="黑体"/>
          <w:b/>
          <w:bCs/>
          <w:szCs w:val="21"/>
        </w:rPr>
        <w:t>受理方式</w:t>
      </w:r>
    </w:p>
    <w:p>
      <w:pPr>
        <w:numPr>
          <w:ilvl w:val="0"/>
          <w:numId w:val="2"/>
        </w:num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窗口受理：直接到</w:t>
      </w:r>
      <w:r>
        <w:rPr>
          <w:rFonts w:hint="eastAsia" w:ascii="宋体" w:hAnsi="宋体" w:cs="宋体"/>
          <w:b w:val="0"/>
          <w:bCs w:val="0"/>
          <w:sz w:val="21"/>
          <w:szCs w:val="21"/>
          <w:lang w:val="en-US" w:eastAsia="zh-CN"/>
        </w:rPr>
        <w:t>平顶山市行政审批服务中心五楼</w:t>
      </w:r>
      <w:r>
        <w:rPr>
          <w:rFonts w:hint="eastAsia" w:ascii="宋体" w:hAnsi="宋体" w:cs="宋体"/>
          <w:color w:val="auto"/>
          <w:sz w:val="21"/>
          <w:szCs w:val="21"/>
          <w:lang w:val="en-US" w:eastAsia="zh-CN"/>
        </w:rPr>
        <w:t>自然资源和</w:t>
      </w:r>
      <w:r>
        <w:rPr>
          <w:rFonts w:hint="eastAsia" w:ascii="宋体" w:hAnsi="宋体" w:eastAsia="宋体" w:cs="宋体"/>
          <w:color w:val="auto"/>
          <w:sz w:val="21"/>
          <w:szCs w:val="21"/>
          <w:lang w:val="en-US" w:eastAsia="zh-CN"/>
        </w:rPr>
        <w:t>规划</w:t>
      </w:r>
      <w:r>
        <w:rPr>
          <w:rFonts w:hint="eastAsia" w:ascii="宋体" w:hAnsi="宋体" w:cs="宋体"/>
          <w:color w:val="auto"/>
          <w:sz w:val="21"/>
          <w:szCs w:val="21"/>
          <w:lang w:val="en-US" w:eastAsia="zh-CN"/>
        </w:rPr>
        <w:t>局</w:t>
      </w:r>
      <w:r>
        <w:rPr>
          <w:rFonts w:hint="eastAsia" w:ascii="宋体" w:hAnsi="宋体" w:eastAsia="宋体" w:cs="宋体"/>
          <w:color w:val="auto"/>
          <w:sz w:val="21"/>
          <w:szCs w:val="21"/>
          <w:lang w:val="en-US" w:eastAsia="zh-CN"/>
        </w:rPr>
        <w:t>业务窗口</w:t>
      </w:r>
      <w:r>
        <w:rPr>
          <w:rFonts w:hint="eastAsia" w:asciiTheme="minorEastAsia" w:hAnsiTheme="minorEastAsia" w:cstheme="minorEastAsia"/>
          <w:szCs w:val="21"/>
        </w:rPr>
        <w:t>提交申办材料。</w:t>
      </w:r>
    </w:p>
    <w:p>
      <w:pPr>
        <w:numPr>
          <w:ilvl w:val="0"/>
          <w:numId w:val="2"/>
        </w:num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网上申报：进入河南政务服务网（http://www.hnzwfw.gov.cn）按照提示进行网上申报。</w:t>
      </w:r>
    </w:p>
    <w:p>
      <w:pPr>
        <w:numPr>
          <w:ilvl w:val="0"/>
          <w:numId w:val="1"/>
        </w:numPr>
        <w:jc w:val="left"/>
        <w:rPr>
          <w:rFonts w:ascii="黑体" w:hAnsi="黑体" w:eastAsia="黑体" w:cs="黑体"/>
          <w:b/>
          <w:bCs/>
          <w:szCs w:val="21"/>
        </w:rPr>
      </w:pPr>
      <w:r>
        <w:rPr>
          <w:rFonts w:hint="eastAsia" w:ascii="黑体" w:hAnsi="黑体" w:eastAsia="黑体" w:cs="黑体"/>
          <w:b/>
          <w:bCs/>
          <w:szCs w:val="21"/>
        </w:rPr>
        <w:t>办理流程</w:t>
      </w:r>
    </w:p>
    <w:p>
      <w:pPr>
        <w:pStyle w:val="6"/>
        <w:keepNext w:val="0"/>
        <w:keepLines w:val="0"/>
        <w:pageBreakBefore w:val="0"/>
        <w:widowControl w:val="0"/>
        <w:kinsoku/>
        <w:wordWrap/>
        <w:overflowPunct/>
        <w:topLinePunct w:val="0"/>
        <w:autoSpaceDE/>
        <w:autoSpaceDN/>
        <w:bidi w:val="0"/>
        <w:adjustRightInd/>
        <w:snapToGrid/>
        <w:ind w:firstLine="420" w:firstLineChars="200"/>
        <w:textAlignment w:val="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eastAsia="zh-CN"/>
        </w:rPr>
        <w:t>（一）</w:t>
      </w:r>
      <w:r>
        <w:rPr>
          <w:rFonts w:hint="eastAsia" w:cs="宋体" w:asciiTheme="minorEastAsia" w:hAnsiTheme="minorEastAsia" w:eastAsiaTheme="minorEastAsia"/>
          <w:color w:val="auto"/>
          <w:sz w:val="21"/>
          <w:szCs w:val="21"/>
        </w:rPr>
        <w:t>申请</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cstheme="minorEastAsia"/>
          <w:color w:val="auto"/>
          <w:szCs w:val="21"/>
        </w:rPr>
      </w:pPr>
      <w:r>
        <w:rPr>
          <w:rFonts w:hint="eastAsia" w:asciiTheme="minorEastAsia" w:hAnsiTheme="minorEastAsia" w:cstheme="minorEastAsia"/>
          <w:color w:val="auto"/>
          <w:szCs w:val="21"/>
        </w:rPr>
        <w:t>申请单位应按照要求,准备相关申请村料</w:t>
      </w:r>
      <w:r>
        <w:rPr>
          <w:rFonts w:hint="eastAsia" w:asciiTheme="minorEastAsia" w:hAnsiTheme="minorEastAsia" w:cstheme="minorEastAsia"/>
          <w:color w:val="auto"/>
          <w:szCs w:val="21"/>
          <w:lang w:eastAsia="zh-CN"/>
        </w:rPr>
        <w:t>，按照许可权限，</w:t>
      </w:r>
      <w:r>
        <w:rPr>
          <w:rFonts w:hint="eastAsia" w:asciiTheme="minorEastAsia" w:hAnsiTheme="minorEastAsia" w:cstheme="minorEastAsia"/>
          <w:color w:val="auto"/>
          <w:szCs w:val="21"/>
        </w:rPr>
        <w:t>向许可机关提出许可申请。</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asciiTheme="minorEastAsia" w:hAnsiTheme="minorEastAsia" w:cstheme="minorEastAsia"/>
          <w:color w:val="auto"/>
          <w:szCs w:val="21"/>
        </w:rPr>
      </w:pPr>
      <w:r>
        <w:rPr>
          <w:rFonts w:hint="eastAsia" w:asciiTheme="minorEastAsia" w:hAnsiTheme="minorEastAsia" w:cstheme="minorEastAsia"/>
          <w:color w:val="auto"/>
          <w:szCs w:val="21"/>
          <w:lang w:eastAsia="zh-CN"/>
        </w:rPr>
        <w:t>（二）</w:t>
      </w:r>
      <w:r>
        <w:rPr>
          <w:rFonts w:hint="eastAsia" w:asciiTheme="minorEastAsia" w:hAnsiTheme="minorEastAsia" w:cstheme="minorEastAsia"/>
          <w:color w:val="auto"/>
          <w:szCs w:val="21"/>
        </w:rPr>
        <w:t>受理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cs="宋体" w:asciiTheme="minorEastAsia" w:hAnsiTheme="minorEastAsia"/>
          <w:b w:val="0"/>
          <w:bCs w:val="0"/>
          <w:color w:val="auto"/>
          <w:szCs w:val="21"/>
        </w:rPr>
      </w:pPr>
      <w:r>
        <w:rPr>
          <w:rFonts w:hint="eastAsia" w:cs="宋体" w:asciiTheme="minorEastAsia" w:hAnsiTheme="minorEastAsia"/>
          <w:b w:val="0"/>
          <w:bCs w:val="0"/>
          <w:color w:val="auto"/>
          <w:szCs w:val="21"/>
        </w:rPr>
        <w:t>许可机关对申请材料进行审查。申请村料齐全、规范的,许可机关予以受理,出具《受理通知书》。申请材料不齐全的,应一次告知申请人需要补正的全部内容,出具《行政许可申请材料补正告知书。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asciiTheme="minorEastAsia" w:hAnsiTheme="minorEastAsia" w:cstheme="minorEastAsia"/>
          <w:color w:val="auto"/>
          <w:szCs w:val="21"/>
        </w:rPr>
      </w:pPr>
      <w:r>
        <w:rPr>
          <w:rFonts w:hint="eastAsia" w:asciiTheme="minorEastAsia" w:hAnsiTheme="minorEastAsia" w:cstheme="minorEastAsia"/>
          <w:color w:val="auto"/>
          <w:szCs w:val="21"/>
          <w:lang w:eastAsia="zh-CN"/>
        </w:rPr>
        <w:t>（三）</w:t>
      </w:r>
      <w:r>
        <w:rPr>
          <w:rFonts w:hint="eastAsia" w:asciiTheme="minorEastAsia" w:hAnsiTheme="minorEastAsia" w:cstheme="minorEastAsia"/>
          <w:color w:val="auto"/>
          <w:szCs w:val="21"/>
        </w:rPr>
        <w:t>审查</w:t>
      </w:r>
    </w:p>
    <w:p>
      <w:pPr>
        <w:keepNext w:val="0"/>
        <w:keepLines w:val="0"/>
        <w:pageBreakBefore w:val="0"/>
        <w:widowControl w:val="0"/>
        <w:tabs>
          <w:tab w:val="left" w:pos="369"/>
        </w:tabs>
        <w:kinsoku/>
        <w:wordWrap/>
        <w:overflowPunct/>
        <w:topLinePunct w:val="0"/>
        <w:autoSpaceDE/>
        <w:autoSpaceDN/>
        <w:bidi w:val="0"/>
        <w:adjustRightInd/>
        <w:snapToGrid/>
        <w:ind w:firstLine="420" w:firstLineChars="200"/>
        <w:jc w:val="left"/>
        <w:textAlignment w:val="auto"/>
        <w:rPr>
          <w:rFonts w:asciiTheme="minorEastAsia" w:hAnsiTheme="minorEastAsia" w:cstheme="minorEastAsia"/>
          <w:color w:val="auto"/>
          <w:szCs w:val="21"/>
        </w:rPr>
      </w:pPr>
      <w:r>
        <w:rPr>
          <w:rFonts w:hint="eastAsia" w:cs="宋体" w:asciiTheme="minorEastAsia" w:hAnsiTheme="minorEastAsia" w:eastAsiaTheme="minorEastAsia"/>
          <w:color w:val="auto"/>
          <w:sz w:val="21"/>
          <w:szCs w:val="21"/>
        </w:rPr>
        <w:t>根据法定条件和程序,申请材料受理后,行政许可机关应当指派2名以上工作人员对申请材料的内容进行</w:t>
      </w:r>
      <w:r>
        <w:rPr>
          <w:rFonts w:hint="eastAsia" w:cs="宋体" w:asciiTheme="minorEastAsia" w:hAnsiTheme="minorEastAsia"/>
          <w:color w:val="auto"/>
          <w:sz w:val="21"/>
          <w:szCs w:val="21"/>
          <w:lang w:eastAsia="zh-CN"/>
        </w:rPr>
        <w:t>审</w:t>
      </w:r>
      <w:r>
        <w:rPr>
          <w:rFonts w:hint="eastAsia" w:cs="宋体" w:asciiTheme="minorEastAsia" w:hAnsiTheme="minorEastAsia" w:eastAsiaTheme="minorEastAsia"/>
          <w:color w:val="auto"/>
          <w:sz w:val="21"/>
          <w:szCs w:val="21"/>
        </w:rPr>
        <w:t>查</w:t>
      </w:r>
      <w:r>
        <w:rPr>
          <w:rFonts w:hint="eastAsia" w:cs="宋体" w:asciiTheme="minorEastAsia" w:hAnsiTheme="minorEastAsia"/>
          <w:color w:val="auto"/>
          <w:sz w:val="21"/>
          <w:szCs w:val="21"/>
          <w:lang w:eastAsia="zh-CN"/>
        </w:rPr>
        <w:t>，对申请单位项目现场进行实地踏勘，</w:t>
      </w:r>
      <w:r>
        <w:rPr>
          <w:rFonts w:hint="eastAsia" w:cs="宋体" w:asciiTheme="minorEastAsia" w:hAnsiTheme="minorEastAsia"/>
          <w:color w:val="auto"/>
          <w:szCs w:val="21"/>
        </w:rPr>
        <w:t>并将审查情况和现场踏勘情况报局主管领导审批。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heme="minorEastAsia" w:hAnsiTheme="minorEastAsia" w:cstheme="minorEastAsia"/>
          <w:color w:val="auto"/>
          <w:szCs w:val="21"/>
        </w:rPr>
      </w:pPr>
      <w:r>
        <w:rPr>
          <w:rFonts w:hint="eastAsia" w:asciiTheme="minorEastAsia" w:hAnsiTheme="minorEastAsia" w:cstheme="minorEastAsia"/>
          <w:color w:val="auto"/>
          <w:szCs w:val="21"/>
          <w:lang w:eastAsia="zh-CN"/>
        </w:rPr>
        <w:t>（四）</w:t>
      </w:r>
      <w:r>
        <w:rPr>
          <w:rFonts w:hint="eastAsia" w:asciiTheme="minorEastAsia" w:hAnsiTheme="minorEastAsia" w:cstheme="minorEastAsia"/>
          <w:color w:val="auto"/>
          <w:szCs w:val="21"/>
        </w:rPr>
        <w:t>决定</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Theme="minorEastAsia" w:hAnsiTheme="minorEastAsia" w:cstheme="minorEastAsia"/>
          <w:color w:val="auto"/>
          <w:szCs w:val="21"/>
        </w:rPr>
      </w:pPr>
      <w:r>
        <w:rPr>
          <w:rFonts w:hint="eastAsia" w:cs="宋体" w:asciiTheme="minorEastAsia" w:hAnsiTheme="minorEastAsia"/>
          <w:color w:val="auto"/>
          <w:szCs w:val="21"/>
        </w:rPr>
        <w:t>申请材料符合法定条件的,现场核查无误的,许可机关填写行政许可决定审批表,经审定,依法</w:t>
      </w:r>
      <w:r>
        <w:rPr>
          <w:rFonts w:hint="eastAsia" w:asciiTheme="minorEastAsia" w:hAnsiTheme="minorEastAsia" w:cstheme="minorEastAsia"/>
          <w:color w:val="auto"/>
          <w:szCs w:val="21"/>
        </w:rPr>
        <w:t>制发</w:t>
      </w:r>
      <w:r>
        <w:rPr>
          <w:rFonts w:hint="eastAsia" w:asciiTheme="minorEastAsia" w:hAnsiTheme="minorEastAsia" w:cstheme="minorEastAsia"/>
          <w:b w:val="0"/>
          <w:bCs w:val="0"/>
          <w:sz w:val="21"/>
          <w:szCs w:val="21"/>
          <w:lang w:val="en-US" w:eastAsia="zh-CN"/>
        </w:rPr>
        <w:t>《建设用地规划许可证》</w:t>
      </w:r>
      <w:r>
        <w:rPr>
          <w:rFonts w:hint="eastAsia" w:asciiTheme="minorEastAsia" w:hAnsiTheme="minorEastAsia" w:cstheme="minorEastAsia"/>
          <w:color w:val="auto"/>
          <w:szCs w:val="21"/>
          <w:lang w:eastAsia="zh-CN"/>
        </w:rPr>
        <w:t>；</w:t>
      </w:r>
      <w:r>
        <w:rPr>
          <w:rFonts w:hint="eastAsia" w:cs="宋体" w:asciiTheme="minorEastAsia" w:hAnsiTheme="minorEastAsia"/>
          <w:color w:val="auto"/>
          <w:szCs w:val="21"/>
        </w:rPr>
        <w:t>申请材料不实、不符合法定条件的,行政许可机关做出《不予受理决定书》。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asciiTheme="minorEastAsia" w:hAnsiTheme="minorEastAsia" w:cstheme="minorEastAsia"/>
          <w:color w:val="auto"/>
          <w:szCs w:val="21"/>
        </w:rPr>
      </w:pPr>
      <w:r>
        <w:rPr>
          <w:rFonts w:hint="eastAsia" w:asciiTheme="minorEastAsia" w:hAnsiTheme="minorEastAsia" w:cstheme="minorEastAsia"/>
          <w:color w:val="auto"/>
          <w:szCs w:val="21"/>
          <w:lang w:eastAsia="zh-CN"/>
        </w:rPr>
        <w:t>（五）</w:t>
      </w:r>
      <w:r>
        <w:rPr>
          <w:rFonts w:hint="eastAsia" w:asciiTheme="minorEastAsia" w:hAnsiTheme="minorEastAsia" w:cstheme="minorEastAsia"/>
          <w:color w:val="auto"/>
          <w:szCs w:val="21"/>
        </w:rPr>
        <w:t>送达</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cs="宋体" w:asciiTheme="minorEastAsia" w:hAnsiTheme="minorEastAsia"/>
          <w:color w:val="auto"/>
          <w:szCs w:val="21"/>
        </w:rPr>
      </w:pPr>
      <w:r>
        <w:rPr>
          <w:rFonts w:hint="eastAsia" w:asciiTheme="minorEastAsia" w:hAnsiTheme="minorEastAsia" w:cstheme="minorEastAsia"/>
          <w:b w:val="0"/>
          <w:bCs w:val="0"/>
          <w:sz w:val="21"/>
          <w:szCs w:val="21"/>
          <w:lang w:val="en-US" w:eastAsia="zh-CN"/>
        </w:rPr>
        <w:t>《建设用地规划许可证》</w:t>
      </w:r>
      <w:r>
        <w:rPr>
          <w:rFonts w:hint="eastAsia" w:asciiTheme="minorEastAsia" w:hAnsiTheme="minorEastAsia" w:cstheme="minorEastAsia"/>
          <w:color w:val="auto"/>
          <w:szCs w:val="21"/>
        </w:rPr>
        <w:t>或</w:t>
      </w:r>
      <w:r>
        <w:rPr>
          <w:rFonts w:hint="eastAsia" w:cs="宋体" w:asciiTheme="minorEastAsia" w:hAnsiTheme="minorEastAsia"/>
          <w:color w:val="auto"/>
          <w:szCs w:val="21"/>
        </w:rPr>
        <w:t>《不予受理决定书》作出后直接送达当事人或以邮寄的方式送达当事人。</w:t>
      </w:r>
    </w:p>
    <w:p>
      <w:pPr>
        <w:numPr>
          <w:ilvl w:val="0"/>
          <w:numId w:val="1"/>
        </w:numPr>
        <w:jc w:val="left"/>
        <w:rPr>
          <w:rFonts w:ascii="黑体" w:hAnsi="黑体" w:eastAsia="黑体" w:cs="黑体"/>
          <w:b/>
          <w:bCs/>
          <w:szCs w:val="21"/>
        </w:rPr>
      </w:pPr>
      <w:r>
        <w:rPr>
          <w:rFonts w:hint="eastAsia" w:ascii="黑体" w:hAnsi="黑体" w:eastAsia="黑体" w:cs="黑体"/>
          <w:b/>
          <w:bCs/>
          <w:szCs w:val="21"/>
        </w:rPr>
        <w:t>办理时限</w:t>
      </w:r>
    </w:p>
    <w:p>
      <w:pPr>
        <w:numPr>
          <w:ilvl w:val="0"/>
          <w:numId w:val="3"/>
        </w:num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法定时限</w:t>
      </w:r>
    </w:p>
    <w:p>
      <w:pPr>
        <w:ind w:firstLine="420" w:firstLineChars="200"/>
        <w:jc w:val="left"/>
        <w:rPr>
          <w:rFonts w:hint="eastAsia" w:asciiTheme="minorEastAsia" w:hAnsiTheme="minorEastAsia" w:cstheme="minorEastAsia"/>
          <w:szCs w:val="21"/>
        </w:rPr>
      </w:pPr>
      <w:r>
        <w:rPr>
          <w:rFonts w:hint="eastAsia" w:asciiTheme="minorEastAsia" w:hAnsiTheme="minorEastAsia" w:cstheme="minorEastAsia"/>
          <w:szCs w:val="21"/>
        </w:rPr>
        <w:t>自受理之日起20个工作日（20个工作日内不能作出决定的，经本行政机关负责人批准，可延长10个工作日，并应当将延长期限的理由告知申请人）。</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 xml:space="preserve">（二）承诺时限 </w:t>
      </w:r>
    </w:p>
    <w:p>
      <w:pPr>
        <w:ind w:firstLine="420" w:firstLineChars="200"/>
        <w:jc w:val="left"/>
        <w:rPr>
          <w:rFonts w:asciiTheme="minorEastAsia" w:hAnsiTheme="minorEastAsia" w:cstheme="minorEastAsia"/>
          <w:color w:val="FF0000"/>
          <w:szCs w:val="21"/>
        </w:rPr>
      </w:pPr>
      <w:r>
        <w:rPr>
          <w:rFonts w:hint="eastAsia" w:asciiTheme="minorEastAsia" w:hAnsiTheme="minorEastAsia" w:cstheme="minorEastAsia"/>
          <w:color w:val="auto"/>
          <w:szCs w:val="21"/>
        </w:rPr>
        <w:t>自受理之日起</w:t>
      </w:r>
      <w:r>
        <w:rPr>
          <w:rFonts w:hint="eastAsia" w:asciiTheme="minorEastAsia" w:hAnsiTheme="minorEastAsia" w:cstheme="minorEastAsia"/>
          <w:color w:val="auto"/>
          <w:szCs w:val="21"/>
          <w:lang w:val="en-US" w:eastAsia="zh-CN"/>
        </w:rPr>
        <w:t>3</w:t>
      </w:r>
      <w:r>
        <w:rPr>
          <w:rFonts w:hint="eastAsia" w:asciiTheme="minorEastAsia" w:hAnsiTheme="minorEastAsia" w:cstheme="minorEastAsia"/>
          <w:color w:val="auto"/>
          <w:szCs w:val="21"/>
        </w:rPr>
        <w:t>个工作日（承诺时间不包含特殊环节时限，例如专家论证、专家评审、公示、现场踏勘等所需要的时间）。</w:t>
      </w:r>
    </w:p>
    <w:p>
      <w:pPr>
        <w:numPr>
          <w:ilvl w:val="0"/>
          <w:numId w:val="1"/>
        </w:numPr>
        <w:ind w:left="0" w:leftChars="0" w:firstLine="0" w:firstLineChars="0"/>
        <w:jc w:val="left"/>
        <w:rPr>
          <w:rFonts w:hint="eastAsia" w:ascii="黑体" w:hAnsi="黑体" w:eastAsia="黑体" w:cs="黑体"/>
          <w:b/>
          <w:bCs/>
          <w:sz w:val="21"/>
          <w:szCs w:val="21"/>
          <w:lang w:val="en-US" w:eastAsia="zh-CN"/>
        </w:rPr>
      </w:pPr>
      <w:bookmarkStart w:id="0" w:name="_GoBack"/>
      <w:r>
        <w:rPr>
          <w:rFonts w:hint="eastAsia" w:ascii="黑体" w:hAnsi="黑体" w:eastAsia="黑体" w:cs="黑体"/>
          <w:b/>
          <w:bCs/>
          <w:sz w:val="21"/>
          <w:szCs w:val="21"/>
          <w:lang w:val="en-US" w:eastAsia="zh-CN"/>
        </w:rPr>
        <w:t>收费依据及标准</w:t>
      </w:r>
    </w:p>
    <w:p>
      <w:pPr>
        <w:widowControl w:val="0"/>
        <w:numPr>
          <w:ilvl w:val="0"/>
          <w:numId w:val="0"/>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无</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结果送达</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color w:val="auto"/>
          <w:szCs w:val="21"/>
        </w:rPr>
        <w:t>直接送达或邮递送达</w:t>
      </w:r>
      <w:r>
        <w:rPr>
          <w:rFonts w:hint="eastAsia" w:ascii="宋体" w:hAnsi="宋体" w:cs="宋体"/>
          <w:color w:val="auto"/>
          <w:szCs w:val="21"/>
          <w:lang w:eastAsia="zh-CN"/>
        </w:rPr>
        <w:t>。</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咨询方式、投诉方式</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现场咨询：平顶山市行政审批服务中心五楼规划业务窗口</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电话咨询：0375</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2692186</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现场监督投诉：平顶山市行政审批服务中心督查科</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电话监督投诉</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0375-2692260  </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办理地址和时间</w:t>
      </w:r>
    </w:p>
    <w:p>
      <w:pPr>
        <w:widowControl w:val="0"/>
        <w:numPr>
          <w:ilvl w:val="0"/>
          <w:numId w:val="0"/>
        </w:numPr>
        <w:wordWrap/>
        <w:adjustRightInd/>
        <w:snapToGrid/>
        <w:ind w:leftChars="0"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办理</w:t>
      </w:r>
      <w:r>
        <w:rPr>
          <w:rFonts w:hint="eastAsia" w:ascii="宋体" w:hAnsi="宋体" w:eastAsia="宋体" w:cs="宋体"/>
          <w:b w:val="0"/>
          <w:bCs w:val="0"/>
          <w:sz w:val="21"/>
          <w:szCs w:val="21"/>
          <w:lang w:val="en-US" w:eastAsia="zh-CN"/>
        </w:rPr>
        <w:t>地址：</w:t>
      </w:r>
      <w:r>
        <w:rPr>
          <w:rFonts w:hint="eastAsia" w:ascii="宋体" w:hAnsi="宋体" w:cs="宋体"/>
          <w:b w:val="0"/>
          <w:bCs w:val="0"/>
          <w:sz w:val="21"/>
          <w:szCs w:val="21"/>
          <w:lang w:val="en-US" w:eastAsia="zh-CN"/>
        </w:rPr>
        <w:t>平顶山市新城区湖滨路街道清风路与兴平路交叉口行政审批服务中心五楼</w:t>
      </w:r>
      <w:r>
        <w:rPr>
          <w:rFonts w:hint="eastAsia" w:ascii="宋体" w:hAnsi="宋体" w:cs="宋体"/>
          <w:color w:val="auto"/>
          <w:sz w:val="21"/>
          <w:szCs w:val="21"/>
          <w:lang w:val="en-US" w:eastAsia="zh-CN"/>
        </w:rPr>
        <w:t>自然资源和</w:t>
      </w:r>
      <w:r>
        <w:rPr>
          <w:rFonts w:hint="eastAsia" w:ascii="宋体" w:hAnsi="宋体" w:eastAsia="宋体" w:cs="宋体"/>
          <w:color w:val="auto"/>
          <w:sz w:val="21"/>
          <w:szCs w:val="21"/>
          <w:lang w:val="en-US" w:eastAsia="zh-CN"/>
        </w:rPr>
        <w:t>规划</w:t>
      </w:r>
      <w:r>
        <w:rPr>
          <w:rFonts w:hint="eastAsia" w:ascii="宋体" w:hAnsi="宋体" w:cs="宋体"/>
          <w:color w:val="auto"/>
          <w:sz w:val="21"/>
          <w:szCs w:val="21"/>
          <w:lang w:val="en-US" w:eastAsia="zh-CN"/>
        </w:rPr>
        <w:t>局</w:t>
      </w:r>
      <w:r>
        <w:rPr>
          <w:rFonts w:hint="eastAsia" w:ascii="宋体" w:hAnsi="宋体" w:eastAsia="宋体" w:cs="宋体"/>
          <w:color w:val="auto"/>
          <w:sz w:val="21"/>
          <w:szCs w:val="21"/>
          <w:lang w:val="en-US" w:eastAsia="zh-CN"/>
        </w:rPr>
        <w:t>业务窗口</w:t>
      </w:r>
    </w:p>
    <w:p>
      <w:pPr>
        <w:widowControl w:val="0"/>
        <w:numPr>
          <w:ilvl w:val="0"/>
          <w:numId w:val="0"/>
        </w:numPr>
        <w:wordWrap/>
        <w:adjustRightInd/>
        <w:snapToGrid/>
        <w:ind w:leftChars="0"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时间：周一至周五 上午9:00-12:00 下午1</w:t>
      </w:r>
      <w:r>
        <w:rPr>
          <w:rFonts w:hint="eastAsia" w:ascii="宋体" w:hAnsi="宋体" w:eastAsia="宋体" w:cs="宋体"/>
          <w:b w:val="0"/>
          <w:bCs w:val="0"/>
          <w:color w:val="auto"/>
          <w:sz w:val="21"/>
          <w:szCs w:val="21"/>
          <w:lang w:val="en-US" w:eastAsia="zh-CN"/>
        </w:rPr>
        <w:t>3:00-17:00</w:t>
      </w:r>
      <w:r>
        <w:rPr>
          <w:rFonts w:hint="eastAsia" w:ascii="宋体" w:hAnsi="宋体" w:eastAsia="宋体" w:cs="宋体"/>
          <w:color w:val="auto"/>
          <w:spacing w:val="-11"/>
          <w:sz w:val="21"/>
          <w:szCs w:val="21"/>
          <w:lang w:val="en-US" w:eastAsia="zh-CN"/>
        </w:rPr>
        <w:t>（</w:t>
      </w:r>
      <w:r>
        <w:rPr>
          <w:rFonts w:hint="eastAsia" w:ascii="宋体" w:hAnsi="宋体" w:cs="宋体"/>
          <w:color w:val="auto"/>
          <w:spacing w:val="-11"/>
          <w:sz w:val="21"/>
          <w:szCs w:val="21"/>
          <w:lang w:val="en-US" w:eastAsia="zh-CN"/>
        </w:rPr>
        <w:t>法定节假日除外</w:t>
      </w:r>
      <w:r>
        <w:rPr>
          <w:rFonts w:hint="eastAsia" w:ascii="宋体" w:hAnsi="宋体" w:eastAsia="宋体" w:cs="宋体"/>
          <w:color w:val="auto"/>
          <w:spacing w:val="-11"/>
          <w:sz w:val="21"/>
          <w:szCs w:val="21"/>
          <w:lang w:val="en-US" w:eastAsia="zh-CN"/>
        </w:rPr>
        <w:t>）</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办理进程和结果查询</w:t>
      </w:r>
    </w:p>
    <w:p>
      <w:pPr>
        <w:widowControl w:val="0"/>
        <w:numPr>
          <w:ilvl w:val="0"/>
          <w:numId w:val="0"/>
        </w:numPr>
        <w:wordWrap/>
        <w:adjustRightInd/>
        <w:snapToGrid/>
        <w:ind w:left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（一）</w:t>
      </w:r>
      <w:r>
        <w:rPr>
          <w:rFonts w:hint="eastAsia" w:ascii="宋体" w:hAnsi="宋体" w:eastAsia="宋体" w:cs="宋体"/>
          <w:b w:val="0"/>
          <w:bCs w:val="0"/>
          <w:sz w:val="21"/>
          <w:szCs w:val="21"/>
          <w:lang w:val="en-US" w:eastAsia="zh-CN"/>
        </w:rPr>
        <w:t>办理进程查询方式</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现场查询</w:t>
      </w:r>
      <w:r>
        <w:rPr>
          <w:rFonts w:hint="eastAsia" w:ascii="宋体" w:hAnsi="宋体" w:cs="宋体"/>
          <w:b w:val="0"/>
          <w:bCs w:val="0"/>
          <w:sz w:val="21"/>
          <w:szCs w:val="21"/>
          <w:lang w:val="en-US" w:eastAsia="zh-CN"/>
        </w:rPr>
        <w:t>：平顶山市行政审批服务中心五楼规划业务窗口</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2.电话查询：</w:t>
      </w:r>
      <w:r>
        <w:rPr>
          <w:rFonts w:hint="eastAsia" w:ascii="宋体" w:hAnsi="宋体" w:eastAsia="宋体" w:cs="宋体"/>
          <w:b w:val="0"/>
          <w:bCs w:val="0"/>
          <w:sz w:val="21"/>
          <w:szCs w:val="21"/>
          <w:lang w:val="en-US" w:eastAsia="zh-CN"/>
        </w:rPr>
        <w:t>0375－2692186</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网上查询</w:t>
      </w:r>
      <w:r>
        <w:rPr>
          <w:rFonts w:hint="eastAsia" w:ascii="宋体" w:hAnsi="宋体" w:cs="宋体"/>
          <w:b w:val="0"/>
          <w:bCs w:val="0"/>
          <w:sz w:val="21"/>
          <w:szCs w:val="21"/>
          <w:lang w:val="en-US" w:eastAsia="zh-CN"/>
        </w:rPr>
        <w:t>：</w:t>
      </w:r>
      <w:r>
        <w:rPr>
          <w:rFonts w:hint="eastAsia" w:ascii="宋体" w:hAnsi="宋体" w:cs="宋体"/>
          <w:b w:val="0"/>
          <w:bCs w:val="0"/>
          <w:sz w:val="21"/>
          <w:szCs w:val="21"/>
          <w:lang w:val="en-US" w:eastAsia="zh-CN"/>
        </w:rPr>
        <w:fldChar w:fldCharType="begin"/>
      </w:r>
      <w:r>
        <w:rPr>
          <w:rFonts w:hint="eastAsia" w:ascii="宋体" w:hAnsi="宋体" w:cs="宋体"/>
          <w:b w:val="0"/>
          <w:bCs w:val="0"/>
          <w:sz w:val="21"/>
          <w:szCs w:val="21"/>
          <w:lang w:val="en-US" w:eastAsia="zh-CN"/>
        </w:rPr>
        <w:instrText xml:space="preserve"> HYPERLINK "http://www.hnzwfw。gov.cn" </w:instrText>
      </w:r>
      <w:r>
        <w:rPr>
          <w:rFonts w:hint="eastAsia" w:ascii="宋体" w:hAnsi="宋体" w:cs="宋体"/>
          <w:b w:val="0"/>
          <w:bCs w:val="0"/>
          <w:sz w:val="21"/>
          <w:szCs w:val="21"/>
          <w:lang w:val="en-US" w:eastAsia="zh-CN"/>
        </w:rPr>
        <w:fldChar w:fldCharType="separate"/>
      </w:r>
      <w:r>
        <w:rPr>
          <w:rStyle w:val="10"/>
          <w:rFonts w:hint="eastAsia" w:ascii="宋体" w:hAnsi="宋体" w:cs="宋体"/>
          <w:b w:val="0"/>
          <w:bCs w:val="0"/>
          <w:sz w:val="21"/>
          <w:szCs w:val="21"/>
          <w:lang w:val="en-US" w:eastAsia="zh-CN"/>
        </w:rPr>
        <w:t>http://www.hnzwfw.gov.cn</w:t>
      </w:r>
      <w:r>
        <w:rPr>
          <w:rFonts w:hint="eastAsia" w:ascii="宋体" w:hAnsi="宋体" w:cs="宋体"/>
          <w:b w:val="0"/>
          <w:bCs w:val="0"/>
          <w:sz w:val="21"/>
          <w:szCs w:val="21"/>
          <w:lang w:val="en-US" w:eastAsia="zh-CN"/>
        </w:rPr>
        <w:fldChar w:fldCharType="end"/>
      </w:r>
    </w:p>
    <w:p>
      <w:pPr>
        <w:widowControl w:val="0"/>
        <w:numPr>
          <w:ilvl w:val="0"/>
          <w:numId w:val="0"/>
        </w:numPr>
        <w:wordWrap/>
        <w:adjustRightInd/>
        <w:snapToGrid/>
        <w:ind w:left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（二）</w:t>
      </w:r>
      <w:r>
        <w:rPr>
          <w:rFonts w:hint="eastAsia" w:ascii="宋体" w:hAnsi="宋体" w:eastAsia="宋体" w:cs="宋体"/>
          <w:b w:val="0"/>
          <w:bCs w:val="0"/>
          <w:sz w:val="21"/>
          <w:szCs w:val="21"/>
          <w:lang w:val="en-US" w:eastAsia="zh-CN"/>
        </w:rPr>
        <w:t>结果公开查询方式</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现场查询</w:t>
      </w:r>
      <w:r>
        <w:rPr>
          <w:rFonts w:hint="eastAsia" w:ascii="宋体" w:hAnsi="宋体" w:cs="宋体"/>
          <w:b w:val="0"/>
          <w:bCs w:val="0"/>
          <w:sz w:val="21"/>
          <w:szCs w:val="21"/>
          <w:lang w:val="en-US" w:eastAsia="zh-CN"/>
        </w:rPr>
        <w:t>：平顶山市行政审批服务中心五楼规划业务窗口</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2.电话查询：</w:t>
      </w:r>
      <w:r>
        <w:rPr>
          <w:rFonts w:hint="eastAsia" w:ascii="宋体" w:hAnsi="宋体" w:eastAsia="宋体" w:cs="宋体"/>
          <w:b w:val="0"/>
          <w:bCs w:val="0"/>
          <w:sz w:val="21"/>
          <w:szCs w:val="21"/>
          <w:lang w:val="en-US" w:eastAsia="zh-CN"/>
        </w:rPr>
        <w:t>0375－2692186</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网上查询</w:t>
      </w:r>
      <w:r>
        <w:rPr>
          <w:rFonts w:hint="eastAsia" w:ascii="宋体" w:hAnsi="宋体" w:cs="宋体"/>
          <w:b w:val="0"/>
          <w:bCs w:val="0"/>
          <w:sz w:val="21"/>
          <w:szCs w:val="21"/>
          <w:lang w:val="en-US" w:eastAsia="zh-CN"/>
        </w:rPr>
        <w:t>：</w:t>
      </w:r>
      <w:r>
        <w:rPr>
          <w:rFonts w:hint="eastAsia" w:ascii="宋体" w:hAnsi="宋体" w:cs="宋体"/>
          <w:b w:val="0"/>
          <w:bCs w:val="0"/>
          <w:sz w:val="21"/>
          <w:szCs w:val="21"/>
          <w:lang w:val="en-US" w:eastAsia="zh-CN"/>
        </w:rPr>
        <w:fldChar w:fldCharType="begin"/>
      </w:r>
      <w:r>
        <w:rPr>
          <w:rFonts w:hint="eastAsia" w:ascii="宋体" w:hAnsi="宋体" w:cs="宋体"/>
          <w:b w:val="0"/>
          <w:bCs w:val="0"/>
          <w:sz w:val="21"/>
          <w:szCs w:val="21"/>
          <w:lang w:val="en-US" w:eastAsia="zh-CN"/>
        </w:rPr>
        <w:instrText xml:space="preserve"> HYPERLINK "http://www.hnzwfw。gov.cn" </w:instrText>
      </w:r>
      <w:r>
        <w:rPr>
          <w:rFonts w:hint="eastAsia" w:ascii="宋体" w:hAnsi="宋体" w:cs="宋体"/>
          <w:b w:val="0"/>
          <w:bCs w:val="0"/>
          <w:sz w:val="21"/>
          <w:szCs w:val="21"/>
          <w:lang w:val="en-US" w:eastAsia="zh-CN"/>
        </w:rPr>
        <w:fldChar w:fldCharType="separate"/>
      </w:r>
      <w:r>
        <w:rPr>
          <w:rStyle w:val="10"/>
          <w:rFonts w:hint="eastAsia" w:ascii="宋体" w:hAnsi="宋体" w:cs="宋体"/>
          <w:b w:val="0"/>
          <w:bCs w:val="0"/>
          <w:sz w:val="21"/>
          <w:szCs w:val="21"/>
          <w:lang w:val="en-US" w:eastAsia="zh-CN"/>
        </w:rPr>
        <w:t>http://www.hnzwfw.gov.cn</w:t>
      </w:r>
      <w:r>
        <w:rPr>
          <w:rFonts w:hint="eastAsia" w:ascii="宋体" w:hAnsi="宋体" w:cs="宋体"/>
          <w:b w:val="0"/>
          <w:bCs w:val="0"/>
          <w:sz w:val="21"/>
          <w:szCs w:val="21"/>
          <w:lang w:val="en-US" w:eastAsia="zh-CN"/>
        </w:rPr>
        <w:fldChar w:fldCharType="end"/>
      </w:r>
    </w:p>
    <w:bookmarkEnd w:id="0"/>
    <w:p>
      <w:pPr>
        <w:tabs>
          <w:tab w:val="right" w:pos="8306"/>
        </w:tabs>
        <w:rPr>
          <w:rFonts w:ascii="仿宋_GB2312" w:hAnsi="仿宋_GB2312" w:eastAsia="仿宋_GB2312"/>
          <w:sz w:val="30"/>
          <w:szCs w:val="30"/>
        </w:rPr>
      </w:pPr>
    </w:p>
    <w:sectPr>
      <w:headerReference r:id="rId5" w:type="first"/>
      <w:footerReference r:id="rId7" w:type="first"/>
      <w:headerReference r:id="rId3" w:type="default"/>
      <w:headerReference r:id="rId4" w:type="even"/>
      <w:footerReference r:id="rId6" w:type="even"/>
      <w:pgSz w:w="11906" w:h="16838"/>
      <w:pgMar w:top="2098" w:right="1474" w:bottom="1984" w:left="1587" w:header="851" w:footer="992" w:gutter="0"/>
      <w:pgNumType w:fmt="decimal" w:start="56"/>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 w:name="文星标宋">
    <w:altName w:val="宋体"/>
    <w:panose1 w:val="00000000000000000000"/>
    <w:charset w:val="86"/>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黑体" w:hAnsi="黑体" w:eastAsia="黑体" w:cs="黑体"/>
        <w:b/>
        <w:bCs/>
        <w:sz w:val="21"/>
        <w:szCs w:val="21"/>
      </w:rPr>
    </w:pPr>
  </w:p>
  <w:p>
    <w:pPr>
      <w:pStyle w:val="5"/>
      <w:jc w:val="right"/>
      <w:rPr>
        <w:rFonts w:ascii="黑体" w:hAnsi="黑体" w:eastAsia="黑体" w:cs="黑体"/>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408EE"/>
    <w:multiLevelType w:val="singleLevel"/>
    <w:tmpl w:val="8BB408EE"/>
    <w:lvl w:ilvl="0" w:tentative="0">
      <w:start w:val="1"/>
      <w:numFmt w:val="chineseCounting"/>
      <w:suff w:val="nothing"/>
      <w:lvlText w:val="（%1）"/>
      <w:lvlJc w:val="left"/>
      <w:rPr>
        <w:rFonts w:hint="eastAsia"/>
      </w:rPr>
    </w:lvl>
  </w:abstractNum>
  <w:abstractNum w:abstractNumId="1">
    <w:nsid w:val="A20FB4B8"/>
    <w:multiLevelType w:val="singleLevel"/>
    <w:tmpl w:val="A20FB4B8"/>
    <w:lvl w:ilvl="0" w:tentative="0">
      <w:start w:val="1"/>
      <w:numFmt w:val="chineseCounting"/>
      <w:suff w:val="nothing"/>
      <w:lvlText w:val="（%1）"/>
      <w:lvlJc w:val="left"/>
      <w:rPr>
        <w:rFonts w:hint="eastAsia"/>
      </w:rPr>
    </w:lvl>
  </w:abstractNum>
  <w:abstractNum w:abstractNumId="2">
    <w:nsid w:val="FB2CE5E2"/>
    <w:multiLevelType w:val="singleLevel"/>
    <w:tmpl w:val="FB2CE5E2"/>
    <w:lvl w:ilvl="0" w:tentative="0">
      <w:start w:val="1"/>
      <w:numFmt w:val="chineseCounting"/>
      <w:suff w:val="nothing"/>
      <w:lvlText w:val="（%1）"/>
      <w:lvlJc w:val="left"/>
      <w:rPr>
        <w:rFonts w:hint="eastAsia"/>
      </w:rPr>
    </w:lvl>
  </w:abstractNum>
  <w:abstractNum w:abstractNumId="3">
    <w:nsid w:val="1B56132B"/>
    <w:multiLevelType w:val="singleLevel"/>
    <w:tmpl w:val="1B56132B"/>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7061E"/>
    <w:rsid w:val="003D48B2"/>
    <w:rsid w:val="003E5DC3"/>
    <w:rsid w:val="004B4879"/>
    <w:rsid w:val="00747337"/>
    <w:rsid w:val="008006D3"/>
    <w:rsid w:val="008835A4"/>
    <w:rsid w:val="00D11F0D"/>
    <w:rsid w:val="00D74C55"/>
    <w:rsid w:val="00F9307D"/>
    <w:rsid w:val="036614B6"/>
    <w:rsid w:val="04C138C7"/>
    <w:rsid w:val="05E95AAD"/>
    <w:rsid w:val="05F55763"/>
    <w:rsid w:val="06200626"/>
    <w:rsid w:val="067D61E5"/>
    <w:rsid w:val="079B0A21"/>
    <w:rsid w:val="084C5E62"/>
    <w:rsid w:val="0CF32B52"/>
    <w:rsid w:val="1AE320A1"/>
    <w:rsid w:val="1D126E60"/>
    <w:rsid w:val="23B31AED"/>
    <w:rsid w:val="24B13C6D"/>
    <w:rsid w:val="26483A76"/>
    <w:rsid w:val="2887214B"/>
    <w:rsid w:val="2B977730"/>
    <w:rsid w:val="2D992E27"/>
    <w:rsid w:val="2DE6460B"/>
    <w:rsid w:val="2E3329E6"/>
    <w:rsid w:val="30720B3F"/>
    <w:rsid w:val="31F324AB"/>
    <w:rsid w:val="34532E83"/>
    <w:rsid w:val="3B6B1440"/>
    <w:rsid w:val="3C791184"/>
    <w:rsid w:val="3DCB650A"/>
    <w:rsid w:val="445E037B"/>
    <w:rsid w:val="46063E0A"/>
    <w:rsid w:val="46E27551"/>
    <w:rsid w:val="47016E1C"/>
    <w:rsid w:val="499E058F"/>
    <w:rsid w:val="4C322823"/>
    <w:rsid w:val="4D27061E"/>
    <w:rsid w:val="4D822EF9"/>
    <w:rsid w:val="52CF2A17"/>
    <w:rsid w:val="530725F5"/>
    <w:rsid w:val="54047EB7"/>
    <w:rsid w:val="542803CC"/>
    <w:rsid w:val="54301691"/>
    <w:rsid w:val="55E05111"/>
    <w:rsid w:val="57452EBD"/>
    <w:rsid w:val="59294227"/>
    <w:rsid w:val="5AA70EF0"/>
    <w:rsid w:val="5B1E1AC1"/>
    <w:rsid w:val="5CEB245C"/>
    <w:rsid w:val="5E314F55"/>
    <w:rsid w:val="60AE4688"/>
    <w:rsid w:val="624469C5"/>
    <w:rsid w:val="653A2787"/>
    <w:rsid w:val="65776F96"/>
    <w:rsid w:val="6B8A6E14"/>
    <w:rsid w:val="6D887C8E"/>
    <w:rsid w:val="6DCE56E1"/>
    <w:rsid w:val="75142CAD"/>
    <w:rsid w:val="77A61214"/>
    <w:rsid w:val="78967263"/>
    <w:rsid w:val="7A327F33"/>
    <w:rsid w:val="7D367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ascii="Calibri" w:hAnsi="Calibri" w:eastAsia="宋体"/>
      <w:b/>
      <w:sz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rFonts w:ascii="Calibri" w:hAnsi="Calibri" w:eastAsia="宋体" w:cs="Times New Roman"/>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SWZG</Company>
  <Pages>13</Pages>
  <Words>576</Words>
  <Characters>3288</Characters>
  <Lines>27</Lines>
  <Paragraphs>7</Paragraphs>
  <TotalTime>5</TotalTime>
  <ScaleCrop>false</ScaleCrop>
  <LinksUpToDate>false</LinksUpToDate>
  <CharactersWithSpaces>3857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Administrator</dc:creator>
  <cp:lastModifiedBy>Administrator</cp:lastModifiedBy>
  <cp:lastPrinted>2018-12-21T08:42:00Z</cp:lastPrinted>
  <dcterms:modified xsi:type="dcterms:W3CDTF">2021-03-12T08:35:16Z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