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61" w:type="dxa"/>
        <w:jc w:val="lef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263"/>
        <w:gridCol w:w="4700"/>
        <w:gridCol w:w="3071"/>
        <w:gridCol w:w="27"/>
      </w:tblGrid>
      <w:tr>
        <w:trPr>
          <w:gridAfter w:val="1"/>
          <w:wAfter w:w="27" w:type="dxa"/>
          <w:trHeight w:val="624" w:hRule="atLeast"/>
          <w:jc w:val="left"/>
        </w:trPr>
        <w:tc>
          <w:tcPr>
            <w:tcW w:w="9034" w:type="dxa"/>
            <w:gridSpan w:val="3"/>
            <w:vMerge w:val="restart"/>
            <w:tcBorders>
              <w:top w:val="nil"/>
              <w:left w:val="nil"/>
              <w:bottom w:val="nil"/>
              <w:right w:val="nil"/>
            </w:tcBorders>
            <w:vAlign w:val="center"/>
          </w:tcPr>
          <w:p>
            <w:pPr>
              <w:widowControl/>
              <w:jc w:val="left"/>
              <w:rPr>
                <w:rFonts w:ascii="宋体" w:hAnsi="宋体" w:eastAsia="宋体" w:cs="宋体"/>
                <w:color w:val="auto"/>
                <w:kern w:val="0"/>
                <w:sz w:val="30"/>
                <w:szCs w:val="30"/>
              </w:rPr>
            </w:pPr>
            <w:r>
              <w:rPr>
                <w:rFonts w:hint="eastAsia" w:ascii="黑体" w:hAnsi="黑体" w:eastAsia="黑体" w:cs="黑体"/>
                <w:color w:val="auto"/>
                <w:kern w:val="0"/>
                <w:sz w:val="32"/>
                <w:szCs w:val="32"/>
              </w:rPr>
              <w:t>附件2</w:t>
            </w:r>
          </w:p>
        </w:tc>
      </w:tr>
      <w:tr>
        <w:trPr>
          <w:gridAfter w:val="1"/>
          <w:wAfter w:w="27" w:type="dxa"/>
          <w:trHeight w:val="312" w:hRule="atLeast"/>
          <w:jc w:val="left"/>
        </w:trPr>
        <w:tc>
          <w:tcPr>
            <w:tcW w:w="9034" w:type="dxa"/>
            <w:gridSpan w:val="3"/>
            <w:vMerge w:val="continue"/>
            <w:tcBorders>
              <w:top w:val="nil"/>
              <w:left w:val="nil"/>
              <w:bottom w:val="nil"/>
              <w:right w:val="nil"/>
            </w:tcBorders>
            <w:vAlign w:val="center"/>
          </w:tcPr>
          <w:p>
            <w:pPr>
              <w:widowControl/>
              <w:jc w:val="left"/>
              <w:rPr>
                <w:rFonts w:ascii="宋体" w:hAnsi="宋体" w:eastAsia="宋体" w:cs="宋体"/>
                <w:color w:val="auto"/>
                <w:kern w:val="0"/>
                <w:sz w:val="24"/>
                <w:szCs w:val="24"/>
              </w:rPr>
            </w:pPr>
          </w:p>
        </w:tc>
      </w:tr>
      <w:tr>
        <w:trPr>
          <w:gridAfter w:val="1"/>
          <w:wAfter w:w="27" w:type="dxa"/>
          <w:trHeight w:val="675" w:hRule="atLeast"/>
          <w:jc w:val="left"/>
        </w:trPr>
        <w:tc>
          <w:tcPr>
            <w:tcW w:w="9034" w:type="dxa"/>
            <w:gridSpan w:val="3"/>
            <w:tcBorders>
              <w:top w:val="nil"/>
              <w:left w:val="nil"/>
              <w:bottom w:val="nil"/>
              <w:right w:val="nil"/>
            </w:tcBorders>
            <w:vAlign w:val="center"/>
          </w:tcPr>
          <w:p>
            <w:pPr>
              <w:widowControl/>
              <w:jc w:val="center"/>
              <w:rPr>
                <w:rFonts w:ascii="创艺简标宋" w:hAnsi="宋体" w:eastAsia="创艺简标宋" w:cs="宋体"/>
                <w:color w:val="auto"/>
                <w:kern w:val="0"/>
                <w:sz w:val="44"/>
                <w:szCs w:val="44"/>
              </w:rPr>
            </w:pPr>
            <w:r>
              <w:rPr>
                <w:rFonts w:hint="eastAsia" w:ascii="方正小标宋简体" w:hAnsi="方正小标宋简体" w:eastAsia="方正小标宋简体" w:cs="方正小标宋简体"/>
                <w:color w:val="auto"/>
                <w:kern w:val="0"/>
                <w:sz w:val="44"/>
                <w:szCs w:val="44"/>
              </w:rPr>
              <w:t>部门行政职权事项目录汇总表</w:t>
            </w:r>
          </w:p>
        </w:tc>
      </w:tr>
      <w:tr>
        <w:trPr>
          <w:gridAfter w:val="1"/>
          <w:wAfter w:w="27" w:type="dxa"/>
          <w:trHeight w:val="540" w:hRule="atLeast"/>
          <w:jc w:val="left"/>
        </w:trPr>
        <w:tc>
          <w:tcPr>
            <w:tcW w:w="5963" w:type="dxa"/>
            <w:gridSpan w:val="2"/>
            <w:tcBorders>
              <w:top w:val="nil"/>
              <w:left w:val="nil"/>
              <w:bottom w:val="nil"/>
              <w:right w:val="nil"/>
            </w:tcBorders>
            <w:vAlign w:val="center"/>
          </w:tcPr>
          <w:p>
            <w:pPr>
              <w:widowControl/>
              <w:jc w:val="left"/>
              <w:rPr>
                <w:rFonts w:ascii="Courier New" w:hAnsi="Courier New" w:eastAsia="宋体" w:cs="宋体"/>
                <w:color w:val="auto"/>
                <w:kern w:val="0"/>
                <w:sz w:val="32"/>
                <w:szCs w:val="32"/>
              </w:rPr>
            </w:pPr>
            <w:r>
              <w:rPr>
                <w:rFonts w:ascii="Courier New" w:hAnsi="Courier New" w:eastAsia="宋体" w:cs="宋体"/>
                <w:color w:val="auto"/>
                <w:kern w:val="0"/>
                <w:sz w:val="32"/>
                <w:szCs w:val="32"/>
              </w:rPr>
              <w:t xml:space="preserve">  部门名称：     （公章）</w:t>
            </w:r>
          </w:p>
        </w:tc>
        <w:tc>
          <w:tcPr>
            <w:tcW w:w="3071" w:type="dxa"/>
            <w:tcBorders>
              <w:top w:val="nil"/>
              <w:left w:val="nil"/>
              <w:bottom w:val="nil"/>
              <w:right w:val="nil"/>
            </w:tcBorders>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xml:space="preserve">   </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Courier New" w:hAnsi="Courier New" w:eastAsia="宋体" w:cs="宋体"/>
                <w:b/>
                <w:bCs/>
                <w:color w:val="auto"/>
                <w:kern w:val="0"/>
                <w:sz w:val="32"/>
                <w:szCs w:val="32"/>
              </w:rPr>
            </w:pPr>
            <w:r>
              <w:rPr>
                <w:rFonts w:ascii="Courier New" w:hAnsi="Courier New" w:eastAsia="宋体" w:cs="宋体"/>
                <w:b/>
                <w:bCs/>
                <w:color w:val="auto"/>
                <w:kern w:val="0"/>
                <w:sz w:val="32"/>
                <w:szCs w:val="32"/>
              </w:rPr>
              <w:t>序号</w:t>
            </w:r>
          </w:p>
        </w:tc>
        <w:tc>
          <w:tcPr>
            <w:tcW w:w="4700" w:type="dxa"/>
            <w:tcBorders>
              <w:top w:val="single" w:color="auto" w:sz="4" w:space="0"/>
              <w:left w:val="nil"/>
              <w:bottom w:val="single" w:color="auto" w:sz="4" w:space="0"/>
              <w:right w:val="single" w:color="auto" w:sz="4" w:space="0"/>
            </w:tcBorders>
            <w:vAlign w:val="center"/>
          </w:tcPr>
          <w:p>
            <w:pPr>
              <w:widowControl/>
              <w:jc w:val="center"/>
              <w:rPr>
                <w:rFonts w:ascii="Courier New" w:hAnsi="Courier New" w:eastAsia="宋体" w:cs="宋体"/>
                <w:b/>
                <w:bCs/>
                <w:color w:val="auto"/>
                <w:kern w:val="0"/>
                <w:sz w:val="32"/>
                <w:szCs w:val="32"/>
              </w:rPr>
            </w:pPr>
            <w:r>
              <w:rPr>
                <w:rFonts w:hint="eastAsia" w:ascii="Courier New" w:hAnsi="Courier New" w:eastAsia="宋体" w:cs="宋体"/>
                <w:b/>
                <w:bCs/>
                <w:color w:val="auto"/>
                <w:kern w:val="0"/>
                <w:sz w:val="32"/>
                <w:szCs w:val="32"/>
              </w:rPr>
              <w:t>事项名称</w:t>
            </w:r>
          </w:p>
        </w:tc>
        <w:tc>
          <w:tcPr>
            <w:tcW w:w="3071" w:type="dxa"/>
            <w:tcBorders>
              <w:top w:val="single" w:color="auto" w:sz="4" w:space="0"/>
              <w:left w:val="nil"/>
              <w:bottom w:val="single" w:color="auto" w:sz="4" w:space="0"/>
              <w:right w:val="single" w:color="auto" w:sz="4" w:space="0"/>
            </w:tcBorders>
            <w:vAlign w:val="center"/>
          </w:tcPr>
          <w:p>
            <w:pPr>
              <w:widowControl/>
              <w:jc w:val="center"/>
              <w:rPr>
                <w:rFonts w:ascii="Courier New" w:hAnsi="Courier New" w:eastAsia="宋体" w:cs="宋体"/>
                <w:b/>
                <w:bCs/>
                <w:color w:val="auto"/>
                <w:kern w:val="0"/>
                <w:sz w:val="32"/>
                <w:szCs w:val="32"/>
              </w:rPr>
            </w:pPr>
            <w:r>
              <w:rPr>
                <w:rFonts w:hint="eastAsia" w:ascii="Courier New" w:hAnsi="Courier New" w:eastAsia="宋体" w:cs="宋体"/>
                <w:b/>
                <w:bCs/>
                <w:color w:val="auto"/>
                <w:kern w:val="0"/>
                <w:sz w:val="32"/>
                <w:szCs w:val="32"/>
              </w:rPr>
              <w:t>职权类别</w:t>
            </w:r>
          </w:p>
        </w:tc>
      </w:tr>
      <w:tr>
        <w:trPr>
          <w:gridAfter w:val="1"/>
          <w:wAfter w:w="27" w:type="dxa"/>
          <w:trHeight w:val="708"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rPr>
              <w:t>1</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《政府核准的投资项目目录（河南省）》确定的项目审核（核准）</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rPr>
              <w:t>　</w:t>
            </w:r>
            <w:r>
              <w:rPr>
                <w:rFonts w:hint="eastAsia" w:ascii="宋体" w:hAnsi="宋体" w:eastAsia="宋体" w:cs="宋体"/>
                <w:sz w:val="24"/>
                <w:szCs w:val="24"/>
                <w:lang w:eastAsia="zh-CN"/>
              </w:rPr>
              <w:t>行政许可</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1）企业投资的非跨县（市）的普通省道网项目（按照规划）、独立公铁桥隧项目、除跨省（区、市）高等级航道的千吨级及以上航电枢纽，集装箱专用码头项目，煤炭、矿石、油气专用泊位项目之外的内河航运项目核准</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（2）除在跨省（区、市）河流上建设的单站总装机容量50万千瓦及以上项目之外的水电站项目核准</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（3）非跨县（市）域水资源配置调整项目外的水利工程项目核准（市级权限内）</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（4）县级社会事业固定资产投资项目核准（不含豫政办〔2017〕56号 文件规定的社会事业领域“主题公园”和“旅游”项目）</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（5）集中并网风电项目核准</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（6）农林生物质热电项目核准</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（7）燃气热电、背压式燃煤热电项目核准</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2</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固定资产投资项目节能审查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行政许可</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3</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石油天然气管道受限制区域施工保护方案许可</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行政许可</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4</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石油天然气管道保护范围内特定施工作业许可</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行政许可</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5</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粮食收购资格认定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行政许可</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6</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对从事节能咨询、设计、评估、检测、审计、认证等服务的机构提供虚假信息的处罚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行政处罚</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7</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对无偿向本单位职工提供能源或者对能源消费实行包费制的处罚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行政处罚</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8</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对重点用能单位未按照规定报送能源利用状况报告或者报告内容不实的处罚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行政处罚</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9</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对节能管理制度不健全、节能措施不落实、能源利用效率低的重点用能单位拒不落实整改要求或者整改没有达到要求的处罚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行政处罚</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10</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对重点用能单位未按规定设立能源管理岗位，聘任能源管理负责人，并报管理节能工作部门和有关部门备案的处罚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行政处罚</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11</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对节能检验测试单位提供虚假检验测试证明的处罚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行政处罚</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12</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对被监察单位拒不提供相关资料、样品或者伪造、篡改、隐匿、销毁有关资料和样品的处罚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行政处罚</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rPr>
              <w:t>13</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以欺骗、贿赂等不正当手段取得粮食收购资格许可的处罚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行政处罚</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rPr>
              <w:t>14</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粮食收购者未执行国家粮食质量标准的；被售粮者举报未及时支付售粮款的；违反《粮食流通管理条例》规定代扣、代缴税、费和其他款项的；从事粮食收购、销售、储存、加工的粮食经营者以及饲料、工业用粮企业未建立粮食经营台账，或者未按照规定报送粮食基本数据和有关情况的；粮食经营者从事粮食购销活动未执行国家有关政策的处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行政处罚</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rPr>
              <w:t>15</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陈粮出库未进行质量鉴定的处罚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行政处罚</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16</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从事粮食收购、加工、销售的经营者的粮食库存低于（超出）规定的最低（最高）库存量的处罚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行政处罚</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17</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未按规定使用粮食仓储设施、运输工具的处罚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行政处罚</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18</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粮油仓储单位未在规定时间向粮食行政管理部门备案，或者备案内容弄虚作假的处罚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行政处罚</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19</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粮油仓储单位不具备规定条件的处罚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行政处罚</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20</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粮油仓储单位的名称不符合规定的处罚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行政处罚</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21</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粮油仓储单位违反有关粮油出入库、储存等管理规定的处罚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行政处罚</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22</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加处罚款</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行政强制</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23</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节能检查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rPr>
              <w:t>行政检查</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24</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节能监察</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rPr>
              <w:t>行政检查</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25</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以工代赈项目执行情况检查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rPr>
              <w:t>行政检查</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26</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粮食收购资格核查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rPr>
              <w:t>行政检查</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27</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涉案财物价格鉴定认证及价格鉴定复核裁定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rPr>
              <w:t>行政确认</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28</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涉纪检监察案件财物价格认定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rPr>
              <w:t>行政确认</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29</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涉税财物价格认定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rPr>
              <w:t>行政确认</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30</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价格行为合法性、价格水平合理性认证</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rPr>
              <w:t>行政确认</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31</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非跨县（市）的高速公路等经营性公路、桥梁建设项目法人确定</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rPr>
              <w:t>行政确认</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32</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城镇集中供热价格（政府定价项目）</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rPr>
              <w:t>行政确认</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33</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污水处理费标准（政府定价项目）</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rPr>
              <w:t>行政确认</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34</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高中学费收费标准（政府定价项目）</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rPr>
              <w:t>行政确认</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35</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政府投资项目审核（批）</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r>
              <w:rPr>
                <w:rFonts w:hint="eastAsia" w:ascii="宋体" w:hAnsi="宋体" w:eastAsia="宋体" w:cs="宋体"/>
                <w:sz w:val="24"/>
                <w:szCs w:val="24"/>
              </w:rPr>
              <w:t>　</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（1）农村饮水安全项目实施方案审批</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（2）政府采用直接投资或资本金注入方式投资建设的非跨县（市）的地方铁路、铁路专用线、高速公路、普通国省道、农村公路、千吨级以下内河航运、独立公铁桥隧项目审批</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（3）县级社会事业固定资产投资项目审批（不含豫政办〔2017〕56号 文件规定的社会事业领域“主题公园”和“旅游”项目）</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36</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企业投资项目备案</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r>
              <w:rPr>
                <w:rFonts w:hint="eastAsia" w:ascii="宋体" w:hAnsi="宋体" w:eastAsia="宋体" w:cs="宋体"/>
                <w:sz w:val="24"/>
                <w:szCs w:val="24"/>
              </w:rPr>
              <w:t>　</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（1）洗选厂项目备案</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（2）县级社会事业固定资产投资项目备案（不含豫政办〔</w:t>
            </w:r>
            <w:r>
              <w:rPr>
                <w:rFonts w:hint="eastAsia" w:ascii="宋体" w:hAnsi="宋体" w:eastAsia="宋体" w:cs="宋体"/>
                <w:sz w:val="24"/>
                <w:szCs w:val="24"/>
              </w:rPr>
              <w:t>2017</w:t>
            </w:r>
            <w:r>
              <w:rPr>
                <w:rFonts w:hint="eastAsia" w:ascii="宋体" w:hAnsi="宋体" w:eastAsia="宋体" w:cs="宋体"/>
                <w:sz w:val="24"/>
                <w:szCs w:val="24"/>
                <w:lang w:eastAsia="zh-CN"/>
              </w:rPr>
              <w:t>〕</w:t>
            </w:r>
            <w:r>
              <w:rPr>
                <w:rFonts w:hint="eastAsia" w:ascii="宋体" w:hAnsi="宋体" w:eastAsia="宋体" w:cs="宋体"/>
                <w:sz w:val="24"/>
                <w:szCs w:val="24"/>
              </w:rPr>
              <w:t>56</w:t>
            </w:r>
            <w:r>
              <w:rPr>
                <w:rFonts w:hint="eastAsia" w:ascii="宋体" w:hAnsi="宋体" w:eastAsia="宋体" w:cs="宋体"/>
                <w:sz w:val="24"/>
                <w:szCs w:val="24"/>
                <w:lang w:eastAsia="zh-CN"/>
              </w:rPr>
              <w:t>号 文件规定的社会事业领域“主题公园”和“旅游”项目）</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37</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农村电网改造升级中央预算内投资工程验收</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38</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列入国家定价目录、省市（县）定调价目录和行政事业性收费目录事项审批</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39</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价格行政调解</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rPr>
              <w:t>40</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农产品成本调查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41</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列入国家定价目录、省、市定（调）价目录和行政事业性单位收费事项成本监审</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42</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县域城镇污水、垃圾、供水等基础设施项目涉及中央预算内投资计划项目申报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43</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保障性住房项目涉及中央预算内投资计划项目申报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44</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使用省级政府投资补助和贴息资金的公路运输场站项目申报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45</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省级服务业发展引导资金项目申报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46</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省节能减排专项资金申报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47</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企业投资的国家级自然保护区、国家级风景名胜区、全国重点保护文物单位内限额在5000万元以上、世界自然和文化遗产保护区内限额在3000万元以上的建设项目核准申报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48</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高速公路、干线公路、国防战备公路、农村公路、公路运输场站、水运建设项目年度交通建设计划编制并申报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49</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非跨县（市）煤矿项目、可再生能源发电项目申报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50</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外商投资项目、国外贷款项目、限额以下内资项目进口设备免税申报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51</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利用国际金融组织贷款项目申报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686" w:hRule="exac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52</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创业投资企业备案</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53</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国家级及省级企业技术中心和工程研究中心申报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54</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污染治理和节能减碳中央预算内投资项目申报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55</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《外商投资产业指导目录》中有中方控股（含相对控股）要求的总投资（含增资）小于3亿美元的限制类项目核准的申报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rPr>
              <w:t>56</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国家发展改革委重点流域水环境综合治理专项中央预算内投资项目申报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57</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国家发展改革委黄河流域生态保护和高质量发展专项中央预算内投资项目申报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58</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省级核准的企业固定资产投资项目申请报告转送</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59</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地方企业债券发行申报（仅限用于固定资产投资项目的）</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其他职权</w:t>
            </w:r>
          </w:p>
        </w:tc>
      </w:tr>
      <w:tr>
        <w:trPr>
          <w:gridAfter w:val="1"/>
          <w:wAfter w:w="27" w:type="dxa"/>
          <w:trHeight w:val="736"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60</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基础产业项目中央预算内投资申报</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bookmarkStart w:id="0" w:name="_GoBack"/>
            <w:bookmarkEnd w:id="0"/>
            <w:r>
              <w:rPr>
                <w:rFonts w:hint="eastAsia" w:ascii="宋体" w:hAnsi="宋体" w:eastAsia="宋体" w:cs="宋体"/>
                <w:sz w:val="24"/>
                <w:szCs w:val="24"/>
                <w:lang w:eastAsia="zh-CN"/>
              </w:rPr>
              <w:t>其他职权</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61</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对在循环经济管理、科学技术研究、产品开发、示范和推广工作中做出显著成绩的单位和个人的表彰奖励</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行政奖励</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62</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对在粉煤灰综合利用工作中有突出贡献的产灰、用灰、运灰、设计、科研和管理等单位及个人按规定予以表彰和奖励</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行政奖励</w:t>
            </w:r>
          </w:p>
        </w:tc>
      </w:tr>
      <w:tr>
        <w:trPr>
          <w:gridAfter w:val="1"/>
          <w:wAfter w:w="27" w:type="dxa"/>
          <w:trHeight w:val="855" w:hRule="atLeast"/>
          <w:jc w:val="left"/>
        </w:trPr>
        <w:tc>
          <w:tcPr>
            <w:tcW w:w="1263"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cs="宋体"/>
                <w:b/>
                <w:bCs/>
                <w:color w:val="000000"/>
                <w:kern w:val="0"/>
                <w:sz w:val="24"/>
                <w:szCs w:val="24"/>
              </w:rPr>
            </w:pPr>
            <w:r>
              <w:rPr>
                <w:rFonts w:hint="eastAsia" w:ascii="宋体" w:hAnsi="宋体" w:eastAsia="宋体" w:cs="宋体"/>
                <w:color w:val="000000"/>
                <w:sz w:val="24"/>
                <w:szCs w:val="24"/>
                <w:lang w:eastAsia="zh-CN"/>
              </w:rPr>
              <w:t>63</w:t>
            </w:r>
          </w:p>
        </w:tc>
        <w:tc>
          <w:tcPr>
            <w:tcW w:w="4700" w:type="dxa"/>
            <w:tcBorders>
              <w:top w:val="single" w:color="auto" w:sz="4" w:space="0"/>
              <w:left w:val="nil"/>
              <w:bottom w:val="single" w:color="auto" w:sz="4" w:space="0"/>
              <w:right w:val="single" w:color="auto" w:sz="4" w:space="0"/>
            </w:tcBorders>
            <w:textDirection w:val="lrTb"/>
            <w:vAlign w:val="center"/>
          </w:tcPr>
          <w:p>
            <w:pPr>
              <w:rPr>
                <w:rFonts w:hint="eastAsia" w:ascii="宋体" w:hAnsi="宋体" w:eastAsia="宋体" w:cs="宋体"/>
                <w:b/>
                <w:bCs/>
                <w:color w:val="auto"/>
                <w:kern w:val="0"/>
                <w:sz w:val="24"/>
                <w:szCs w:val="24"/>
              </w:rPr>
            </w:pPr>
            <w:r>
              <w:rPr>
                <w:rFonts w:hint="eastAsia" w:ascii="宋体" w:hAnsi="宋体" w:eastAsia="宋体" w:cs="宋体"/>
                <w:sz w:val="24"/>
                <w:szCs w:val="24"/>
              </w:rPr>
              <w:t>对价格监测工作取得突出成绩的单位和个人给予表彰和奖励</w:t>
            </w:r>
          </w:p>
        </w:tc>
        <w:tc>
          <w:tcPr>
            <w:tcW w:w="3071" w:type="dxa"/>
            <w:tcBorders>
              <w:top w:val="single" w:color="auto" w:sz="4" w:space="0"/>
              <w:left w:val="nil"/>
              <w:bottom w:val="single" w:color="auto" w:sz="4" w:space="0"/>
              <w:right w:val="single" w:color="auto" w:sz="4" w:space="0"/>
            </w:tcBorders>
            <w:textDirection w:val="lrTb"/>
            <w:vAlign w:val="center"/>
          </w:tcPr>
          <w:p>
            <w:pPr>
              <w:jc w:val="center"/>
              <w:rPr>
                <w:rFonts w:hint="eastAsia" w:ascii="宋体" w:hAnsi="宋体" w:eastAsia="宋体" w:cs="宋体"/>
                <w:b/>
                <w:bCs/>
                <w:color w:val="auto"/>
                <w:kern w:val="0"/>
                <w:sz w:val="24"/>
                <w:szCs w:val="24"/>
              </w:rPr>
            </w:pPr>
            <w:r>
              <w:rPr>
                <w:rFonts w:hint="eastAsia" w:ascii="宋体" w:hAnsi="宋体" w:eastAsia="宋体" w:cs="宋体"/>
                <w:sz w:val="24"/>
                <w:szCs w:val="24"/>
                <w:lang w:eastAsia="zh-CN"/>
              </w:rPr>
              <w:t>行政奖励</w:t>
            </w:r>
          </w:p>
        </w:tc>
      </w:tr>
      <w:tr>
        <w:trPr>
          <w:trHeight w:val="690" w:hRule="atLeast"/>
          <w:jc w:val="left"/>
        </w:trPr>
        <w:tc>
          <w:tcPr>
            <w:tcW w:w="9061" w:type="dxa"/>
            <w:gridSpan w:val="4"/>
            <w:tcBorders>
              <w:top w:val="nil"/>
              <w:left w:val="single" w:color="auto" w:sz="4" w:space="0"/>
              <w:bottom w:val="single" w:color="auto" w:sz="4" w:space="0"/>
              <w:right w:val="single" w:color="auto" w:sz="4" w:space="0"/>
            </w:tcBorders>
            <w:vAlign w:val="center"/>
          </w:tcPr>
          <w:p>
            <w:pPr>
              <w:widowControl/>
              <w:jc w:val="left"/>
              <w:rPr>
                <w:rFonts w:ascii="黑体" w:hAnsi="黑体" w:eastAsia="黑体" w:cs="宋体"/>
                <w:color w:val="auto"/>
                <w:kern w:val="0"/>
                <w:sz w:val="24"/>
                <w:szCs w:val="24"/>
              </w:rPr>
            </w:pPr>
            <w:r>
              <w:rPr>
                <w:rFonts w:hint="eastAsia" w:ascii="黑体" w:hAnsi="黑体" w:eastAsia="黑体" w:cs="宋体"/>
                <w:color w:val="auto"/>
                <w:kern w:val="0"/>
                <w:sz w:val="24"/>
                <w:szCs w:val="24"/>
              </w:rPr>
              <w:t>（</w:t>
            </w:r>
            <w:r>
              <w:rPr>
                <w:rFonts w:hint="eastAsia" w:ascii="黑体" w:hAnsi="黑体" w:eastAsia="黑体" w:cs="宋体"/>
                <w:color w:val="auto"/>
                <w:kern w:val="0"/>
                <w:sz w:val="24"/>
                <w:szCs w:val="24"/>
                <w:lang w:eastAsia="zh-CN"/>
              </w:rPr>
              <w:t>发改委</w:t>
            </w:r>
            <w:r>
              <w:rPr>
                <w:rFonts w:hint="eastAsia" w:ascii="黑体" w:hAnsi="黑体" w:eastAsia="黑体" w:cs="宋体"/>
                <w:color w:val="auto"/>
                <w:kern w:val="0"/>
                <w:sz w:val="24"/>
                <w:szCs w:val="24"/>
              </w:rPr>
              <w:t>）行政职权</w:t>
            </w:r>
            <w:r>
              <w:rPr>
                <w:rFonts w:ascii="黑体" w:hAnsi="黑体" w:eastAsia="黑体" w:cs="宋体"/>
                <w:color w:val="auto"/>
                <w:kern w:val="0"/>
                <w:sz w:val="24"/>
                <w:szCs w:val="24"/>
              </w:rPr>
              <w:t>事项共</w:t>
            </w:r>
            <w:r>
              <w:rPr>
                <w:rFonts w:hint="eastAsia" w:ascii="黑体" w:hAnsi="黑体" w:eastAsia="黑体" w:cs="宋体"/>
                <w:color w:val="auto"/>
                <w:kern w:val="0"/>
                <w:sz w:val="24"/>
                <w:szCs w:val="24"/>
                <w:lang w:val="en-US" w:eastAsia="zh-CN"/>
              </w:rPr>
              <w:t>63</w:t>
            </w:r>
            <w:r>
              <w:rPr>
                <w:rFonts w:hint="eastAsia" w:ascii="黑体" w:hAnsi="黑体" w:eastAsia="黑体" w:cs="宋体"/>
                <w:color w:val="auto"/>
                <w:kern w:val="0"/>
                <w:sz w:val="24"/>
                <w:szCs w:val="24"/>
              </w:rPr>
              <w:t>项。</w:t>
            </w:r>
            <w:r>
              <w:rPr>
                <w:rFonts w:ascii="黑体" w:hAnsi="黑体" w:eastAsia="黑体" w:cs="宋体"/>
                <w:color w:val="auto"/>
                <w:kern w:val="0"/>
                <w:sz w:val="24"/>
                <w:szCs w:val="24"/>
              </w:rPr>
              <w:t>其中</w:t>
            </w:r>
            <w:r>
              <w:rPr>
                <w:rFonts w:hint="eastAsia" w:ascii="黑体" w:hAnsi="黑体" w:eastAsia="黑体" w:cs="宋体"/>
                <w:color w:val="auto"/>
                <w:kern w:val="0"/>
                <w:sz w:val="24"/>
                <w:szCs w:val="24"/>
              </w:rPr>
              <w:t>：行政</w:t>
            </w:r>
            <w:r>
              <w:rPr>
                <w:rFonts w:ascii="黑体" w:hAnsi="黑体" w:eastAsia="黑体" w:cs="宋体"/>
                <w:color w:val="auto"/>
                <w:kern w:val="0"/>
                <w:sz w:val="24"/>
                <w:szCs w:val="24"/>
              </w:rPr>
              <w:t>许可</w:t>
            </w:r>
            <w:r>
              <w:rPr>
                <w:rFonts w:hint="eastAsia" w:ascii="黑体" w:hAnsi="黑体" w:eastAsia="黑体" w:cs="宋体"/>
                <w:color w:val="auto"/>
                <w:kern w:val="0"/>
                <w:sz w:val="24"/>
                <w:szCs w:val="24"/>
                <w:lang w:val="en-US" w:eastAsia="zh-CN"/>
              </w:rPr>
              <w:t>5</w:t>
            </w:r>
            <w:r>
              <w:rPr>
                <w:rFonts w:hint="eastAsia" w:ascii="黑体" w:hAnsi="黑体" w:eastAsia="黑体" w:cs="宋体"/>
                <w:color w:val="auto"/>
                <w:kern w:val="0"/>
                <w:sz w:val="24"/>
                <w:szCs w:val="24"/>
              </w:rPr>
              <w:t>项；</w:t>
            </w:r>
            <w:r>
              <w:rPr>
                <w:rFonts w:ascii="黑体" w:hAnsi="黑体" w:eastAsia="黑体" w:cs="宋体"/>
                <w:color w:val="auto"/>
                <w:kern w:val="0"/>
                <w:sz w:val="24"/>
                <w:szCs w:val="24"/>
              </w:rPr>
              <w:t>行政处罚</w:t>
            </w:r>
            <w:r>
              <w:rPr>
                <w:rFonts w:hint="eastAsia" w:ascii="黑体" w:hAnsi="黑体" w:eastAsia="黑体" w:cs="宋体"/>
                <w:color w:val="auto"/>
                <w:kern w:val="0"/>
                <w:sz w:val="24"/>
                <w:szCs w:val="24"/>
                <w:lang w:val="en-US" w:eastAsia="zh-CN"/>
              </w:rPr>
              <w:t>16</w:t>
            </w:r>
            <w:r>
              <w:rPr>
                <w:rFonts w:hint="eastAsia" w:ascii="黑体" w:hAnsi="黑体" w:eastAsia="黑体" w:cs="宋体"/>
                <w:color w:val="auto"/>
                <w:kern w:val="0"/>
                <w:sz w:val="24"/>
                <w:szCs w:val="24"/>
              </w:rPr>
              <w:t>项</w:t>
            </w:r>
            <w:r>
              <w:rPr>
                <w:rFonts w:ascii="黑体" w:hAnsi="黑体" w:eastAsia="黑体" w:cs="宋体"/>
                <w:color w:val="auto"/>
                <w:kern w:val="0"/>
                <w:sz w:val="24"/>
                <w:szCs w:val="24"/>
              </w:rPr>
              <w:t>、行政强制</w:t>
            </w:r>
            <w:r>
              <w:rPr>
                <w:rFonts w:hint="eastAsia" w:ascii="黑体" w:hAnsi="黑体" w:eastAsia="黑体" w:cs="宋体"/>
                <w:color w:val="auto"/>
                <w:kern w:val="0"/>
                <w:sz w:val="24"/>
                <w:szCs w:val="24"/>
                <w:lang w:val="en-US" w:eastAsia="zh-CN"/>
              </w:rPr>
              <w:t>1</w:t>
            </w:r>
            <w:r>
              <w:rPr>
                <w:rFonts w:hint="eastAsia" w:ascii="黑体" w:hAnsi="黑体" w:eastAsia="黑体" w:cs="宋体"/>
                <w:color w:val="auto"/>
                <w:kern w:val="0"/>
                <w:sz w:val="24"/>
                <w:szCs w:val="24"/>
              </w:rPr>
              <w:t>项</w:t>
            </w:r>
            <w:r>
              <w:rPr>
                <w:rFonts w:ascii="黑体" w:hAnsi="黑体" w:eastAsia="黑体" w:cs="宋体"/>
                <w:color w:val="auto"/>
                <w:kern w:val="0"/>
                <w:sz w:val="24"/>
                <w:szCs w:val="24"/>
              </w:rPr>
              <w:t>、</w:t>
            </w:r>
            <w:r>
              <w:rPr>
                <w:rFonts w:hint="eastAsia" w:ascii="黑体" w:hAnsi="黑体" w:eastAsia="黑体" w:cs="宋体"/>
                <w:color w:val="auto"/>
                <w:kern w:val="0"/>
                <w:sz w:val="24"/>
                <w:szCs w:val="24"/>
              </w:rPr>
              <w:t>行政征收0项、行政给付0项、</w:t>
            </w:r>
            <w:r>
              <w:rPr>
                <w:rFonts w:ascii="黑体" w:hAnsi="黑体" w:eastAsia="黑体" w:cs="宋体"/>
                <w:color w:val="auto"/>
                <w:kern w:val="0"/>
                <w:sz w:val="24"/>
                <w:szCs w:val="24"/>
              </w:rPr>
              <w:t>行政检查</w:t>
            </w:r>
            <w:r>
              <w:rPr>
                <w:rFonts w:hint="eastAsia" w:ascii="黑体" w:hAnsi="黑体" w:eastAsia="黑体" w:cs="宋体"/>
                <w:color w:val="auto"/>
                <w:kern w:val="0"/>
                <w:sz w:val="24"/>
                <w:szCs w:val="24"/>
                <w:lang w:val="en-US" w:eastAsia="zh-CN"/>
              </w:rPr>
              <w:t>4</w:t>
            </w:r>
            <w:r>
              <w:rPr>
                <w:rFonts w:hint="eastAsia" w:ascii="黑体" w:hAnsi="黑体" w:eastAsia="黑体" w:cs="宋体"/>
                <w:color w:val="auto"/>
                <w:kern w:val="0"/>
                <w:sz w:val="24"/>
                <w:szCs w:val="24"/>
              </w:rPr>
              <w:t>项</w:t>
            </w:r>
            <w:r>
              <w:rPr>
                <w:rFonts w:ascii="黑体" w:hAnsi="黑体" w:eastAsia="黑体" w:cs="宋体"/>
                <w:color w:val="auto"/>
                <w:kern w:val="0"/>
                <w:sz w:val="24"/>
                <w:szCs w:val="24"/>
              </w:rPr>
              <w:t>、行政确认</w:t>
            </w:r>
            <w:r>
              <w:rPr>
                <w:rFonts w:hint="eastAsia" w:ascii="黑体" w:hAnsi="黑体" w:eastAsia="黑体" w:cs="宋体"/>
                <w:color w:val="auto"/>
                <w:kern w:val="0"/>
                <w:sz w:val="24"/>
                <w:szCs w:val="24"/>
                <w:lang w:val="en-US" w:eastAsia="zh-CN"/>
              </w:rPr>
              <w:t>8</w:t>
            </w:r>
            <w:r>
              <w:rPr>
                <w:rFonts w:hint="eastAsia" w:ascii="黑体" w:hAnsi="黑体" w:eastAsia="黑体" w:cs="宋体"/>
                <w:color w:val="auto"/>
                <w:kern w:val="0"/>
                <w:sz w:val="24"/>
                <w:szCs w:val="24"/>
              </w:rPr>
              <w:t>项</w:t>
            </w:r>
            <w:r>
              <w:rPr>
                <w:rFonts w:ascii="黑体" w:hAnsi="黑体" w:eastAsia="黑体" w:cs="宋体"/>
                <w:color w:val="auto"/>
                <w:kern w:val="0"/>
                <w:sz w:val="24"/>
                <w:szCs w:val="24"/>
              </w:rPr>
              <w:t>、其他职权</w:t>
            </w:r>
            <w:r>
              <w:rPr>
                <w:rFonts w:hint="eastAsia" w:ascii="黑体" w:hAnsi="黑体" w:eastAsia="黑体" w:cs="宋体"/>
                <w:color w:val="auto"/>
                <w:kern w:val="0"/>
                <w:sz w:val="24"/>
                <w:szCs w:val="24"/>
                <w:lang w:val="en-US" w:eastAsia="zh-CN"/>
              </w:rPr>
              <w:t>26</w:t>
            </w:r>
            <w:r>
              <w:rPr>
                <w:rFonts w:hint="eastAsia" w:ascii="黑体" w:hAnsi="黑体" w:eastAsia="黑体" w:cs="宋体"/>
                <w:color w:val="auto"/>
                <w:kern w:val="0"/>
                <w:sz w:val="24"/>
                <w:szCs w:val="24"/>
              </w:rPr>
              <w:t>项</w:t>
            </w:r>
            <w:r>
              <w:rPr>
                <w:rFonts w:hint="eastAsia" w:ascii="黑体" w:hAnsi="黑体" w:eastAsia="黑体" w:cs="宋体"/>
                <w:color w:val="auto"/>
                <w:kern w:val="0"/>
                <w:sz w:val="24"/>
                <w:szCs w:val="24"/>
                <w:lang w:eastAsia="zh-CN"/>
              </w:rPr>
              <w:t>、行政奖励</w:t>
            </w:r>
            <w:r>
              <w:rPr>
                <w:rFonts w:hint="eastAsia" w:ascii="黑体" w:hAnsi="黑体" w:eastAsia="黑体" w:cs="宋体"/>
                <w:color w:val="auto"/>
                <w:kern w:val="0"/>
                <w:sz w:val="24"/>
                <w:szCs w:val="24"/>
                <w:lang w:val="en-US" w:eastAsia="zh-CN"/>
              </w:rPr>
              <w:t>3项</w:t>
            </w:r>
            <w:r>
              <w:rPr>
                <w:rFonts w:hint="eastAsia" w:ascii="黑体" w:hAnsi="黑体" w:eastAsia="黑体" w:cs="宋体"/>
                <w:color w:val="auto"/>
                <w:kern w:val="0"/>
                <w:sz w:val="24"/>
                <w:szCs w:val="24"/>
              </w:rPr>
              <w:t>。</w:t>
            </w:r>
          </w:p>
        </w:tc>
      </w:tr>
      <w:tr>
        <w:trPr>
          <w:trHeight w:val="825" w:hRule="atLeast"/>
          <w:jc w:val="left"/>
        </w:trPr>
        <w:tc>
          <w:tcPr>
            <w:tcW w:w="9061" w:type="dxa"/>
            <w:gridSpan w:val="4"/>
            <w:tcBorders>
              <w:top w:val="single" w:color="auto" w:sz="4" w:space="0"/>
              <w:left w:val="nil"/>
              <w:bottom w:val="nil"/>
              <w:right w:val="nil"/>
            </w:tcBorders>
            <w:vAlign w:val="center"/>
          </w:tcPr>
          <w:p>
            <w:pPr>
              <w:widowControl/>
              <w:spacing w:line="400" w:lineRule="exact"/>
              <w:ind w:left="840" w:hanging="840" w:hangingChars="300"/>
              <w:jc w:val="left"/>
              <w:rPr>
                <w:rFonts w:ascii="Courier New" w:hAnsi="Courier New" w:eastAsia="宋体" w:cs="宋体"/>
                <w:color w:val="auto"/>
                <w:kern w:val="0"/>
                <w:sz w:val="28"/>
                <w:szCs w:val="28"/>
              </w:rPr>
            </w:pPr>
            <w:r>
              <w:rPr>
                <w:rFonts w:hint="eastAsia" w:ascii="Courier New" w:hAnsi="Courier New" w:eastAsia="宋体" w:cs="宋体"/>
                <w:color w:val="auto"/>
                <w:kern w:val="0"/>
                <w:sz w:val="28"/>
                <w:szCs w:val="28"/>
              </w:rPr>
              <w:t>说明</w:t>
            </w:r>
            <w:r>
              <w:rPr>
                <w:rFonts w:ascii="Courier New" w:hAnsi="Courier New" w:eastAsia="宋体" w:cs="宋体"/>
                <w:color w:val="auto"/>
                <w:kern w:val="0"/>
                <w:sz w:val="28"/>
                <w:szCs w:val="28"/>
              </w:rPr>
              <w:t>：各部门按照行政许可、行政处罚、行政强制、行政征收、行政给付、</w:t>
            </w:r>
          </w:p>
          <w:p>
            <w:pPr>
              <w:widowControl/>
              <w:spacing w:line="400" w:lineRule="exact"/>
              <w:ind w:left="838" w:leftChars="399"/>
              <w:jc w:val="left"/>
              <w:rPr>
                <w:rFonts w:ascii="Courier New" w:hAnsi="Courier New" w:eastAsia="宋体" w:cs="宋体"/>
                <w:color w:val="auto"/>
                <w:kern w:val="0"/>
                <w:sz w:val="28"/>
                <w:szCs w:val="28"/>
              </w:rPr>
            </w:pPr>
            <w:r>
              <w:rPr>
                <w:rFonts w:ascii="Courier New" w:hAnsi="Courier New" w:eastAsia="宋体" w:cs="宋体"/>
                <w:color w:val="auto"/>
                <w:kern w:val="0"/>
                <w:sz w:val="28"/>
                <w:szCs w:val="28"/>
              </w:rPr>
              <w:t>行政检查、行政确认、其他职权8个类别，按顺序分类汇总。</w:t>
            </w:r>
          </w:p>
        </w:tc>
      </w:tr>
    </w:tbl>
    <w:p/>
    <w:sectPr>
      <w:headerReference r:id="rId4" w:type="default"/>
      <w:footerReference r:id="rId5" w:type="default"/>
      <w:pgSz w:w="11906" w:h="16838"/>
      <w:pgMar w:top="2098" w:right="1474" w:bottom="1984" w:left="1587" w:header="851" w:footer="992" w:gutter="0"/>
      <w:paperSrc w:first="0" w:other="0"/>
      <w:pgNumType w:fmt="numberInDash"/>
      <w:cols w:space="720" w:num="1"/>
      <w:docGrid w:type="lines" w:linePitch="31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等线">
    <w:altName w:val="宋体"/>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创艺简标宋">
    <w:altName w:val="宋体"/>
    <w:panose1 w:val="00000000000000000000"/>
    <w:charset w:val="86"/>
    <w:family w:val="auto"/>
    <w:pitch w:val="default"/>
    <w:sig w:usb0="00000000" w:usb1="00000000" w:usb2="00000010" w:usb3="00000000" w:csb0="00040000" w:csb1="00000000"/>
  </w:font>
  <w:font w:name="等线 Light">
    <w:altName w:val="宋体"/>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Calibri">
    <w:panose1 w:val="020F0502020204030204"/>
    <w:charset w:val="00"/>
    <w:family w:val="auto"/>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等线" w:hAnsi="等线" w:eastAsia="等线" w:cs="黑体"/>
        <w:kern w:val="2"/>
        <w:sz w:val="18"/>
        <w:szCs w:val="22"/>
        <w:lang w:val="en-US" w:eastAsia="zh-CN" w:bidi="ar-SA"/>
      </w:rPr>
      <w:pict>
        <v:shape id="文本框1"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等线"/>
                    <w:sz w:val="1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t>- 1 -</w:t>
                </w:r>
                <w:r>
                  <w:rPr>
                    <w:rFonts w:hint="eastAsia" w:ascii="宋体" w:hAnsi="宋体" w:eastAsia="宋体" w:cs="宋体"/>
                    <w:sz w:val="28"/>
                    <w:szCs w:val="2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等线" w:hAnsi="等线" w:eastAsia="等线" w:cs="黑体"/>
      <w:kern w:val="2"/>
      <w:sz w:val="21"/>
      <w:szCs w:val="22"/>
      <w:lang w:val="en-US" w:eastAsia="zh-CN" w:bidi="ar-SA"/>
    </w:rPr>
  </w:style>
  <w:style w:type="paragraph" w:styleId="2">
    <w:name w:val="heading 4"/>
    <w:basedOn w:val="1"/>
    <w:next w:val="1"/>
    <w:pPr>
      <w:keepNext/>
      <w:keepLines/>
      <w:spacing w:before="280" w:beforeAutospacing="0" w:after="290" w:afterAutospacing="0" w:line="372" w:lineRule="auto"/>
      <w:outlineLvl w:val="3"/>
    </w:pPr>
    <w:rPr>
      <w:rFonts w:ascii="Arial" w:hAnsi="Arial" w:eastAsia="黑体"/>
      <w:b/>
      <w:sz w:val="28"/>
    </w:rPr>
  </w:style>
  <w:style w:type="character" w:default="1" w:styleId="5">
    <w:name w:val="Default Paragraph Font"/>
  </w:style>
  <w:style w:type="paragraph" w:styleId="3">
    <w:name w:val="footer"/>
    <w:basedOn w:val="1"/>
    <w:pPr>
      <w:tabs>
        <w:tab w:val="center" w:pos="4153"/>
        <w:tab w:val="right" w:pos="8306"/>
      </w:tabs>
      <w:snapToGrid w:val="0"/>
      <w:jc w:val="left"/>
    </w:pPr>
    <w:rPr>
      <w:sz w:val="18"/>
    </w:rPr>
  </w:style>
  <w:style w:type="paragraph" w:styleId="4">
    <w:name w:val="header"/>
    <w:basedOn w:val="1"/>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customStyle="1" w:styleId="6">
    <w:name w:val="page number"/>
    <w:basedOn w:val="5"/>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Company</Company>
  <Pages>1</Pages>
  <Words>39</Words>
  <Characters>228</Characters>
  <Lines>1</Lines>
  <Paragraphs>1</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2019-09-12T00:15:00Z</dcterms:created>
  <dc:creator>User</dc:creator>
  <cp:lastPrinted>2022-02-25T14:57:13Z</cp:lastPrinted>
  <dcterms:modified xsi:type="dcterms:W3CDTF">2022-02-25T14:58:36Z</dcterms:modified>
  <dc:title>User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