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9" w:tblpY="2178"/>
        <w:tblOverlap w:val="never"/>
        <w:tblW w:w="4916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2"/>
        <w:gridCol w:w="694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金栋彬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行政处罚种类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治超执法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行政处罚决定书文号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（2022）豫平叶交执罚字第01003号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违法事实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扬撒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主要证据材料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《中华人民共和国道路运输条例》第六十九条第五款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适用裁量标准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陈述申辩或听证情况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无陈述申辩或听证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法制审核情况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集体讨论情况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罚款并责令整改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处罚决定日期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2022-1-4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叶县交通运输执法局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36"/>
          <w:szCs w:val="36"/>
          <w:lang w:val="en-US" w:eastAsia="zh-CN" w:bidi="ar"/>
        </w:rPr>
        <w:t>不按规定维护和检测运输车辆</w:t>
      </w:r>
    </w:p>
    <w:bookmarkEnd w:id="0"/>
    <w:p/>
    <w:tbl>
      <w:tblPr>
        <w:tblStyle w:val="2"/>
        <w:tblW w:w="4936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4"/>
        <w:gridCol w:w="697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郑州汇泽货运有限公司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15EC5"/>
    <w:rsid w:val="6001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2022-05-12T01:58:00Z</dcterms:created>
  <dc:creator>Administrator</dc:creator>
  <cp:lastModifiedBy>Administrator</cp:lastModifiedBy>
  <dcterms:modified xsi:type="dcterms:W3CDTF">2022-05-12T02:00:20Z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40863ABFB4F84AAD8E3FFCCB81E7C12F</vt:lpwstr>
  </property>
</Properties>
</file>