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Toc63764864"/>
      <w:r>
        <w:rPr>
          <w:rFonts w:hint="eastAsia" w:ascii="宋体" w:hAnsi="宋体"/>
          <w:b/>
          <w:sz w:val="44"/>
          <w:szCs w:val="44"/>
        </w:rPr>
        <w:t>关于202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年县本级一般公共预算收入预算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情况的说明</w:t>
      </w:r>
      <w:bookmarkEnd w:id="0"/>
    </w:p>
    <w:p>
      <w:pPr>
        <w:spacing w:line="600" w:lineRule="exact"/>
        <w:ind w:firstLine="880" w:firstLineChars="200"/>
        <w:rPr>
          <w:rFonts w:hint="eastAsia" w:ascii="黑体" w:hAnsi="宋体" w:eastAsia="黑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年县本级一般公共预算收入总计为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9732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万元，其中：县本级收入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</w:t>
      </w:r>
      <w:r>
        <w:rPr>
          <w:rFonts w:hint="eastAsia" w:ascii="仿宋" w:hAnsi="仿宋" w:eastAsia="仿宋"/>
          <w:color w:val="000000"/>
          <w:sz w:val="32"/>
          <w:szCs w:val="32"/>
        </w:rPr>
        <w:t>万元，上级补助收入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208627</w:t>
      </w:r>
      <w:r>
        <w:rPr>
          <w:rFonts w:hint="eastAsia" w:ascii="仿宋" w:hAnsi="仿宋" w:eastAsia="仿宋"/>
          <w:color w:val="000000"/>
          <w:sz w:val="32"/>
          <w:szCs w:val="32"/>
        </w:rPr>
        <w:t>万元（返还性收入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5910</w:t>
      </w:r>
      <w:r>
        <w:rPr>
          <w:rFonts w:hint="eastAsia" w:ascii="仿宋" w:hAnsi="仿宋" w:eastAsia="仿宋"/>
          <w:color w:val="000000"/>
          <w:sz w:val="32"/>
          <w:szCs w:val="32"/>
        </w:rPr>
        <w:t>万元，一般性转移支付收入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200135</w:t>
      </w:r>
      <w:r>
        <w:rPr>
          <w:rFonts w:hint="eastAsia" w:ascii="仿宋" w:hAnsi="仿宋" w:eastAsia="仿宋"/>
          <w:color w:val="000000"/>
          <w:sz w:val="32"/>
          <w:szCs w:val="32"/>
        </w:rPr>
        <w:t>万元，专项转移支付收入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2582</w:t>
      </w:r>
      <w:r>
        <w:rPr>
          <w:rFonts w:hint="eastAsia" w:ascii="仿宋" w:hAnsi="仿宋" w:eastAsia="仿宋"/>
          <w:color w:val="000000"/>
          <w:sz w:val="32"/>
          <w:szCs w:val="32"/>
        </w:rPr>
        <w:t>万元），上年结余收入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调入资金114483万元。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一、县本级收入主要项目情况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县本级一般公共预算收入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；其中：税收收入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8%</w:t>
      </w:r>
      <w:r>
        <w:rPr>
          <w:rFonts w:hint="eastAsia" w:ascii="仿宋" w:hAnsi="仿宋" w:eastAsia="仿宋"/>
          <w:color w:val="000000"/>
          <w:sz w:val="32"/>
          <w:szCs w:val="32"/>
        </w:rPr>
        <w:t>；非税收入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。主要项目情况是：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35%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2.企业所得税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200%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3.资源税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7000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4.个人所得税1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,同比增长50%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5.城市维护建设税2400万元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6.房产税2500万元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，同上年持平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7.印花税1800万元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，同上年持平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8.城镇土地使用税6000万元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9.土地增值税4100万元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10.车船税2000万元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11.耕地占用税15000万元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12.契税8200万元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13.烟叶税600万元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14.环境保护税600万元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15.专项收入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16.行政事业性收费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8540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17.罚没收入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18.国有资源（资产）有偿使用收入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8460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19.捐赠收入1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20.政府住房基金收入80万元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21.其他收入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75%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二、上级补助收入项目情况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上级补助收入208627万元，其中：返还性收入5910万元，一般性转移支付收入200135万元，专项转移支付收入2582万元。主要项目情况是：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1．返还性收入5910万元，其中：所得税基数返还212万元，成品油税费改革税收返还1497万元，增值税税收返还734万元，消费税税收返还253万元，增值税五五分享税收返还3214万元。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一般性转移支付收入200135万元，其中：体制补助收入13236万元，均衡性转移支付58282万元，县级基本财力保障机制奖补资金收入21002万元，结算补助收入3594万元，产粮（油）大县奖励资金收入4376万元，重点生态功能区转移支付收入2474万元，固定数额补助收入18839万元，民族地区转移支付收入200万元，欠发达地区转移支付收入5420万元，公共安全共同财政事权转移支付收入1562万元，  教育共同财政事权转移支付收入22241万元，文化旅游体育与传媒共同财政事权转移支付收入887万元，社会保障和就业共同财政事权转移支付收入15307万元，医疗卫生共同财政事权转移支付收入9714万元，农林水共同财政事权转移支付收入21945万元，交通运输共同财政事权转移支付收入141万元，其他一般转移支付收入915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3．专项转移支付收入2582万元，其中：一般公共服务转移支付16万元，科学技术转移支付64万元，卫生健康转移支付212万元，农林水转移支付2290万元。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宋体" w:hAnsi="宋体"/>
          <w:b/>
          <w:sz w:val="44"/>
          <w:szCs w:val="44"/>
        </w:rPr>
      </w:pPr>
      <w:bookmarkStart w:id="1" w:name="_Toc63764865"/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spacing w:line="600" w:lineRule="exact"/>
        <w:ind w:left="3909" w:hanging="3909" w:hangingChars="88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年县本级一般公共预算支出预算</w:t>
      </w:r>
    </w:p>
    <w:p>
      <w:pPr>
        <w:spacing w:line="600" w:lineRule="exact"/>
        <w:ind w:left="3909" w:hanging="3909" w:hangingChars="88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情况的说明</w:t>
      </w:r>
      <w:bookmarkEnd w:id="1"/>
    </w:p>
    <w:p>
      <w:pPr>
        <w:spacing w:line="60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年县本级一般公共预算支出总计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32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万元，其中：县本级支出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83</w:t>
      </w:r>
      <w:r>
        <w:rPr>
          <w:rFonts w:hint="eastAsia" w:ascii="仿宋" w:hAnsi="仿宋" w:eastAsia="仿宋"/>
          <w:color w:val="000000"/>
          <w:sz w:val="32"/>
          <w:szCs w:val="32"/>
        </w:rPr>
        <w:t>万元(含线下地方政府一般债务还本支出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231</w:t>
      </w:r>
      <w:r>
        <w:rPr>
          <w:rFonts w:hint="eastAsia" w:ascii="仿宋" w:hAnsi="仿宋" w:eastAsia="仿宋"/>
          <w:color w:val="000000"/>
          <w:sz w:val="32"/>
          <w:szCs w:val="32"/>
        </w:rPr>
        <w:t>万元)，上解上级支出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7818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一、叶县支出主要项目情况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县本级一般公共预算支出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11683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其中：人员和公用经费等基本支出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118901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万元，占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；项目支出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292782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万元，占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。主要支出项目情况是：</w:t>
      </w: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50000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国防支出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2.公共安全支出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15280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3.教育支出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94721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4.科学技术支出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3827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5.文化旅游体育与传媒支出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9147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52833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9742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8.节能环保支出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7331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9.城乡社区支出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15366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10.农林水支出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86103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11.交通运输支出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10128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12.资源勘探工业信息等支出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13.商业服务业等支出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1487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14.自然资源海洋气象等支出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4469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15.住房保障支出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10340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16.粮食物资储备支出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2952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17.灾害防治及应急管理支出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3968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18.预备费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4000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19.其他支出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64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</w:p>
    <w:p>
      <w:pPr>
        <w:tabs>
          <w:tab w:val="right" w:pos="8730"/>
        </w:tabs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20.债务付息支出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5729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tabs>
          <w:tab w:val="right" w:pos="8730"/>
        </w:tabs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bookmarkStart w:id="2" w:name="_Toc63764871"/>
      <w:r>
        <w:rPr>
          <w:rFonts w:hint="eastAsia" w:ascii="黑体" w:hAnsi="黑体" w:eastAsia="黑体"/>
          <w:color w:val="000000"/>
          <w:sz w:val="32"/>
          <w:szCs w:val="32"/>
        </w:rPr>
        <w:t>二、上解上级支出项目情况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上解上级支出37818万元，其中：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体制上解 2045 万元，专项上解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35773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三、其他项目支出情况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上级专项转移支付安排支出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2582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spacing w:line="600" w:lineRule="exact"/>
        <w:ind w:firstLine="883" w:firstLineChars="200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年叶县</w:t>
      </w:r>
      <w:r>
        <w:rPr>
          <w:rFonts w:hint="eastAsia" w:ascii="宋体" w:hAnsi="宋体"/>
          <w:b/>
          <w:color w:val="000000"/>
          <w:sz w:val="44"/>
          <w:szCs w:val="44"/>
        </w:rPr>
        <w:t>财政转移支付安排</w:t>
      </w:r>
    </w:p>
    <w:p>
      <w:pPr>
        <w:spacing w:line="600" w:lineRule="exact"/>
        <w:ind w:firstLine="3092" w:firstLineChars="700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的情况说明</w:t>
      </w: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上级专项转移支付安排支出2582万元。其中：一般公共服务专项转移支付16万元，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科学技术专项转移支付64万元，</w:t>
      </w:r>
      <w:r>
        <w:rPr>
          <w:rFonts w:hint="eastAsia" w:ascii="仿宋" w:hAnsi="仿宋" w:eastAsia="仿宋"/>
          <w:color w:val="000000"/>
          <w:sz w:val="32"/>
          <w:szCs w:val="32"/>
        </w:rPr>
        <w:t>卫生健康专项转移支付212万元， 农林水专项转移支付2290万元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</w:t>
      </w:r>
    </w:p>
    <w:p>
      <w:pPr>
        <w:rPr>
          <w:rFonts w:hint="eastAsia" w:ascii="宋体" w:hAnsi="宋体"/>
          <w:b/>
          <w:spacing w:val="-6"/>
          <w:sz w:val="44"/>
          <w:szCs w:val="44"/>
        </w:rPr>
      </w:pPr>
      <w:r>
        <w:rPr>
          <w:rFonts w:hint="eastAsia" w:ascii="宋体" w:hAnsi="宋体"/>
          <w:b/>
          <w:spacing w:val="-6"/>
          <w:sz w:val="44"/>
          <w:szCs w:val="44"/>
        </w:rPr>
        <w:br w:type="page"/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</w:rPr>
      </w:pPr>
      <w:r>
        <w:rPr>
          <w:rFonts w:hint="eastAsia" w:ascii="宋体" w:hAnsi="宋体"/>
          <w:b/>
          <w:spacing w:val="-6"/>
          <w:sz w:val="44"/>
          <w:szCs w:val="44"/>
        </w:rPr>
        <w:t>关于202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pacing w:val="-6"/>
          <w:sz w:val="44"/>
          <w:szCs w:val="44"/>
        </w:rPr>
        <w:t>年</w:t>
      </w:r>
      <w:r>
        <w:rPr>
          <w:rFonts w:ascii="宋体" w:hAnsi="宋体"/>
          <w:b/>
          <w:spacing w:val="-6"/>
          <w:sz w:val="44"/>
          <w:szCs w:val="44"/>
        </w:rPr>
        <w:t>市</w:t>
      </w:r>
      <w:r>
        <w:rPr>
          <w:rFonts w:hint="eastAsia" w:ascii="宋体" w:hAnsi="宋体"/>
          <w:b/>
          <w:spacing w:val="-6"/>
          <w:sz w:val="44"/>
          <w:szCs w:val="44"/>
        </w:rPr>
        <w:t>本</w:t>
      </w:r>
      <w:r>
        <w:rPr>
          <w:rFonts w:ascii="宋体" w:hAnsi="宋体"/>
          <w:b/>
          <w:spacing w:val="-6"/>
          <w:sz w:val="44"/>
          <w:szCs w:val="44"/>
        </w:rPr>
        <w:t>级一般公共预算“三公”经费支出预算</w:t>
      </w:r>
      <w:r>
        <w:rPr>
          <w:rFonts w:hint="eastAsia" w:ascii="宋体" w:hAnsi="宋体"/>
          <w:b/>
          <w:spacing w:val="-6"/>
          <w:sz w:val="44"/>
          <w:szCs w:val="44"/>
        </w:rPr>
        <w:t>的说明</w:t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年县本级一般公共预算安排的“三公”经费预算支出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462</w:t>
      </w:r>
      <w:r>
        <w:rPr>
          <w:rFonts w:hint="eastAsia" w:ascii="仿宋" w:hAnsi="仿宋" w:eastAsia="仿宋"/>
          <w:color w:val="000000"/>
          <w:sz w:val="32"/>
          <w:szCs w:val="32"/>
        </w:rPr>
        <w:t>万元，比上年减少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708</w:t>
      </w:r>
      <w:r>
        <w:rPr>
          <w:rFonts w:hint="eastAsia" w:ascii="仿宋" w:hAnsi="仿宋" w:eastAsia="仿宋"/>
          <w:color w:val="000000"/>
          <w:sz w:val="32"/>
          <w:szCs w:val="32"/>
        </w:rPr>
        <w:t>万元，下降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60.51</w:t>
      </w:r>
      <w:r>
        <w:rPr>
          <w:rFonts w:hint="eastAsia" w:ascii="仿宋" w:hAnsi="仿宋" w:eastAsia="仿宋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一、因公出国（境）费预算0万元。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二、公务用车购置费0元，主要原因是严格执行八项规定精神，厉行节约，进一步压缩一般性支出。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三、公务用车运行维护费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449</w:t>
      </w:r>
      <w:r>
        <w:rPr>
          <w:rFonts w:hint="eastAsia" w:ascii="仿宋" w:hAnsi="仿宋" w:eastAsia="仿宋"/>
          <w:color w:val="000000"/>
          <w:sz w:val="32"/>
          <w:szCs w:val="32"/>
        </w:rPr>
        <w:t>万元，比上年减少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566</w:t>
      </w:r>
      <w:r>
        <w:rPr>
          <w:rFonts w:hint="eastAsia" w:ascii="仿宋" w:hAnsi="仿宋" w:eastAsia="仿宋"/>
          <w:color w:val="000000"/>
          <w:sz w:val="32"/>
          <w:szCs w:val="32"/>
        </w:rPr>
        <w:t>万元，下降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55.76</w:t>
      </w:r>
      <w:r>
        <w:rPr>
          <w:rFonts w:hint="eastAsia" w:ascii="仿宋" w:hAnsi="仿宋" w:eastAsia="仿宋"/>
          <w:color w:val="000000"/>
          <w:sz w:val="32"/>
          <w:szCs w:val="32"/>
        </w:rPr>
        <w:t>%，主要原因是严格执行八项规定精神，厉行节约，进一步压缩一般性支出。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四、公务接待费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万元，比上年减少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/>
          <w:color w:val="000000"/>
          <w:sz w:val="32"/>
          <w:szCs w:val="32"/>
        </w:rPr>
        <w:t>万元，下降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91.61</w:t>
      </w:r>
      <w:r>
        <w:rPr>
          <w:rFonts w:hint="eastAsia" w:ascii="仿宋" w:hAnsi="仿宋" w:eastAsia="仿宋"/>
          <w:color w:val="000000"/>
          <w:sz w:val="32"/>
          <w:szCs w:val="32"/>
        </w:rPr>
        <w:t>%，主要原因是严格执行八项规定精神，厉行节约，进一步压缩一般性支出。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年县本级政府性基金收入预算            情况的说明</w:t>
      </w:r>
      <w:bookmarkEnd w:id="2"/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年县本级政府性基金收入预算总计</w:t>
      </w:r>
      <w:r>
        <w:rPr>
          <w:rFonts w:hint="eastAsia" w:ascii="仿宋" w:hAnsi="仿宋" w:eastAsia="仿宋" w:cs="仿宋"/>
          <w:sz w:val="32"/>
          <w:szCs w:val="32"/>
        </w:rPr>
        <w:t>156598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万元，其中：县本级收入</w:t>
      </w:r>
      <w:r>
        <w:rPr>
          <w:rFonts w:hint="eastAsia" w:ascii="仿宋" w:hAnsi="仿宋" w:eastAsia="仿宋" w:cs="仿宋"/>
          <w:sz w:val="32"/>
          <w:szCs w:val="32"/>
        </w:rPr>
        <w:t>101000</w:t>
      </w:r>
      <w:r>
        <w:rPr>
          <w:rFonts w:hint="eastAsia" w:ascii="仿宋" w:hAnsi="仿宋" w:eastAsia="仿宋"/>
          <w:color w:val="000000"/>
          <w:sz w:val="32"/>
          <w:szCs w:val="32"/>
        </w:rPr>
        <w:t>万元，上级补助收入</w:t>
      </w:r>
      <w:r>
        <w:rPr>
          <w:rFonts w:hint="eastAsia" w:ascii="仿宋" w:hAnsi="仿宋" w:eastAsia="仿宋" w:cs="仿宋"/>
          <w:sz w:val="32"/>
          <w:szCs w:val="32"/>
        </w:rPr>
        <w:t>3797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一、县本级收入主要项目情况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县本级收入预算</w:t>
      </w:r>
      <w:r>
        <w:rPr>
          <w:rFonts w:hint="eastAsia" w:ascii="仿宋" w:hAnsi="仿宋" w:eastAsia="仿宋" w:cs="仿宋"/>
          <w:sz w:val="32"/>
          <w:szCs w:val="32"/>
        </w:rPr>
        <w:t>101000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万元，增长1%。主要项目安排情况是：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1．国有土地收益基金收入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1600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2．农业土地开发资金收入800万元；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3．国有土地使用权出让收入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93600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4．城市基础设施配套费收入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4400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5．污水处理费收入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600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二、上级补助收入项目情况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上级补助收入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3797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2830</w:t>
      </w:r>
      <w:r>
        <w:rPr>
          <w:rFonts w:hint="eastAsia" w:ascii="仿宋" w:hAnsi="仿宋" w:eastAsia="仿宋"/>
          <w:color w:val="000000"/>
          <w:sz w:val="32"/>
          <w:szCs w:val="32"/>
        </w:rPr>
        <w:t>万元，农林水支出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53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万元，其他支出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914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仿宋" w:hAnsi="仿宋" w:eastAsia="仿宋"/>
          <w:b/>
          <w:sz w:val="36"/>
          <w:szCs w:val="36"/>
        </w:rPr>
        <w:br w:type="page"/>
      </w:r>
      <w:bookmarkStart w:id="3" w:name="_Toc63764872"/>
      <w:r>
        <w:rPr>
          <w:rFonts w:hint="eastAsia" w:ascii="宋体" w:hAnsi="宋体"/>
          <w:b/>
          <w:sz w:val="44"/>
          <w:szCs w:val="44"/>
        </w:rPr>
        <w:t>关于202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年县本级政府性基金支出预算            情况的说明</w:t>
      </w:r>
      <w:bookmarkEnd w:id="3"/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2022年县本级政府性基金支出预算总计156598万元，其中：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本级支出150373万元，主要支出项目是：社会保障和就业支出9293万元；国有土地使用权出让收入安排的支出94222万元；国有土地收益基金收入安排的支出1600万元；农业土地开发资金安排的支出800万元；城市基础设施配套费收入安排的支出650万元；污水处理费安排的支出600万元；棚户区改造专项债券收入安排的支出8200万元；大中型水库库区基金安排的支出287万元；其他政府性基金及对应专项债务收入安排的支出25546万元；彩票公益金安排的支出1616万元；债务付息支出7559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转移性支出安排：地方政府专项债务还本支出6225万元。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  <w:lang w:val="zh-CN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</w:rPr>
      </w:pP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黑体" w:hAnsi="宋体" w:eastAsia="黑体"/>
          <w:spacing w:val="-6"/>
          <w:sz w:val="44"/>
          <w:szCs w:val="44"/>
        </w:rPr>
      </w:pPr>
      <w:bookmarkStart w:id="4" w:name="_Toc30512510"/>
      <w:r>
        <w:rPr>
          <w:rFonts w:hint="eastAsia" w:ascii="黑体" w:hAnsi="宋体" w:eastAsia="黑体"/>
          <w:spacing w:val="-6"/>
          <w:sz w:val="44"/>
          <w:szCs w:val="44"/>
        </w:rPr>
        <w:t>关于202</w:t>
      </w:r>
      <w:r>
        <w:rPr>
          <w:rFonts w:hint="eastAsia" w:ascii="黑体" w:hAnsi="宋体" w:eastAsia="黑体"/>
          <w:spacing w:val="-6"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/>
          <w:spacing w:val="-6"/>
          <w:sz w:val="44"/>
          <w:szCs w:val="44"/>
        </w:rPr>
        <w:t>年县本级国有资本经营收支预算       情况的说明</w:t>
      </w:r>
      <w:bookmarkEnd w:id="4"/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</w:rPr>
      </w:pPr>
    </w:p>
    <w:p>
      <w:pPr>
        <w:spacing w:line="580" w:lineRule="exact"/>
        <w:outlineLvl w:val="0"/>
        <w:rPr>
          <w:rFonts w:hint="eastAsia" w:ascii="仿宋" w:hAnsi="仿宋" w:eastAsia="仿宋"/>
          <w:color w:val="000000"/>
          <w:kern w:val="0"/>
          <w:sz w:val="32"/>
          <w:szCs w:val="3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年县本级</w:t>
      </w:r>
      <w:r>
        <w:rPr>
          <w:rFonts w:ascii="仿宋" w:hAnsi="仿宋" w:eastAsia="仿宋"/>
          <w:color w:val="000000"/>
          <w:sz w:val="32"/>
          <w:szCs w:val="32"/>
        </w:rPr>
        <w:t>国有资本经营收入</w:t>
      </w:r>
      <w:r>
        <w:rPr>
          <w:rFonts w:hint="eastAsia" w:ascii="仿宋" w:hAnsi="仿宋" w:eastAsia="仿宋"/>
          <w:color w:val="000000"/>
          <w:sz w:val="32"/>
          <w:szCs w:val="32"/>
        </w:rPr>
        <w:t>年初</w:t>
      </w:r>
      <w:r>
        <w:rPr>
          <w:rFonts w:ascii="仿宋" w:hAnsi="仿宋" w:eastAsia="仿宋"/>
          <w:color w:val="000000"/>
          <w:sz w:val="32"/>
          <w:szCs w:val="32"/>
        </w:rPr>
        <w:t>预算为</w:t>
      </w:r>
      <w:r>
        <w:rPr>
          <w:rFonts w:hint="eastAsia" w:ascii="仿宋" w:hAnsi="仿宋" w:eastAsia="仿宋"/>
          <w:color w:val="000000"/>
          <w:sz w:val="32"/>
          <w:szCs w:val="32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rPr>
          <w:rFonts w:hint="eastAsia" w:eastAsia="黑体"/>
          <w:color w:val="000000"/>
          <w:kern w:val="0"/>
          <w:sz w:val="32"/>
          <w:szCs w:val="30"/>
        </w:rPr>
      </w:pPr>
      <w:r>
        <w:rPr>
          <w:rFonts w:hint="eastAsia" w:eastAsia="黑体"/>
          <w:color w:val="000000"/>
          <w:kern w:val="0"/>
          <w:sz w:val="32"/>
          <w:szCs w:val="30"/>
        </w:rPr>
        <w:br w:type="page"/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</w:rPr>
      </w:pPr>
      <w:bookmarkStart w:id="5" w:name="_Toc30512520"/>
      <w:r>
        <w:rPr>
          <w:rFonts w:hint="eastAsia" w:ascii="宋体" w:hAnsi="宋体"/>
          <w:b/>
          <w:spacing w:val="-6"/>
          <w:sz w:val="44"/>
          <w:szCs w:val="44"/>
        </w:rPr>
        <w:t>关于202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pacing w:val="-6"/>
          <w:sz w:val="44"/>
          <w:szCs w:val="44"/>
        </w:rPr>
        <w:t>年县本级社会保险基金收支预算                   编制情况的说明</w:t>
      </w:r>
      <w:bookmarkEnd w:id="5"/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方正大标宋简体" w:hAnsi="宋体" w:eastAsia="方正大标宋简体"/>
          <w:spacing w:val="-6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根据《河南省财政厅 河南省人力资源和社会保障厅 河南省医疗保障局 国家税务总局河南省税务局关于编报社会保险基金202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年预算的通知》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(豫财社〔2020〕143号)</w:t>
      </w:r>
      <w:r>
        <w:rPr>
          <w:rFonts w:hint="eastAsia" w:ascii="仿宋" w:hAnsi="仿宋" w:eastAsia="仿宋"/>
          <w:color w:val="000000"/>
          <w:sz w:val="32"/>
          <w:szCs w:val="32"/>
        </w:rPr>
        <w:t>文件要求，我县财政、人社、医疗保障和税务部门及社保经办机构，按照收支平衡，留有结余的原则，认真编报202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年社会保险基金预算工作，现将编报情况汇报如下：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一、202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</w:rPr>
        <w:t>年社会保险基金预算的编制范围、级次、方法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社会保险基金预算分险种、按统筹地区分别编制。企业职工基本养老保险基金按照省级统筹编制，机关事业单位基本养老保险基金、城镇职工基本医疗保险（含生育保险）基金、城乡居民基本医疗保险基金、工伤保险基金、失业保险基金按照市级统筹编制；城乡居民基本养老保险基金按照县级统筹编制。</w:t>
      </w:r>
    </w:p>
    <w:p>
      <w:pPr>
        <w:spacing w:line="600" w:lineRule="exact"/>
        <w:ind w:firstLine="640" w:firstLineChars="200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二、全县社会保险基金预算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按照编制范围，我县需编制城乡居民养老保险基金预算，202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年全县城乡居民养老保险基金收入预算为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30338.58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个人缴费收入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5937.63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2.财政补贴收入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21341.85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3.利息收入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1296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4.委托投资收益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1707.1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转移收入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56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年全县城乡居民养老保险基金支出预算为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21344.58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基础养老金支出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19703.51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bookmarkStart w:id="6" w:name="_GoBack"/>
      <w:bookmarkEnd w:id="6"/>
      <w:r>
        <w:rPr>
          <w:rFonts w:hint="eastAsia" w:ascii="仿宋" w:hAnsi="仿宋" w:eastAsia="仿宋"/>
          <w:color w:val="000000"/>
          <w:sz w:val="32"/>
          <w:szCs w:val="32"/>
        </w:rPr>
        <w:t>.个人账户养老金支出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827.07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3.丧葬补助金支出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792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4.转移支出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年县本级预算绩效情况的说明</w:t>
      </w:r>
    </w:p>
    <w:p>
      <w:pPr>
        <w:spacing w:line="570" w:lineRule="exact"/>
        <w:ind w:firstLine="640" w:firstLineChars="200"/>
        <w:rPr>
          <w:rFonts w:hint="eastAsia" w:eastAsia="方正仿宋简体"/>
          <w:color w:val="000000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认真贯彻落实全面实施预算绩效管理的各项部署和要求，以绩效为导向调整优化支出结构，切实提高财政政策的精准度和有效性，提升财政资金的配置效率和使用效益。建立事前绩效评估机制，加强财政可承受能力评估，对不具备实施条件、存在财政风险隐患的政策和项目一律不得出台实施。加强绩效目标管理，科学设置绩效指标和指标值。扎实开展绩效目标运行监控，对发现的问题和管理漏洞，要及时采取措施予以纠正。全面开展绩效评价，加强绩效评价结果同政策调整、预算安排的有机结合，对支持方向与国家重大决策部署和部门主要职能相偏离、交叉重复的政策和项目予以调整，对低效无效项目进行压缩、调整或取消。统筹归并部门内部切块管理的项目，集中财力办大事。着力清理规范过高承诺、过度保障的支出政策，做到尽力而为、量力而行，确保财政可持续。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985" w:left="1588" w:header="851" w:footer="1418" w:gutter="0"/>
      <w:pgBorders w:offsetFrom="page"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gBorders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  <w:sz w:val="28"/>
        <w:szCs w:val="28"/>
      </w:rPr>
    </w:pP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</w:rPr>
      <w:t>10</w:t>
    </w:r>
    <w:r>
      <w:rPr>
        <w:rStyle w:val="19"/>
        <w:sz w:val="28"/>
        <w:szCs w:val="28"/>
      </w:rPr>
      <w:fldChar w:fldCharType="end"/>
    </w:r>
  </w:p>
  <w:p>
    <w:pPr>
      <w:pStyle w:val="10"/>
      <w:framePr w:wrap="around" w:vAnchor="text" w:hAnchor="margin" w:xAlign="right" w:y="1"/>
      <w:rPr>
        <w:rStyle w:val="19"/>
      </w:rPr>
    </w:pP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A09AF"/>
    <w:multiLevelType w:val="singleLevel"/>
    <w:tmpl w:val="EB9A09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ZDNhNmJkM2Y4OGJjZGRhM2I2YWZhZGEwOGNkNDQifQ=="/>
  </w:docVars>
  <w:rsids>
    <w:rsidRoot w:val="003010B7"/>
    <w:rsid w:val="00000AE5"/>
    <w:rsid w:val="0001152A"/>
    <w:rsid w:val="000119EA"/>
    <w:rsid w:val="00012DC9"/>
    <w:rsid w:val="00012EBB"/>
    <w:rsid w:val="000140D9"/>
    <w:rsid w:val="00016674"/>
    <w:rsid w:val="00017A75"/>
    <w:rsid w:val="00023301"/>
    <w:rsid w:val="00023849"/>
    <w:rsid w:val="00024EE1"/>
    <w:rsid w:val="00024F03"/>
    <w:rsid w:val="0002651E"/>
    <w:rsid w:val="00033F1B"/>
    <w:rsid w:val="00035AFC"/>
    <w:rsid w:val="00037652"/>
    <w:rsid w:val="00040DE9"/>
    <w:rsid w:val="00041B79"/>
    <w:rsid w:val="00044CA4"/>
    <w:rsid w:val="00047C87"/>
    <w:rsid w:val="000510EA"/>
    <w:rsid w:val="0005605F"/>
    <w:rsid w:val="00060B25"/>
    <w:rsid w:val="00062327"/>
    <w:rsid w:val="00063F7D"/>
    <w:rsid w:val="00066C0B"/>
    <w:rsid w:val="000677D9"/>
    <w:rsid w:val="00067F39"/>
    <w:rsid w:val="00070176"/>
    <w:rsid w:val="00070596"/>
    <w:rsid w:val="00070962"/>
    <w:rsid w:val="00074217"/>
    <w:rsid w:val="00074D7A"/>
    <w:rsid w:val="00075420"/>
    <w:rsid w:val="0007664A"/>
    <w:rsid w:val="00080AD6"/>
    <w:rsid w:val="00084FE4"/>
    <w:rsid w:val="00085538"/>
    <w:rsid w:val="00085FF1"/>
    <w:rsid w:val="0009366E"/>
    <w:rsid w:val="00094576"/>
    <w:rsid w:val="00094795"/>
    <w:rsid w:val="00094C96"/>
    <w:rsid w:val="00095575"/>
    <w:rsid w:val="00097241"/>
    <w:rsid w:val="00097CDC"/>
    <w:rsid w:val="000B2464"/>
    <w:rsid w:val="000B58BA"/>
    <w:rsid w:val="000B5FE3"/>
    <w:rsid w:val="000C6432"/>
    <w:rsid w:val="000D0292"/>
    <w:rsid w:val="000E2616"/>
    <w:rsid w:val="000E45D0"/>
    <w:rsid w:val="000F65E7"/>
    <w:rsid w:val="000F6EEE"/>
    <w:rsid w:val="00105678"/>
    <w:rsid w:val="001066AB"/>
    <w:rsid w:val="00106D0A"/>
    <w:rsid w:val="0011034E"/>
    <w:rsid w:val="001109B3"/>
    <w:rsid w:val="00113D43"/>
    <w:rsid w:val="001141EA"/>
    <w:rsid w:val="00114BEB"/>
    <w:rsid w:val="00121290"/>
    <w:rsid w:val="00126FF8"/>
    <w:rsid w:val="001274F1"/>
    <w:rsid w:val="00127DB6"/>
    <w:rsid w:val="001327AD"/>
    <w:rsid w:val="00136678"/>
    <w:rsid w:val="00137FF9"/>
    <w:rsid w:val="001411E9"/>
    <w:rsid w:val="0014501E"/>
    <w:rsid w:val="00154DF9"/>
    <w:rsid w:val="00160D77"/>
    <w:rsid w:val="0016167F"/>
    <w:rsid w:val="001639D4"/>
    <w:rsid w:val="00170E22"/>
    <w:rsid w:val="00171298"/>
    <w:rsid w:val="00171E7F"/>
    <w:rsid w:val="00174D8C"/>
    <w:rsid w:val="00177012"/>
    <w:rsid w:val="0018027B"/>
    <w:rsid w:val="00180340"/>
    <w:rsid w:val="001848DF"/>
    <w:rsid w:val="0018520E"/>
    <w:rsid w:val="00191EFC"/>
    <w:rsid w:val="00192205"/>
    <w:rsid w:val="00192DDE"/>
    <w:rsid w:val="001957D2"/>
    <w:rsid w:val="00197D9A"/>
    <w:rsid w:val="001A0E64"/>
    <w:rsid w:val="001A26F0"/>
    <w:rsid w:val="001B1A95"/>
    <w:rsid w:val="001B1B0E"/>
    <w:rsid w:val="001C2321"/>
    <w:rsid w:val="001C4866"/>
    <w:rsid w:val="001D2195"/>
    <w:rsid w:val="001E1E99"/>
    <w:rsid w:val="001E214C"/>
    <w:rsid w:val="001E24AC"/>
    <w:rsid w:val="001F127A"/>
    <w:rsid w:val="001F2D1A"/>
    <w:rsid w:val="001F5549"/>
    <w:rsid w:val="001F6258"/>
    <w:rsid w:val="00205227"/>
    <w:rsid w:val="0020617E"/>
    <w:rsid w:val="00207429"/>
    <w:rsid w:val="00213F4E"/>
    <w:rsid w:val="002144FF"/>
    <w:rsid w:val="00214DB4"/>
    <w:rsid w:val="0021717D"/>
    <w:rsid w:val="00217C6F"/>
    <w:rsid w:val="002204B2"/>
    <w:rsid w:val="00220AFE"/>
    <w:rsid w:val="00221FFB"/>
    <w:rsid w:val="00222AA1"/>
    <w:rsid w:val="00226066"/>
    <w:rsid w:val="002326FE"/>
    <w:rsid w:val="00234812"/>
    <w:rsid w:val="00240190"/>
    <w:rsid w:val="002402E9"/>
    <w:rsid w:val="00242FA6"/>
    <w:rsid w:val="002434D7"/>
    <w:rsid w:val="00244E22"/>
    <w:rsid w:val="00245B70"/>
    <w:rsid w:val="00246CEE"/>
    <w:rsid w:val="00253FB4"/>
    <w:rsid w:val="00254688"/>
    <w:rsid w:val="00255D5F"/>
    <w:rsid w:val="00263338"/>
    <w:rsid w:val="00265531"/>
    <w:rsid w:val="00265A70"/>
    <w:rsid w:val="00271F54"/>
    <w:rsid w:val="00275BA1"/>
    <w:rsid w:val="00275D10"/>
    <w:rsid w:val="00282096"/>
    <w:rsid w:val="0028242A"/>
    <w:rsid w:val="00282A39"/>
    <w:rsid w:val="00282E27"/>
    <w:rsid w:val="00285696"/>
    <w:rsid w:val="00286141"/>
    <w:rsid w:val="0029082E"/>
    <w:rsid w:val="00290D8B"/>
    <w:rsid w:val="00290DAD"/>
    <w:rsid w:val="0029280F"/>
    <w:rsid w:val="002963EF"/>
    <w:rsid w:val="002A02F1"/>
    <w:rsid w:val="002A0FA8"/>
    <w:rsid w:val="002B2A23"/>
    <w:rsid w:val="002B796A"/>
    <w:rsid w:val="002B7BC7"/>
    <w:rsid w:val="002B7BF9"/>
    <w:rsid w:val="002C4B0A"/>
    <w:rsid w:val="002C50F1"/>
    <w:rsid w:val="002D1620"/>
    <w:rsid w:val="002D4844"/>
    <w:rsid w:val="002D4A5C"/>
    <w:rsid w:val="002D562C"/>
    <w:rsid w:val="002D5941"/>
    <w:rsid w:val="002D6A7F"/>
    <w:rsid w:val="002D7A85"/>
    <w:rsid w:val="002E0070"/>
    <w:rsid w:val="002E03EF"/>
    <w:rsid w:val="002E0AA7"/>
    <w:rsid w:val="002E0E34"/>
    <w:rsid w:val="002E5F20"/>
    <w:rsid w:val="002F30D2"/>
    <w:rsid w:val="00300CA8"/>
    <w:rsid w:val="003010B7"/>
    <w:rsid w:val="0030226A"/>
    <w:rsid w:val="003041C3"/>
    <w:rsid w:val="003068A3"/>
    <w:rsid w:val="00307A80"/>
    <w:rsid w:val="003102DA"/>
    <w:rsid w:val="003107E1"/>
    <w:rsid w:val="00310AEE"/>
    <w:rsid w:val="003112F2"/>
    <w:rsid w:val="0032281C"/>
    <w:rsid w:val="0032640C"/>
    <w:rsid w:val="00326F58"/>
    <w:rsid w:val="003300B9"/>
    <w:rsid w:val="003319B1"/>
    <w:rsid w:val="00336400"/>
    <w:rsid w:val="00341158"/>
    <w:rsid w:val="00342731"/>
    <w:rsid w:val="003427C4"/>
    <w:rsid w:val="00345B0B"/>
    <w:rsid w:val="00351A97"/>
    <w:rsid w:val="00355DFE"/>
    <w:rsid w:val="00355F76"/>
    <w:rsid w:val="00362739"/>
    <w:rsid w:val="00363921"/>
    <w:rsid w:val="003652D9"/>
    <w:rsid w:val="00366C1F"/>
    <w:rsid w:val="00367EA0"/>
    <w:rsid w:val="00372BD0"/>
    <w:rsid w:val="00372D37"/>
    <w:rsid w:val="00374B66"/>
    <w:rsid w:val="003759D5"/>
    <w:rsid w:val="003834F3"/>
    <w:rsid w:val="003840B8"/>
    <w:rsid w:val="003852EC"/>
    <w:rsid w:val="00387437"/>
    <w:rsid w:val="00387D61"/>
    <w:rsid w:val="00393E19"/>
    <w:rsid w:val="00394E26"/>
    <w:rsid w:val="003A3040"/>
    <w:rsid w:val="003A334E"/>
    <w:rsid w:val="003A4B48"/>
    <w:rsid w:val="003A563A"/>
    <w:rsid w:val="003C1131"/>
    <w:rsid w:val="003C2DFA"/>
    <w:rsid w:val="003C5890"/>
    <w:rsid w:val="003D0DDA"/>
    <w:rsid w:val="003E0AC0"/>
    <w:rsid w:val="003F18B6"/>
    <w:rsid w:val="003F420A"/>
    <w:rsid w:val="003F4704"/>
    <w:rsid w:val="003F655B"/>
    <w:rsid w:val="004068F0"/>
    <w:rsid w:val="004151EF"/>
    <w:rsid w:val="0041727D"/>
    <w:rsid w:val="00427B53"/>
    <w:rsid w:val="004303AC"/>
    <w:rsid w:val="00434A91"/>
    <w:rsid w:val="00435E2C"/>
    <w:rsid w:val="00443309"/>
    <w:rsid w:val="00444074"/>
    <w:rsid w:val="00445815"/>
    <w:rsid w:val="004460C1"/>
    <w:rsid w:val="00446D02"/>
    <w:rsid w:val="00446D5B"/>
    <w:rsid w:val="00451775"/>
    <w:rsid w:val="004558E9"/>
    <w:rsid w:val="004564CA"/>
    <w:rsid w:val="00460A76"/>
    <w:rsid w:val="00461DDF"/>
    <w:rsid w:val="00462F75"/>
    <w:rsid w:val="00465E22"/>
    <w:rsid w:val="00466A36"/>
    <w:rsid w:val="00471905"/>
    <w:rsid w:val="004739B2"/>
    <w:rsid w:val="00475429"/>
    <w:rsid w:val="004852C7"/>
    <w:rsid w:val="0048537D"/>
    <w:rsid w:val="00487603"/>
    <w:rsid w:val="00492E6A"/>
    <w:rsid w:val="004A1F03"/>
    <w:rsid w:val="004A5044"/>
    <w:rsid w:val="004A6935"/>
    <w:rsid w:val="004B312C"/>
    <w:rsid w:val="004B388F"/>
    <w:rsid w:val="004B3E4A"/>
    <w:rsid w:val="004B441A"/>
    <w:rsid w:val="004B5780"/>
    <w:rsid w:val="004B5C03"/>
    <w:rsid w:val="004B6F34"/>
    <w:rsid w:val="004C0F46"/>
    <w:rsid w:val="004C2D93"/>
    <w:rsid w:val="004D059C"/>
    <w:rsid w:val="004D3E27"/>
    <w:rsid w:val="004D780F"/>
    <w:rsid w:val="004E01C3"/>
    <w:rsid w:val="004E1B45"/>
    <w:rsid w:val="004E311F"/>
    <w:rsid w:val="004E6132"/>
    <w:rsid w:val="004E7723"/>
    <w:rsid w:val="004E7FBF"/>
    <w:rsid w:val="004F3064"/>
    <w:rsid w:val="00501EF5"/>
    <w:rsid w:val="00503AEF"/>
    <w:rsid w:val="00503E3D"/>
    <w:rsid w:val="005110DC"/>
    <w:rsid w:val="00511809"/>
    <w:rsid w:val="005220E6"/>
    <w:rsid w:val="0052686D"/>
    <w:rsid w:val="0053209B"/>
    <w:rsid w:val="005347A5"/>
    <w:rsid w:val="00534AB6"/>
    <w:rsid w:val="00535BE4"/>
    <w:rsid w:val="00536DC7"/>
    <w:rsid w:val="005407E4"/>
    <w:rsid w:val="00541FE1"/>
    <w:rsid w:val="00543A99"/>
    <w:rsid w:val="00545A74"/>
    <w:rsid w:val="005460C4"/>
    <w:rsid w:val="00551D12"/>
    <w:rsid w:val="00553BE7"/>
    <w:rsid w:val="00554F16"/>
    <w:rsid w:val="005620FB"/>
    <w:rsid w:val="005675BE"/>
    <w:rsid w:val="005767C6"/>
    <w:rsid w:val="00576EC5"/>
    <w:rsid w:val="00580D88"/>
    <w:rsid w:val="005825E8"/>
    <w:rsid w:val="0058339F"/>
    <w:rsid w:val="00585D50"/>
    <w:rsid w:val="0059371E"/>
    <w:rsid w:val="00594136"/>
    <w:rsid w:val="00597490"/>
    <w:rsid w:val="005A15D4"/>
    <w:rsid w:val="005A1D60"/>
    <w:rsid w:val="005C1E4C"/>
    <w:rsid w:val="005C6B50"/>
    <w:rsid w:val="005C71CE"/>
    <w:rsid w:val="005D28EC"/>
    <w:rsid w:val="005D490C"/>
    <w:rsid w:val="005D4F7F"/>
    <w:rsid w:val="005E0DDD"/>
    <w:rsid w:val="005E3925"/>
    <w:rsid w:val="005F0435"/>
    <w:rsid w:val="005F68A1"/>
    <w:rsid w:val="005F7B7A"/>
    <w:rsid w:val="006031DC"/>
    <w:rsid w:val="0060377F"/>
    <w:rsid w:val="00606BA9"/>
    <w:rsid w:val="0060730F"/>
    <w:rsid w:val="00610A2A"/>
    <w:rsid w:val="00610ED2"/>
    <w:rsid w:val="00613C67"/>
    <w:rsid w:val="0062083D"/>
    <w:rsid w:val="006217D3"/>
    <w:rsid w:val="006244BE"/>
    <w:rsid w:val="00624538"/>
    <w:rsid w:val="00626CBA"/>
    <w:rsid w:val="0063081C"/>
    <w:rsid w:val="00640B55"/>
    <w:rsid w:val="00643D23"/>
    <w:rsid w:val="00643EC1"/>
    <w:rsid w:val="00644BD4"/>
    <w:rsid w:val="006459B9"/>
    <w:rsid w:val="0064737D"/>
    <w:rsid w:val="00666019"/>
    <w:rsid w:val="00672003"/>
    <w:rsid w:val="00675A3E"/>
    <w:rsid w:val="00676129"/>
    <w:rsid w:val="006818A2"/>
    <w:rsid w:val="006835BF"/>
    <w:rsid w:val="00683E41"/>
    <w:rsid w:val="00687EBE"/>
    <w:rsid w:val="00693AAF"/>
    <w:rsid w:val="00695128"/>
    <w:rsid w:val="00695E24"/>
    <w:rsid w:val="006A02AA"/>
    <w:rsid w:val="006A3674"/>
    <w:rsid w:val="006A41B5"/>
    <w:rsid w:val="006A69D9"/>
    <w:rsid w:val="006A7E31"/>
    <w:rsid w:val="006C0C40"/>
    <w:rsid w:val="006C1389"/>
    <w:rsid w:val="006C15D1"/>
    <w:rsid w:val="006C2971"/>
    <w:rsid w:val="006D3BB3"/>
    <w:rsid w:val="006D5FEE"/>
    <w:rsid w:val="006E51CD"/>
    <w:rsid w:val="006F0381"/>
    <w:rsid w:val="006F5C2A"/>
    <w:rsid w:val="006F693B"/>
    <w:rsid w:val="0070040D"/>
    <w:rsid w:val="0070389B"/>
    <w:rsid w:val="00706A24"/>
    <w:rsid w:val="007172CB"/>
    <w:rsid w:val="00724003"/>
    <w:rsid w:val="007253F4"/>
    <w:rsid w:val="00727FA6"/>
    <w:rsid w:val="00732B47"/>
    <w:rsid w:val="00737DBC"/>
    <w:rsid w:val="007433D6"/>
    <w:rsid w:val="00746C3E"/>
    <w:rsid w:val="00754972"/>
    <w:rsid w:val="00755DDE"/>
    <w:rsid w:val="007564B9"/>
    <w:rsid w:val="00757386"/>
    <w:rsid w:val="007621F2"/>
    <w:rsid w:val="007677D7"/>
    <w:rsid w:val="00767A13"/>
    <w:rsid w:val="00767EDC"/>
    <w:rsid w:val="00772B3D"/>
    <w:rsid w:val="00772E1E"/>
    <w:rsid w:val="007748B5"/>
    <w:rsid w:val="00777658"/>
    <w:rsid w:val="007779C1"/>
    <w:rsid w:val="00781648"/>
    <w:rsid w:val="007826EC"/>
    <w:rsid w:val="00783262"/>
    <w:rsid w:val="0078596C"/>
    <w:rsid w:val="00786F08"/>
    <w:rsid w:val="007967F4"/>
    <w:rsid w:val="00797E8F"/>
    <w:rsid w:val="007A1116"/>
    <w:rsid w:val="007A2697"/>
    <w:rsid w:val="007A5AD4"/>
    <w:rsid w:val="007B313E"/>
    <w:rsid w:val="007B4492"/>
    <w:rsid w:val="007B5277"/>
    <w:rsid w:val="007B5A96"/>
    <w:rsid w:val="007B750C"/>
    <w:rsid w:val="007C08E9"/>
    <w:rsid w:val="007C1DCB"/>
    <w:rsid w:val="007C39A7"/>
    <w:rsid w:val="007C55D3"/>
    <w:rsid w:val="007C614C"/>
    <w:rsid w:val="007C7D75"/>
    <w:rsid w:val="007C7E6F"/>
    <w:rsid w:val="007D2D54"/>
    <w:rsid w:val="007D2E1D"/>
    <w:rsid w:val="007D3246"/>
    <w:rsid w:val="007D4B24"/>
    <w:rsid w:val="007D7F44"/>
    <w:rsid w:val="007E0134"/>
    <w:rsid w:val="007E1573"/>
    <w:rsid w:val="007E2967"/>
    <w:rsid w:val="007E2BA4"/>
    <w:rsid w:val="007E3CF4"/>
    <w:rsid w:val="007E6249"/>
    <w:rsid w:val="007E6A01"/>
    <w:rsid w:val="008029ED"/>
    <w:rsid w:val="00807201"/>
    <w:rsid w:val="0080726A"/>
    <w:rsid w:val="008143E8"/>
    <w:rsid w:val="008210AB"/>
    <w:rsid w:val="0082164D"/>
    <w:rsid w:val="00821AD6"/>
    <w:rsid w:val="00822359"/>
    <w:rsid w:val="00831AA0"/>
    <w:rsid w:val="00833FEB"/>
    <w:rsid w:val="0084164D"/>
    <w:rsid w:val="00841BB1"/>
    <w:rsid w:val="0084321E"/>
    <w:rsid w:val="00853452"/>
    <w:rsid w:val="00854A26"/>
    <w:rsid w:val="00860CFA"/>
    <w:rsid w:val="00864375"/>
    <w:rsid w:val="00864978"/>
    <w:rsid w:val="008660E2"/>
    <w:rsid w:val="00867213"/>
    <w:rsid w:val="0086794C"/>
    <w:rsid w:val="00883984"/>
    <w:rsid w:val="00883EB7"/>
    <w:rsid w:val="00884124"/>
    <w:rsid w:val="00884EC4"/>
    <w:rsid w:val="008859E7"/>
    <w:rsid w:val="0088669D"/>
    <w:rsid w:val="00894F63"/>
    <w:rsid w:val="00895479"/>
    <w:rsid w:val="008964AF"/>
    <w:rsid w:val="008A25C8"/>
    <w:rsid w:val="008A4251"/>
    <w:rsid w:val="008B0157"/>
    <w:rsid w:val="008B2213"/>
    <w:rsid w:val="008B4C69"/>
    <w:rsid w:val="008B5920"/>
    <w:rsid w:val="008B5BA2"/>
    <w:rsid w:val="008B6AD6"/>
    <w:rsid w:val="008C28AB"/>
    <w:rsid w:val="008C7018"/>
    <w:rsid w:val="008C78A0"/>
    <w:rsid w:val="008D0205"/>
    <w:rsid w:val="008D500D"/>
    <w:rsid w:val="008D54C1"/>
    <w:rsid w:val="008D5657"/>
    <w:rsid w:val="008E510D"/>
    <w:rsid w:val="008E5353"/>
    <w:rsid w:val="008E6045"/>
    <w:rsid w:val="008E67BC"/>
    <w:rsid w:val="008F0C76"/>
    <w:rsid w:val="008F2DB3"/>
    <w:rsid w:val="008F473F"/>
    <w:rsid w:val="009003CA"/>
    <w:rsid w:val="00905B25"/>
    <w:rsid w:val="00905BA3"/>
    <w:rsid w:val="00906304"/>
    <w:rsid w:val="00914FE6"/>
    <w:rsid w:val="009203A1"/>
    <w:rsid w:val="00920AF3"/>
    <w:rsid w:val="00925EBC"/>
    <w:rsid w:val="00927123"/>
    <w:rsid w:val="00930BB7"/>
    <w:rsid w:val="009319FB"/>
    <w:rsid w:val="0093498C"/>
    <w:rsid w:val="009357E2"/>
    <w:rsid w:val="00943595"/>
    <w:rsid w:val="009451F7"/>
    <w:rsid w:val="00947B44"/>
    <w:rsid w:val="00952794"/>
    <w:rsid w:val="00960133"/>
    <w:rsid w:val="00962325"/>
    <w:rsid w:val="009629E1"/>
    <w:rsid w:val="009655F0"/>
    <w:rsid w:val="009662B4"/>
    <w:rsid w:val="00976A96"/>
    <w:rsid w:val="00981535"/>
    <w:rsid w:val="00984E33"/>
    <w:rsid w:val="00984EBB"/>
    <w:rsid w:val="00985433"/>
    <w:rsid w:val="00994D2A"/>
    <w:rsid w:val="0099519C"/>
    <w:rsid w:val="0099535D"/>
    <w:rsid w:val="009966B9"/>
    <w:rsid w:val="00997D75"/>
    <w:rsid w:val="009B0230"/>
    <w:rsid w:val="009B4542"/>
    <w:rsid w:val="009B4ECE"/>
    <w:rsid w:val="009B60B2"/>
    <w:rsid w:val="009B6C02"/>
    <w:rsid w:val="009C283A"/>
    <w:rsid w:val="009C5423"/>
    <w:rsid w:val="009D1D5A"/>
    <w:rsid w:val="009D207E"/>
    <w:rsid w:val="009E36D1"/>
    <w:rsid w:val="009E548E"/>
    <w:rsid w:val="009E71DC"/>
    <w:rsid w:val="009F5215"/>
    <w:rsid w:val="009F6E03"/>
    <w:rsid w:val="00A0013F"/>
    <w:rsid w:val="00A00289"/>
    <w:rsid w:val="00A011EE"/>
    <w:rsid w:val="00A01586"/>
    <w:rsid w:val="00A0336F"/>
    <w:rsid w:val="00A03A88"/>
    <w:rsid w:val="00A03DB9"/>
    <w:rsid w:val="00A11DCF"/>
    <w:rsid w:val="00A15373"/>
    <w:rsid w:val="00A208FB"/>
    <w:rsid w:val="00A2244E"/>
    <w:rsid w:val="00A239F5"/>
    <w:rsid w:val="00A26E6B"/>
    <w:rsid w:val="00A27ABA"/>
    <w:rsid w:val="00A430A4"/>
    <w:rsid w:val="00A432E1"/>
    <w:rsid w:val="00A45D3B"/>
    <w:rsid w:val="00A46EF8"/>
    <w:rsid w:val="00A5067A"/>
    <w:rsid w:val="00A5121B"/>
    <w:rsid w:val="00A53CFA"/>
    <w:rsid w:val="00A54BD2"/>
    <w:rsid w:val="00A56EF3"/>
    <w:rsid w:val="00A60C13"/>
    <w:rsid w:val="00A679BF"/>
    <w:rsid w:val="00A71E31"/>
    <w:rsid w:val="00A72C13"/>
    <w:rsid w:val="00A734DE"/>
    <w:rsid w:val="00A73FE0"/>
    <w:rsid w:val="00A74B33"/>
    <w:rsid w:val="00A763FC"/>
    <w:rsid w:val="00A81304"/>
    <w:rsid w:val="00A81B48"/>
    <w:rsid w:val="00A82589"/>
    <w:rsid w:val="00A84858"/>
    <w:rsid w:val="00A937FD"/>
    <w:rsid w:val="00A974A1"/>
    <w:rsid w:val="00A9794D"/>
    <w:rsid w:val="00A97CAE"/>
    <w:rsid w:val="00AA3717"/>
    <w:rsid w:val="00AB0038"/>
    <w:rsid w:val="00AB08C2"/>
    <w:rsid w:val="00AB1D6C"/>
    <w:rsid w:val="00AB2E83"/>
    <w:rsid w:val="00AB60EB"/>
    <w:rsid w:val="00AB7FBE"/>
    <w:rsid w:val="00AC1B52"/>
    <w:rsid w:val="00AC1F03"/>
    <w:rsid w:val="00AC2BB9"/>
    <w:rsid w:val="00AD002C"/>
    <w:rsid w:val="00AD7CF9"/>
    <w:rsid w:val="00AE330B"/>
    <w:rsid w:val="00AE40A2"/>
    <w:rsid w:val="00AE4B58"/>
    <w:rsid w:val="00AE4E76"/>
    <w:rsid w:val="00AE723E"/>
    <w:rsid w:val="00AF0CBC"/>
    <w:rsid w:val="00AF1077"/>
    <w:rsid w:val="00AF16FD"/>
    <w:rsid w:val="00AF34FC"/>
    <w:rsid w:val="00AF6273"/>
    <w:rsid w:val="00B00A6B"/>
    <w:rsid w:val="00B01FAA"/>
    <w:rsid w:val="00B02FF9"/>
    <w:rsid w:val="00B04326"/>
    <w:rsid w:val="00B10C26"/>
    <w:rsid w:val="00B12968"/>
    <w:rsid w:val="00B14327"/>
    <w:rsid w:val="00B144A3"/>
    <w:rsid w:val="00B17156"/>
    <w:rsid w:val="00B210E8"/>
    <w:rsid w:val="00B22883"/>
    <w:rsid w:val="00B23694"/>
    <w:rsid w:val="00B24BB4"/>
    <w:rsid w:val="00B31C6E"/>
    <w:rsid w:val="00B344A6"/>
    <w:rsid w:val="00B345FF"/>
    <w:rsid w:val="00B36F9C"/>
    <w:rsid w:val="00B40BD5"/>
    <w:rsid w:val="00B424CD"/>
    <w:rsid w:val="00B5736E"/>
    <w:rsid w:val="00B60AE4"/>
    <w:rsid w:val="00B61DB4"/>
    <w:rsid w:val="00B61FBD"/>
    <w:rsid w:val="00B624B3"/>
    <w:rsid w:val="00B62B29"/>
    <w:rsid w:val="00B65604"/>
    <w:rsid w:val="00B66A15"/>
    <w:rsid w:val="00B7097D"/>
    <w:rsid w:val="00B7118E"/>
    <w:rsid w:val="00B71510"/>
    <w:rsid w:val="00B72C5E"/>
    <w:rsid w:val="00B72FB7"/>
    <w:rsid w:val="00B754D3"/>
    <w:rsid w:val="00B7619C"/>
    <w:rsid w:val="00B8125F"/>
    <w:rsid w:val="00B87860"/>
    <w:rsid w:val="00B9092D"/>
    <w:rsid w:val="00B93301"/>
    <w:rsid w:val="00B9397F"/>
    <w:rsid w:val="00B978F2"/>
    <w:rsid w:val="00BA0823"/>
    <w:rsid w:val="00BB0C7E"/>
    <w:rsid w:val="00BB4EB4"/>
    <w:rsid w:val="00BC09CF"/>
    <w:rsid w:val="00BC12AC"/>
    <w:rsid w:val="00BC188F"/>
    <w:rsid w:val="00BC43B0"/>
    <w:rsid w:val="00BD1DAC"/>
    <w:rsid w:val="00BD2FEF"/>
    <w:rsid w:val="00BD4B7D"/>
    <w:rsid w:val="00BE0BB5"/>
    <w:rsid w:val="00BE3C56"/>
    <w:rsid w:val="00BE611F"/>
    <w:rsid w:val="00BE6646"/>
    <w:rsid w:val="00BF0FAA"/>
    <w:rsid w:val="00BF1FAB"/>
    <w:rsid w:val="00BF2013"/>
    <w:rsid w:val="00C00089"/>
    <w:rsid w:val="00C04EF0"/>
    <w:rsid w:val="00C12C66"/>
    <w:rsid w:val="00C1777D"/>
    <w:rsid w:val="00C179A5"/>
    <w:rsid w:val="00C24AC6"/>
    <w:rsid w:val="00C264E0"/>
    <w:rsid w:val="00C31581"/>
    <w:rsid w:val="00C344C5"/>
    <w:rsid w:val="00C37206"/>
    <w:rsid w:val="00C40FB0"/>
    <w:rsid w:val="00C45830"/>
    <w:rsid w:val="00C463F1"/>
    <w:rsid w:val="00C501ED"/>
    <w:rsid w:val="00C51062"/>
    <w:rsid w:val="00C54D5A"/>
    <w:rsid w:val="00C61165"/>
    <w:rsid w:val="00C611CA"/>
    <w:rsid w:val="00C66619"/>
    <w:rsid w:val="00C67760"/>
    <w:rsid w:val="00C70106"/>
    <w:rsid w:val="00C71142"/>
    <w:rsid w:val="00C714FC"/>
    <w:rsid w:val="00C731B8"/>
    <w:rsid w:val="00C734EE"/>
    <w:rsid w:val="00C75D47"/>
    <w:rsid w:val="00C775AD"/>
    <w:rsid w:val="00C82352"/>
    <w:rsid w:val="00C824EC"/>
    <w:rsid w:val="00C90ED1"/>
    <w:rsid w:val="00C94BF0"/>
    <w:rsid w:val="00C94E1C"/>
    <w:rsid w:val="00C95D4A"/>
    <w:rsid w:val="00C95F1F"/>
    <w:rsid w:val="00CA2620"/>
    <w:rsid w:val="00CA366E"/>
    <w:rsid w:val="00CA520F"/>
    <w:rsid w:val="00CA565F"/>
    <w:rsid w:val="00CA5FA0"/>
    <w:rsid w:val="00CA6AA5"/>
    <w:rsid w:val="00CB0D3F"/>
    <w:rsid w:val="00CB1748"/>
    <w:rsid w:val="00CB1BE3"/>
    <w:rsid w:val="00CB6106"/>
    <w:rsid w:val="00CC0121"/>
    <w:rsid w:val="00CC0AEF"/>
    <w:rsid w:val="00CD3C2A"/>
    <w:rsid w:val="00CD52A2"/>
    <w:rsid w:val="00CD539A"/>
    <w:rsid w:val="00CD75B0"/>
    <w:rsid w:val="00CE2156"/>
    <w:rsid w:val="00CE568E"/>
    <w:rsid w:val="00CE670F"/>
    <w:rsid w:val="00CF0FA4"/>
    <w:rsid w:val="00CF2369"/>
    <w:rsid w:val="00CF32D6"/>
    <w:rsid w:val="00CF7317"/>
    <w:rsid w:val="00D02E4D"/>
    <w:rsid w:val="00D15BF8"/>
    <w:rsid w:val="00D16169"/>
    <w:rsid w:val="00D164E7"/>
    <w:rsid w:val="00D20911"/>
    <w:rsid w:val="00D21EB9"/>
    <w:rsid w:val="00D344AF"/>
    <w:rsid w:val="00D36013"/>
    <w:rsid w:val="00D3798C"/>
    <w:rsid w:val="00D37FB5"/>
    <w:rsid w:val="00D47CCD"/>
    <w:rsid w:val="00D50F25"/>
    <w:rsid w:val="00D55B39"/>
    <w:rsid w:val="00D6010B"/>
    <w:rsid w:val="00D622F3"/>
    <w:rsid w:val="00D72657"/>
    <w:rsid w:val="00D73644"/>
    <w:rsid w:val="00D75512"/>
    <w:rsid w:val="00D7690A"/>
    <w:rsid w:val="00D773DD"/>
    <w:rsid w:val="00D834C6"/>
    <w:rsid w:val="00D847D2"/>
    <w:rsid w:val="00D9136D"/>
    <w:rsid w:val="00D9227E"/>
    <w:rsid w:val="00D95C4C"/>
    <w:rsid w:val="00D970C5"/>
    <w:rsid w:val="00D9770D"/>
    <w:rsid w:val="00DA0BD6"/>
    <w:rsid w:val="00DA3616"/>
    <w:rsid w:val="00DA6744"/>
    <w:rsid w:val="00DB0BF0"/>
    <w:rsid w:val="00DB5DAC"/>
    <w:rsid w:val="00DC3D8D"/>
    <w:rsid w:val="00DC7741"/>
    <w:rsid w:val="00DD39C8"/>
    <w:rsid w:val="00DD4916"/>
    <w:rsid w:val="00DD5CF6"/>
    <w:rsid w:val="00DD7A39"/>
    <w:rsid w:val="00DF0583"/>
    <w:rsid w:val="00DF22B2"/>
    <w:rsid w:val="00DF26FD"/>
    <w:rsid w:val="00DF58AE"/>
    <w:rsid w:val="00DF6484"/>
    <w:rsid w:val="00E007D9"/>
    <w:rsid w:val="00E02505"/>
    <w:rsid w:val="00E02A0D"/>
    <w:rsid w:val="00E03EF3"/>
    <w:rsid w:val="00E041FF"/>
    <w:rsid w:val="00E042C1"/>
    <w:rsid w:val="00E0444B"/>
    <w:rsid w:val="00E138EF"/>
    <w:rsid w:val="00E15A26"/>
    <w:rsid w:val="00E179A0"/>
    <w:rsid w:val="00E21996"/>
    <w:rsid w:val="00E22F1F"/>
    <w:rsid w:val="00E26082"/>
    <w:rsid w:val="00E26B75"/>
    <w:rsid w:val="00E32212"/>
    <w:rsid w:val="00E32E6E"/>
    <w:rsid w:val="00E33134"/>
    <w:rsid w:val="00E3365B"/>
    <w:rsid w:val="00E3589B"/>
    <w:rsid w:val="00E42B77"/>
    <w:rsid w:val="00E470C6"/>
    <w:rsid w:val="00E47924"/>
    <w:rsid w:val="00E50F8F"/>
    <w:rsid w:val="00E520C6"/>
    <w:rsid w:val="00E5371D"/>
    <w:rsid w:val="00E5541F"/>
    <w:rsid w:val="00E557C5"/>
    <w:rsid w:val="00E5689F"/>
    <w:rsid w:val="00E56BD1"/>
    <w:rsid w:val="00E613A7"/>
    <w:rsid w:val="00E65868"/>
    <w:rsid w:val="00E659FA"/>
    <w:rsid w:val="00E66D81"/>
    <w:rsid w:val="00E707F5"/>
    <w:rsid w:val="00E71B6E"/>
    <w:rsid w:val="00E72B70"/>
    <w:rsid w:val="00E737D5"/>
    <w:rsid w:val="00E73BBA"/>
    <w:rsid w:val="00E75B86"/>
    <w:rsid w:val="00E77CC8"/>
    <w:rsid w:val="00E86819"/>
    <w:rsid w:val="00E9523F"/>
    <w:rsid w:val="00E9600C"/>
    <w:rsid w:val="00EA2BDA"/>
    <w:rsid w:val="00EA33F4"/>
    <w:rsid w:val="00EA3446"/>
    <w:rsid w:val="00EA54AE"/>
    <w:rsid w:val="00EA66A3"/>
    <w:rsid w:val="00EA6D4E"/>
    <w:rsid w:val="00EC0ABB"/>
    <w:rsid w:val="00EC32E5"/>
    <w:rsid w:val="00EC4B29"/>
    <w:rsid w:val="00ED0D04"/>
    <w:rsid w:val="00ED0D19"/>
    <w:rsid w:val="00ED21B3"/>
    <w:rsid w:val="00EE784C"/>
    <w:rsid w:val="00EF591C"/>
    <w:rsid w:val="00EF6579"/>
    <w:rsid w:val="00F02628"/>
    <w:rsid w:val="00F203EE"/>
    <w:rsid w:val="00F21E6B"/>
    <w:rsid w:val="00F226E9"/>
    <w:rsid w:val="00F24EC2"/>
    <w:rsid w:val="00F25479"/>
    <w:rsid w:val="00F309F2"/>
    <w:rsid w:val="00F31A6D"/>
    <w:rsid w:val="00F3313F"/>
    <w:rsid w:val="00F34EA0"/>
    <w:rsid w:val="00F355F6"/>
    <w:rsid w:val="00F40E73"/>
    <w:rsid w:val="00F42464"/>
    <w:rsid w:val="00F47A93"/>
    <w:rsid w:val="00F55468"/>
    <w:rsid w:val="00F56AC9"/>
    <w:rsid w:val="00F57583"/>
    <w:rsid w:val="00F5796A"/>
    <w:rsid w:val="00F6654B"/>
    <w:rsid w:val="00F668E3"/>
    <w:rsid w:val="00F66E44"/>
    <w:rsid w:val="00F70B07"/>
    <w:rsid w:val="00F73F30"/>
    <w:rsid w:val="00F76F08"/>
    <w:rsid w:val="00F819FF"/>
    <w:rsid w:val="00F830FD"/>
    <w:rsid w:val="00F838B2"/>
    <w:rsid w:val="00F87EE0"/>
    <w:rsid w:val="00F920CE"/>
    <w:rsid w:val="00F929B1"/>
    <w:rsid w:val="00F95EA9"/>
    <w:rsid w:val="00F977A0"/>
    <w:rsid w:val="00FA2F03"/>
    <w:rsid w:val="00FA374C"/>
    <w:rsid w:val="00FB31AF"/>
    <w:rsid w:val="00FB643B"/>
    <w:rsid w:val="00FC1F67"/>
    <w:rsid w:val="00FC5482"/>
    <w:rsid w:val="00FC6103"/>
    <w:rsid w:val="00FC691F"/>
    <w:rsid w:val="00FD008E"/>
    <w:rsid w:val="00FD0D1A"/>
    <w:rsid w:val="00FD28CA"/>
    <w:rsid w:val="00FE04B1"/>
    <w:rsid w:val="00FE3568"/>
    <w:rsid w:val="00FF1A39"/>
    <w:rsid w:val="00FF36B7"/>
    <w:rsid w:val="00FF6CE5"/>
    <w:rsid w:val="00FF7AEB"/>
    <w:rsid w:val="010A7330"/>
    <w:rsid w:val="02986877"/>
    <w:rsid w:val="056A4C71"/>
    <w:rsid w:val="084E7652"/>
    <w:rsid w:val="0893255D"/>
    <w:rsid w:val="08BD0334"/>
    <w:rsid w:val="09CE7CF1"/>
    <w:rsid w:val="1169129C"/>
    <w:rsid w:val="13F70874"/>
    <w:rsid w:val="1538113A"/>
    <w:rsid w:val="157D50D3"/>
    <w:rsid w:val="1D645EA9"/>
    <w:rsid w:val="2241194D"/>
    <w:rsid w:val="22724A84"/>
    <w:rsid w:val="26D94E4A"/>
    <w:rsid w:val="2A133906"/>
    <w:rsid w:val="2C545CD3"/>
    <w:rsid w:val="2DF45CF7"/>
    <w:rsid w:val="30A20334"/>
    <w:rsid w:val="37A55295"/>
    <w:rsid w:val="3C77633E"/>
    <w:rsid w:val="3F2A1578"/>
    <w:rsid w:val="3FE136B7"/>
    <w:rsid w:val="44A665F8"/>
    <w:rsid w:val="4A1B2191"/>
    <w:rsid w:val="52D056C6"/>
    <w:rsid w:val="604F4CE6"/>
    <w:rsid w:val="6627685D"/>
    <w:rsid w:val="68584BAF"/>
    <w:rsid w:val="697A278A"/>
    <w:rsid w:val="6A5512F0"/>
    <w:rsid w:val="6DA854AB"/>
    <w:rsid w:val="71DC46D4"/>
    <w:rsid w:val="742177BE"/>
    <w:rsid w:val="751F49D4"/>
    <w:rsid w:val="78570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ind w:left="2520" w:leftChars="1200"/>
    </w:pPr>
  </w:style>
  <w:style w:type="paragraph" w:styleId="3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toc 5"/>
    <w:basedOn w:val="1"/>
    <w:next w:val="1"/>
    <w:semiHidden/>
    <w:qFormat/>
    <w:uiPriority w:val="0"/>
    <w:pPr>
      <w:ind w:left="1680" w:leftChars="800"/>
    </w:pPr>
  </w:style>
  <w:style w:type="paragraph" w:styleId="6">
    <w:name w:val="toc 3"/>
    <w:basedOn w:val="1"/>
    <w:next w:val="1"/>
    <w:semiHidden/>
    <w:qFormat/>
    <w:uiPriority w:val="0"/>
    <w:pPr>
      <w:tabs>
        <w:tab w:val="right" w:leader="middleDot" w:pos="8720"/>
      </w:tabs>
      <w:spacing w:line="600" w:lineRule="exact"/>
      <w:ind w:left="210" w:leftChars="1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toc 8"/>
    <w:basedOn w:val="1"/>
    <w:next w:val="1"/>
    <w:semiHidden/>
    <w:qFormat/>
    <w:uiPriority w:val="0"/>
    <w:pPr>
      <w:ind w:left="2940" w:leftChars="1400"/>
    </w:pPr>
  </w:style>
  <w:style w:type="paragraph" w:styleId="9">
    <w:name w:val="Balloon Text"/>
    <w:basedOn w:val="1"/>
    <w:link w:val="26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4"/>
    <w:basedOn w:val="1"/>
    <w:next w:val="1"/>
    <w:semiHidden/>
    <w:qFormat/>
    <w:uiPriority w:val="0"/>
    <w:pPr>
      <w:ind w:left="1260" w:leftChars="600"/>
    </w:pPr>
  </w:style>
  <w:style w:type="paragraph" w:styleId="14">
    <w:name w:val="toc 6"/>
    <w:basedOn w:val="1"/>
    <w:next w:val="1"/>
    <w:semiHidden/>
    <w:qFormat/>
    <w:uiPriority w:val="0"/>
    <w:pPr>
      <w:ind w:left="2100" w:leftChars="1000"/>
    </w:pPr>
  </w:style>
  <w:style w:type="paragraph" w:styleId="15">
    <w:name w:val="toc 2"/>
    <w:basedOn w:val="1"/>
    <w:next w:val="1"/>
    <w:semiHidden/>
    <w:qFormat/>
    <w:uiPriority w:val="0"/>
    <w:pPr>
      <w:tabs>
        <w:tab w:val="right" w:leader="middleDot" w:pos="8720"/>
      </w:tabs>
      <w:spacing w:line="600" w:lineRule="exact"/>
      <w:ind w:left="480" w:hanging="480" w:hangingChars="150"/>
    </w:pPr>
  </w:style>
  <w:style w:type="paragraph" w:styleId="16">
    <w:name w:val="toc 9"/>
    <w:basedOn w:val="1"/>
    <w:next w:val="1"/>
    <w:semiHidden/>
    <w:qFormat/>
    <w:uiPriority w:val="0"/>
    <w:pPr>
      <w:ind w:left="3360" w:leftChars="1600"/>
    </w:pPr>
  </w:style>
  <w:style w:type="character" w:styleId="19">
    <w:name w:val="page number"/>
    <w:basedOn w:val="18"/>
    <w:qFormat/>
    <w:uiPriority w:val="0"/>
    <w:rPr>
      <w:rFonts w:cs="Times New Roman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qFormat/>
    <w:uiPriority w:val="0"/>
    <w:rPr>
      <w:rFonts w:cs="Times New Roman"/>
      <w:sz w:val="21"/>
      <w:szCs w:val="21"/>
    </w:rPr>
  </w:style>
  <w:style w:type="character" w:customStyle="1" w:styleId="22">
    <w:name w:val="页脚 Char"/>
    <w:basedOn w:val="18"/>
    <w:link w:val="10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批注文字 Char"/>
    <w:basedOn w:val="18"/>
    <w:link w:val="4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">
    <w:name w:val="页眉 Char"/>
    <w:basedOn w:val="18"/>
    <w:link w:val="11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文档结构图 Char"/>
    <w:basedOn w:val="18"/>
    <w:link w:val="3"/>
    <w:qFormat/>
    <w:locked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26">
    <w:name w:val="批注框文本 Char"/>
    <w:basedOn w:val="18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7">
    <w:name w:val="Char Char3 Char Char Char Char"/>
    <w:basedOn w:val="1"/>
    <w:qFormat/>
    <w:uiPriority w:val="0"/>
    <w:rPr>
      <w:szCs w:val="21"/>
    </w:rPr>
  </w:style>
  <w:style w:type="paragraph" w:customStyle="1" w:styleId="28">
    <w:name w:val="默认段落字体 Para Char Char Char Char"/>
    <w:basedOn w:val="1"/>
    <w:qFormat/>
    <w:uiPriority w:val="0"/>
    <w:rPr>
      <w:sz w:val="32"/>
      <w:szCs w:val="32"/>
    </w:rPr>
  </w:style>
  <w:style w:type="paragraph" w:customStyle="1" w:styleId="29">
    <w:name w:val="Char Char Char Char Char Char Char"/>
    <w:basedOn w:val="1"/>
    <w:qFormat/>
    <w:uiPriority w:val="0"/>
    <w:rPr>
      <w:szCs w:val="21"/>
    </w:rPr>
  </w:style>
  <w:style w:type="character" w:customStyle="1" w:styleId="30">
    <w:name w:val=" Char Char1"/>
    <w:basedOn w:val="18"/>
    <w:semiHidden/>
    <w:qFormat/>
    <w:locked/>
    <w:uiPriority w:val="0"/>
    <w:rPr>
      <w:sz w:val="18"/>
      <w:szCs w:val="18"/>
    </w:rPr>
  </w:style>
  <w:style w:type="character" w:customStyle="1" w:styleId="31">
    <w:name w:val=" Char Char"/>
    <w:basedOn w:val="18"/>
    <w:semiHidden/>
    <w:qFormat/>
    <w:locked/>
    <w:uiPriority w:val="0"/>
    <w:rPr>
      <w:sz w:val="18"/>
      <w:szCs w:val="18"/>
    </w:rPr>
  </w:style>
  <w:style w:type="paragraph" w:customStyle="1" w:styleId="32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 Char Char3"/>
    <w:basedOn w:val="18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">
    <w:name w:val=" Char Char4"/>
    <w:basedOn w:val="18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5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12</Pages>
  <Words>3237</Words>
  <Characters>3916</Characters>
  <Lines>30</Lines>
  <Paragraphs>8</Paragraphs>
  <TotalTime>36</TotalTime>
  <ScaleCrop>false</ScaleCrop>
  <LinksUpToDate>false</LinksUpToDate>
  <CharactersWithSpaces>3984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2021-02-09T03:59:00Z</dcterms:created>
  <dc:creator>薛涛</dc:creator>
  <cp:lastModifiedBy>Jhz</cp:lastModifiedBy>
  <cp:lastPrinted>2021-01-28T06:35:00Z</cp:lastPrinted>
  <dcterms:modified xsi:type="dcterms:W3CDTF">2022-07-07T03:58:56Z</dcterms:modified>
  <dc:title>编报说明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4D2B9AF0A3AA4621906EB6FAEB6E1C89</vt:lpwstr>
  </property>
</Properties>
</file>