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3"/>
        <w:gridCol w:w="4700"/>
        <w:gridCol w:w="3071"/>
        <w:gridCol w:w="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24" w:hRule="atLeast"/>
        </w:trPr>
        <w:tc>
          <w:tcPr>
            <w:tcW w:w="9034" w:type="dxa"/>
            <w:gridSpan w:val="3"/>
            <w:vMerge w:val="restart"/>
            <w:tcBorders>
              <w:top w:val="nil"/>
              <w:left w:val="nil"/>
              <w:bottom w:val="nil"/>
              <w:right w:val="nil"/>
            </w:tcBorders>
            <w:vAlign w:val="center"/>
          </w:tcPr>
          <w:p>
            <w:pPr>
              <w:widowControl/>
              <w:jc w:val="left"/>
              <w:rPr>
                <w:rFonts w:hint="eastAsia" w:ascii="宋体" w:hAnsi="宋体" w:eastAsia="黑体" w:cs="宋体"/>
                <w:color w:val="auto"/>
                <w:kern w:val="0"/>
                <w:sz w:val="30"/>
                <w:szCs w:val="30"/>
                <w:lang w:eastAsia="zh-CN"/>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312" w:hRule="atLeast"/>
        </w:trPr>
        <w:tc>
          <w:tcPr>
            <w:tcW w:w="9034" w:type="dxa"/>
            <w:gridSpan w:val="3"/>
            <w:vMerge w:val="continue"/>
            <w:tcBorders>
              <w:top w:val="nil"/>
              <w:left w:val="nil"/>
              <w:bottom w:val="nil"/>
              <w:right w:val="nil"/>
            </w:tcBorders>
            <w:vAlign w:val="center"/>
          </w:tcPr>
          <w:p>
            <w:pPr>
              <w:widowControl/>
              <w:jc w:val="left"/>
              <w:rPr>
                <w:rFonts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75" w:hRule="atLeast"/>
        </w:trPr>
        <w:tc>
          <w:tcPr>
            <w:tcW w:w="9034" w:type="dxa"/>
            <w:gridSpan w:val="3"/>
            <w:tcBorders>
              <w:top w:val="nil"/>
              <w:left w:val="nil"/>
              <w:bottom w:val="nil"/>
              <w:right w:val="nil"/>
            </w:tcBorders>
            <w:vAlign w:val="center"/>
          </w:tcPr>
          <w:p>
            <w:pPr>
              <w:widowControl/>
              <w:jc w:val="center"/>
              <w:rPr>
                <w:rFonts w:ascii="创艺简标宋" w:hAnsi="宋体" w:eastAsia="创艺简标宋" w:cs="宋体"/>
                <w:color w:val="auto"/>
                <w:kern w:val="0"/>
                <w:sz w:val="44"/>
                <w:szCs w:val="44"/>
              </w:rPr>
            </w:pPr>
            <w:r>
              <w:rPr>
                <w:rFonts w:hint="eastAsia" w:ascii="方正小标宋简体" w:hAnsi="方正小标宋简体" w:eastAsia="方正小标宋简体" w:cs="方正小标宋简体"/>
                <w:color w:val="auto"/>
                <w:kern w:val="0"/>
                <w:sz w:val="44"/>
                <w:szCs w:val="44"/>
              </w:rPr>
              <w:t>部门行政职权事项目录汇总表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540" w:hRule="atLeast"/>
        </w:trPr>
        <w:tc>
          <w:tcPr>
            <w:tcW w:w="5963" w:type="dxa"/>
            <w:gridSpan w:val="2"/>
            <w:tcBorders>
              <w:top w:val="nil"/>
              <w:left w:val="nil"/>
              <w:bottom w:val="nil"/>
              <w:right w:val="nil"/>
            </w:tcBorders>
            <w:vAlign w:val="center"/>
          </w:tcPr>
          <w:p>
            <w:pPr>
              <w:widowControl/>
              <w:jc w:val="left"/>
              <w:rPr>
                <w:rFonts w:ascii="Courier New" w:hAnsi="Courier New" w:eastAsia="宋体" w:cs="宋体"/>
                <w:color w:val="auto"/>
                <w:kern w:val="0"/>
                <w:sz w:val="32"/>
                <w:szCs w:val="32"/>
              </w:rPr>
            </w:pPr>
            <w:r>
              <w:rPr>
                <w:rFonts w:ascii="Courier New" w:hAnsi="Courier New" w:eastAsia="宋体" w:cs="宋体"/>
                <w:color w:val="auto"/>
                <w:kern w:val="0"/>
                <w:sz w:val="32"/>
                <w:szCs w:val="32"/>
              </w:rPr>
              <w:t xml:space="preserve">  部门名称：</w:t>
            </w:r>
            <w:r>
              <w:rPr>
                <w:rFonts w:hint="eastAsia" w:ascii="Courier New" w:hAnsi="Courier New" w:eastAsia="宋体" w:cs="宋体"/>
                <w:color w:val="auto"/>
                <w:kern w:val="0"/>
                <w:sz w:val="32"/>
                <w:szCs w:val="32"/>
              </w:rPr>
              <w:t>叶县发改委</w:t>
            </w:r>
            <w:bookmarkStart w:id="0" w:name="_GoBack"/>
            <w:bookmarkEnd w:id="0"/>
            <w:r>
              <w:rPr>
                <w:rFonts w:ascii="Courier New" w:hAnsi="Courier New" w:eastAsia="宋体" w:cs="宋体"/>
                <w:color w:val="auto"/>
                <w:kern w:val="0"/>
                <w:sz w:val="32"/>
                <w:szCs w:val="32"/>
              </w:rPr>
              <w:t>（公章）</w:t>
            </w:r>
          </w:p>
        </w:tc>
        <w:tc>
          <w:tcPr>
            <w:tcW w:w="3071" w:type="dxa"/>
            <w:tcBorders>
              <w:top w:val="nil"/>
              <w:left w:val="nil"/>
              <w:bottom w:val="nil"/>
              <w:right w:val="nil"/>
            </w:tcBorders>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宋体" w:cs="宋体"/>
                <w:b/>
                <w:bCs/>
                <w:color w:val="auto"/>
                <w:kern w:val="0"/>
                <w:sz w:val="32"/>
                <w:szCs w:val="32"/>
              </w:rPr>
            </w:pPr>
            <w:r>
              <w:rPr>
                <w:rFonts w:ascii="Courier New" w:hAnsi="Courier New" w:eastAsia="宋体" w:cs="宋体"/>
                <w:b/>
                <w:bCs/>
                <w:color w:val="auto"/>
                <w:kern w:val="0"/>
                <w:sz w:val="32"/>
                <w:szCs w:val="32"/>
              </w:rPr>
              <w:t>序号</w:t>
            </w:r>
          </w:p>
        </w:tc>
        <w:tc>
          <w:tcPr>
            <w:tcW w:w="470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宋体" w:cs="宋体"/>
                <w:b/>
                <w:bCs/>
                <w:color w:val="auto"/>
                <w:kern w:val="0"/>
                <w:sz w:val="32"/>
                <w:szCs w:val="32"/>
              </w:rPr>
            </w:pPr>
            <w:r>
              <w:rPr>
                <w:rFonts w:hint="eastAsia" w:ascii="Courier New" w:hAnsi="Courier New" w:eastAsia="宋体" w:cs="宋体"/>
                <w:b/>
                <w:bCs/>
                <w:color w:val="auto"/>
                <w:kern w:val="0"/>
                <w:sz w:val="32"/>
                <w:szCs w:val="32"/>
              </w:rPr>
              <w:t>事项名称</w:t>
            </w:r>
          </w:p>
        </w:tc>
        <w:tc>
          <w:tcPr>
            <w:tcW w:w="3071"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宋体" w:cs="宋体"/>
                <w:b/>
                <w:bCs/>
                <w:color w:val="auto"/>
                <w:kern w:val="0"/>
                <w:sz w:val="32"/>
                <w:szCs w:val="32"/>
              </w:rPr>
            </w:pPr>
            <w:r>
              <w:rPr>
                <w:rFonts w:hint="eastAsia" w:ascii="Courier New" w:hAnsi="Courier New" w:eastAsia="宋体" w:cs="宋体"/>
                <w:b/>
                <w:bCs/>
                <w:color w:val="auto"/>
                <w:kern w:val="0"/>
                <w:sz w:val="32"/>
                <w:szCs w:val="32"/>
              </w:rPr>
              <w:t>职权类别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708"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《政府核准的投资项目目录（河南省）》确定的项目审核（核准）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1）企业投资的非跨县（市）的普通省道网项目（按照规划）、独立公铁桥隧项目、除跨省（区、市）高等级航道的千吨级及以上航电枢纽，集装箱专用码头项目，煤炭、矿石、油气专用泊位项目之外的内河航运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（2）除在跨省（区、市）河流上建设的单站总装机容量50万千瓦及以上项目之外的水电站项目核准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（3）非跨县（市）域水资源配置调整项目外的水利工程项目核准（市级权限内）</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（4）县级社会事业固定资产投资项目核准（不含豫政办〔2017〕56号 文件规定的社会事业领域“主题公园”和“旅游”项目）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（5）集中并网风电项目核准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（6）农林生物质热电项目核准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（7）燃气热电、背压式燃煤热电项目核准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99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8</w:t>
            </w:r>
            <w:r>
              <w:rPr>
                <w:rFonts w:hint="eastAsia" w:ascii="宋体" w:hAnsi="宋体" w:eastAsia="宋体" w:cs="宋体"/>
                <w:spacing w:val="6"/>
                <w:sz w:val="23"/>
                <w:szCs w:val="23"/>
                <w:lang w:eastAsia="zh-CN"/>
              </w:rPr>
              <w:t>）</w:t>
            </w:r>
            <w:r>
              <w:rPr>
                <w:rFonts w:ascii="宋体" w:hAnsi="宋体" w:eastAsia="宋体" w:cs="宋体"/>
                <w:spacing w:val="6"/>
                <w:sz w:val="23"/>
                <w:szCs w:val="23"/>
              </w:rPr>
              <w:t>不跨县(市)的独立选址的高速公路附属设施(含独立选址的高速公路互通式立交、连接</w:t>
            </w:r>
            <w:r>
              <w:rPr>
                <w:rFonts w:ascii="宋体" w:hAnsi="宋体" w:eastAsia="宋体" w:cs="宋体"/>
                <w:spacing w:val="9"/>
                <w:sz w:val="23"/>
                <w:szCs w:val="23"/>
              </w:rPr>
              <w:t xml:space="preserve"> </w:t>
            </w:r>
            <w:r>
              <w:rPr>
                <w:rFonts w:ascii="宋体" w:hAnsi="宋体" w:eastAsia="宋体" w:cs="宋体"/>
                <w:spacing w:val="6"/>
                <w:sz w:val="23"/>
                <w:szCs w:val="23"/>
              </w:rPr>
              <w:t>线、服务区、收费站)项目审批(核准)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ascii="宋体" w:hAnsi="宋体" w:eastAsia="宋体" w:cs="宋体"/>
                <w:spacing w:val="7"/>
                <w:sz w:val="23"/>
                <w:szCs w:val="23"/>
              </w:rPr>
              <w:t>非跨县(市)110千伏及以下和产业集聚区局域电网220千伏电</w:t>
            </w:r>
            <w:r>
              <w:rPr>
                <w:rFonts w:ascii="宋体" w:hAnsi="宋体" w:eastAsia="宋体" w:cs="宋体"/>
                <w:spacing w:val="6"/>
                <w:sz w:val="23"/>
                <w:szCs w:val="23"/>
              </w:rPr>
              <w:t>网项目核准</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固定资产投资项目节能审查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石油天然气管道受限制区域施工保护方案许可</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石油天然气管道保护范围内特定施工作业许可</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粮食收购资格认定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对从事节能咨询、设计、评估、检测、审计、认证等服务的机构提供虚假信息的处罚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对无偿向本单位职工提供能源或者对能源消费实行包费制的处罚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对重点用能单位未按照规定报送能源利用状况报告或者报告内容不实的处罚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对节能管理制度不健全、节能措施不落实、能源利用效率低的重点用能单位拒不落实整改要求或者整改没有达到要求的处罚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对重点用能单位未按规定设立能源管理岗位，聘任能源管理负责人，并报管理节能工作部门和有关部门备案的处罚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对节能检验测试单位提供虚假检验测试证明的处罚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对被监察单位拒不提供相关资料、样品或者伪造、篡改、隐匿、销毁有关资料和样品的处罚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13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以欺骗、贿赂等不正当手段取得粮食收购资格许可的处罚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14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食收购者未执行国家粮食质量标准的；被售粮者举报未及时支付售粮款的；违反《粮食流通管理条例》规定代扣、代缴税、费和其他款项的；从事粮食收购、销售、储存、加工的粮食经营者以及饲料、工业用粮企业未建立粮食经营台账，或者未按照规定报送粮食基本数据和有关情况的；粮食经营者从事粮食购销活动未执行国家有关政策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15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陈粮出库未进行质量鉴定的处罚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从事粮食收购、加工、销售的经营者的粮食库存低于（超出）规定的最低（最高）库存量的处罚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未按规定使用粮食仓储设施、运输工具的处罚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粮油仓储单位未在规定时间向粮食行政管理部门备案，或者备案内容弄虚作假的处罚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19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粮油仓储单位不具备规定条件的处罚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粮油仓储单位的名称不符合规定的处罚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粮油仓储单位违反有关粮油出入库、储存等管理规定的处罚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加处罚款</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节能检查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节能监察</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以工代赈项目执行情况检查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粮食收购资格核查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涉案财物价格鉴定认证及价格鉴定复核裁定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涉纪检监察案件财物价格认定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29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涉税财物价格认定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价格行为合法性、价格水平合理性认证</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非跨县（市）的高速公路等经营性公路、桥梁建设项目法人确定</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城镇集中供热价格（政府定价项目）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污水处理费标准（政府定价项目）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高中学费收费标准（政府定价项目）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政府投资项目审核（批）</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（1）农村饮水安全项目实施方案审批</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（2）政府采用直接投资或资本金注入方式投资建设的非跨县（市）的地方铁路、铁路专用线、高速公路、普通国省道、农村公路、千吨级以下内河航运、独立公铁桥隧项目审批</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（3）县级社会事业固定资产投资项目审批（不含豫政办〔2017〕56号 文件规定的社会事业领域“主题公园”和“旅游”项目）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）坡耕地水土流失治理工程项目审批</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企业投资项目备案</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（1）洗选厂项目备案</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（2）县级社会事业固定资产投资项目备案（不含豫政办〔</w:t>
            </w:r>
            <w:r>
              <w:rPr>
                <w:rFonts w:hint="eastAsia" w:ascii="宋体" w:hAnsi="宋体" w:eastAsia="宋体" w:cs="宋体"/>
                <w:sz w:val="24"/>
                <w:szCs w:val="24"/>
              </w:rPr>
              <w:t>2017</w:t>
            </w:r>
            <w:r>
              <w:rPr>
                <w:rFonts w:hint="eastAsia" w:ascii="宋体" w:hAnsi="宋体" w:eastAsia="宋体" w:cs="宋体"/>
                <w:sz w:val="24"/>
                <w:szCs w:val="24"/>
                <w:lang w:eastAsia="zh-CN"/>
              </w:rPr>
              <w:t>〕</w:t>
            </w:r>
            <w:r>
              <w:rPr>
                <w:rFonts w:hint="eastAsia" w:ascii="宋体" w:hAnsi="宋体" w:eastAsia="宋体" w:cs="宋体"/>
                <w:sz w:val="24"/>
                <w:szCs w:val="24"/>
              </w:rPr>
              <w:t>56</w:t>
            </w:r>
            <w:r>
              <w:rPr>
                <w:rFonts w:hint="eastAsia" w:ascii="宋体" w:hAnsi="宋体" w:eastAsia="宋体" w:cs="宋体"/>
                <w:sz w:val="24"/>
                <w:szCs w:val="24"/>
                <w:lang w:eastAsia="zh-CN"/>
              </w:rPr>
              <w:t>号 文件规定的社会事业领域“主题公园”和“旅游”项目）</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农村电网改造升级中央预算内投资工程验收</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列入国家定价目录、省市（县）定调价目录和行政事业性收费目录事项审批</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39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价格行政调解</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40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农产品成本调查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列入国家定价目录、省、市定（调）价目录和行政事业性单位收费事项成本监审</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县域城镇污水、垃圾、供水等基础设施项目涉及中央预算内投资计划项目申报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保障性住房项目涉及中央预算内投资计划项目申报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使用省级政府投资补助和贴息资金的公路运输场站项目申报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省级服务业发展引导资金项目申报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省节能减排专项资金申报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企业投资的国家级自然保护区、国家级风景名胜区、全国重点保护文物单位内限额在5000万元以上、世界自然和文化遗产保护区内限额在3000万元以上的建设项目核准申报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高速公路、干线公路、国防战备公路、农村公路、公路运输场站、水运建设项目年度交通建设计划编制并申报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49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非跨县（市）煤矿项目、可再生能源发电项目申报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外商投资项目、国外贷款项目、限额以下内资项目进口设备免税申报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利用国际金融组织贷款项目申报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686" w:hRule="exac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创业投资企业备案</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国家级及省级企业技术中心和工程研究中心申报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54</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污染治理和节能减碳中央预算内投资项目申报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55</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《外商投资产业指导目录》中有中方控股（含相对控股）要求的总投资（含增资）小于3亿美元的限制类项目核准的申报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rPr>
              <w:t>56</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国家发展改革委重点流域水环境综合治理专项中央预算内投资项目申报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57</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国家发展改革委黄河流域生态保护和高质量发展专项中央预算内投资项目申报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58</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省级核准的企业固定资产投资项目申请报告转送</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59</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地方企业债券发行申报（仅限用于固定资产投资项目的）</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736"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60</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基础产业项目中央预算内投资申报</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其他职权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61</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对在循环经济管理、科学技术研究、产品开发、示范和推广工作中做出显著成绩的单位和个人的表彰奖励</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62</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对在粉煤灰综合利用工作中有突出贡献的产灰、用灰、运灰、设计、科研和管理等单位及个人按规定予以表彰和奖励</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7" w:type="dxa"/>
          <w:trHeight w:val="855" w:hRule="atLeast"/>
        </w:trPr>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color w:val="000000"/>
                <w:sz w:val="24"/>
                <w:szCs w:val="24"/>
                <w:lang w:eastAsia="zh-CN"/>
              </w:rPr>
              <w:t>63</w:t>
            </w:r>
          </w:p>
        </w:tc>
        <w:tc>
          <w:tcPr>
            <w:tcW w:w="4700"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b/>
                <w:bCs/>
                <w:color w:val="auto"/>
                <w:kern w:val="0"/>
                <w:sz w:val="24"/>
                <w:szCs w:val="24"/>
              </w:rPr>
            </w:pPr>
            <w:r>
              <w:rPr>
                <w:rFonts w:hint="eastAsia" w:ascii="宋体" w:hAnsi="宋体" w:eastAsia="宋体" w:cs="宋体"/>
                <w:sz w:val="24"/>
                <w:szCs w:val="24"/>
              </w:rPr>
              <w:t>对价格监测工作取得突出成绩的单位和个人给予表彰和奖励</w:t>
            </w:r>
          </w:p>
        </w:tc>
        <w:tc>
          <w:tcPr>
            <w:tcW w:w="30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bCs/>
                <w:color w:val="auto"/>
                <w:kern w:val="0"/>
                <w:sz w:val="24"/>
                <w:szCs w:val="24"/>
              </w:rPr>
            </w:pPr>
            <w:r>
              <w:rPr>
                <w:rFonts w:hint="eastAsia" w:ascii="宋体" w:hAnsi="宋体" w:eastAsia="宋体" w:cs="宋体"/>
                <w:sz w:val="24"/>
                <w:szCs w:val="24"/>
                <w:lang w:eastAsia="zh-CN"/>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61" w:type="dxa"/>
            <w:gridSpan w:val="4"/>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w:t>
            </w:r>
            <w:r>
              <w:rPr>
                <w:rFonts w:hint="eastAsia" w:ascii="黑体" w:hAnsi="黑体" w:eastAsia="黑体" w:cs="宋体"/>
                <w:color w:val="auto"/>
                <w:kern w:val="0"/>
                <w:sz w:val="24"/>
                <w:szCs w:val="24"/>
                <w:lang w:eastAsia="zh-CN"/>
              </w:rPr>
              <w:t>发改委</w:t>
            </w:r>
            <w:r>
              <w:rPr>
                <w:rFonts w:hint="eastAsia" w:ascii="黑体" w:hAnsi="黑体" w:eastAsia="黑体" w:cs="宋体"/>
                <w:color w:val="auto"/>
                <w:kern w:val="0"/>
                <w:sz w:val="24"/>
                <w:szCs w:val="24"/>
              </w:rPr>
              <w:t>）行政职权</w:t>
            </w:r>
            <w:r>
              <w:rPr>
                <w:rFonts w:ascii="黑体" w:hAnsi="黑体" w:eastAsia="黑体" w:cs="宋体"/>
                <w:color w:val="auto"/>
                <w:kern w:val="0"/>
                <w:sz w:val="24"/>
                <w:szCs w:val="24"/>
              </w:rPr>
              <w:t>事项共</w:t>
            </w:r>
            <w:r>
              <w:rPr>
                <w:rFonts w:hint="eastAsia" w:ascii="黑体" w:hAnsi="黑体" w:eastAsia="黑体" w:cs="宋体"/>
                <w:color w:val="auto"/>
                <w:kern w:val="0"/>
                <w:sz w:val="24"/>
                <w:szCs w:val="24"/>
                <w:lang w:val="en-US" w:eastAsia="zh-CN"/>
              </w:rPr>
              <w:t>63</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其中</w:t>
            </w:r>
            <w:r>
              <w:rPr>
                <w:rFonts w:hint="eastAsia" w:ascii="黑体" w:hAnsi="黑体" w:eastAsia="黑体" w:cs="宋体"/>
                <w:color w:val="auto"/>
                <w:kern w:val="0"/>
                <w:sz w:val="24"/>
                <w:szCs w:val="24"/>
              </w:rPr>
              <w:t>：行政</w:t>
            </w:r>
            <w:r>
              <w:rPr>
                <w:rFonts w:ascii="黑体" w:hAnsi="黑体" w:eastAsia="黑体" w:cs="宋体"/>
                <w:color w:val="auto"/>
                <w:kern w:val="0"/>
                <w:sz w:val="24"/>
                <w:szCs w:val="24"/>
              </w:rPr>
              <w:t>许可</w:t>
            </w:r>
            <w:r>
              <w:rPr>
                <w:rFonts w:hint="eastAsia" w:ascii="黑体" w:hAnsi="黑体" w:eastAsia="黑体" w:cs="宋体"/>
                <w:color w:val="auto"/>
                <w:kern w:val="0"/>
                <w:sz w:val="24"/>
                <w:szCs w:val="24"/>
                <w:lang w:val="en-US" w:eastAsia="zh-CN"/>
              </w:rPr>
              <w:t>5</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行政处罚</w:t>
            </w:r>
            <w:r>
              <w:rPr>
                <w:rFonts w:hint="eastAsia" w:ascii="黑体" w:hAnsi="黑体" w:eastAsia="黑体" w:cs="宋体"/>
                <w:color w:val="auto"/>
                <w:kern w:val="0"/>
                <w:sz w:val="24"/>
                <w:szCs w:val="24"/>
                <w:lang w:val="en-US" w:eastAsia="zh-CN"/>
              </w:rPr>
              <w:t>16</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、行政强制</w:t>
            </w:r>
            <w:r>
              <w:rPr>
                <w:rFonts w:hint="eastAsia" w:ascii="黑体" w:hAnsi="黑体" w:eastAsia="黑体" w:cs="宋体"/>
                <w:color w:val="auto"/>
                <w:kern w:val="0"/>
                <w:sz w:val="24"/>
                <w:szCs w:val="24"/>
                <w:lang w:val="en-US" w:eastAsia="zh-CN"/>
              </w:rPr>
              <w:t>1</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w:t>
            </w:r>
            <w:r>
              <w:rPr>
                <w:rFonts w:hint="eastAsia" w:ascii="黑体" w:hAnsi="黑体" w:eastAsia="黑体" w:cs="宋体"/>
                <w:color w:val="auto"/>
                <w:kern w:val="0"/>
                <w:sz w:val="24"/>
                <w:szCs w:val="24"/>
              </w:rPr>
              <w:t>行政征收0项、行政给付0项、</w:t>
            </w:r>
            <w:r>
              <w:rPr>
                <w:rFonts w:ascii="黑体" w:hAnsi="黑体" w:eastAsia="黑体" w:cs="宋体"/>
                <w:color w:val="auto"/>
                <w:kern w:val="0"/>
                <w:sz w:val="24"/>
                <w:szCs w:val="24"/>
              </w:rPr>
              <w:t>行政检查</w:t>
            </w:r>
            <w:r>
              <w:rPr>
                <w:rFonts w:hint="eastAsia" w:ascii="黑体" w:hAnsi="黑体" w:eastAsia="黑体" w:cs="宋体"/>
                <w:color w:val="auto"/>
                <w:kern w:val="0"/>
                <w:sz w:val="24"/>
                <w:szCs w:val="24"/>
                <w:lang w:val="en-US" w:eastAsia="zh-CN"/>
              </w:rPr>
              <w:t>4</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、行政确认</w:t>
            </w:r>
            <w:r>
              <w:rPr>
                <w:rFonts w:hint="eastAsia" w:ascii="黑体" w:hAnsi="黑体" w:eastAsia="黑体" w:cs="宋体"/>
                <w:color w:val="auto"/>
                <w:kern w:val="0"/>
                <w:sz w:val="24"/>
                <w:szCs w:val="24"/>
                <w:lang w:val="en-US" w:eastAsia="zh-CN"/>
              </w:rPr>
              <w:t>8</w:t>
            </w:r>
            <w:r>
              <w:rPr>
                <w:rFonts w:hint="eastAsia" w:ascii="黑体" w:hAnsi="黑体" w:eastAsia="黑体" w:cs="宋体"/>
                <w:color w:val="auto"/>
                <w:kern w:val="0"/>
                <w:sz w:val="24"/>
                <w:szCs w:val="24"/>
              </w:rPr>
              <w:t>项</w:t>
            </w:r>
            <w:r>
              <w:rPr>
                <w:rFonts w:ascii="黑体" w:hAnsi="黑体" w:eastAsia="黑体" w:cs="宋体"/>
                <w:color w:val="auto"/>
                <w:kern w:val="0"/>
                <w:sz w:val="24"/>
                <w:szCs w:val="24"/>
              </w:rPr>
              <w:t>、其他职权</w:t>
            </w:r>
            <w:r>
              <w:rPr>
                <w:rFonts w:hint="eastAsia" w:ascii="黑体" w:hAnsi="黑体" w:eastAsia="黑体" w:cs="宋体"/>
                <w:color w:val="auto"/>
                <w:kern w:val="0"/>
                <w:sz w:val="24"/>
                <w:szCs w:val="24"/>
                <w:lang w:val="en-US" w:eastAsia="zh-CN"/>
              </w:rPr>
              <w:t>26</w:t>
            </w:r>
            <w:r>
              <w:rPr>
                <w:rFonts w:hint="eastAsia" w:ascii="黑体" w:hAnsi="黑体" w:eastAsia="黑体" w:cs="宋体"/>
                <w:color w:val="auto"/>
                <w:kern w:val="0"/>
                <w:sz w:val="24"/>
                <w:szCs w:val="24"/>
              </w:rPr>
              <w:t>项</w:t>
            </w:r>
            <w:r>
              <w:rPr>
                <w:rFonts w:hint="eastAsia" w:ascii="黑体" w:hAnsi="黑体" w:eastAsia="黑体" w:cs="宋体"/>
                <w:color w:val="auto"/>
                <w:kern w:val="0"/>
                <w:sz w:val="24"/>
                <w:szCs w:val="24"/>
                <w:lang w:eastAsia="zh-CN"/>
              </w:rPr>
              <w:t>、行政奖励</w:t>
            </w:r>
            <w:r>
              <w:rPr>
                <w:rFonts w:hint="eastAsia" w:ascii="黑体" w:hAnsi="黑体" w:eastAsia="黑体" w:cs="宋体"/>
                <w:color w:val="auto"/>
                <w:kern w:val="0"/>
                <w:sz w:val="24"/>
                <w:szCs w:val="24"/>
                <w:lang w:val="en-US" w:eastAsia="zh-CN"/>
              </w:rPr>
              <w:t>3项</w:t>
            </w:r>
            <w:r>
              <w:rPr>
                <w:rFonts w:hint="eastAsia" w:ascii="黑体" w:hAnsi="黑体" w:eastAsia="黑体" w:cs="宋体"/>
                <w:color w:val="auto"/>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061" w:type="dxa"/>
            <w:gridSpan w:val="4"/>
            <w:tcBorders>
              <w:top w:val="single" w:color="auto" w:sz="4" w:space="0"/>
              <w:left w:val="nil"/>
              <w:bottom w:val="nil"/>
              <w:right w:val="nil"/>
            </w:tcBorders>
            <w:vAlign w:val="center"/>
          </w:tcPr>
          <w:p>
            <w:pPr>
              <w:widowControl/>
              <w:spacing w:line="400" w:lineRule="exact"/>
              <w:ind w:left="840" w:hanging="840" w:hangingChars="300"/>
              <w:jc w:val="left"/>
              <w:rPr>
                <w:rFonts w:ascii="Courier New" w:hAnsi="Courier New" w:eastAsia="宋体" w:cs="宋体"/>
                <w:color w:val="auto"/>
                <w:kern w:val="0"/>
                <w:sz w:val="28"/>
                <w:szCs w:val="28"/>
              </w:rPr>
            </w:pPr>
            <w:r>
              <w:rPr>
                <w:rFonts w:hint="eastAsia" w:ascii="Courier New" w:hAnsi="Courier New" w:eastAsia="宋体" w:cs="宋体"/>
                <w:color w:val="auto"/>
                <w:kern w:val="0"/>
                <w:sz w:val="28"/>
                <w:szCs w:val="28"/>
              </w:rPr>
              <w:t>说明</w:t>
            </w:r>
            <w:r>
              <w:rPr>
                <w:rFonts w:ascii="Courier New" w:hAnsi="Courier New" w:eastAsia="宋体" w:cs="宋体"/>
                <w:color w:val="auto"/>
                <w:kern w:val="0"/>
                <w:sz w:val="28"/>
                <w:szCs w:val="28"/>
              </w:rPr>
              <w:t>：各部门按照行政许可、行政处罚、行政强制、行政征收、行政给付、</w:t>
            </w:r>
          </w:p>
          <w:p>
            <w:pPr>
              <w:widowControl/>
              <w:spacing w:line="400" w:lineRule="exact"/>
              <w:ind w:left="838" w:leftChars="399"/>
              <w:jc w:val="left"/>
              <w:rPr>
                <w:rFonts w:ascii="Courier New" w:hAnsi="Courier New" w:eastAsia="宋体" w:cs="宋体"/>
                <w:color w:val="auto"/>
                <w:kern w:val="0"/>
                <w:sz w:val="28"/>
                <w:szCs w:val="28"/>
              </w:rPr>
            </w:pPr>
            <w:r>
              <w:rPr>
                <w:rFonts w:ascii="Courier New" w:hAnsi="Courier New" w:eastAsia="宋体" w:cs="宋体"/>
                <w:color w:val="auto"/>
                <w:kern w:val="0"/>
                <w:sz w:val="28"/>
                <w:szCs w:val="28"/>
              </w:rPr>
              <w:t>行政检查、行政确认、其他职权8个类别，按顺序分类汇总。</w:t>
            </w:r>
          </w:p>
        </w:tc>
      </w:tr>
    </w:tbl>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等线" w:hAnsi="等线" w:eastAsia="等线" w:cs="黑体"/>
        <w:kern w:val="2"/>
        <w:sz w:val="18"/>
        <w:szCs w:val="22"/>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等线"/>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ZDNmMmIwNWI3ZmViMTYwMDY4ZTA1NDk0NWM0NzkifQ=="/>
  </w:docVars>
  <w:rsids>
    <w:rsidRoot w:val="00000000"/>
    <w:rsid w:val="04E529D1"/>
    <w:rsid w:val="06DF7C38"/>
    <w:rsid w:val="1794426A"/>
    <w:rsid w:val="19E600BE"/>
    <w:rsid w:val="1A710F7F"/>
    <w:rsid w:val="25695D11"/>
    <w:rsid w:val="2B421702"/>
    <w:rsid w:val="31DB25F9"/>
    <w:rsid w:val="36C5060A"/>
    <w:rsid w:val="38155039"/>
    <w:rsid w:val="4945187D"/>
    <w:rsid w:val="4DC34958"/>
    <w:rsid w:val="63B161BF"/>
    <w:rsid w:val="678A5BE0"/>
    <w:rsid w:val="68757459"/>
    <w:rsid w:val="710507C9"/>
    <w:rsid w:val="729A01E8"/>
    <w:rsid w:val="77D44C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paragraph" w:styleId="2">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Pages>
  <Words>2727</Words>
  <Characters>2808</Characters>
  <Lines>1</Lines>
  <Paragraphs>1</Paragraphs>
  <TotalTime>1</TotalTime>
  <ScaleCrop>false</ScaleCrop>
  <LinksUpToDate>false</LinksUpToDate>
  <CharactersWithSpaces>2825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2019-09-12T00:15:00Z</dcterms:created>
  <dc:creator>User</dc:creator>
  <cp:lastModifiedBy>pc</cp:lastModifiedBy>
  <cp:lastPrinted>2022-02-25T14:57:00Z</cp:lastPrinted>
  <dcterms:modified xsi:type="dcterms:W3CDTF">2023-01-20T06:59:18Z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76028F313C3045D1B60B09F805DF88ED</vt:lpwstr>
  </property>
</Properties>
</file>