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叶</w:t>
      </w:r>
      <w:r>
        <w:rPr>
          <w:rFonts w:hint="eastAsia" w:ascii="方正小标宋_GBK" w:hAnsi="方正小标宋_GBK" w:eastAsia="方正小标宋_GBK" w:cs="方正小标宋_GBK"/>
          <w:b w:val="0"/>
          <w:bCs w:val="0"/>
          <w:sz w:val="44"/>
          <w:szCs w:val="44"/>
          <w:lang w:val="en-US" w:eastAsia="zh-CN"/>
        </w:rPr>
        <w:t xml:space="preserve"> </w:t>
      </w:r>
      <w:r>
        <w:rPr>
          <w:rFonts w:hint="eastAsia" w:ascii="方正小标宋_GBK" w:hAnsi="方正小标宋_GBK" w:eastAsia="方正小标宋_GBK" w:cs="方正小标宋_GBK"/>
          <w:b w:val="0"/>
          <w:bCs w:val="0"/>
          <w:sz w:val="44"/>
          <w:szCs w:val="44"/>
          <w:lang w:eastAsia="zh-CN"/>
        </w:rPr>
        <w:t>县</w:t>
      </w:r>
      <w:r>
        <w:rPr>
          <w:rFonts w:hint="eastAsia" w:ascii="方正小标宋_GBK" w:hAnsi="方正小标宋_GBK" w:eastAsia="方正小标宋_GBK" w:cs="方正小标宋_GBK"/>
          <w:b w:val="0"/>
          <w:bCs w:val="0"/>
          <w:sz w:val="44"/>
          <w:szCs w:val="44"/>
          <w:lang w:val="en-US" w:eastAsia="zh-CN"/>
        </w:rPr>
        <w:t xml:space="preserve"> </w:t>
      </w:r>
      <w:r>
        <w:rPr>
          <w:rFonts w:hint="eastAsia" w:ascii="方正小标宋_GBK" w:hAnsi="方正小标宋_GBK" w:eastAsia="方正小标宋_GBK" w:cs="方正小标宋_GBK"/>
          <w:b w:val="0"/>
          <w:bCs w:val="0"/>
          <w:sz w:val="44"/>
          <w:szCs w:val="44"/>
          <w:lang w:eastAsia="zh-CN"/>
        </w:rPr>
        <w:t>人</w:t>
      </w:r>
      <w:r>
        <w:rPr>
          <w:rFonts w:hint="eastAsia" w:ascii="方正小标宋_GBK" w:hAnsi="方正小标宋_GBK" w:eastAsia="方正小标宋_GBK" w:cs="方正小标宋_GBK"/>
          <w:b w:val="0"/>
          <w:bCs w:val="0"/>
          <w:sz w:val="44"/>
          <w:szCs w:val="44"/>
          <w:lang w:val="en-US" w:eastAsia="zh-CN"/>
        </w:rPr>
        <w:t xml:space="preserve"> </w:t>
      </w:r>
      <w:r>
        <w:rPr>
          <w:rFonts w:hint="eastAsia" w:ascii="方正小标宋_GBK" w:hAnsi="方正小标宋_GBK" w:eastAsia="方正小标宋_GBK" w:cs="方正小标宋_GBK"/>
          <w:b w:val="0"/>
          <w:bCs w:val="0"/>
          <w:sz w:val="44"/>
          <w:szCs w:val="44"/>
          <w:lang w:eastAsia="zh-CN"/>
        </w:rPr>
        <w:t>民</w:t>
      </w:r>
      <w:r>
        <w:rPr>
          <w:rFonts w:hint="eastAsia" w:ascii="方正小标宋_GBK" w:hAnsi="方正小标宋_GBK" w:eastAsia="方正小标宋_GBK" w:cs="方正小标宋_GBK"/>
          <w:b w:val="0"/>
          <w:bCs w:val="0"/>
          <w:sz w:val="44"/>
          <w:szCs w:val="44"/>
          <w:lang w:val="en-US" w:eastAsia="zh-CN"/>
        </w:rPr>
        <w:t xml:space="preserve"> </w:t>
      </w:r>
      <w:r>
        <w:rPr>
          <w:rFonts w:hint="eastAsia" w:ascii="方正小标宋_GBK" w:hAnsi="方正小标宋_GBK" w:eastAsia="方正小标宋_GBK" w:cs="方正小标宋_GBK"/>
          <w:b w:val="0"/>
          <w:bCs w:val="0"/>
          <w:sz w:val="44"/>
          <w:szCs w:val="44"/>
          <w:lang w:eastAsia="zh-CN"/>
        </w:rPr>
        <w:t>政</w:t>
      </w:r>
      <w:r>
        <w:rPr>
          <w:rFonts w:hint="eastAsia" w:ascii="方正小标宋_GBK" w:hAnsi="方正小标宋_GBK" w:eastAsia="方正小标宋_GBK" w:cs="方正小标宋_GBK"/>
          <w:b w:val="0"/>
          <w:bCs w:val="0"/>
          <w:sz w:val="44"/>
          <w:szCs w:val="44"/>
          <w:lang w:val="en-US" w:eastAsia="zh-CN"/>
        </w:rPr>
        <w:t xml:space="preserve"> </w:t>
      </w:r>
      <w:r>
        <w:rPr>
          <w:rFonts w:hint="eastAsia" w:ascii="方正小标宋_GBK" w:hAnsi="方正小标宋_GBK" w:eastAsia="方正小标宋_GBK" w:cs="方正小标宋_GBK"/>
          <w:b w:val="0"/>
          <w:bCs w:val="0"/>
          <w:sz w:val="44"/>
          <w:szCs w:val="44"/>
          <w:lang w:eastAsia="zh-CN"/>
        </w:rPr>
        <w:t>府</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w:t>
      </w:r>
      <w:r>
        <w:rPr>
          <w:rFonts w:hint="eastAsia" w:ascii="方正小标宋_GBK" w:hAnsi="方正小标宋_GBK" w:eastAsia="方正小标宋_GBK" w:cs="方正小标宋_GBK"/>
          <w:b w:val="0"/>
          <w:bCs w:val="0"/>
          <w:sz w:val="44"/>
          <w:szCs w:val="44"/>
          <w:lang w:eastAsia="zh-CN"/>
        </w:rPr>
        <w:t>公布叶县</w:t>
      </w:r>
      <w:r>
        <w:rPr>
          <w:rFonts w:hint="eastAsia" w:ascii="方正小标宋_GBK" w:hAnsi="方正小标宋_GBK" w:eastAsia="方正小标宋_GBK" w:cs="方正小标宋_GBK"/>
          <w:b w:val="0"/>
          <w:bCs w:val="0"/>
          <w:sz w:val="44"/>
          <w:szCs w:val="44"/>
        </w:rPr>
        <w:t>禁止使用高排放</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非道路移动机械区域的</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通</w:t>
      </w:r>
      <w:r>
        <w:rPr>
          <w:rFonts w:hint="eastAsia" w:ascii="方正小标宋_GBK" w:hAnsi="方正小标宋_GBK" w:eastAsia="方正小标宋_GBK" w:cs="方正小标宋_GBK"/>
          <w:b w:val="0"/>
          <w:bCs w:val="0"/>
          <w:sz w:val="44"/>
          <w:szCs w:val="44"/>
          <w:lang w:val="en-US" w:eastAsia="zh-CN"/>
        </w:rPr>
        <w:t xml:space="preserve">  </w:t>
      </w:r>
      <w:r>
        <w:rPr>
          <w:rFonts w:hint="eastAsia" w:ascii="方正小标宋_GBK" w:hAnsi="方正小标宋_GBK" w:eastAsia="方正小标宋_GBK" w:cs="方正小标宋_GBK"/>
          <w:b w:val="0"/>
          <w:bCs w:val="0"/>
          <w:sz w:val="44"/>
          <w:szCs w:val="44"/>
        </w:rPr>
        <w:t>告</w:t>
      </w:r>
    </w:p>
    <w:p>
      <w:pPr>
        <w:keepNext w:val="0"/>
        <w:keepLines w:val="0"/>
        <w:pageBreakBefore w:val="0"/>
        <w:widowControl w:val="0"/>
        <w:tabs>
          <w:tab w:val="left" w:pos="12411"/>
          <w:tab w:val="left" w:pos="12608"/>
        </w:tabs>
        <w:kinsoku/>
        <w:wordWrap/>
        <w:overflowPunct/>
        <w:topLinePunct w:val="0"/>
        <w:autoSpaceDE/>
        <w:autoSpaceDN/>
        <w:bidi w:val="0"/>
        <w:adjustRightInd/>
        <w:snapToGrid/>
        <w:spacing w:line="572" w:lineRule="exact"/>
        <w:jc w:val="center"/>
        <w:textAlignment w:val="auto"/>
        <w:rPr>
          <w:rFonts w:hint="eastAsia" w:ascii="方正小标宋_GBK" w:hAnsi="方正小标宋_GBK" w:eastAsia="方正小标宋_GBK" w:cs="方正小标宋_GBK"/>
          <w:b w:val="0"/>
          <w:bCs w:val="0"/>
          <w:sz w:val="44"/>
          <w:szCs w:val="44"/>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号</w:t>
      </w:r>
    </w:p>
    <w:p>
      <w:pPr>
        <w:keepNext w:val="0"/>
        <w:keepLines w:val="0"/>
        <w:pageBreakBefore w:val="0"/>
        <w:kinsoku/>
        <w:wordWrap/>
        <w:overflowPunct/>
        <w:topLinePunct w:val="0"/>
        <w:autoSpaceDE/>
        <w:autoSpaceDN/>
        <w:bidi w:val="0"/>
        <w:adjustRightInd/>
        <w:snapToGrid/>
        <w:spacing w:line="572" w:lineRule="exact"/>
        <w:ind w:firstLine="640" w:firstLineChars="200"/>
        <w:jc w:val="both"/>
        <w:textAlignment w:val="auto"/>
        <w:rPr>
          <w:rFonts w:hint="eastAsia" w:ascii="宋体" w:hAnsi="宋体" w:eastAsia="宋体" w:cs="宋体"/>
          <w:color w:val="000000"/>
          <w:sz w:val="32"/>
          <w:szCs w:val="32"/>
        </w:rPr>
      </w:pPr>
    </w:p>
    <w:p>
      <w:pPr>
        <w:keepNext w:val="0"/>
        <w:keepLines w:val="0"/>
        <w:pageBreakBefore w:val="0"/>
        <w:kinsoku/>
        <w:wordWrap/>
        <w:overflowPunct/>
        <w:topLinePunct w:val="0"/>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eastAsia="zh-CN"/>
        </w:rPr>
        <w:t>加强高排放非道路移动机械监管，</w:t>
      </w:r>
      <w:r>
        <w:rPr>
          <w:rFonts w:hint="eastAsia" w:ascii="仿宋_GB2312" w:hAnsi="仿宋_GB2312" w:eastAsia="仿宋_GB2312" w:cs="仿宋_GB2312"/>
          <w:color w:val="000000"/>
          <w:sz w:val="32"/>
          <w:szCs w:val="32"/>
        </w:rPr>
        <w:t>进一步减少非道路</w:t>
      </w: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移动机械污染</w:t>
      </w:r>
      <w:r>
        <w:rPr>
          <w:rFonts w:hint="eastAsia" w:ascii="仿宋_GB2312" w:hAnsi="仿宋_GB2312" w:eastAsia="仿宋_GB2312" w:cs="仿宋_GB2312"/>
          <w:color w:val="000000"/>
          <w:sz w:val="32"/>
          <w:szCs w:val="32"/>
          <w:lang w:eastAsia="zh-CN"/>
        </w:rPr>
        <w:t>物</w:t>
      </w:r>
      <w:r>
        <w:rPr>
          <w:rFonts w:hint="eastAsia" w:ascii="仿宋_GB2312" w:hAnsi="仿宋_GB2312" w:eastAsia="仿宋_GB2312" w:cs="仿宋_GB2312"/>
          <w:color w:val="000000"/>
          <w:sz w:val="32"/>
          <w:szCs w:val="32"/>
        </w:rPr>
        <w:t>排放，</w:t>
      </w:r>
      <w:r>
        <w:rPr>
          <w:rFonts w:hint="eastAsia" w:ascii="仿宋_GB2312" w:hAnsi="仿宋_GB2312" w:eastAsia="仿宋_GB2312" w:cs="仿宋_GB2312"/>
          <w:color w:val="000000"/>
          <w:sz w:val="32"/>
          <w:szCs w:val="32"/>
          <w:lang w:eastAsia="zh-CN"/>
        </w:rPr>
        <w:t>有效</w:t>
      </w:r>
      <w:r>
        <w:rPr>
          <w:rFonts w:hint="eastAsia" w:ascii="仿宋_GB2312" w:hAnsi="仿宋_GB2312" w:eastAsia="仿宋_GB2312" w:cs="仿宋_GB2312"/>
          <w:color w:val="000000"/>
          <w:sz w:val="32"/>
          <w:szCs w:val="32"/>
        </w:rPr>
        <w:t>改善</w:t>
      </w:r>
      <w:r>
        <w:rPr>
          <w:rFonts w:hint="eastAsia" w:ascii="仿宋_GB2312" w:hAnsi="仿宋_GB2312" w:eastAsia="仿宋_GB2312" w:cs="仿宋_GB2312"/>
          <w:color w:val="000000"/>
          <w:sz w:val="32"/>
          <w:szCs w:val="32"/>
          <w:lang w:eastAsia="zh-CN"/>
        </w:rPr>
        <w:t>全县</w:t>
      </w:r>
      <w:r>
        <w:rPr>
          <w:rFonts w:hint="eastAsia" w:ascii="仿宋_GB2312" w:hAnsi="仿宋_GB2312" w:eastAsia="仿宋_GB2312" w:cs="仿宋_GB2312"/>
          <w:sz w:val="32"/>
          <w:szCs w:val="32"/>
        </w:rPr>
        <w:t>空气质量，根据《中华人民共和国大气污染防治法》</w:t>
      </w:r>
      <w:r>
        <w:rPr>
          <w:rFonts w:hint="eastAsia" w:ascii="仿宋_GB2312" w:hAnsi="仿宋_GB2312" w:eastAsia="仿宋_GB2312" w:cs="仿宋_GB2312"/>
          <w:sz w:val="32"/>
          <w:szCs w:val="32"/>
          <w:lang w:eastAsia="zh-CN"/>
        </w:rPr>
        <w:t>有关规定</w:t>
      </w:r>
      <w:r>
        <w:rPr>
          <w:rFonts w:hint="eastAsia" w:ascii="仿宋_GB2312" w:hAnsi="仿宋_GB2312" w:eastAsia="仿宋_GB2312" w:cs="仿宋_GB2312"/>
          <w:sz w:val="32"/>
          <w:szCs w:val="32"/>
        </w:rPr>
        <w:t>，结合我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实际，现</w:t>
      </w:r>
      <w:r>
        <w:rPr>
          <w:rFonts w:hint="eastAsia" w:ascii="仿宋_GB2312" w:hAnsi="仿宋_GB2312" w:eastAsia="仿宋_GB2312" w:cs="仿宋_GB2312"/>
          <w:spacing w:val="-6"/>
          <w:sz w:val="32"/>
          <w:szCs w:val="32"/>
          <w:lang w:eastAsia="zh-CN"/>
        </w:rPr>
        <w:t>对我县</w:t>
      </w:r>
      <w:r>
        <w:rPr>
          <w:rFonts w:hint="eastAsia" w:ascii="仿宋_GB2312" w:hAnsi="仿宋_GB2312" w:eastAsia="仿宋_GB2312" w:cs="仿宋_GB2312"/>
          <w:spacing w:val="-6"/>
          <w:sz w:val="32"/>
          <w:szCs w:val="32"/>
        </w:rPr>
        <w:t>高排放非道路移动机械</w:t>
      </w:r>
      <w:r>
        <w:rPr>
          <w:rFonts w:hint="eastAsia" w:ascii="仿宋_GB2312" w:hAnsi="仿宋_GB2312" w:eastAsia="仿宋_GB2312" w:cs="仿宋_GB2312"/>
          <w:spacing w:val="-6"/>
          <w:sz w:val="32"/>
          <w:szCs w:val="32"/>
          <w:lang w:eastAsia="zh-CN"/>
        </w:rPr>
        <w:t>禁用</w:t>
      </w:r>
      <w:r>
        <w:rPr>
          <w:rFonts w:hint="eastAsia" w:ascii="仿宋_GB2312" w:hAnsi="仿宋_GB2312" w:eastAsia="仿宋_GB2312" w:cs="仿宋_GB2312"/>
          <w:spacing w:val="-6"/>
          <w:sz w:val="32"/>
          <w:szCs w:val="32"/>
        </w:rPr>
        <w:t>区域</w:t>
      </w:r>
      <w:r>
        <w:rPr>
          <w:rFonts w:hint="eastAsia" w:ascii="仿宋_GB2312" w:hAnsi="仿宋_GB2312" w:eastAsia="仿宋_GB2312" w:cs="仿宋_GB2312"/>
          <w:spacing w:val="-6"/>
          <w:sz w:val="32"/>
          <w:szCs w:val="32"/>
          <w:lang w:eastAsia="zh-CN"/>
        </w:rPr>
        <w:t>予以调整并</w:t>
      </w:r>
      <w:r>
        <w:rPr>
          <w:rFonts w:hint="eastAsia" w:ascii="仿宋_GB2312" w:hAnsi="仿宋_GB2312" w:eastAsia="仿宋_GB2312" w:cs="仿宋_GB2312"/>
          <w:spacing w:val="-6"/>
          <w:sz w:val="32"/>
          <w:szCs w:val="32"/>
        </w:rPr>
        <w:t>通告如下：</w:t>
      </w:r>
    </w:p>
    <w:p>
      <w:pPr>
        <w:keepNext w:val="0"/>
        <w:keepLines w:val="0"/>
        <w:pageBreakBefore w:val="0"/>
        <w:kinsoku/>
        <w:wordWrap/>
        <w:overflowPunct/>
        <w:topLinePunct w:val="0"/>
        <w:autoSpaceDE/>
        <w:autoSpaceDN/>
        <w:bidi w:val="0"/>
        <w:adjustRightInd/>
        <w:snapToGrid/>
        <w:spacing w:line="572"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一、非道路移动机械的定义</w:t>
      </w:r>
      <w:bookmarkStart w:id="0" w:name="_GoBack"/>
      <w:bookmarkEnd w:id="0"/>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本通告所指的</w:t>
      </w:r>
      <w:r>
        <w:rPr>
          <w:rFonts w:hint="eastAsia" w:ascii="仿宋_GB2312" w:hAnsi="仿宋_GB2312" w:eastAsia="仿宋_GB2312" w:cs="仿宋_GB2312"/>
          <w:sz w:val="32"/>
          <w:szCs w:val="32"/>
        </w:rPr>
        <w:t>非道路移动机械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是指装配柴油机的各类非道路移动机械（既能自驱动又能进行其它功能操作的机械和不能自驱动但被设计成能够从一个地方移动或被移动到另一个地方的机械）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包括工程机械（装载机、挖掘机、推土机、压路机、沥青摊铺机、叉车、铲车、推车、吊车、非公路用卡车等）、农业机械（大、中、小型拖拉机和联合收割机等）、林业机械、材料装卸机械、渔业机械、工业钻探设备、空气压缩机、发电机组、水泵</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72"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b w:val="0"/>
          <w:bCs w:val="0"/>
          <w:sz w:val="32"/>
          <w:szCs w:val="32"/>
          <w:lang w:val="en-US" w:eastAsia="zh-CN"/>
        </w:rPr>
        <w:t>二、禁用区域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2" w:lineRule="exact"/>
        <w:ind w:firstLine="672" w:firstLineChars="200"/>
        <w:textAlignment w:val="auto"/>
        <w:rPr>
          <w:rFonts w:hint="eastAsia" w:ascii="仿宋_GB2312" w:hAnsi="仿宋_GB2312" w:eastAsia="仿宋_GB2312" w:cs="仿宋_GB2312"/>
          <w:color w:val="444444"/>
          <w:spacing w:val="8"/>
          <w:sz w:val="32"/>
          <w:szCs w:val="32"/>
          <w:lang w:eastAsia="zh-CN"/>
        </w:rPr>
      </w:pPr>
      <w:r>
        <w:rPr>
          <w:rFonts w:hint="eastAsia" w:ascii="仿宋_GB2312" w:hAnsi="仿宋_GB2312" w:eastAsia="仿宋_GB2312" w:cs="仿宋_GB2312"/>
          <w:color w:val="444444"/>
          <w:spacing w:val="8"/>
          <w:sz w:val="32"/>
          <w:szCs w:val="32"/>
        </w:rPr>
        <w:t>叶县产业集聚区隆鑫大道</w:t>
      </w:r>
      <w:r>
        <w:rPr>
          <w:rFonts w:hint="eastAsia" w:ascii="仿宋_GB2312" w:hAnsi="仿宋_GB2312" w:eastAsia="仿宋_GB2312" w:cs="仿宋_GB2312"/>
          <w:color w:val="444444"/>
          <w:spacing w:val="8"/>
          <w:sz w:val="32"/>
          <w:szCs w:val="32"/>
          <w:lang w:eastAsia="zh-CN"/>
        </w:rPr>
        <w:t>（不含）</w:t>
      </w:r>
      <w:r>
        <w:rPr>
          <w:rFonts w:hint="eastAsia" w:ascii="仿宋_GB2312" w:hAnsi="仿宋_GB2312" w:eastAsia="仿宋_GB2312" w:cs="仿宋_GB2312"/>
          <w:color w:val="444444"/>
          <w:spacing w:val="8"/>
          <w:sz w:val="32"/>
          <w:szCs w:val="32"/>
        </w:rPr>
        <w:t>以西、</w:t>
      </w:r>
      <w:r>
        <w:rPr>
          <w:rFonts w:hint="eastAsia" w:ascii="仿宋_GB2312" w:hAnsi="仿宋_GB2312" w:eastAsia="仿宋_GB2312" w:cs="仿宋_GB2312"/>
          <w:color w:val="444444"/>
          <w:spacing w:val="8"/>
          <w:sz w:val="32"/>
          <w:szCs w:val="32"/>
          <w:lang w:eastAsia="zh-CN"/>
        </w:rPr>
        <w:t>北</w:t>
      </w:r>
      <w:r>
        <w:rPr>
          <w:rFonts w:hint="eastAsia" w:ascii="仿宋_GB2312" w:hAnsi="仿宋_GB2312" w:eastAsia="仿宋_GB2312" w:cs="仿宋_GB2312"/>
          <w:color w:val="444444"/>
          <w:spacing w:val="8"/>
          <w:sz w:val="32"/>
          <w:szCs w:val="32"/>
        </w:rPr>
        <w:t>环路</w:t>
      </w:r>
      <w:r>
        <w:rPr>
          <w:rFonts w:hint="eastAsia" w:ascii="仿宋_GB2312" w:hAnsi="仿宋_GB2312" w:eastAsia="仿宋_GB2312" w:cs="仿宋_GB2312"/>
          <w:color w:val="444444"/>
          <w:spacing w:val="8"/>
          <w:sz w:val="32"/>
          <w:szCs w:val="32"/>
          <w:lang w:eastAsia="zh-CN"/>
        </w:rPr>
        <w:t>（不含）</w:t>
      </w:r>
      <w:r>
        <w:rPr>
          <w:rFonts w:hint="eastAsia" w:ascii="仿宋_GB2312" w:hAnsi="仿宋_GB2312" w:eastAsia="仿宋_GB2312" w:cs="仿宋_GB2312"/>
          <w:color w:val="444444"/>
          <w:spacing w:val="8"/>
          <w:sz w:val="32"/>
          <w:szCs w:val="32"/>
        </w:rPr>
        <w:t>以南、</w:t>
      </w:r>
      <w:r>
        <w:rPr>
          <w:rFonts w:hint="eastAsia" w:ascii="仿宋_GB2312" w:hAnsi="仿宋_GB2312" w:eastAsia="仿宋_GB2312" w:cs="仿宋_GB2312"/>
          <w:color w:val="444444"/>
          <w:spacing w:val="8"/>
          <w:sz w:val="32"/>
          <w:szCs w:val="32"/>
          <w:lang w:eastAsia="zh-CN"/>
        </w:rPr>
        <w:t>平叶快速路（不含）以东</w:t>
      </w:r>
      <w:r>
        <w:rPr>
          <w:rFonts w:hint="eastAsia" w:ascii="仿宋_GB2312" w:hAnsi="仿宋_GB2312" w:eastAsia="仿宋_GB2312" w:cs="仿宋_GB2312"/>
          <w:color w:val="444444"/>
          <w:spacing w:val="8"/>
          <w:sz w:val="32"/>
          <w:szCs w:val="32"/>
        </w:rPr>
        <w:t>、昆水路</w:t>
      </w:r>
      <w:r>
        <w:rPr>
          <w:rFonts w:hint="eastAsia" w:ascii="仿宋_GB2312" w:hAnsi="仿宋_GB2312" w:eastAsia="仿宋_GB2312" w:cs="仿宋_GB2312"/>
          <w:color w:val="444444"/>
          <w:spacing w:val="8"/>
          <w:sz w:val="32"/>
          <w:szCs w:val="32"/>
          <w:lang w:eastAsia="zh-CN"/>
        </w:rPr>
        <w:t>（不含）</w:t>
      </w:r>
      <w:r>
        <w:rPr>
          <w:rFonts w:hint="eastAsia" w:ascii="仿宋_GB2312" w:hAnsi="仿宋_GB2312" w:eastAsia="仿宋_GB2312" w:cs="仿宋_GB2312"/>
          <w:color w:val="444444"/>
          <w:spacing w:val="8"/>
          <w:sz w:val="32"/>
          <w:szCs w:val="32"/>
        </w:rPr>
        <w:t>以北的</w:t>
      </w:r>
      <w:r>
        <w:rPr>
          <w:rFonts w:hint="eastAsia" w:ascii="仿宋_GB2312" w:hAnsi="仿宋_GB2312" w:eastAsia="仿宋_GB2312" w:cs="仿宋_GB2312"/>
          <w:color w:val="444444"/>
          <w:spacing w:val="8"/>
          <w:sz w:val="32"/>
          <w:szCs w:val="32"/>
          <w:lang w:eastAsia="zh-CN"/>
        </w:rPr>
        <w:t>合围</w:t>
      </w:r>
      <w:r>
        <w:rPr>
          <w:rFonts w:hint="eastAsia" w:ascii="仿宋_GB2312" w:hAnsi="仿宋_GB2312" w:eastAsia="仿宋_GB2312" w:cs="仿宋_GB2312"/>
          <w:color w:val="444444"/>
          <w:spacing w:val="8"/>
          <w:sz w:val="32"/>
          <w:szCs w:val="32"/>
        </w:rPr>
        <w:t>区域</w:t>
      </w:r>
      <w:r>
        <w:rPr>
          <w:rFonts w:hint="eastAsia" w:ascii="仿宋_GB2312" w:hAnsi="仿宋_GB2312" w:eastAsia="仿宋_GB2312" w:cs="仿宋_GB2312"/>
          <w:color w:val="444444"/>
          <w:spacing w:val="8"/>
          <w:sz w:val="32"/>
          <w:szCs w:val="32"/>
          <w:lang w:eastAsia="zh-CN"/>
        </w:rPr>
        <w:t>以及全县辖区内</w:t>
      </w:r>
      <w:r>
        <w:rPr>
          <w:rFonts w:hint="eastAsia" w:ascii="仿宋_GB2312" w:hAnsi="仿宋_GB2312" w:eastAsia="仿宋_GB2312" w:cs="仿宋_GB2312"/>
          <w:sz w:val="32"/>
          <w:szCs w:val="32"/>
        </w:rPr>
        <w:t>施工工地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铁路货场、物流园区、工矿企业</w:t>
      </w:r>
      <w:r>
        <w:rPr>
          <w:rFonts w:hint="eastAsia" w:ascii="仿宋_GB2312" w:hAnsi="仿宋_GB2312" w:eastAsia="仿宋_GB2312" w:cs="仿宋_GB2312"/>
          <w:sz w:val="32"/>
          <w:szCs w:val="32"/>
          <w:lang w:eastAsia="zh-CN"/>
        </w:rPr>
        <w:t>等场所。</w:t>
      </w:r>
    </w:p>
    <w:p>
      <w:pPr>
        <w:keepNext w:val="0"/>
        <w:keepLines w:val="0"/>
        <w:pageBreakBefore w:val="0"/>
        <w:numPr>
          <w:ilvl w:val="0"/>
          <w:numId w:val="1"/>
        </w:numPr>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禁用标准</w:t>
      </w:r>
    </w:p>
    <w:p>
      <w:pPr>
        <w:keepNext w:val="0"/>
        <w:keepLines w:val="0"/>
        <w:pageBreakBefore w:val="0"/>
        <w:numPr>
          <w:ilvl w:val="0"/>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在禁用区域</w:t>
      </w:r>
      <w:r>
        <w:rPr>
          <w:rFonts w:hint="eastAsia" w:ascii="仿宋_GB2312" w:hAnsi="仿宋_GB2312" w:eastAsia="仿宋_GB2312" w:cs="仿宋_GB2312"/>
          <w:b w:val="0"/>
          <w:bCs w:val="0"/>
          <w:sz w:val="32"/>
          <w:szCs w:val="32"/>
        </w:rPr>
        <w:t>内禁</w:t>
      </w:r>
      <w:r>
        <w:rPr>
          <w:rFonts w:hint="eastAsia" w:ascii="仿宋_GB2312" w:hAnsi="仿宋_GB2312" w:eastAsia="仿宋_GB2312" w:cs="仿宋_GB2312"/>
          <w:sz w:val="32"/>
          <w:szCs w:val="32"/>
        </w:rPr>
        <w:t>止使用以下高排放非道路移动机械：</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1.未按照《中华人民共和国大气污染防治法》第五十九条规定加装或者更换符</w:t>
      </w:r>
      <w:r>
        <w:rPr>
          <w:rFonts w:hint="eastAsia" w:ascii="仿宋_GB2312" w:hAnsi="仿宋_GB2312" w:eastAsia="仿宋_GB2312" w:cs="仿宋_GB2312"/>
          <w:sz w:val="32"/>
          <w:szCs w:val="32"/>
          <w:lang w:val="en-US" w:eastAsia="zh-CN"/>
        </w:rPr>
        <w:t>合要求的污染控制装置。</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sz w:val="32"/>
          <w:szCs w:val="32"/>
        </w:rPr>
        <w:t>.未达到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instrText xml:space="preserve"> HYPERLINK "https://www.mee.gov.cn/ywgz/fgbz/bz/bzwb/dqhjbh/dqydywrwpfbz/201811/W020200628503585170722.pdf" </w:instrText>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fldChar w:fldCharType="separate"/>
      </w:r>
      <w:r>
        <w:rPr>
          <w:rStyle w:val="7"/>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t>非道路柴油移动机械排气烟度限值及测量方法(GB36886-2018)</w:t>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Ш</w:t>
      </w:r>
      <w:r>
        <w:rPr>
          <w:rFonts w:hint="eastAsia" w:ascii="仿宋_GB2312" w:hAnsi="仿宋_GB2312" w:eastAsia="仿宋_GB2312" w:cs="仿宋_GB2312"/>
          <w:color w:val="auto"/>
          <w:sz w:val="32"/>
          <w:szCs w:val="32"/>
          <w:lang w:eastAsia="zh-CN"/>
        </w:rPr>
        <w:t>类限</w:t>
      </w:r>
      <w:r>
        <w:rPr>
          <w:rFonts w:hint="eastAsia" w:ascii="仿宋_GB2312" w:hAnsi="仿宋_GB2312" w:eastAsia="仿宋_GB2312" w:cs="仿宋_GB2312"/>
          <w:color w:val="000000"/>
          <w:sz w:val="32"/>
          <w:szCs w:val="32"/>
          <w:lang w:eastAsia="zh-CN"/>
        </w:rPr>
        <w:t>值标准要求</w:t>
      </w:r>
      <w:r>
        <w:rPr>
          <w:rFonts w:hint="eastAsia" w:ascii="仿宋_GB2312" w:hAnsi="仿宋_GB2312" w:eastAsia="仿宋_GB2312" w:cs="仿宋_GB2312"/>
          <w:color w:val="000000"/>
          <w:sz w:val="32"/>
          <w:szCs w:val="32"/>
        </w:rPr>
        <w:t>的。</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3.尾气排放不达标的在用非道路移动机械。</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四、禁用区域内高排放非道路移动机械管理措施</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依据《中华人民共和国大气污染防治法》第五十六条规定，生态环境主管部门应当会同交通运输、住房城乡建设、农业行政、水行政等有关部门对非道路移动机械的大气污染物排放状况进行监督检查，排放不合格的，不得使用。</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依据《中华人民共和国大气污染防治法》第五十九条规定，在用重型柴油车、非道路移动机械未安装污染控制装置或者污染控制装置不符合要求，不能达标排放的，应当加装或者更换符合要求的污染控制装置。</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依据《中华人民共和国大气污染防治法》第一百一十四条</w:t>
      </w:r>
      <w:r>
        <w:rPr>
          <w:rFonts w:hint="eastAsia" w:ascii="仿宋_GB2312" w:hAnsi="仿宋_GB2312" w:eastAsia="仿宋_GB2312" w:cs="仿宋_GB2312"/>
          <w:sz w:val="32"/>
          <w:szCs w:val="32"/>
          <w:lang w:eastAsia="zh-CN"/>
        </w:rPr>
        <w:t>第一款</w:t>
      </w:r>
      <w:r>
        <w:rPr>
          <w:rFonts w:hint="eastAsia" w:ascii="仿宋_GB2312" w:hAnsi="仿宋_GB2312" w:eastAsia="仿宋_GB2312" w:cs="仿宋_GB2312"/>
          <w:sz w:val="32"/>
          <w:szCs w:val="32"/>
        </w:rPr>
        <w:t>规定，使用排放不合格的非道路移动机械，或者在用重型柴油车、非道路移动机械未按照规定加装、更换污染控制装置的，由县级以上人民政府生态环境等主管部门按照职责责令改正，处五千元的罚款</w:t>
      </w:r>
      <w:r>
        <w:rPr>
          <w:rFonts w:hint="eastAsia" w:ascii="仿宋_GB2312" w:hAnsi="仿宋_GB2312" w:eastAsia="仿宋_GB2312" w:cs="仿宋_GB2312"/>
          <w:sz w:val="32"/>
          <w:szCs w:val="32"/>
          <w:lang w:eastAsia="zh-CN"/>
        </w:rPr>
        <w:t>；依据</w:t>
      </w:r>
      <w:r>
        <w:rPr>
          <w:rFonts w:hint="eastAsia" w:ascii="仿宋_GB2312" w:hAnsi="仿宋_GB2312" w:eastAsia="仿宋_GB2312" w:cs="仿宋_GB2312"/>
          <w:sz w:val="32"/>
          <w:szCs w:val="32"/>
        </w:rPr>
        <w:t>《河南省大气污染防治条例》第七十四条</w:t>
      </w:r>
      <w:r>
        <w:rPr>
          <w:rFonts w:hint="eastAsia" w:ascii="仿宋_GB2312" w:hAnsi="仿宋_GB2312" w:eastAsia="仿宋_GB2312" w:cs="仿宋_GB2312"/>
          <w:sz w:val="32"/>
          <w:szCs w:val="32"/>
          <w:lang w:eastAsia="zh-CN"/>
        </w:rPr>
        <w:t>第二款</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，在禁止使用高排放非道路移动机械的区域使用高排放非道路移动机械的，由城市人民政府环境保护主管部门或者其他负有大气环境保护监督管理职责的部门责令停止使用，处五千元以上二万元以下罚款。</w:t>
      </w:r>
    </w:p>
    <w:p>
      <w:pPr>
        <w:keepNext w:val="0"/>
        <w:keepLines w:val="0"/>
        <w:pageBreakBefore w:val="0"/>
        <w:kinsoku/>
        <w:wordWrap/>
        <w:overflowPunct/>
        <w:topLinePunct w:val="0"/>
        <w:autoSpaceDE/>
        <w:autoSpaceDN/>
        <w:bidi w:val="0"/>
        <w:adjustRightInd/>
        <w:snapToGrid/>
        <w:spacing w:line="572"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（四）执行国防工程、应急和抢险的高排放非道路移动机械不受禁用区域限制。</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（五）春耕生产、夏收夏种、秋收秋种期间，在辖区内使用农业机械进行农业生产作业的不受禁用区域限制。</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五、实施时间</w:t>
      </w:r>
    </w:p>
    <w:p>
      <w:pPr>
        <w:keepNext w:val="0"/>
        <w:keepLines w:val="0"/>
        <w:pageBreakBefore w:val="0"/>
        <w:numPr>
          <w:ilvl w:val="0"/>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本通告自20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月1日起施行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国家和省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另有规定的，从其规定。</w:t>
      </w:r>
    </w:p>
    <w:p>
      <w:pPr>
        <w:keepNext w:val="0"/>
        <w:keepLines w:val="0"/>
        <w:pageBreakBefore w:val="0"/>
        <w:numPr>
          <w:ilvl w:val="0"/>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numPr>
          <w:ilvl w:val="0"/>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numPr>
          <w:ilvl w:val="0"/>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numPr>
          <w:ilvl w:val="0"/>
          <w:numId w:val="0"/>
        </w:numPr>
        <w:kinsoku/>
        <w:wordWrap/>
        <w:overflowPunct/>
        <w:topLinePunct w:val="0"/>
        <w:autoSpaceDE/>
        <w:autoSpaceDN/>
        <w:bidi w:val="0"/>
        <w:adjustRightInd/>
        <w:snapToGrid/>
        <w:spacing w:line="572"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2022年1月29日</w:t>
      </w:r>
    </w:p>
    <w:p>
      <w:pPr>
        <w:pStyle w:val="8"/>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50ED8B"/>
    <w:multiLevelType w:val="singleLevel"/>
    <w:tmpl w:val="E050ED8B"/>
    <w:lvl w:ilvl="0" w:tentative="0">
      <w:start w:val="3"/>
      <w:numFmt w:val="chineseCounting"/>
      <w:suff w:val="nothing"/>
      <w:lvlText w:val="%1、"/>
      <w:lvlJc w:val="left"/>
      <w:pPr>
        <w:ind w:left="-13"/>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750EC"/>
    <w:rsid w:val="00A8723C"/>
    <w:rsid w:val="08306639"/>
    <w:rsid w:val="0CC234EF"/>
    <w:rsid w:val="0D394732"/>
    <w:rsid w:val="2D5A587A"/>
    <w:rsid w:val="2E276BFF"/>
    <w:rsid w:val="39711C63"/>
    <w:rsid w:val="3FBE39FF"/>
    <w:rsid w:val="4F0750EC"/>
    <w:rsid w:val="6C1C4933"/>
    <w:rsid w:val="6CFEF550"/>
    <w:rsid w:val="6E32EB5C"/>
    <w:rsid w:val="6F9CC957"/>
    <w:rsid w:val="721E2674"/>
    <w:rsid w:val="7EDC1D5B"/>
    <w:rsid w:val="7F7F7286"/>
    <w:rsid w:val="FF27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qFormat/>
    <w:uiPriority w:val="0"/>
    <w:rPr>
      <w:color w:val="0000FF"/>
      <w:u w:val="single"/>
    </w:rPr>
  </w:style>
  <w:style w:type="paragraph" w:customStyle="1" w:styleId="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2021-11-24T16:28:00Z</dcterms:created>
  <dc:creator>凉凉</dc:creator>
  <cp:lastModifiedBy>inspur</cp:lastModifiedBy>
  <cp:lastPrinted>2021-11-27T17:06:00Z</cp:lastPrinted>
  <dcterms:modified xsi:type="dcterms:W3CDTF">2022-01-30T16:00:14Z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1CE18805913342399FD639D096A204AC</vt:lpwstr>
  </property>
</Properties>
</file>