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ind w:firstLine="0" w:firstLineChars="0"/>
        <w:jc w:val="center"/>
        <w:rPr>
          <w:rFonts w:cs="宋体"/>
          <w:b/>
          <w:bCs/>
          <w:color w:val="000000"/>
          <w:kern w:val="0"/>
          <w:sz w:val="36"/>
          <w:szCs w:val="36"/>
          <w:lang w:bidi="ar"/>
        </w:rPr>
      </w:pPr>
      <w:r>
        <w:rPr>
          <w:rFonts w:hint="eastAsia" w:cs="宋体"/>
          <w:b/>
          <w:bCs/>
          <w:color w:val="000000"/>
          <w:kern w:val="0"/>
          <w:sz w:val="40"/>
          <w:szCs w:val="40"/>
          <w:lang w:bidi="ar"/>
        </w:rPr>
        <w:t>新旭新材料有限公司</w:t>
      </w:r>
    </w:p>
    <w:p>
      <w:pPr>
        <w:widowControl/>
        <w:spacing w:after="312" w:afterLines="100"/>
        <w:ind w:firstLine="0" w:firstLineChars="0"/>
        <w:jc w:val="center"/>
        <w:rPr>
          <w:rFonts w:ascii="黑体" w:hAnsi="黑体" w:eastAsia="黑体" w:cs="黑体"/>
          <w:color w:val="000000"/>
          <w:kern w:val="0"/>
          <w:sz w:val="40"/>
          <w:szCs w:val="40"/>
          <w:lang w:bidi="ar"/>
        </w:rPr>
      </w:pPr>
      <w:r>
        <w:rPr>
          <w:rFonts w:hint="eastAsia" w:ascii="黑体" w:hAnsi="黑体" w:eastAsia="黑体" w:cs="黑体"/>
          <w:color w:val="000000"/>
          <w:kern w:val="0"/>
          <w:sz w:val="40"/>
          <w:szCs w:val="40"/>
          <w:lang w:bidi="ar"/>
        </w:rPr>
        <w:t>新旭环保型体育设施新区建设项目</w:t>
      </w:r>
    </w:p>
    <w:p>
      <w:pPr>
        <w:widowControl/>
        <w:ind w:firstLine="0" w:firstLineChars="0"/>
        <w:jc w:val="center"/>
        <w:rPr>
          <w:b/>
          <w:bCs/>
          <w:sz w:val="48"/>
          <w:szCs w:val="48"/>
        </w:rPr>
      </w:pPr>
      <w:r>
        <w:rPr>
          <w:rFonts w:hint="eastAsia" w:cs="宋体"/>
          <w:b/>
          <w:bCs/>
          <w:color w:val="000000"/>
          <w:kern w:val="0"/>
          <w:sz w:val="48"/>
          <w:szCs w:val="48"/>
          <w:lang w:bidi="ar"/>
        </w:rPr>
        <w:t>环境影响报告书</w:t>
      </w:r>
    </w:p>
    <w:p>
      <w:pPr>
        <w:widowControl/>
        <w:ind w:firstLine="0" w:firstLineChars="0"/>
        <w:jc w:val="center"/>
        <w:rPr>
          <w:rFonts w:cs="宋体"/>
          <w:b/>
          <w:bCs/>
          <w:color w:val="000000"/>
          <w:kern w:val="0"/>
          <w:sz w:val="36"/>
          <w:szCs w:val="36"/>
          <w:lang w:bidi="ar"/>
        </w:rPr>
      </w:pPr>
      <w:r>
        <w:rPr>
          <w:rFonts w:hint="eastAsia" w:cs="宋体"/>
          <w:b/>
          <w:bCs/>
          <w:color w:val="000000"/>
          <w:kern w:val="0"/>
          <w:sz w:val="36"/>
          <w:szCs w:val="36"/>
          <w:lang w:bidi="ar"/>
        </w:rPr>
        <w:t>（</w:t>
      </w:r>
      <w:r>
        <w:rPr>
          <w:rFonts w:hint="eastAsia" w:cs="宋体"/>
          <w:b/>
          <w:bCs/>
          <w:color w:val="000000"/>
          <w:kern w:val="0"/>
          <w:sz w:val="36"/>
          <w:szCs w:val="36"/>
          <w:lang w:eastAsia="zh-CN" w:bidi="ar"/>
        </w:rPr>
        <w:t>报批</w:t>
      </w:r>
      <w:r>
        <w:rPr>
          <w:rFonts w:hint="eastAsia" w:cs="宋体"/>
          <w:b/>
          <w:bCs/>
          <w:color w:val="000000"/>
          <w:kern w:val="0"/>
          <w:sz w:val="36"/>
          <w:szCs w:val="36"/>
          <w:lang w:bidi="ar"/>
        </w:rPr>
        <w:t>稿）</w:t>
      </w: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p>
    <w:p>
      <w:pPr>
        <w:widowControl/>
        <w:ind w:firstLine="0" w:firstLineChars="0"/>
        <w:jc w:val="center"/>
        <w:rPr>
          <w:rFonts w:ascii="宋体" w:hAnsi="宋体" w:cs="宋体"/>
          <w:b/>
          <w:bCs/>
          <w:color w:val="000000"/>
          <w:kern w:val="0"/>
          <w:sz w:val="32"/>
          <w:szCs w:val="32"/>
          <w:lang w:bidi="ar"/>
        </w:rPr>
      </w:pPr>
      <w:r>
        <w:rPr>
          <w:rFonts w:hint="eastAsia" w:ascii="宋体" w:hAnsi="宋体" w:cs="宋体"/>
          <w:b/>
          <w:bCs/>
          <w:color w:val="000000"/>
          <w:kern w:val="0"/>
          <w:sz w:val="32"/>
          <w:szCs w:val="32"/>
          <w:lang w:bidi="ar"/>
        </w:rPr>
        <w:t>建设单位：新旭新材料有限公司</w:t>
      </w:r>
    </w:p>
    <w:p>
      <w:pPr>
        <w:widowControl/>
        <w:ind w:firstLine="0" w:firstLineChars="0"/>
        <w:jc w:val="center"/>
        <w:rPr>
          <w:rFonts w:ascii="宋体" w:hAnsi="宋体" w:cs="宋体"/>
          <w:b/>
          <w:bCs/>
          <w:color w:val="000000" w:themeColor="text1"/>
          <w:kern w:val="0"/>
          <w:sz w:val="32"/>
          <w:szCs w:val="32"/>
          <w:lang w:bidi="ar"/>
          <w14:textFill>
            <w14:solidFill>
              <w14:schemeClr w14:val="tx1"/>
            </w14:solidFill>
          </w14:textFill>
        </w:rPr>
      </w:pPr>
      <w:r>
        <w:rPr>
          <w:rFonts w:hint="eastAsia" w:ascii="宋体" w:hAnsi="宋体" w:cs="宋体"/>
          <w:b/>
          <w:bCs/>
          <w:color w:val="000000"/>
          <w:kern w:val="0"/>
          <w:sz w:val="32"/>
          <w:szCs w:val="32"/>
          <w:lang w:bidi="ar"/>
        </w:rPr>
        <w:t>环评单位：</w:t>
      </w:r>
      <w:r>
        <w:rPr>
          <w:rFonts w:hint="eastAsia" w:ascii="宋体" w:hAnsi="宋体" w:cs="宋体"/>
          <w:b/>
          <w:bCs/>
          <w:color w:val="000000" w:themeColor="text1"/>
          <w:kern w:val="0"/>
          <w:sz w:val="32"/>
          <w:szCs w:val="32"/>
          <w:lang w:bidi="ar"/>
          <w14:textFill>
            <w14:solidFill>
              <w14:schemeClr w14:val="tx1"/>
            </w14:solidFill>
          </w14:textFill>
        </w:rPr>
        <w:t>河南畅年环保科技有限公司</w:t>
      </w:r>
    </w:p>
    <w:p>
      <w:pPr>
        <w:widowControl/>
        <w:ind w:firstLine="0" w:firstLineChars="0"/>
        <w:jc w:val="center"/>
        <w:rPr>
          <w:rFonts w:ascii="宋体" w:hAnsi="宋体" w:cs="宋体"/>
          <w:b/>
          <w:bCs/>
          <w:color w:val="000000"/>
          <w:kern w:val="0"/>
          <w:sz w:val="32"/>
          <w:szCs w:val="32"/>
          <w:lang w:bidi="ar"/>
        </w:rPr>
        <w:sectPr>
          <w:headerReference r:id="rId7" w:type="first"/>
          <w:footerReference r:id="rId10" w:type="first"/>
          <w:headerReference r:id="rId5" w:type="default"/>
          <w:footerReference r:id="rId8" w:type="default"/>
          <w:headerReference r:id="rId6" w:type="even"/>
          <w:footerReference r:id="rId9" w:type="even"/>
          <w:pgSz w:w="11906" w:h="16838"/>
          <w:pgMar w:top="1417" w:right="1984" w:bottom="1417" w:left="1984"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宋体" w:hAnsi="宋体" w:cs="宋体"/>
          <w:b/>
          <w:bCs/>
          <w:color w:val="000000"/>
          <w:kern w:val="0"/>
          <w:sz w:val="32"/>
          <w:szCs w:val="32"/>
          <w:lang w:bidi="ar"/>
        </w:rPr>
        <w:t>编制日期：二零二</w:t>
      </w:r>
      <w:r>
        <w:rPr>
          <w:rFonts w:hint="eastAsia" w:ascii="宋体" w:hAnsi="宋体" w:cs="宋体"/>
          <w:b/>
          <w:bCs/>
          <w:color w:val="000000"/>
          <w:kern w:val="0"/>
          <w:sz w:val="32"/>
          <w:szCs w:val="32"/>
          <w:lang w:eastAsia="zh-CN" w:bidi="ar"/>
        </w:rPr>
        <w:t>三</w:t>
      </w:r>
      <w:r>
        <w:rPr>
          <w:rFonts w:hint="eastAsia" w:ascii="宋体" w:hAnsi="宋体" w:cs="宋体"/>
          <w:b/>
          <w:bCs/>
          <w:color w:val="000000"/>
          <w:kern w:val="0"/>
          <w:sz w:val="32"/>
          <w:szCs w:val="32"/>
          <w:lang w:bidi="ar"/>
        </w:rPr>
        <w:t>年</w:t>
      </w:r>
      <w:r>
        <w:rPr>
          <w:rFonts w:hint="eastAsia" w:ascii="宋体" w:hAnsi="宋体" w:cs="宋体"/>
          <w:b/>
          <w:bCs/>
          <w:color w:val="000000"/>
          <w:kern w:val="0"/>
          <w:sz w:val="32"/>
          <w:szCs w:val="32"/>
          <w:lang w:eastAsia="zh-CN" w:bidi="ar"/>
        </w:rPr>
        <w:t>三</w:t>
      </w:r>
      <w:r>
        <w:rPr>
          <w:rFonts w:hint="eastAsia" w:ascii="宋体" w:hAnsi="宋体" w:cs="宋体"/>
          <w:b/>
          <w:bCs/>
          <w:color w:val="000000"/>
          <w:kern w:val="0"/>
          <w:sz w:val="32"/>
          <w:szCs w:val="32"/>
          <w:lang w:bidi="ar"/>
        </w:rPr>
        <w:t>月</w:t>
      </w:r>
    </w:p>
    <w:p>
      <w:pPr>
        <w:spacing w:line="240" w:lineRule="auto"/>
        <w:ind w:firstLine="0" w:firstLineChars="0"/>
        <w:jc w:val="center"/>
        <w:rPr>
          <w:rFonts w:cs="Times New Roman"/>
          <w:sz w:val="40"/>
          <w:szCs w:val="40"/>
        </w:rPr>
      </w:pPr>
      <w:r>
        <w:rPr>
          <w:rFonts w:cs="Times New Roman"/>
          <w:sz w:val="32"/>
          <w:szCs w:val="40"/>
        </w:rPr>
        <w:t>目  录</w:t>
      </w:r>
    </w:p>
    <w:sdt>
      <w:sdtPr>
        <w:rPr>
          <w:rFonts w:hint="eastAsia" w:ascii="宋体" w:hAnsi="宋体" w:cs="Times New Roman"/>
          <w:b/>
          <w:bCs/>
          <w:sz w:val="21"/>
          <w:szCs w:val="48"/>
        </w:rPr>
        <w:id w:val="147468896"/>
        <w15:color w:val="DBDBDB"/>
        <w:docPartObj>
          <w:docPartGallery w:val="Table of Contents"/>
          <w:docPartUnique/>
        </w:docPartObj>
      </w:sdtPr>
      <w:sdtEndPr>
        <w:rPr>
          <w:rFonts w:hint="eastAsia" w:ascii="黑体" w:hAnsi="黑体" w:eastAsia="黑体" w:cs="黑体"/>
          <w:b/>
          <w:bCs/>
          <w:sz w:val="44"/>
          <w:szCs w:val="44"/>
          <w:lang w:bidi="zh-CN"/>
        </w:rPr>
      </w:sdtEndPr>
      <w:sdtContent>
        <w:p>
          <w:pPr>
            <w:spacing w:line="240" w:lineRule="auto"/>
            <w:ind w:firstLine="0" w:firstLineChars="0"/>
            <w:jc w:val="center"/>
            <w:rPr>
              <w:rFonts w:cs="Times New Roman"/>
            </w:rPr>
          </w:pPr>
        </w:p>
        <w:p>
          <w:pPr>
            <w:pStyle w:val="18"/>
            <w:tabs>
              <w:tab w:val="right" w:leader="dot" w:pos="9072"/>
              <w:tab w:val="clear" w:pos="5760"/>
            </w:tabs>
          </w:pPr>
          <w:r>
            <w:rPr>
              <w:rFonts w:ascii="Times New Roman" w:hAnsi="Times New Roman" w:cs="Times New Roman"/>
            </w:rPr>
            <w:fldChar w:fldCharType="begin"/>
          </w:r>
          <w:r>
            <w:rPr>
              <w:rFonts w:ascii="Times New Roman" w:hAnsi="Times New Roman" w:cs="Times New Roman"/>
            </w:rPr>
            <w:instrText xml:space="preserve">TOC \o "1-2" \h \u </w:instrText>
          </w:r>
          <w:r>
            <w:rPr>
              <w:rFonts w:ascii="Times New Roman" w:hAnsi="Times New Roman" w:cs="Times New Roman"/>
            </w:rPr>
            <w:fldChar w:fldCharType="separate"/>
          </w:r>
          <w:r>
            <w:rPr>
              <w:rFonts w:ascii="Times New Roman" w:hAnsi="Times New Roman" w:cs="Times New Roman"/>
            </w:rPr>
            <w:fldChar w:fldCharType="begin"/>
          </w:r>
          <w:r>
            <w:rPr>
              <w:rFonts w:ascii="Times New Roman" w:hAnsi="Times New Roman" w:cs="Times New Roman"/>
            </w:rPr>
            <w:instrText xml:space="preserve"> HYPERLINK \l _Toc13478 </w:instrText>
          </w:r>
          <w:r>
            <w:rPr>
              <w:rFonts w:ascii="Times New Roman" w:hAnsi="Times New Roman" w:cs="Times New Roman"/>
            </w:rPr>
            <w:fldChar w:fldCharType="separate"/>
          </w:r>
          <w:r>
            <w:t>第一章</w:t>
          </w:r>
          <w:r>
            <w:rPr>
              <w:rFonts w:hint="default"/>
            </w:rPr>
            <w:t xml:space="preserve"> </w:t>
          </w:r>
          <w:r>
            <w:t xml:space="preserve"> 概述</w:t>
          </w:r>
          <w:r>
            <w:tab/>
          </w:r>
          <w:r>
            <w:fldChar w:fldCharType="begin"/>
          </w:r>
          <w:r>
            <w:instrText xml:space="preserve"> PAGEREF _Toc13478 \h </w:instrText>
          </w:r>
          <w:r>
            <w:fldChar w:fldCharType="separate"/>
          </w:r>
          <w:r>
            <w:t>1</w:t>
          </w:r>
          <w:r>
            <w:fldChar w:fldCharType="end"/>
          </w:r>
          <w:r>
            <w:rPr>
              <w:rFonts w:ascii="Times New Roman" w:hAnsi="Times New Roman" w:cs="Times New Roman"/>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_Toc31327 </w:instrText>
          </w:r>
          <w:r>
            <w:rPr>
              <w:rFonts w:hint="default" w:ascii="Times New Roman" w:hAnsi="Times New Roman"/>
              <w:szCs w:val="24"/>
            </w:rPr>
            <w:fldChar w:fldCharType="separate"/>
          </w:r>
          <w:r>
            <w:rPr>
              <w:lang w:val="en-US"/>
            </w:rPr>
            <w:t xml:space="preserve">1.1 </w:t>
          </w:r>
          <w:r>
            <w:rPr>
              <w:rFonts w:hint="eastAsia"/>
              <w:lang w:val="en-US"/>
            </w:rPr>
            <w:t>项目由来</w:t>
          </w:r>
          <w:r>
            <w:tab/>
          </w:r>
          <w:r>
            <w:fldChar w:fldCharType="begin"/>
          </w:r>
          <w:r>
            <w:instrText xml:space="preserve"> PAGEREF _Toc31327 \h </w:instrText>
          </w:r>
          <w:r>
            <w:fldChar w:fldCharType="separate"/>
          </w:r>
          <w:r>
            <w:t>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_Toc534 </w:instrText>
          </w:r>
          <w:r>
            <w:rPr>
              <w:rFonts w:hint="default" w:ascii="Times New Roman" w:hAnsi="Times New Roman"/>
              <w:szCs w:val="24"/>
            </w:rPr>
            <w:fldChar w:fldCharType="separate"/>
          </w:r>
          <w:r>
            <w:rPr>
              <w:lang w:val="en-US"/>
            </w:rPr>
            <w:t>1.2 评价对象</w:t>
          </w:r>
          <w:r>
            <w:tab/>
          </w:r>
          <w:r>
            <w:fldChar w:fldCharType="begin"/>
          </w:r>
          <w:r>
            <w:instrText xml:space="preserve"> PAGEREF _Toc534 \h </w:instrText>
          </w:r>
          <w:r>
            <w:fldChar w:fldCharType="separate"/>
          </w:r>
          <w:r>
            <w:t>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_Toc24055 </w:instrText>
          </w:r>
          <w:r>
            <w:rPr>
              <w:rFonts w:hint="default" w:ascii="Times New Roman" w:hAnsi="Times New Roman"/>
              <w:szCs w:val="24"/>
            </w:rPr>
            <w:fldChar w:fldCharType="separate"/>
          </w:r>
          <w:r>
            <w:rPr>
              <w:lang w:val="en-US"/>
            </w:rPr>
            <w:t>1.3 建设项目的特点</w:t>
          </w:r>
          <w:r>
            <w:tab/>
          </w:r>
          <w:r>
            <w:fldChar w:fldCharType="begin"/>
          </w:r>
          <w:r>
            <w:instrText xml:space="preserve"> PAGEREF _Toc24055 \h </w:instrText>
          </w:r>
          <w:r>
            <w:fldChar w:fldCharType="separate"/>
          </w:r>
          <w:r>
            <w:t>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_Toc14389 </w:instrText>
          </w:r>
          <w:r>
            <w:rPr>
              <w:rFonts w:hint="default" w:ascii="Times New Roman" w:hAnsi="Times New Roman"/>
              <w:szCs w:val="24"/>
            </w:rPr>
            <w:fldChar w:fldCharType="separate"/>
          </w:r>
          <w:r>
            <w:rPr>
              <w:lang w:val="en-US"/>
            </w:rPr>
            <w:t>1.4 环境影响评价工作过程</w:t>
          </w:r>
          <w:r>
            <w:tab/>
          </w:r>
          <w:r>
            <w:fldChar w:fldCharType="begin"/>
          </w:r>
          <w:r>
            <w:instrText xml:space="preserve"> PAGEREF _Toc14389 \h </w:instrText>
          </w:r>
          <w:r>
            <w:fldChar w:fldCharType="separate"/>
          </w:r>
          <w:r>
            <w:t>3</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_Toc19208 </w:instrText>
          </w:r>
          <w:r>
            <w:rPr>
              <w:rFonts w:hint="default" w:ascii="Times New Roman" w:hAnsi="Times New Roman"/>
              <w:szCs w:val="24"/>
            </w:rPr>
            <w:fldChar w:fldCharType="separate"/>
          </w:r>
          <w:r>
            <w:rPr>
              <w:lang w:val="en-US"/>
            </w:rPr>
            <w:t>1.5 相关产业政策分析</w:t>
          </w:r>
          <w:r>
            <w:tab/>
          </w:r>
          <w:r>
            <w:fldChar w:fldCharType="begin"/>
          </w:r>
          <w:r>
            <w:instrText xml:space="preserve"> PAGEREF _Toc19208 \h </w:instrText>
          </w:r>
          <w:r>
            <w:fldChar w:fldCharType="separate"/>
          </w:r>
          <w:r>
            <w:t>4</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_Toc11352 </w:instrText>
          </w:r>
          <w:r>
            <w:rPr>
              <w:rFonts w:hint="default" w:ascii="Times New Roman" w:hAnsi="Times New Roman"/>
              <w:szCs w:val="24"/>
            </w:rPr>
            <w:fldChar w:fldCharType="separate"/>
          </w:r>
          <w:r>
            <w:rPr>
              <w:lang w:val="en-US"/>
            </w:rPr>
            <w:t>1.6 关注的主要环境问题及环境影响</w:t>
          </w:r>
          <w:r>
            <w:tab/>
          </w:r>
          <w:r>
            <w:fldChar w:fldCharType="begin"/>
          </w:r>
          <w:r>
            <w:instrText xml:space="preserve"> PAGEREF _Toc11352 \h </w:instrText>
          </w:r>
          <w:r>
            <w:fldChar w:fldCharType="separate"/>
          </w:r>
          <w:r>
            <w:t>5</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_Toc32700 </w:instrText>
          </w:r>
          <w:r>
            <w:rPr>
              <w:rFonts w:hint="default" w:ascii="Times New Roman" w:hAnsi="Times New Roman"/>
              <w:szCs w:val="24"/>
            </w:rPr>
            <w:fldChar w:fldCharType="separate"/>
          </w:r>
          <w:r>
            <w:rPr>
              <w:lang w:val="en-US"/>
            </w:rPr>
            <w:t>1.</w:t>
          </w:r>
          <w:r>
            <w:rPr>
              <w:rFonts w:hint="eastAsia"/>
              <w:lang w:val="en-US"/>
            </w:rPr>
            <w:t>7</w:t>
          </w:r>
          <w:r>
            <w:rPr>
              <w:lang w:val="en-US"/>
            </w:rPr>
            <w:t xml:space="preserve"> 环境影响报告书主要结论</w:t>
          </w:r>
          <w:r>
            <w:tab/>
          </w:r>
          <w:r>
            <w:fldChar w:fldCharType="begin"/>
          </w:r>
          <w:r>
            <w:instrText xml:space="preserve"> PAGEREF _Toc32700 \h </w:instrText>
          </w:r>
          <w:r>
            <w:fldChar w:fldCharType="separate"/>
          </w:r>
          <w:r>
            <w:t>6</w:t>
          </w:r>
          <w:r>
            <w:fldChar w:fldCharType="end"/>
          </w:r>
          <w:r>
            <w:rPr>
              <w:rFonts w:hint="default" w:ascii="Times New Roman" w:hAnsi="Times New Roman"/>
              <w:szCs w:val="24"/>
            </w:rPr>
            <w:fldChar w:fldCharType="end"/>
          </w:r>
        </w:p>
        <w:p>
          <w:pPr>
            <w:pStyle w:val="18"/>
            <w:tabs>
              <w:tab w:val="right" w:leader="dot" w:pos="9072"/>
              <w:tab w:val="clear" w:pos="5760"/>
            </w:tabs>
          </w:pPr>
          <w:r>
            <w:rPr>
              <w:rFonts w:hint="default" w:ascii="Times New Roman" w:hAnsi="Times New Roman"/>
              <w:szCs w:val="24"/>
            </w:rPr>
            <w:fldChar w:fldCharType="begin"/>
          </w:r>
          <w:r>
            <w:rPr>
              <w:rFonts w:hint="default" w:ascii="Times New Roman" w:hAnsi="Times New Roman"/>
              <w:szCs w:val="24"/>
            </w:rPr>
            <w:instrText xml:space="preserve"> HYPERLINK \l _Toc4485 </w:instrText>
          </w:r>
          <w:r>
            <w:rPr>
              <w:rFonts w:hint="default" w:ascii="Times New Roman" w:hAnsi="Times New Roman"/>
              <w:szCs w:val="24"/>
            </w:rPr>
            <w:fldChar w:fldCharType="separate"/>
          </w:r>
          <w:r>
            <w:t>第二章</w:t>
          </w:r>
          <w:r>
            <w:rPr>
              <w:rFonts w:hint="default"/>
            </w:rPr>
            <w:t xml:space="preserve"> </w:t>
          </w:r>
          <w:r>
            <w:t>总则</w:t>
          </w:r>
          <w:r>
            <w:tab/>
          </w:r>
          <w:r>
            <w:fldChar w:fldCharType="begin"/>
          </w:r>
          <w:r>
            <w:instrText xml:space="preserve"> PAGEREF _Toc4485 \h </w:instrText>
          </w:r>
          <w:r>
            <w:fldChar w:fldCharType="separate"/>
          </w:r>
          <w:r>
            <w:t>8</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_Toc8828 </w:instrText>
          </w:r>
          <w:r>
            <w:rPr>
              <w:rFonts w:hint="default" w:ascii="Times New Roman" w:hAnsi="Times New Roman"/>
              <w:szCs w:val="24"/>
            </w:rPr>
            <w:fldChar w:fldCharType="separate"/>
          </w:r>
          <w:r>
            <w:rPr>
              <w:lang w:val="en-US"/>
            </w:rPr>
            <w:t xml:space="preserve">2.1 </w:t>
          </w:r>
          <w:r>
            <w:rPr>
              <w:rFonts w:hint="eastAsia"/>
              <w:lang w:val="en-US"/>
            </w:rPr>
            <w:t>编制依据</w:t>
          </w:r>
          <w:r>
            <w:tab/>
          </w:r>
          <w:r>
            <w:fldChar w:fldCharType="begin"/>
          </w:r>
          <w:r>
            <w:instrText xml:space="preserve"> PAGEREF _Toc8828 \h </w:instrText>
          </w:r>
          <w:r>
            <w:fldChar w:fldCharType="separate"/>
          </w:r>
          <w:r>
            <w:t>8</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_Toc7698 </w:instrText>
          </w:r>
          <w:r>
            <w:rPr>
              <w:rFonts w:hint="default" w:ascii="Times New Roman" w:hAnsi="Times New Roman"/>
              <w:szCs w:val="24"/>
            </w:rPr>
            <w:fldChar w:fldCharType="separate"/>
          </w:r>
          <w:r>
            <w:rPr>
              <w:lang w:val="en-US"/>
            </w:rPr>
            <w:t>2.2 评价目的与原则</w:t>
          </w:r>
          <w:r>
            <w:tab/>
          </w:r>
          <w:r>
            <w:fldChar w:fldCharType="begin"/>
          </w:r>
          <w:r>
            <w:instrText xml:space="preserve"> PAGEREF _Toc7698 \h </w:instrText>
          </w:r>
          <w:r>
            <w:fldChar w:fldCharType="separate"/>
          </w:r>
          <w:r>
            <w:t>11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_Toc23439 </w:instrText>
          </w:r>
          <w:r>
            <w:rPr>
              <w:rFonts w:hint="default" w:ascii="Times New Roman" w:hAnsi="Times New Roman"/>
              <w:szCs w:val="24"/>
            </w:rPr>
            <w:fldChar w:fldCharType="separate"/>
          </w:r>
          <w:r>
            <w:rPr>
              <w:lang w:val="en-US"/>
            </w:rPr>
            <w:t>2.3 环境影响识别及评价因子筛选</w:t>
          </w:r>
          <w:r>
            <w:tab/>
          </w:r>
          <w:r>
            <w:fldChar w:fldCharType="begin"/>
          </w:r>
          <w:r>
            <w:instrText xml:space="preserve"> PAGEREF _Toc23439 \h </w:instrText>
          </w:r>
          <w:r>
            <w:fldChar w:fldCharType="separate"/>
          </w:r>
          <w:r>
            <w:t>11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_Toc8011 </w:instrText>
          </w:r>
          <w:r>
            <w:rPr>
              <w:rFonts w:hint="default" w:ascii="Times New Roman" w:hAnsi="Times New Roman"/>
              <w:szCs w:val="24"/>
            </w:rPr>
            <w:fldChar w:fldCharType="separate"/>
          </w:r>
          <w:r>
            <w:rPr>
              <w:lang w:val="en-US"/>
            </w:rPr>
            <w:t>2.4 环境功能区划及评价标准</w:t>
          </w:r>
          <w:r>
            <w:tab/>
          </w:r>
          <w:r>
            <w:fldChar w:fldCharType="begin"/>
          </w:r>
          <w:r>
            <w:instrText xml:space="preserve"> PAGEREF _Toc8011 \h </w:instrText>
          </w:r>
          <w:r>
            <w:fldChar w:fldCharType="separate"/>
          </w:r>
          <w:r>
            <w:t>13</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_Toc30890 </w:instrText>
          </w:r>
          <w:r>
            <w:rPr>
              <w:rFonts w:hint="default" w:ascii="Times New Roman" w:hAnsi="Times New Roman"/>
              <w:szCs w:val="24"/>
            </w:rPr>
            <w:fldChar w:fldCharType="separate"/>
          </w:r>
          <w:r>
            <w:rPr>
              <w:rFonts w:hint="eastAsia"/>
              <w:lang w:val="en-US"/>
            </w:rPr>
            <w:t>2.5 评价工作等级和范围</w:t>
          </w:r>
          <w:r>
            <w:tab/>
          </w:r>
          <w:r>
            <w:fldChar w:fldCharType="begin"/>
          </w:r>
          <w:r>
            <w:instrText xml:space="preserve"> PAGEREF _Toc30890 \h </w:instrText>
          </w:r>
          <w:r>
            <w:fldChar w:fldCharType="separate"/>
          </w:r>
          <w:r>
            <w:t>19</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_Toc29511 </w:instrText>
          </w:r>
          <w:r>
            <w:rPr>
              <w:rFonts w:hint="default" w:ascii="Times New Roman" w:hAnsi="Times New Roman"/>
              <w:szCs w:val="24"/>
            </w:rPr>
            <w:fldChar w:fldCharType="separate"/>
          </w:r>
          <w:r>
            <w:rPr>
              <w:lang w:val="en-US"/>
            </w:rPr>
            <w:t xml:space="preserve">2.6 </w:t>
          </w:r>
          <w:r>
            <w:rPr>
              <w:rFonts w:hint="eastAsia"/>
              <w:lang w:val="en-US"/>
            </w:rPr>
            <w:t>相关规划及政策</w:t>
          </w:r>
          <w:r>
            <w:tab/>
          </w:r>
          <w:r>
            <w:fldChar w:fldCharType="begin"/>
          </w:r>
          <w:r>
            <w:instrText xml:space="preserve"> PAGEREF _Toc29511 \h </w:instrText>
          </w:r>
          <w:r>
            <w:fldChar w:fldCharType="separate"/>
          </w:r>
          <w:r>
            <w:t>26</w:t>
          </w:r>
          <w:r>
            <w:fldChar w:fldCharType="end"/>
          </w:r>
          <w:r>
            <w:rPr>
              <w:rFonts w:hint="default" w:ascii="Times New Roman" w:hAnsi="Times New Roman"/>
              <w:szCs w:val="24"/>
            </w:rPr>
            <w:fldChar w:fldCharType="end"/>
          </w:r>
        </w:p>
        <w:p>
          <w:pPr>
            <w:pStyle w:val="18"/>
            <w:tabs>
              <w:tab w:val="right" w:leader="dot" w:pos="9072"/>
              <w:tab w:val="clear" w:pos="5760"/>
            </w:tabs>
          </w:pPr>
          <w:r>
            <w:rPr>
              <w:rFonts w:hint="default" w:ascii="Times New Roman" w:hAnsi="Times New Roman"/>
              <w:szCs w:val="24"/>
            </w:rPr>
            <w:fldChar w:fldCharType="begin"/>
          </w:r>
          <w:r>
            <w:rPr>
              <w:rFonts w:hint="default" w:ascii="Times New Roman" w:hAnsi="Times New Roman"/>
              <w:szCs w:val="24"/>
            </w:rPr>
            <w:instrText xml:space="preserve"> HYPERLINK \l _Toc20981 </w:instrText>
          </w:r>
          <w:r>
            <w:rPr>
              <w:rFonts w:hint="default" w:ascii="Times New Roman" w:hAnsi="Times New Roman"/>
              <w:szCs w:val="24"/>
            </w:rPr>
            <w:fldChar w:fldCharType="separate"/>
          </w:r>
          <w:r>
            <w:t>第三章 工程概况</w:t>
          </w:r>
          <w:r>
            <w:tab/>
          </w:r>
          <w:r>
            <w:fldChar w:fldCharType="begin"/>
          </w:r>
          <w:r>
            <w:instrText xml:space="preserve"> PAGEREF _Toc20981 \h </w:instrText>
          </w:r>
          <w:r>
            <w:fldChar w:fldCharType="separate"/>
          </w:r>
          <w:r>
            <w:t>64</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_Toc25163 </w:instrText>
          </w:r>
          <w:r>
            <w:rPr>
              <w:rFonts w:hint="default" w:ascii="Times New Roman" w:hAnsi="Times New Roman"/>
              <w:szCs w:val="24"/>
            </w:rPr>
            <w:fldChar w:fldCharType="separate"/>
          </w:r>
          <w:r>
            <w:rPr>
              <w:rFonts w:hint="eastAsia"/>
              <w:lang w:val="en-US"/>
            </w:rPr>
            <w:t>3</w:t>
          </w:r>
          <w:r>
            <w:rPr>
              <w:lang w:val="en-US"/>
            </w:rPr>
            <w:t>.1 项目基本情况</w:t>
          </w:r>
          <w:r>
            <w:tab/>
          </w:r>
          <w:r>
            <w:fldChar w:fldCharType="begin"/>
          </w:r>
          <w:r>
            <w:instrText xml:space="preserve"> PAGEREF _Toc25163 \h </w:instrText>
          </w:r>
          <w:r>
            <w:fldChar w:fldCharType="separate"/>
          </w:r>
          <w:r>
            <w:t>64</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_Toc9304 </w:instrText>
          </w:r>
          <w:r>
            <w:rPr>
              <w:rFonts w:hint="default" w:ascii="Times New Roman" w:hAnsi="Times New Roman"/>
              <w:szCs w:val="24"/>
            </w:rPr>
            <w:fldChar w:fldCharType="separate"/>
          </w:r>
          <w:r>
            <w:rPr>
              <w:rFonts w:hint="eastAsia"/>
              <w:lang w:val="en-US"/>
            </w:rPr>
            <w:t>3.2 生产规模、产品方案</w:t>
          </w:r>
          <w:r>
            <w:tab/>
          </w:r>
          <w:r>
            <w:fldChar w:fldCharType="begin"/>
          </w:r>
          <w:r>
            <w:instrText xml:space="preserve"> PAGEREF _Toc9304 \h </w:instrText>
          </w:r>
          <w:r>
            <w:fldChar w:fldCharType="separate"/>
          </w:r>
          <w:r>
            <w:t>68</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_Toc23667 </w:instrText>
          </w:r>
          <w:r>
            <w:rPr>
              <w:rFonts w:hint="default" w:ascii="Times New Roman" w:hAnsi="Times New Roman"/>
              <w:szCs w:val="24"/>
            </w:rPr>
            <w:fldChar w:fldCharType="separate"/>
          </w:r>
          <w:r>
            <w:rPr>
              <w:rFonts w:hint="eastAsia"/>
              <w:lang w:val="en-US"/>
            </w:rPr>
            <w:t>3.3 公用工程</w:t>
          </w:r>
          <w:r>
            <w:tab/>
          </w:r>
          <w:r>
            <w:fldChar w:fldCharType="begin"/>
          </w:r>
          <w:r>
            <w:instrText xml:space="preserve"> PAGEREF _Toc23667 \h </w:instrText>
          </w:r>
          <w:r>
            <w:fldChar w:fldCharType="separate"/>
          </w:r>
          <w:r>
            <w:t>82</w:t>
          </w:r>
          <w:r>
            <w:fldChar w:fldCharType="end"/>
          </w:r>
          <w:r>
            <w:rPr>
              <w:rFonts w:hint="default" w:ascii="Times New Roman" w:hAnsi="Times New Roman"/>
              <w:szCs w:val="24"/>
            </w:rPr>
            <w:fldChar w:fldCharType="end"/>
          </w:r>
        </w:p>
        <w:p>
          <w:pPr>
            <w:pStyle w:val="18"/>
            <w:tabs>
              <w:tab w:val="right" w:leader="dot" w:pos="9072"/>
              <w:tab w:val="clear" w:pos="5760"/>
            </w:tabs>
          </w:pPr>
          <w:r>
            <w:rPr>
              <w:rFonts w:hint="default" w:ascii="Times New Roman" w:hAnsi="Times New Roman"/>
              <w:szCs w:val="24"/>
            </w:rPr>
            <w:fldChar w:fldCharType="begin"/>
          </w:r>
          <w:r>
            <w:rPr>
              <w:rFonts w:hint="default" w:ascii="Times New Roman" w:hAnsi="Times New Roman"/>
              <w:szCs w:val="24"/>
            </w:rPr>
            <w:instrText xml:space="preserve"> HYPERLINK \l _Toc29452 </w:instrText>
          </w:r>
          <w:r>
            <w:rPr>
              <w:rFonts w:hint="default" w:ascii="Times New Roman" w:hAnsi="Times New Roman"/>
              <w:szCs w:val="24"/>
            </w:rPr>
            <w:fldChar w:fldCharType="separate"/>
          </w:r>
          <w:r>
            <w:rPr>
              <w:rFonts w:hint="eastAsia"/>
              <w:lang w:eastAsia="zh-CN"/>
            </w:rPr>
            <w:t>第</w:t>
          </w:r>
          <w:r>
            <w:t>四</w:t>
          </w:r>
          <w:r>
            <w:rPr>
              <w:rFonts w:hint="eastAsia"/>
              <w:lang w:eastAsia="zh-CN"/>
            </w:rPr>
            <w:t>章</w:t>
          </w:r>
          <w:r>
            <w:t xml:space="preserve">  工程分析</w:t>
          </w:r>
          <w:r>
            <w:tab/>
          </w:r>
          <w:r>
            <w:fldChar w:fldCharType="begin"/>
          </w:r>
          <w:r>
            <w:instrText xml:space="preserve"> PAGEREF _Toc29452 \h </w:instrText>
          </w:r>
          <w:r>
            <w:fldChar w:fldCharType="separate"/>
          </w:r>
          <w:r>
            <w:t>87</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_Toc1400 </w:instrText>
          </w:r>
          <w:r>
            <w:rPr>
              <w:rFonts w:hint="default" w:ascii="Times New Roman" w:hAnsi="Times New Roman"/>
              <w:szCs w:val="24"/>
            </w:rPr>
            <w:fldChar w:fldCharType="separate"/>
          </w:r>
          <w:r>
            <w:rPr>
              <w:rFonts w:hint="eastAsia"/>
              <w:lang w:val="en-US"/>
            </w:rPr>
            <w:t>4.1 施工期污染源分析</w:t>
          </w:r>
          <w:r>
            <w:tab/>
          </w:r>
          <w:r>
            <w:fldChar w:fldCharType="begin"/>
          </w:r>
          <w:r>
            <w:instrText xml:space="preserve"> PAGEREF _Toc1400 \h </w:instrText>
          </w:r>
          <w:r>
            <w:fldChar w:fldCharType="separate"/>
          </w:r>
          <w:r>
            <w:t>87</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_Toc21179 </w:instrText>
          </w:r>
          <w:r>
            <w:rPr>
              <w:rFonts w:hint="default" w:ascii="Times New Roman" w:hAnsi="Times New Roman"/>
              <w:szCs w:val="24"/>
            </w:rPr>
            <w:fldChar w:fldCharType="separate"/>
          </w:r>
          <w:r>
            <w:rPr>
              <w:rFonts w:hint="eastAsia"/>
              <w:lang w:val="en-US"/>
            </w:rPr>
            <w:t>4.2 项目运营期产污环节</w:t>
          </w:r>
          <w:r>
            <w:tab/>
          </w:r>
          <w:r>
            <w:fldChar w:fldCharType="begin"/>
          </w:r>
          <w:r>
            <w:instrText xml:space="preserve"> PAGEREF _Toc21179 \h </w:instrText>
          </w:r>
          <w:r>
            <w:fldChar w:fldCharType="separate"/>
          </w:r>
          <w:r>
            <w:t>90</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_Toc1995 </w:instrText>
          </w:r>
          <w:r>
            <w:rPr>
              <w:rFonts w:hint="default" w:ascii="Times New Roman" w:hAnsi="Times New Roman"/>
              <w:szCs w:val="24"/>
            </w:rPr>
            <w:fldChar w:fldCharType="separate"/>
          </w:r>
          <w:r>
            <w:rPr>
              <w:rFonts w:hint="eastAsia"/>
              <w:lang w:val="en-US"/>
            </w:rPr>
            <w:t>4.3 污染物源强分析</w:t>
          </w:r>
          <w:r>
            <w:tab/>
          </w:r>
          <w:r>
            <w:fldChar w:fldCharType="begin"/>
          </w:r>
          <w:r>
            <w:instrText xml:space="preserve"> PAGEREF _Toc1995 \h </w:instrText>
          </w:r>
          <w:r>
            <w:fldChar w:fldCharType="separate"/>
          </w:r>
          <w:r>
            <w:t>117</w:t>
          </w:r>
          <w:r>
            <w:fldChar w:fldCharType="end"/>
          </w:r>
          <w:r>
            <w:rPr>
              <w:rFonts w:hint="default" w:ascii="Times New Roman" w:hAnsi="Times New Roman"/>
              <w:szCs w:val="24"/>
            </w:rPr>
            <w:fldChar w:fldCharType="end"/>
          </w:r>
        </w:p>
        <w:p>
          <w:pPr>
            <w:pStyle w:val="18"/>
            <w:tabs>
              <w:tab w:val="right" w:leader="dot" w:pos="9072"/>
              <w:tab w:val="clear" w:pos="5760"/>
            </w:tabs>
          </w:pPr>
          <w:r>
            <w:rPr>
              <w:rFonts w:hint="default" w:ascii="Times New Roman" w:hAnsi="Times New Roman"/>
              <w:szCs w:val="24"/>
            </w:rPr>
            <w:fldChar w:fldCharType="begin"/>
          </w:r>
          <w:r>
            <w:rPr>
              <w:rFonts w:hint="default" w:ascii="Times New Roman" w:hAnsi="Times New Roman"/>
              <w:szCs w:val="24"/>
            </w:rPr>
            <w:instrText xml:space="preserve"> HYPERLINK \l _Toc21185 </w:instrText>
          </w:r>
          <w:r>
            <w:rPr>
              <w:rFonts w:hint="default" w:ascii="Times New Roman" w:hAnsi="Times New Roman"/>
              <w:szCs w:val="24"/>
            </w:rPr>
            <w:fldChar w:fldCharType="separate"/>
          </w:r>
          <w:r>
            <w:t>第五章 环境现状调查与评价</w:t>
          </w:r>
          <w:r>
            <w:tab/>
          </w:r>
          <w:r>
            <w:fldChar w:fldCharType="begin"/>
          </w:r>
          <w:r>
            <w:instrText xml:space="preserve"> PAGEREF _Toc21185 \h </w:instrText>
          </w:r>
          <w:r>
            <w:fldChar w:fldCharType="separate"/>
          </w:r>
          <w:r>
            <w:t>141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_Toc12637 </w:instrText>
          </w:r>
          <w:r>
            <w:rPr>
              <w:rFonts w:hint="default" w:ascii="Times New Roman" w:hAnsi="Times New Roman"/>
              <w:szCs w:val="24"/>
            </w:rPr>
            <w:fldChar w:fldCharType="separate"/>
          </w:r>
          <w:r>
            <w:rPr>
              <w:rFonts w:hint="eastAsia"/>
              <w:lang w:val="en-US"/>
            </w:rPr>
            <w:t>5</w:t>
          </w:r>
          <w:r>
            <w:rPr>
              <w:lang w:val="en-US"/>
            </w:rPr>
            <w:t xml:space="preserve">.1 </w:t>
          </w:r>
          <w:r>
            <w:rPr>
              <w:rFonts w:hint="eastAsia"/>
              <w:lang w:val="en-US"/>
            </w:rPr>
            <w:t>自然环境概况</w:t>
          </w:r>
          <w:r>
            <w:tab/>
          </w:r>
          <w:r>
            <w:fldChar w:fldCharType="begin"/>
          </w:r>
          <w:r>
            <w:instrText xml:space="preserve"> PAGEREF _Toc12637 \h </w:instrText>
          </w:r>
          <w:r>
            <w:fldChar w:fldCharType="separate"/>
          </w:r>
          <w:r>
            <w:t>141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_Toc7493 </w:instrText>
          </w:r>
          <w:r>
            <w:rPr>
              <w:rFonts w:hint="default" w:ascii="Times New Roman" w:hAnsi="Times New Roman"/>
              <w:szCs w:val="24"/>
            </w:rPr>
            <w:fldChar w:fldCharType="separate"/>
          </w:r>
          <w:r>
            <w:rPr>
              <w:lang w:val="en-US"/>
            </w:rPr>
            <w:t>5.2 环境空气质量现状</w:t>
          </w:r>
          <w:r>
            <w:tab/>
          </w:r>
          <w:r>
            <w:fldChar w:fldCharType="begin"/>
          </w:r>
          <w:r>
            <w:instrText xml:space="preserve"> PAGEREF _Toc7493 \h </w:instrText>
          </w:r>
          <w:r>
            <w:fldChar w:fldCharType="separate"/>
          </w:r>
          <w:r>
            <w:t>146</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_Toc12231 </w:instrText>
          </w:r>
          <w:r>
            <w:rPr>
              <w:rFonts w:hint="default" w:ascii="Times New Roman" w:hAnsi="Times New Roman"/>
              <w:szCs w:val="24"/>
            </w:rPr>
            <w:fldChar w:fldCharType="separate"/>
          </w:r>
          <w:r>
            <w:rPr>
              <w:rFonts w:hint="eastAsia"/>
              <w:lang w:val="en-US"/>
            </w:rPr>
            <w:t>5.3 地表水环境质量现状</w:t>
          </w:r>
          <w:r>
            <w:tab/>
          </w:r>
          <w:r>
            <w:fldChar w:fldCharType="begin"/>
          </w:r>
          <w:r>
            <w:instrText xml:space="preserve"> PAGEREF _Toc12231 \h </w:instrText>
          </w:r>
          <w:r>
            <w:fldChar w:fldCharType="separate"/>
          </w:r>
          <w:r>
            <w:t>150</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_Toc27970 </w:instrText>
          </w:r>
          <w:r>
            <w:rPr>
              <w:rFonts w:hint="default" w:ascii="Times New Roman" w:hAnsi="Times New Roman"/>
              <w:szCs w:val="24"/>
            </w:rPr>
            <w:fldChar w:fldCharType="separate"/>
          </w:r>
          <w:r>
            <w:rPr>
              <w:rFonts w:hint="eastAsia"/>
              <w:lang w:val="en-US"/>
            </w:rPr>
            <w:t>5.4 地下水环境质量现状调查与评价</w:t>
          </w:r>
          <w:r>
            <w:tab/>
          </w:r>
          <w:r>
            <w:fldChar w:fldCharType="begin"/>
          </w:r>
          <w:r>
            <w:instrText xml:space="preserve"> PAGEREF _Toc27970 \h </w:instrText>
          </w:r>
          <w:r>
            <w:fldChar w:fldCharType="separate"/>
          </w:r>
          <w:r>
            <w:t>153</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_Toc11963 </w:instrText>
          </w:r>
          <w:r>
            <w:rPr>
              <w:rFonts w:hint="default" w:ascii="Times New Roman" w:hAnsi="Times New Roman"/>
              <w:szCs w:val="24"/>
            </w:rPr>
            <w:fldChar w:fldCharType="separate"/>
          </w:r>
          <w:r>
            <w:rPr>
              <w:rFonts w:hint="eastAsia"/>
              <w:lang w:val="en-US"/>
            </w:rPr>
            <w:t>5.5 声环境质量现状监测与评价</w:t>
          </w:r>
          <w:r>
            <w:tab/>
          </w:r>
          <w:r>
            <w:fldChar w:fldCharType="begin"/>
          </w:r>
          <w:r>
            <w:instrText xml:space="preserve"> PAGEREF _Toc11963 \h </w:instrText>
          </w:r>
          <w:r>
            <w:fldChar w:fldCharType="separate"/>
          </w:r>
          <w:r>
            <w:t>157</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_Toc12734 </w:instrText>
          </w:r>
          <w:r>
            <w:rPr>
              <w:rFonts w:hint="default" w:ascii="Times New Roman" w:hAnsi="Times New Roman"/>
              <w:szCs w:val="24"/>
            </w:rPr>
            <w:fldChar w:fldCharType="separate"/>
          </w:r>
          <w:r>
            <w:rPr>
              <w:rFonts w:hint="eastAsia"/>
              <w:lang w:val="en-US"/>
            </w:rPr>
            <w:t>5.6 土壤环境质量现状调查与评价</w:t>
          </w:r>
          <w:r>
            <w:tab/>
          </w:r>
          <w:r>
            <w:fldChar w:fldCharType="begin"/>
          </w:r>
          <w:r>
            <w:instrText xml:space="preserve"> PAGEREF _Toc12734 \h </w:instrText>
          </w:r>
          <w:r>
            <w:fldChar w:fldCharType="separate"/>
          </w:r>
          <w:r>
            <w:t>158</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_Toc29406 </w:instrText>
          </w:r>
          <w:r>
            <w:rPr>
              <w:rFonts w:hint="default" w:ascii="Times New Roman" w:hAnsi="Times New Roman"/>
              <w:szCs w:val="24"/>
            </w:rPr>
            <w:fldChar w:fldCharType="separate"/>
          </w:r>
          <w:r>
            <w:rPr>
              <w:rFonts w:hint="eastAsia"/>
              <w:lang w:val="en-US"/>
            </w:rPr>
            <w:t xml:space="preserve">5.7 </w:t>
          </w:r>
          <w:r>
            <w:rPr>
              <w:rFonts w:hint="eastAsia"/>
            </w:rPr>
            <w:t>环境质量现状评价小结</w:t>
          </w:r>
          <w:r>
            <w:tab/>
          </w:r>
          <w:r>
            <w:fldChar w:fldCharType="begin"/>
          </w:r>
          <w:r>
            <w:instrText xml:space="preserve"> PAGEREF _Toc29406 \h </w:instrText>
          </w:r>
          <w:r>
            <w:fldChar w:fldCharType="separate"/>
          </w:r>
          <w:r>
            <w:t>169</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_Toc12215 </w:instrText>
          </w:r>
          <w:r>
            <w:rPr>
              <w:rFonts w:hint="default" w:ascii="Times New Roman" w:hAnsi="Times New Roman"/>
              <w:szCs w:val="24"/>
            </w:rPr>
            <w:fldChar w:fldCharType="separate"/>
          </w:r>
          <w:r>
            <w:rPr>
              <w:lang w:val="en-US"/>
            </w:rPr>
            <w:t>5.8 区域污染源调查</w:t>
          </w:r>
          <w:r>
            <w:tab/>
          </w:r>
          <w:r>
            <w:fldChar w:fldCharType="begin"/>
          </w:r>
          <w:r>
            <w:instrText xml:space="preserve"> PAGEREF _Toc12215 \h </w:instrText>
          </w:r>
          <w:r>
            <w:fldChar w:fldCharType="separate"/>
          </w:r>
          <w:r>
            <w:t>170</w:t>
          </w:r>
          <w:r>
            <w:fldChar w:fldCharType="end"/>
          </w:r>
          <w:r>
            <w:rPr>
              <w:rFonts w:hint="default" w:ascii="Times New Roman" w:hAnsi="Times New Roman"/>
              <w:szCs w:val="24"/>
            </w:rPr>
            <w:fldChar w:fldCharType="end"/>
          </w:r>
        </w:p>
        <w:p>
          <w:pPr>
            <w:pStyle w:val="18"/>
            <w:tabs>
              <w:tab w:val="right" w:leader="dot" w:pos="9072"/>
              <w:tab w:val="clear" w:pos="5760"/>
            </w:tabs>
          </w:pPr>
          <w:r>
            <w:rPr>
              <w:rFonts w:hint="default" w:ascii="Times New Roman" w:hAnsi="Times New Roman"/>
              <w:szCs w:val="24"/>
            </w:rPr>
            <w:fldChar w:fldCharType="begin"/>
          </w:r>
          <w:r>
            <w:rPr>
              <w:rFonts w:hint="default" w:ascii="Times New Roman" w:hAnsi="Times New Roman"/>
              <w:szCs w:val="24"/>
            </w:rPr>
            <w:instrText xml:space="preserve"> HYPERLINK \l _Toc7284 </w:instrText>
          </w:r>
          <w:r>
            <w:rPr>
              <w:rFonts w:hint="default" w:ascii="Times New Roman" w:hAnsi="Times New Roman"/>
              <w:szCs w:val="24"/>
            </w:rPr>
            <w:fldChar w:fldCharType="separate"/>
          </w:r>
          <w:r>
            <w:t>第六章  环境影响预测与评价</w:t>
          </w:r>
          <w:r>
            <w:tab/>
          </w:r>
          <w:r>
            <w:fldChar w:fldCharType="begin"/>
          </w:r>
          <w:r>
            <w:instrText xml:space="preserve"> PAGEREF _Toc7284 \h </w:instrText>
          </w:r>
          <w:r>
            <w:fldChar w:fldCharType="separate"/>
          </w:r>
          <w:r>
            <w:t>172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_Toc16534 </w:instrText>
          </w:r>
          <w:r>
            <w:rPr>
              <w:rFonts w:hint="default" w:ascii="Times New Roman" w:hAnsi="Times New Roman"/>
              <w:szCs w:val="24"/>
            </w:rPr>
            <w:fldChar w:fldCharType="separate"/>
          </w:r>
          <w:r>
            <w:rPr>
              <w:lang w:val="en-US"/>
            </w:rPr>
            <w:t>6.1 建设期环境影响分析</w:t>
          </w:r>
          <w:r>
            <w:tab/>
          </w:r>
          <w:r>
            <w:fldChar w:fldCharType="begin"/>
          </w:r>
          <w:r>
            <w:instrText xml:space="preserve"> PAGEREF _Toc16534 \h </w:instrText>
          </w:r>
          <w:r>
            <w:fldChar w:fldCharType="separate"/>
          </w:r>
          <w:r>
            <w:t>172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_Toc22672 </w:instrText>
          </w:r>
          <w:r>
            <w:rPr>
              <w:rFonts w:hint="default" w:ascii="Times New Roman" w:hAnsi="Times New Roman"/>
              <w:szCs w:val="24"/>
            </w:rPr>
            <w:fldChar w:fldCharType="separate"/>
          </w:r>
          <w:r>
            <w:rPr>
              <w:lang w:val="en-US"/>
            </w:rPr>
            <w:t>6.</w:t>
          </w:r>
          <w:r>
            <w:rPr>
              <w:rFonts w:hint="eastAsia"/>
              <w:lang w:val="en-US"/>
            </w:rPr>
            <w:t>2</w:t>
          </w:r>
          <w:r>
            <w:rPr>
              <w:lang w:val="en-US"/>
            </w:rPr>
            <w:t xml:space="preserve"> 环境空气影响预测与评价</w:t>
          </w:r>
          <w:r>
            <w:tab/>
          </w:r>
          <w:r>
            <w:fldChar w:fldCharType="begin"/>
          </w:r>
          <w:r>
            <w:instrText xml:space="preserve"> PAGEREF _Toc22672 \h </w:instrText>
          </w:r>
          <w:r>
            <w:fldChar w:fldCharType="separate"/>
          </w:r>
          <w:r>
            <w:t>181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_Toc31021 </w:instrText>
          </w:r>
          <w:r>
            <w:rPr>
              <w:rFonts w:hint="default" w:ascii="Times New Roman" w:hAnsi="Times New Roman"/>
              <w:szCs w:val="24"/>
            </w:rPr>
            <w:fldChar w:fldCharType="separate"/>
          </w:r>
          <w:r>
            <w:rPr>
              <w:rFonts w:hint="eastAsia"/>
              <w:lang w:val="en-US"/>
            </w:rPr>
            <w:t xml:space="preserve">6.3 </w:t>
          </w:r>
          <w:r>
            <w:rPr>
              <w:lang w:val="en-US"/>
            </w:rPr>
            <w:t>地表水环境影响评价</w:t>
          </w:r>
          <w:r>
            <w:tab/>
          </w:r>
          <w:r>
            <w:fldChar w:fldCharType="begin"/>
          </w:r>
          <w:r>
            <w:instrText xml:space="preserve"> PAGEREF _Toc31021 \h </w:instrText>
          </w:r>
          <w:r>
            <w:fldChar w:fldCharType="separate"/>
          </w:r>
          <w:r>
            <w:t>205</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_Toc15527 </w:instrText>
          </w:r>
          <w:r>
            <w:rPr>
              <w:rFonts w:hint="default" w:ascii="Times New Roman" w:hAnsi="Times New Roman"/>
              <w:szCs w:val="24"/>
            </w:rPr>
            <w:fldChar w:fldCharType="separate"/>
          </w:r>
          <w:r>
            <w:rPr>
              <w:rFonts w:hint="eastAsia"/>
              <w:lang w:val="en-US"/>
            </w:rPr>
            <w:t>6.4 声环境影响评价</w:t>
          </w:r>
          <w:r>
            <w:tab/>
          </w:r>
          <w:r>
            <w:fldChar w:fldCharType="begin"/>
          </w:r>
          <w:r>
            <w:instrText xml:space="preserve"> PAGEREF _Toc15527 \h </w:instrText>
          </w:r>
          <w:r>
            <w:fldChar w:fldCharType="separate"/>
          </w:r>
          <w:r>
            <w:t>210</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_Toc9594 </w:instrText>
          </w:r>
          <w:r>
            <w:rPr>
              <w:rFonts w:hint="default" w:ascii="Times New Roman" w:hAnsi="Times New Roman"/>
              <w:szCs w:val="24"/>
            </w:rPr>
            <w:fldChar w:fldCharType="separate"/>
          </w:r>
          <w:r>
            <w:rPr>
              <w:lang w:val="en-US"/>
            </w:rPr>
            <w:t>6.</w:t>
          </w:r>
          <w:r>
            <w:rPr>
              <w:rFonts w:hint="eastAsia"/>
              <w:lang w:val="en-US"/>
            </w:rPr>
            <w:t>5</w:t>
          </w:r>
          <w:r>
            <w:rPr>
              <w:lang w:val="en-US"/>
            </w:rPr>
            <w:t xml:space="preserve"> 营运期地下水影响分析</w:t>
          </w:r>
          <w:r>
            <w:tab/>
          </w:r>
          <w:r>
            <w:fldChar w:fldCharType="begin"/>
          </w:r>
          <w:r>
            <w:instrText xml:space="preserve"> PAGEREF _Toc9594 \h </w:instrText>
          </w:r>
          <w:r>
            <w:fldChar w:fldCharType="separate"/>
          </w:r>
          <w:r>
            <w:t>217</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_Toc10154 </w:instrText>
          </w:r>
          <w:r>
            <w:rPr>
              <w:rFonts w:hint="default" w:ascii="Times New Roman" w:hAnsi="Times New Roman"/>
              <w:szCs w:val="24"/>
            </w:rPr>
            <w:fldChar w:fldCharType="separate"/>
          </w:r>
          <w:r>
            <w:rPr>
              <w:rFonts w:hint="eastAsia"/>
              <w:lang w:val="en-US"/>
            </w:rPr>
            <w:t xml:space="preserve">6.6 </w:t>
          </w:r>
          <w:r>
            <w:rPr>
              <w:lang w:val="en-US"/>
            </w:rPr>
            <w:t>土壤环境影响分析</w:t>
          </w:r>
          <w:r>
            <w:tab/>
          </w:r>
          <w:r>
            <w:fldChar w:fldCharType="begin"/>
          </w:r>
          <w:r>
            <w:instrText xml:space="preserve"> PAGEREF _Toc10154 \h </w:instrText>
          </w:r>
          <w:r>
            <w:fldChar w:fldCharType="separate"/>
          </w:r>
          <w:r>
            <w:t>239</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_Toc10194 </w:instrText>
          </w:r>
          <w:r>
            <w:rPr>
              <w:rFonts w:hint="default" w:ascii="Times New Roman" w:hAnsi="Times New Roman"/>
              <w:szCs w:val="24"/>
            </w:rPr>
            <w:fldChar w:fldCharType="separate"/>
          </w:r>
          <w:r>
            <w:rPr>
              <w:rFonts w:hint="eastAsia" w:ascii="Times New Roman" w:hAnsi="Times New Roman"/>
              <w:lang w:val="en-US"/>
            </w:rPr>
            <w:t>6.7 固体废弃物环境影响分析</w:t>
          </w:r>
          <w:r>
            <w:tab/>
          </w:r>
          <w:r>
            <w:fldChar w:fldCharType="begin"/>
          </w:r>
          <w:r>
            <w:instrText xml:space="preserve"> PAGEREF _Toc10194 \h </w:instrText>
          </w:r>
          <w:r>
            <w:fldChar w:fldCharType="separate"/>
          </w:r>
          <w:r>
            <w:t>242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_Toc7453 </w:instrText>
          </w:r>
          <w:r>
            <w:rPr>
              <w:rFonts w:hint="default" w:ascii="Times New Roman" w:hAnsi="Times New Roman"/>
              <w:szCs w:val="24"/>
            </w:rPr>
            <w:fldChar w:fldCharType="separate"/>
          </w:r>
          <w:r>
            <w:rPr>
              <w:rFonts w:hint="eastAsia"/>
              <w:lang w:val="en-US"/>
            </w:rPr>
            <w:t xml:space="preserve">6.8 </w:t>
          </w:r>
          <w:r>
            <w:t>环境风险影响分析</w:t>
          </w:r>
          <w:r>
            <w:tab/>
          </w:r>
          <w:r>
            <w:fldChar w:fldCharType="begin"/>
          </w:r>
          <w:r>
            <w:instrText xml:space="preserve"> PAGEREF _Toc7453 \h </w:instrText>
          </w:r>
          <w:r>
            <w:fldChar w:fldCharType="separate"/>
          </w:r>
          <w:r>
            <w:t>244</w:t>
          </w:r>
          <w:r>
            <w:fldChar w:fldCharType="end"/>
          </w:r>
          <w:r>
            <w:rPr>
              <w:rFonts w:hint="default" w:ascii="Times New Roman" w:hAnsi="Times New Roman"/>
              <w:szCs w:val="24"/>
            </w:rPr>
            <w:fldChar w:fldCharType="end"/>
          </w:r>
        </w:p>
        <w:p>
          <w:pPr>
            <w:pStyle w:val="18"/>
            <w:tabs>
              <w:tab w:val="right" w:leader="dot" w:pos="9072"/>
              <w:tab w:val="clear" w:pos="5760"/>
            </w:tabs>
          </w:pPr>
          <w:r>
            <w:rPr>
              <w:rFonts w:hint="default" w:ascii="Times New Roman" w:hAnsi="Times New Roman"/>
              <w:szCs w:val="24"/>
            </w:rPr>
            <w:fldChar w:fldCharType="begin"/>
          </w:r>
          <w:r>
            <w:rPr>
              <w:rFonts w:hint="default" w:ascii="Times New Roman" w:hAnsi="Times New Roman"/>
              <w:szCs w:val="24"/>
            </w:rPr>
            <w:instrText xml:space="preserve"> HYPERLINK \l _Toc32293 </w:instrText>
          </w:r>
          <w:r>
            <w:rPr>
              <w:rFonts w:hint="default" w:ascii="Times New Roman" w:hAnsi="Times New Roman"/>
              <w:szCs w:val="24"/>
            </w:rPr>
            <w:fldChar w:fldCharType="separate"/>
          </w:r>
          <w:r>
            <w:t>第七章  污染防治措施及可行性分析</w:t>
          </w:r>
          <w:r>
            <w:tab/>
          </w:r>
          <w:r>
            <w:fldChar w:fldCharType="begin"/>
          </w:r>
          <w:r>
            <w:instrText xml:space="preserve"> PAGEREF _Toc32293 \h </w:instrText>
          </w:r>
          <w:r>
            <w:fldChar w:fldCharType="separate"/>
          </w:r>
          <w:r>
            <w:t>269</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_Toc29126 </w:instrText>
          </w:r>
          <w:r>
            <w:rPr>
              <w:rFonts w:hint="default" w:ascii="Times New Roman" w:hAnsi="Times New Roman"/>
              <w:szCs w:val="24"/>
            </w:rPr>
            <w:fldChar w:fldCharType="separate"/>
          </w:r>
          <w:r>
            <w:rPr>
              <w:lang w:val="en-US"/>
            </w:rPr>
            <w:t>7.1 施工期污染防治措施</w:t>
          </w:r>
          <w:r>
            <w:tab/>
          </w:r>
          <w:r>
            <w:fldChar w:fldCharType="begin"/>
          </w:r>
          <w:r>
            <w:instrText xml:space="preserve"> PAGEREF _Toc29126 \h </w:instrText>
          </w:r>
          <w:r>
            <w:fldChar w:fldCharType="separate"/>
          </w:r>
          <w:r>
            <w:t>269</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_Toc1640 </w:instrText>
          </w:r>
          <w:r>
            <w:rPr>
              <w:rFonts w:hint="default" w:ascii="Times New Roman" w:hAnsi="Times New Roman"/>
              <w:szCs w:val="24"/>
            </w:rPr>
            <w:fldChar w:fldCharType="separate"/>
          </w:r>
          <w:r>
            <w:rPr>
              <w:lang w:val="en-US"/>
            </w:rPr>
            <w:t>7.2 营运期污染防治措施</w:t>
          </w:r>
          <w:r>
            <w:tab/>
          </w:r>
          <w:r>
            <w:fldChar w:fldCharType="begin"/>
          </w:r>
          <w:r>
            <w:instrText xml:space="preserve"> PAGEREF _Toc1640 \h </w:instrText>
          </w:r>
          <w:r>
            <w:fldChar w:fldCharType="separate"/>
          </w:r>
          <w:r>
            <w:t>275</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_Toc7908 </w:instrText>
          </w:r>
          <w:r>
            <w:rPr>
              <w:rFonts w:hint="default" w:ascii="Times New Roman" w:hAnsi="Times New Roman"/>
              <w:szCs w:val="24"/>
            </w:rPr>
            <w:fldChar w:fldCharType="separate"/>
          </w:r>
          <w:r>
            <w:rPr>
              <w:rFonts w:hint="eastAsia"/>
              <w:lang w:val="en-US"/>
            </w:rPr>
            <w:t xml:space="preserve">7.3 </w:t>
          </w:r>
          <w:r>
            <w:t>污染防治措施及环保投资汇总</w:t>
          </w:r>
          <w:r>
            <w:tab/>
          </w:r>
          <w:r>
            <w:fldChar w:fldCharType="begin"/>
          </w:r>
          <w:r>
            <w:instrText xml:space="preserve"> PAGEREF _Toc7908 \h </w:instrText>
          </w:r>
          <w:r>
            <w:fldChar w:fldCharType="separate"/>
          </w:r>
          <w:r>
            <w:t>299</w:t>
          </w:r>
          <w:r>
            <w:fldChar w:fldCharType="end"/>
          </w:r>
          <w:r>
            <w:rPr>
              <w:rFonts w:hint="default" w:ascii="Times New Roman" w:hAnsi="Times New Roman"/>
              <w:szCs w:val="24"/>
            </w:rPr>
            <w:fldChar w:fldCharType="end"/>
          </w:r>
        </w:p>
        <w:p>
          <w:pPr>
            <w:pStyle w:val="18"/>
            <w:tabs>
              <w:tab w:val="right" w:leader="dot" w:pos="9072"/>
              <w:tab w:val="clear" w:pos="5760"/>
            </w:tabs>
          </w:pPr>
          <w:r>
            <w:rPr>
              <w:rFonts w:hint="default" w:ascii="Times New Roman" w:hAnsi="Times New Roman"/>
              <w:szCs w:val="24"/>
            </w:rPr>
            <w:fldChar w:fldCharType="begin"/>
          </w:r>
          <w:r>
            <w:rPr>
              <w:rFonts w:hint="default" w:ascii="Times New Roman" w:hAnsi="Times New Roman"/>
              <w:szCs w:val="24"/>
            </w:rPr>
            <w:instrText xml:space="preserve"> HYPERLINK \l _Toc9081 </w:instrText>
          </w:r>
          <w:r>
            <w:rPr>
              <w:rFonts w:hint="default" w:ascii="Times New Roman" w:hAnsi="Times New Roman"/>
              <w:szCs w:val="24"/>
            </w:rPr>
            <w:fldChar w:fldCharType="separate"/>
          </w:r>
          <w:r>
            <w:t>第八章  环境影响经济损益分析</w:t>
          </w:r>
          <w:r>
            <w:tab/>
          </w:r>
          <w:r>
            <w:fldChar w:fldCharType="begin"/>
          </w:r>
          <w:r>
            <w:instrText xml:space="preserve"> PAGEREF _Toc9081 \h </w:instrText>
          </w:r>
          <w:r>
            <w:fldChar w:fldCharType="separate"/>
          </w:r>
          <w:r>
            <w:t>302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_Toc30737 </w:instrText>
          </w:r>
          <w:r>
            <w:rPr>
              <w:rFonts w:hint="default" w:ascii="Times New Roman" w:hAnsi="Times New Roman"/>
              <w:szCs w:val="24"/>
            </w:rPr>
            <w:fldChar w:fldCharType="separate"/>
          </w:r>
          <w:r>
            <w:rPr>
              <w:rFonts w:hint="eastAsia"/>
              <w:lang w:val="en-US"/>
            </w:rPr>
            <w:t xml:space="preserve">8.1 </w:t>
          </w:r>
          <w:r>
            <w:t>环境影响经济损益分析的目的</w:t>
          </w:r>
          <w:r>
            <w:tab/>
          </w:r>
          <w:r>
            <w:fldChar w:fldCharType="begin"/>
          </w:r>
          <w:r>
            <w:instrText xml:space="preserve"> PAGEREF _Toc30737 \h </w:instrText>
          </w:r>
          <w:r>
            <w:fldChar w:fldCharType="separate"/>
          </w:r>
          <w:r>
            <w:t>302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_Toc11764 </w:instrText>
          </w:r>
          <w:r>
            <w:rPr>
              <w:rFonts w:hint="default" w:ascii="Times New Roman" w:hAnsi="Times New Roman"/>
              <w:szCs w:val="24"/>
            </w:rPr>
            <w:fldChar w:fldCharType="separate"/>
          </w:r>
          <w:r>
            <w:rPr>
              <w:rFonts w:hint="eastAsia"/>
              <w:lang w:val="en-US"/>
            </w:rPr>
            <w:t xml:space="preserve">8.2 </w:t>
          </w:r>
          <w:r>
            <w:t>经济损益分析</w:t>
          </w:r>
          <w:r>
            <w:tab/>
          </w:r>
          <w:r>
            <w:fldChar w:fldCharType="begin"/>
          </w:r>
          <w:r>
            <w:instrText xml:space="preserve"> PAGEREF _Toc11764 \h </w:instrText>
          </w:r>
          <w:r>
            <w:fldChar w:fldCharType="separate"/>
          </w:r>
          <w:r>
            <w:t>302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_Toc8505 </w:instrText>
          </w:r>
          <w:r>
            <w:rPr>
              <w:rFonts w:hint="default" w:ascii="Times New Roman" w:hAnsi="Times New Roman"/>
              <w:szCs w:val="24"/>
            </w:rPr>
            <w:fldChar w:fldCharType="separate"/>
          </w:r>
          <w:r>
            <w:rPr>
              <w:rFonts w:hint="eastAsia"/>
              <w:lang w:val="en-US"/>
            </w:rPr>
            <w:t xml:space="preserve">8.3 </w:t>
          </w:r>
          <w:r>
            <w:t>社会损益分析</w:t>
          </w:r>
          <w:r>
            <w:tab/>
          </w:r>
          <w:r>
            <w:fldChar w:fldCharType="begin"/>
          </w:r>
          <w:r>
            <w:instrText xml:space="preserve"> PAGEREF _Toc8505 \h </w:instrText>
          </w:r>
          <w:r>
            <w:fldChar w:fldCharType="separate"/>
          </w:r>
          <w:r>
            <w:t>302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_Toc14542 </w:instrText>
          </w:r>
          <w:r>
            <w:rPr>
              <w:rFonts w:hint="default" w:ascii="Times New Roman" w:hAnsi="Times New Roman"/>
              <w:szCs w:val="24"/>
            </w:rPr>
            <w:fldChar w:fldCharType="separate"/>
          </w:r>
          <w:r>
            <w:rPr>
              <w:rFonts w:hint="eastAsia"/>
              <w:lang w:val="en-US"/>
            </w:rPr>
            <w:t xml:space="preserve">8.4 </w:t>
          </w:r>
          <w:r>
            <w:t>环境损益分析</w:t>
          </w:r>
          <w:r>
            <w:tab/>
          </w:r>
          <w:r>
            <w:fldChar w:fldCharType="begin"/>
          </w:r>
          <w:r>
            <w:instrText xml:space="preserve"> PAGEREF _Toc14542 \h </w:instrText>
          </w:r>
          <w:r>
            <w:fldChar w:fldCharType="separate"/>
          </w:r>
          <w:r>
            <w:t>302</w:t>
          </w:r>
          <w:r>
            <w:fldChar w:fldCharType="end"/>
          </w:r>
          <w:r>
            <w:rPr>
              <w:rFonts w:hint="default" w:ascii="Times New Roman" w:hAnsi="Times New Roman"/>
              <w:szCs w:val="24"/>
            </w:rPr>
            <w:fldChar w:fldCharType="end"/>
          </w:r>
        </w:p>
        <w:p>
          <w:pPr>
            <w:pStyle w:val="18"/>
            <w:tabs>
              <w:tab w:val="right" w:leader="dot" w:pos="9072"/>
              <w:tab w:val="clear" w:pos="5760"/>
            </w:tabs>
          </w:pPr>
          <w:r>
            <w:rPr>
              <w:rFonts w:hint="default" w:ascii="Times New Roman" w:hAnsi="Times New Roman"/>
              <w:szCs w:val="24"/>
            </w:rPr>
            <w:fldChar w:fldCharType="begin"/>
          </w:r>
          <w:r>
            <w:rPr>
              <w:rFonts w:hint="default" w:ascii="Times New Roman" w:hAnsi="Times New Roman"/>
              <w:szCs w:val="24"/>
            </w:rPr>
            <w:instrText xml:space="preserve"> HYPERLINK \l _Toc19793 </w:instrText>
          </w:r>
          <w:r>
            <w:rPr>
              <w:rFonts w:hint="default" w:ascii="Times New Roman" w:hAnsi="Times New Roman"/>
              <w:szCs w:val="24"/>
            </w:rPr>
            <w:fldChar w:fldCharType="separate"/>
          </w:r>
          <w:r>
            <w:t>第九章</w:t>
          </w:r>
          <w:r>
            <w:rPr>
              <w:rFonts w:hint="default"/>
            </w:rPr>
            <w:t xml:space="preserve"> </w:t>
          </w:r>
          <w:r>
            <w:t>环境管理与监测计划</w:t>
          </w:r>
          <w:r>
            <w:tab/>
          </w:r>
          <w:r>
            <w:fldChar w:fldCharType="begin"/>
          </w:r>
          <w:r>
            <w:instrText xml:space="preserve"> PAGEREF _Toc19793 \h </w:instrText>
          </w:r>
          <w:r>
            <w:fldChar w:fldCharType="separate"/>
          </w:r>
          <w:r>
            <w:t>306</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_Toc12214 </w:instrText>
          </w:r>
          <w:r>
            <w:rPr>
              <w:rFonts w:hint="default" w:ascii="Times New Roman" w:hAnsi="Times New Roman"/>
              <w:szCs w:val="24"/>
            </w:rPr>
            <w:fldChar w:fldCharType="separate"/>
          </w:r>
          <w:r>
            <w:rPr>
              <w:lang w:val="en-US"/>
            </w:rPr>
            <w:t xml:space="preserve">9.1 </w:t>
          </w:r>
          <w:r>
            <w:rPr>
              <w:rFonts w:hint="eastAsia"/>
              <w:lang w:val="en-US"/>
            </w:rPr>
            <w:t>环境管理</w:t>
          </w:r>
          <w:r>
            <w:tab/>
          </w:r>
          <w:r>
            <w:fldChar w:fldCharType="begin"/>
          </w:r>
          <w:r>
            <w:instrText xml:space="preserve"> PAGEREF _Toc12214 \h </w:instrText>
          </w:r>
          <w:r>
            <w:fldChar w:fldCharType="separate"/>
          </w:r>
          <w:r>
            <w:t>306</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_Toc21420 </w:instrText>
          </w:r>
          <w:r>
            <w:rPr>
              <w:rFonts w:hint="default" w:ascii="Times New Roman" w:hAnsi="Times New Roman"/>
              <w:szCs w:val="24"/>
            </w:rPr>
            <w:fldChar w:fldCharType="separate"/>
          </w:r>
          <w:r>
            <w:rPr>
              <w:lang w:val="en-US"/>
            </w:rPr>
            <w:t>9.</w:t>
          </w:r>
          <w:r>
            <w:rPr>
              <w:rFonts w:hint="eastAsia"/>
              <w:lang w:val="en-US"/>
            </w:rPr>
            <w:t>2</w:t>
          </w:r>
          <w:r>
            <w:rPr>
              <w:lang w:val="en-US"/>
            </w:rPr>
            <w:t xml:space="preserve"> 环境管理制度</w:t>
          </w:r>
          <w:r>
            <w:tab/>
          </w:r>
          <w:r>
            <w:fldChar w:fldCharType="begin"/>
          </w:r>
          <w:r>
            <w:instrText xml:space="preserve"> PAGEREF _Toc21420 \h </w:instrText>
          </w:r>
          <w:r>
            <w:fldChar w:fldCharType="separate"/>
          </w:r>
          <w:r>
            <w:t>313</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_Toc17802 </w:instrText>
          </w:r>
          <w:r>
            <w:rPr>
              <w:rFonts w:hint="default" w:ascii="Times New Roman" w:hAnsi="Times New Roman"/>
              <w:szCs w:val="24"/>
            </w:rPr>
            <w:fldChar w:fldCharType="separate"/>
          </w:r>
          <w:r>
            <w:rPr>
              <w:rFonts w:ascii="Times New Roman" w:hAnsi="Times New Roman"/>
              <w:lang w:val="en-US"/>
            </w:rPr>
            <w:t>9.</w:t>
          </w:r>
          <w:r>
            <w:rPr>
              <w:rFonts w:hint="eastAsia" w:ascii="Times New Roman" w:hAnsi="Times New Roman"/>
              <w:lang w:val="en-US"/>
            </w:rPr>
            <w:t>3</w:t>
          </w:r>
          <w:r>
            <w:rPr>
              <w:rFonts w:ascii="Times New Roman" w:hAnsi="Times New Roman"/>
              <w:lang w:val="en-US"/>
            </w:rPr>
            <w:t xml:space="preserve"> 排污口规范化要求</w:t>
          </w:r>
          <w:r>
            <w:tab/>
          </w:r>
          <w:r>
            <w:fldChar w:fldCharType="begin"/>
          </w:r>
          <w:r>
            <w:instrText xml:space="preserve"> PAGEREF _Toc17802 \h </w:instrText>
          </w:r>
          <w:r>
            <w:fldChar w:fldCharType="separate"/>
          </w:r>
          <w:r>
            <w:t>314</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_Toc22822 </w:instrText>
          </w:r>
          <w:r>
            <w:rPr>
              <w:rFonts w:hint="default" w:ascii="Times New Roman" w:hAnsi="Times New Roman"/>
              <w:szCs w:val="24"/>
            </w:rPr>
            <w:fldChar w:fldCharType="separate"/>
          </w:r>
          <w:r>
            <w:rPr>
              <w:rFonts w:hint="eastAsia"/>
              <w:lang w:val="en-US"/>
            </w:rPr>
            <w:t>9.4</w:t>
          </w:r>
          <w:r>
            <w:rPr>
              <w:lang w:val="en-US"/>
            </w:rPr>
            <w:t xml:space="preserve"> 环境监测计划</w:t>
          </w:r>
          <w:r>
            <w:tab/>
          </w:r>
          <w:r>
            <w:fldChar w:fldCharType="begin"/>
          </w:r>
          <w:r>
            <w:instrText xml:space="preserve"> PAGEREF _Toc22822 \h </w:instrText>
          </w:r>
          <w:r>
            <w:fldChar w:fldCharType="separate"/>
          </w:r>
          <w:r>
            <w:t>315</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_Toc7006 </w:instrText>
          </w:r>
          <w:r>
            <w:rPr>
              <w:rFonts w:hint="default" w:ascii="Times New Roman" w:hAnsi="Times New Roman"/>
              <w:szCs w:val="24"/>
            </w:rPr>
            <w:fldChar w:fldCharType="separate"/>
          </w:r>
          <w:r>
            <w:rPr>
              <w:lang w:val="en-US"/>
            </w:rPr>
            <w:t>9.</w:t>
          </w:r>
          <w:r>
            <w:rPr>
              <w:rFonts w:hint="eastAsia"/>
              <w:lang w:val="en-US"/>
            </w:rPr>
            <w:t>5</w:t>
          </w:r>
          <w:r>
            <w:rPr>
              <w:lang w:val="en-US"/>
            </w:rPr>
            <w:t xml:space="preserve"> 建设项目竣工环保验收内容</w:t>
          </w:r>
          <w:r>
            <w:tab/>
          </w:r>
          <w:r>
            <w:fldChar w:fldCharType="begin"/>
          </w:r>
          <w:r>
            <w:instrText xml:space="preserve"> PAGEREF _Toc7006 \h </w:instrText>
          </w:r>
          <w:r>
            <w:fldChar w:fldCharType="separate"/>
          </w:r>
          <w:r>
            <w:t>317</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_Toc29566 </w:instrText>
          </w:r>
          <w:r>
            <w:rPr>
              <w:rFonts w:hint="default" w:ascii="Times New Roman" w:hAnsi="Times New Roman"/>
              <w:szCs w:val="24"/>
            </w:rPr>
            <w:fldChar w:fldCharType="separate"/>
          </w:r>
          <w:r>
            <w:rPr>
              <w:lang w:val="en-US"/>
            </w:rPr>
            <w:t>9.</w:t>
          </w:r>
          <w:r>
            <w:rPr>
              <w:rFonts w:hint="eastAsia"/>
              <w:lang w:val="en-US"/>
            </w:rPr>
            <w:t>6</w:t>
          </w:r>
          <w:r>
            <w:rPr>
              <w:lang w:val="en-US"/>
            </w:rPr>
            <w:t xml:space="preserve"> 总量控制</w:t>
          </w:r>
          <w:r>
            <w:tab/>
          </w:r>
          <w:r>
            <w:fldChar w:fldCharType="begin"/>
          </w:r>
          <w:r>
            <w:instrText xml:space="preserve"> PAGEREF _Toc29566 \h </w:instrText>
          </w:r>
          <w:r>
            <w:fldChar w:fldCharType="separate"/>
          </w:r>
          <w:r>
            <w:t>318</w:t>
          </w:r>
          <w:r>
            <w:fldChar w:fldCharType="end"/>
          </w:r>
          <w:r>
            <w:rPr>
              <w:rFonts w:hint="default" w:ascii="Times New Roman" w:hAnsi="Times New Roman"/>
              <w:szCs w:val="24"/>
            </w:rPr>
            <w:fldChar w:fldCharType="end"/>
          </w:r>
        </w:p>
        <w:p>
          <w:pPr>
            <w:pStyle w:val="18"/>
            <w:tabs>
              <w:tab w:val="right" w:leader="dot" w:pos="9072"/>
              <w:tab w:val="clear" w:pos="5760"/>
            </w:tabs>
          </w:pPr>
          <w:r>
            <w:rPr>
              <w:rFonts w:hint="default" w:ascii="Times New Roman" w:hAnsi="Times New Roman"/>
              <w:szCs w:val="24"/>
            </w:rPr>
            <w:fldChar w:fldCharType="begin"/>
          </w:r>
          <w:r>
            <w:rPr>
              <w:rFonts w:hint="default" w:ascii="Times New Roman" w:hAnsi="Times New Roman"/>
              <w:szCs w:val="24"/>
            </w:rPr>
            <w:instrText xml:space="preserve"> HYPERLINK \l _Toc3313 </w:instrText>
          </w:r>
          <w:r>
            <w:rPr>
              <w:rFonts w:hint="default" w:ascii="Times New Roman" w:hAnsi="Times New Roman"/>
              <w:szCs w:val="24"/>
            </w:rPr>
            <w:fldChar w:fldCharType="separate"/>
          </w:r>
          <w:r>
            <w:t>第十章  评价结论</w:t>
          </w:r>
          <w:r>
            <w:tab/>
          </w:r>
          <w:r>
            <w:fldChar w:fldCharType="begin"/>
          </w:r>
          <w:r>
            <w:instrText xml:space="preserve"> PAGEREF _Toc3313 \h </w:instrText>
          </w:r>
          <w:r>
            <w:fldChar w:fldCharType="separate"/>
          </w:r>
          <w:r>
            <w:t>321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_Toc8335 </w:instrText>
          </w:r>
          <w:r>
            <w:rPr>
              <w:rFonts w:hint="default" w:ascii="Times New Roman" w:hAnsi="Times New Roman"/>
              <w:szCs w:val="24"/>
            </w:rPr>
            <w:fldChar w:fldCharType="separate"/>
          </w:r>
          <w:r>
            <w:rPr>
              <w:lang w:val="en-US"/>
            </w:rPr>
            <w:t xml:space="preserve">10.1 </w:t>
          </w:r>
          <w:r>
            <w:rPr>
              <w:rFonts w:hint="eastAsia"/>
              <w:lang w:val="en-US"/>
            </w:rPr>
            <w:t>项目概况</w:t>
          </w:r>
          <w:r>
            <w:tab/>
          </w:r>
          <w:r>
            <w:fldChar w:fldCharType="begin"/>
          </w:r>
          <w:r>
            <w:instrText xml:space="preserve"> PAGEREF _Toc8335 \h </w:instrText>
          </w:r>
          <w:r>
            <w:fldChar w:fldCharType="separate"/>
          </w:r>
          <w:r>
            <w:t>321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_Toc13693 </w:instrText>
          </w:r>
          <w:r>
            <w:rPr>
              <w:rFonts w:hint="default" w:ascii="Times New Roman" w:hAnsi="Times New Roman"/>
              <w:szCs w:val="24"/>
            </w:rPr>
            <w:fldChar w:fldCharType="separate"/>
          </w:r>
          <w:r>
            <w:rPr>
              <w:lang w:val="en-US"/>
            </w:rPr>
            <w:t>10.2 项目相符性结论</w:t>
          </w:r>
          <w:r>
            <w:tab/>
          </w:r>
          <w:r>
            <w:fldChar w:fldCharType="begin"/>
          </w:r>
          <w:r>
            <w:instrText xml:space="preserve"> PAGEREF _Toc13693 \h </w:instrText>
          </w:r>
          <w:r>
            <w:fldChar w:fldCharType="separate"/>
          </w:r>
          <w:r>
            <w:t>321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_Toc30798 </w:instrText>
          </w:r>
          <w:r>
            <w:rPr>
              <w:rFonts w:hint="default" w:ascii="Times New Roman" w:hAnsi="Times New Roman"/>
              <w:szCs w:val="24"/>
            </w:rPr>
            <w:fldChar w:fldCharType="separate"/>
          </w:r>
          <w:r>
            <w:rPr>
              <w:lang w:val="en-US"/>
            </w:rPr>
            <w:t>10.3 环境质量现状</w:t>
          </w:r>
          <w:r>
            <w:tab/>
          </w:r>
          <w:r>
            <w:fldChar w:fldCharType="begin"/>
          </w:r>
          <w:r>
            <w:instrText xml:space="preserve"> PAGEREF _Toc30798 \h </w:instrText>
          </w:r>
          <w:r>
            <w:fldChar w:fldCharType="separate"/>
          </w:r>
          <w:r>
            <w:t>321</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_Toc6207 </w:instrText>
          </w:r>
          <w:r>
            <w:rPr>
              <w:rFonts w:hint="default" w:ascii="Times New Roman" w:hAnsi="Times New Roman"/>
              <w:szCs w:val="24"/>
            </w:rPr>
            <w:fldChar w:fldCharType="separate"/>
          </w:r>
          <w:r>
            <w:rPr>
              <w:lang w:val="en-US"/>
            </w:rPr>
            <w:t>10.4 污染物排放情况及主要环境影响</w:t>
          </w:r>
          <w:r>
            <w:tab/>
          </w:r>
          <w:r>
            <w:fldChar w:fldCharType="begin"/>
          </w:r>
          <w:r>
            <w:instrText xml:space="preserve"> PAGEREF _Toc6207 \h </w:instrText>
          </w:r>
          <w:r>
            <w:fldChar w:fldCharType="separate"/>
          </w:r>
          <w:r>
            <w:t>322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_Toc30641 </w:instrText>
          </w:r>
          <w:r>
            <w:rPr>
              <w:rFonts w:hint="default" w:ascii="Times New Roman" w:hAnsi="Times New Roman"/>
              <w:szCs w:val="24"/>
            </w:rPr>
            <w:fldChar w:fldCharType="separate"/>
          </w:r>
          <w:r>
            <w:rPr>
              <w:lang w:val="en-US"/>
            </w:rPr>
            <w:t>10.5 环境保护措施有效性评估</w:t>
          </w:r>
          <w:r>
            <w:tab/>
          </w:r>
          <w:r>
            <w:fldChar w:fldCharType="begin"/>
          </w:r>
          <w:r>
            <w:instrText xml:space="preserve"> PAGEREF _Toc30641 \h </w:instrText>
          </w:r>
          <w:r>
            <w:fldChar w:fldCharType="separate"/>
          </w:r>
          <w:r>
            <w:t>322</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_Toc29242 </w:instrText>
          </w:r>
          <w:r>
            <w:rPr>
              <w:rFonts w:hint="default" w:ascii="Times New Roman" w:hAnsi="Times New Roman"/>
              <w:szCs w:val="24"/>
            </w:rPr>
            <w:fldChar w:fldCharType="separate"/>
          </w:r>
          <w:r>
            <w:rPr>
              <w:lang w:val="en-US"/>
            </w:rPr>
            <w:t>10.6 环境风险可接受</w:t>
          </w:r>
          <w:r>
            <w:tab/>
          </w:r>
          <w:r>
            <w:fldChar w:fldCharType="begin"/>
          </w:r>
          <w:r>
            <w:instrText xml:space="preserve"> PAGEREF _Toc29242 \h </w:instrText>
          </w:r>
          <w:r>
            <w:fldChar w:fldCharType="separate"/>
          </w:r>
          <w:r>
            <w:t>324</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_Toc29684 </w:instrText>
          </w:r>
          <w:r>
            <w:rPr>
              <w:rFonts w:hint="default" w:ascii="Times New Roman" w:hAnsi="Times New Roman"/>
              <w:szCs w:val="24"/>
            </w:rPr>
            <w:fldChar w:fldCharType="separate"/>
          </w:r>
          <w:r>
            <w:rPr>
              <w:lang w:val="en-US"/>
            </w:rPr>
            <w:t>10.7 环境经济损益分析</w:t>
          </w:r>
          <w:r>
            <w:tab/>
          </w:r>
          <w:r>
            <w:fldChar w:fldCharType="begin"/>
          </w:r>
          <w:r>
            <w:instrText xml:space="preserve"> PAGEREF _Toc29684 \h </w:instrText>
          </w:r>
          <w:r>
            <w:fldChar w:fldCharType="separate"/>
          </w:r>
          <w:r>
            <w:t>324</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_Toc9972 </w:instrText>
          </w:r>
          <w:r>
            <w:rPr>
              <w:rFonts w:hint="default" w:ascii="Times New Roman" w:hAnsi="Times New Roman"/>
              <w:szCs w:val="24"/>
            </w:rPr>
            <w:fldChar w:fldCharType="separate"/>
          </w:r>
          <w:r>
            <w:rPr>
              <w:lang w:val="en-US"/>
            </w:rPr>
            <w:t xml:space="preserve">10.8 </w:t>
          </w:r>
          <w:r>
            <w:rPr>
              <w:rFonts w:hint="eastAsia"/>
              <w:lang w:val="en-US"/>
            </w:rPr>
            <w:t>环境管理与监测计划</w:t>
          </w:r>
          <w:r>
            <w:tab/>
          </w:r>
          <w:r>
            <w:fldChar w:fldCharType="begin"/>
          </w:r>
          <w:r>
            <w:instrText xml:space="preserve"> PAGEREF _Toc9972 \h </w:instrText>
          </w:r>
          <w:r>
            <w:fldChar w:fldCharType="separate"/>
          </w:r>
          <w:r>
            <w:t>324</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_Toc212 </w:instrText>
          </w:r>
          <w:r>
            <w:rPr>
              <w:rFonts w:hint="default" w:ascii="Times New Roman" w:hAnsi="Times New Roman"/>
              <w:szCs w:val="24"/>
            </w:rPr>
            <w:fldChar w:fldCharType="separate"/>
          </w:r>
          <w:r>
            <w:rPr>
              <w:lang w:val="en-US"/>
            </w:rPr>
            <w:t>10.9 公众意见采纳情况</w:t>
          </w:r>
          <w:r>
            <w:tab/>
          </w:r>
          <w:r>
            <w:fldChar w:fldCharType="begin"/>
          </w:r>
          <w:r>
            <w:instrText xml:space="preserve"> PAGEREF _Toc212 \h </w:instrText>
          </w:r>
          <w:r>
            <w:fldChar w:fldCharType="separate"/>
          </w:r>
          <w:r>
            <w:t>324</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_Toc2118 </w:instrText>
          </w:r>
          <w:r>
            <w:rPr>
              <w:rFonts w:hint="default" w:ascii="Times New Roman" w:hAnsi="Times New Roman"/>
              <w:szCs w:val="24"/>
            </w:rPr>
            <w:fldChar w:fldCharType="separate"/>
          </w:r>
          <w:r>
            <w:rPr>
              <w:lang w:val="en-US"/>
            </w:rPr>
            <w:t>10.10 总结论</w:t>
          </w:r>
          <w:r>
            <w:tab/>
          </w:r>
          <w:r>
            <w:fldChar w:fldCharType="begin"/>
          </w:r>
          <w:r>
            <w:instrText xml:space="preserve"> PAGEREF _Toc2118 \h </w:instrText>
          </w:r>
          <w:r>
            <w:fldChar w:fldCharType="separate"/>
          </w:r>
          <w:r>
            <w:t>325</w:t>
          </w:r>
          <w:r>
            <w:fldChar w:fldCharType="end"/>
          </w:r>
          <w:r>
            <w:rPr>
              <w:rFonts w:hint="default" w:ascii="Times New Roman" w:hAnsi="Times New Roman"/>
              <w:szCs w:val="24"/>
            </w:rPr>
            <w:fldChar w:fldCharType="end"/>
          </w:r>
        </w:p>
        <w:p>
          <w:pPr>
            <w:pStyle w:val="23"/>
            <w:tabs>
              <w:tab w:val="right" w:leader="dot" w:pos="9072"/>
            </w:tabs>
          </w:pPr>
          <w:r>
            <w:rPr>
              <w:rFonts w:hint="default" w:ascii="Times New Roman" w:hAnsi="Times New Roman"/>
              <w:szCs w:val="24"/>
            </w:rPr>
            <w:fldChar w:fldCharType="begin"/>
          </w:r>
          <w:r>
            <w:rPr>
              <w:rFonts w:hint="default" w:ascii="Times New Roman" w:hAnsi="Times New Roman"/>
              <w:szCs w:val="24"/>
            </w:rPr>
            <w:instrText xml:space="preserve"> HYPERLINK \l _Toc10670 </w:instrText>
          </w:r>
          <w:r>
            <w:rPr>
              <w:rFonts w:hint="default" w:ascii="Times New Roman" w:hAnsi="Times New Roman"/>
              <w:szCs w:val="24"/>
            </w:rPr>
            <w:fldChar w:fldCharType="separate"/>
          </w:r>
          <w:r>
            <w:rPr>
              <w:lang w:val="en-US"/>
            </w:rPr>
            <w:t xml:space="preserve">10.11 </w:t>
          </w:r>
          <w:r>
            <w:rPr>
              <w:rFonts w:hint="eastAsia"/>
              <w:lang w:val="en-US"/>
            </w:rPr>
            <w:t>建议</w:t>
          </w:r>
          <w:r>
            <w:tab/>
          </w:r>
          <w:r>
            <w:fldChar w:fldCharType="begin"/>
          </w:r>
          <w:r>
            <w:instrText xml:space="preserve"> PAGEREF _Toc10670 \h </w:instrText>
          </w:r>
          <w:r>
            <w:fldChar w:fldCharType="separate"/>
          </w:r>
          <w:r>
            <w:t>325</w:t>
          </w:r>
          <w:r>
            <w:fldChar w:fldCharType="end"/>
          </w:r>
          <w:r>
            <w:rPr>
              <w:rFonts w:hint="default" w:ascii="Times New Roman" w:hAnsi="Times New Roman"/>
              <w:szCs w:val="24"/>
            </w:rPr>
            <w:fldChar w:fldCharType="end"/>
          </w:r>
        </w:p>
        <w:p>
          <w:pPr>
            <w:pStyle w:val="5"/>
            <w:ind w:firstLine="964"/>
            <w:rPr>
              <w:rFonts w:hint="default"/>
            </w:rPr>
          </w:pPr>
          <w:r>
            <w:rPr>
              <w:rFonts w:hint="default" w:ascii="Times New Roman" w:hAnsi="Times New Roman"/>
              <w:szCs w:val="24"/>
            </w:rPr>
            <w:fldChar w:fldCharType="end"/>
          </w:r>
        </w:p>
      </w:sdtContent>
    </w:sdt>
    <w:p>
      <w:pPr>
        <w:pStyle w:val="5"/>
        <w:ind w:firstLine="964"/>
        <w:rPr>
          <w:rFonts w:hint="default"/>
        </w:rPr>
        <w:sectPr>
          <w:headerReference r:id="rId11" w:type="default"/>
          <w:pgSz w:w="11906" w:h="16838"/>
          <w:pgMar w:top="1417" w:right="1417" w:bottom="1417" w:left="1417" w:header="680" w:footer="992" w:gutter="0"/>
          <w:pgBorders>
            <w:top w:val="none" w:sz="0" w:space="0"/>
            <w:left w:val="none" w:sz="0" w:space="0"/>
            <w:bottom w:val="none" w:sz="0" w:space="0"/>
            <w:right w:val="none" w:sz="0" w:space="0"/>
          </w:pgBorders>
          <w:pgNumType w:start="1"/>
          <w:cols w:space="425" w:num="1"/>
          <w:docGrid w:type="lines" w:linePitch="312" w:charSpace="0"/>
        </w:sectPr>
      </w:pPr>
    </w:p>
    <w:p>
      <w:pPr>
        <w:pStyle w:val="5"/>
        <w:ind w:firstLine="0" w:firstLineChars="0"/>
        <w:jc w:val="center"/>
        <w:rPr>
          <w:rFonts w:hint="default"/>
        </w:rPr>
      </w:pPr>
      <w:bookmarkStart w:id="0" w:name="_Toc18898"/>
      <w:bookmarkStart w:id="1" w:name="_Toc13478"/>
      <w:bookmarkStart w:id="2" w:name="_Toc21368"/>
      <w:r>
        <w:t>第一章</w:t>
      </w:r>
      <w:r>
        <w:rPr>
          <w:rFonts w:hint="default"/>
        </w:rPr>
        <w:t xml:space="preserve"> </w:t>
      </w:r>
      <w:r>
        <w:t xml:space="preserve"> 概述</w:t>
      </w:r>
      <w:bookmarkEnd w:id="0"/>
      <w:bookmarkEnd w:id="1"/>
      <w:bookmarkEnd w:id="2"/>
    </w:p>
    <w:p>
      <w:pPr>
        <w:pStyle w:val="6"/>
        <w:ind w:firstLine="0" w:firstLineChars="0"/>
      </w:pPr>
      <w:bookmarkStart w:id="3" w:name="_Toc8559"/>
      <w:bookmarkStart w:id="4" w:name="_Toc32474"/>
      <w:bookmarkStart w:id="5" w:name="_Toc31327"/>
      <w:r>
        <w:rPr>
          <w:lang w:val="en-US"/>
        </w:rPr>
        <w:t xml:space="preserve">1.1 </w:t>
      </w:r>
      <w:r>
        <w:rPr>
          <w:rFonts w:hint="eastAsia"/>
          <w:lang w:val="en-US"/>
        </w:rPr>
        <w:t>项目由来</w:t>
      </w:r>
      <w:bookmarkEnd w:id="3"/>
      <w:bookmarkEnd w:id="4"/>
      <w:bookmarkEnd w:id="5"/>
    </w:p>
    <w:p>
      <w:pPr>
        <w:widowControl/>
        <w:ind w:firstLine="480"/>
      </w:pPr>
      <w:r>
        <w:rPr>
          <w:rFonts w:hint="eastAsia" w:ascii="宋体" w:hAnsi="宋体" w:cs="宋体"/>
          <w:color w:val="000000"/>
          <w:kern w:val="0"/>
          <w:lang w:bidi="ar"/>
        </w:rPr>
        <w:t>新旭新材料有限公司位于</w:t>
      </w:r>
      <w:r>
        <w:rPr>
          <w:rFonts w:hint="eastAsia"/>
          <w:lang w:eastAsia="zh-CN"/>
        </w:rPr>
        <w:t>平顶山市尼龙新材料产业集聚区</w:t>
      </w:r>
      <w:r>
        <w:rPr>
          <w:rFonts w:hint="eastAsia"/>
        </w:rPr>
        <w:t>，注册于2020年07月，主要致力于体育材料，包括橡胶制品、涂料、合成材料、塑料制品的制造。</w:t>
      </w:r>
    </w:p>
    <w:p>
      <w:pPr>
        <w:widowControl/>
        <w:ind w:firstLine="480"/>
      </w:pPr>
      <w:r>
        <w:rPr>
          <w:rFonts w:hint="eastAsia"/>
        </w:rPr>
        <w:t>随着市场对运动地材的大幅度需求，新旭新材料有限公司根据市场需求拟建</w:t>
      </w:r>
      <w:r>
        <w:rPr>
          <w:rFonts w:hint="eastAsia"/>
          <w:lang w:eastAsia="zh-CN"/>
        </w:rPr>
        <w:t>EPDM颗粒</w:t>
      </w:r>
      <w:r>
        <w:rPr>
          <w:rFonts w:hint="eastAsia"/>
        </w:rPr>
        <w:t>、硅</w:t>
      </w:r>
      <w:r>
        <w:t>PU</w:t>
      </w:r>
      <w:r>
        <w:rPr>
          <w:rFonts w:hint="eastAsia"/>
        </w:rPr>
        <w:t>、单组份胶水、双组份胶水、跑道专用面漆、水性树脂、人造草坪生产线项目，同时依托平顶山市当地多方资源优势及深厚工业基础进行深度加工和开发，推动中国体育材料工业的长足发展。</w:t>
      </w:r>
    </w:p>
    <w:p>
      <w:pPr>
        <w:widowControl/>
        <w:ind w:firstLine="480"/>
        <w:rPr>
          <w:rFonts w:ascii="宋体" w:hAnsi="宋体" w:cs="宋体"/>
          <w:color w:val="000000"/>
          <w:kern w:val="0"/>
          <w:lang w:bidi="ar"/>
        </w:rPr>
      </w:pPr>
      <w:r>
        <w:rPr>
          <w:rFonts w:hint="eastAsia" w:ascii="宋体" w:hAnsi="宋体" w:cs="宋体"/>
          <w:color w:val="000000"/>
          <w:kern w:val="0"/>
          <w:lang w:bidi="ar"/>
        </w:rPr>
        <w:t>新旭新材料有限公司生产项目的建设能为平顶山市生产行业加快转变发展方式做出突出贡献，将大力推进产业结构调整、技术创新和节能减排，逐步建立起绿色、低碳的现代产业体系，不断提高行业的核心竞争力。项目的实施符合中国产业发展政策，是推动中国产业持续快速健康发展的重要举措，符合中国国民经济可持续发展的战略目标。</w:t>
      </w:r>
    </w:p>
    <w:p>
      <w:pPr>
        <w:widowControl/>
        <w:ind w:firstLine="480"/>
        <w:jc w:val="left"/>
      </w:pPr>
      <w:r>
        <w:rPr>
          <w:rFonts w:hint="eastAsia" w:ascii="宋体" w:hAnsi="宋体" w:cs="宋体"/>
          <w:color w:val="000000"/>
          <w:kern w:val="0"/>
          <w:lang w:bidi="ar"/>
        </w:rPr>
        <w:t>项目将带动当地就业，增加当地利税，带动当地经济发展；项目建设还将形成产业集群，拉大产业链条，对项目建设地的经济发展起到很大的促进作用。</w:t>
      </w:r>
    </w:p>
    <w:p>
      <w:pPr>
        <w:widowControl/>
        <w:ind w:firstLine="480"/>
        <w:jc w:val="left"/>
      </w:pPr>
      <w:r>
        <w:rPr>
          <w:rFonts w:hint="eastAsia" w:ascii="宋体" w:hAnsi="宋体" w:cs="宋体"/>
          <w:color w:val="000000"/>
          <w:kern w:val="0"/>
          <w:lang w:bidi="ar"/>
        </w:rPr>
        <w:t>因此，本项目的建设不仅会给项目企业带来更好的经济效益，还具有很强的社会效益。</w:t>
      </w:r>
    </w:p>
    <w:p>
      <w:pPr>
        <w:pStyle w:val="25"/>
        <w:widowControl/>
        <w:spacing w:beforeAutospacing="0" w:afterAutospacing="0"/>
        <w:ind w:firstLine="480"/>
        <w:jc w:val="both"/>
        <w:rPr>
          <w:color w:val="C00000"/>
        </w:rPr>
      </w:pPr>
      <w:r>
        <w:t>在此背景下，</w:t>
      </w:r>
      <w:r>
        <w:rPr>
          <w:rFonts w:hint="eastAsia"/>
        </w:rPr>
        <w:t>新旭新材料有限公司</w:t>
      </w:r>
      <w:r>
        <w:t>决定建设</w:t>
      </w:r>
      <w:r>
        <w:rPr>
          <w:rFonts w:hint="eastAsia"/>
        </w:rPr>
        <w:t>新旭环保型体育设施新区建设项目</w:t>
      </w:r>
      <w:r>
        <w:t>。项目建成后既能为企业带来巨大的经济效益，同时也</w:t>
      </w:r>
      <w:r>
        <w:rPr>
          <w:rFonts w:hint="eastAsia"/>
        </w:rPr>
        <w:t>能</w:t>
      </w:r>
      <w:r>
        <w:t>促进当地经济</w:t>
      </w:r>
      <w:r>
        <w:rPr>
          <w:rFonts w:hint="eastAsia"/>
        </w:rPr>
        <w:t>的</w:t>
      </w:r>
      <w:r>
        <w:t>发展。</w:t>
      </w:r>
      <w:r>
        <w:rPr>
          <w:rFonts w:hint="eastAsia"/>
        </w:rPr>
        <w:t>项目</w:t>
      </w:r>
      <w:r>
        <w:t>总占地面积</w:t>
      </w:r>
      <w:r>
        <w:rPr>
          <w:rFonts w:hint="eastAsia"/>
        </w:rPr>
        <w:t>27596.74平方米</w:t>
      </w:r>
      <w:r>
        <w:t>，总投资</w:t>
      </w:r>
      <w:r>
        <w:rPr>
          <w:rFonts w:hint="eastAsia"/>
        </w:rPr>
        <w:t>20087.21</w:t>
      </w:r>
      <w:r>
        <w:t>万元，</w:t>
      </w:r>
      <w:r>
        <w:rPr>
          <w:color w:val="000000" w:themeColor="text1"/>
          <w14:textFill>
            <w14:solidFill>
              <w14:schemeClr w14:val="tx1"/>
            </w14:solidFill>
          </w14:textFill>
        </w:rPr>
        <w:t>其中环保投资</w:t>
      </w:r>
      <w:r>
        <w:rPr>
          <w:rFonts w:hint="eastAsia"/>
          <w:color w:val="000000" w:themeColor="text1"/>
          <w:lang w:val="en-US" w:eastAsia="zh-CN"/>
          <w14:textFill>
            <w14:solidFill>
              <w14:schemeClr w14:val="tx1"/>
            </w14:solidFill>
          </w14:textFill>
        </w:rPr>
        <w:t>651</w:t>
      </w:r>
      <w:r>
        <w:rPr>
          <w:color w:val="000000" w:themeColor="text1"/>
          <w14:textFill>
            <w14:solidFill>
              <w14:schemeClr w14:val="tx1"/>
            </w14:solidFill>
          </w14:textFill>
        </w:rPr>
        <w:t>万元。</w:t>
      </w:r>
    </w:p>
    <w:p>
      <w:pPr>
        <w:widowControl/>
        <w:ind w:firstLine="480"/>
      </w:pPr>
      <w:r>
        <w:rPr>
          <w:rFonts w:hint="eastAsia"/>
          <w:kern w:val="0"/>
          <w:lang w:bidi="ar"/>
        </w:rPr>
        <w:t>按照《中华人民共和国环境保护法》、《中华人民共和国环境影响评价法》和《建设项目环境保护管理条例》（国务院第</w:t>
      </w:r>
      <w:r>
        <w:rPr>
          <w:kern w:val="0"/>
          <w:lang w:bidi="ar"/>
        </w:rPr>
        <w:t>682</w:t>
      </w:r>
      <w:r>
        <w:rPr>
          <w:rFonts w:hint="eastAsia"/>
          <w:kern w:val="0"/>
          <w:lang w:bidi="ar"/>
        </w:rPr>
        <w:t>号令）的要求，本次工程须进行环境影响评价。</w:t>
      </w:r>
      <w:r>
        <w:rPr>
          <w:rFonts w:hint="eastAsia"/>
          <w:kern w:val="0"/>
          <w:u w:val="single"/>
          <w:lang w:bidi="ar"/>
        </w:rPr>
        <w:t>依据《建设项目环境影响评价分类管理名录》（2021年版）</w:t>
      </w:r>
      <w:r>
        <w:rPr>
          <w:rFonts w:hint="eastAsia"/>
          <w:kern w:val="0"/>
          <w:lang w:bidi="ar"/>
        </w:rPr>
        <w:t>，</w:t>
      </w:r>
      <w:r>
        <w:rPr>
          <w:kern w:val="0"/>
          <w:lang w:bidi="ar"/>
        </w:rPr>
        <w:t>本项目人造草坪属于</w:t>
      </w:r>
      <w:r>
        <w:rPr>
          <w:rFonts w:hint="eastAsia"/>
          <w:kern w:val="0"/>
          <w:lang w:eastAsia="zh-CN" w:bidi="ar"/>
        </w:rPr>
        <w:t>“</w:t>
      </w:r>
      <w:r>
        <w:rPr>
          <w:rFonts w:hint="eastAsia"/>
          <w:kern w:val="0"/>
          <w:lang w:bidi="ar"/>
        </w:rPr>
        <w:t>二十六、橡胶和塑料制品业29，53、</w:t>
      </w:r>
      <w:r>
        <w:rPr>
          <w:kern w:val="0"/>
          <w:lang w:bidi="ar"/>
        </w:rPr>
        <w:t>塑料制品业292</w:t>
      </w:r>
      <w:r>
        <w:rPr>
          <w:rFonts w:hint="eastAsia"/>
          <w:kern w:val="0"/>
          <w:lang w:eastAsia="zh-CN" w:bidi="ar"/>
        </w:rPr>
        <w:t>”</w:t>
      </w:r>
      <w:r>
        <w:rPr>
          <w:rFonts w:hint="eastAsia"/>
          <w:kern w:val="0"/>
          <w:lang w:bidi="ar"/>
        </w:rPr>
        <w:t>项目，为其他类，需编制环境影响报告表；</w:t>
      </w:r>
      <w:r>
        <w:rPr>
          <w:rFonts w:hint="eastAsia"/>
          <w:kern w:val="0"/>
          <w:lang w:eastAsia="zh-CN" w:bidi="ar"/>
        </w:rPr>
        <w:t>EPDM颗粒</w:t>
      </w:r>
      <w:r>
        <w:rPr>
          <w:rFonts w:hint="eastAsia"/>
          <w:kern w:val="0"/>
          <w:lang w:bidi="ar"/>
        </w:rPr>
        <w:t>属于</w:t>
      </w:r>
      <w:r>
        <w:rPr>
          <w:rFonts w:hint="eastAsia"/>
          <w:kern w:val="0"/>
          <w:lang w:eastAsia="zh-CN" w:bidi="ar"/>
        </w:rPr>
        <w:t>“</w:t>
      </w:r>
      <w:r>
        <w:rPr>
          <w:rFonts w:hint="eastAsia"/>
          <w:kern w:val="0"/>
          <w:lang w:bidi="ar"/>
        </w:rPr>
        <w:t>二十六、橡胶和塑料制品业29，52、橡胶制品业291</w:t>
      </w:r>
      <w:r>
        <w:rPr>
          <w:rFonts w:hint="eastAsia"/>
          <w:kern w:val="0"/>
          <w:lang w:eastAsia="zh-CN" w:bidi="ar"/>
        </w:rPr>
        <w:t>”</w:t>
      </w:r>
      <w:r>
        <w:rPr>
          <w:kern w:val="0"/>
          <w:lang w:bidi="ar"/>
        </w:rPr>
        <w:t>项目</w:t>
      </w:r>
      <w:r>
        <w:rPr>
          <w:rFonts w:hint="eastAsia"/>
          <w:kern w:val="0"/>
          <w:lang w:bidi="ar"/>
        </w:rPr>
        <w:t>，为其他类，应编制报告表的项目；跑道专用面漆属于</w:t>
      </w:r>
      <w:r>
        <w:rPr>
          <w:rFonts w:hint="eastAsia"/>
          <w:kern w:val="0"/>
          <w:lang w:eastAsia="zh-CN" w:bidi="ar"/>
        </w:rPr>
        <w:t>“</w:t>
      </w:r>
      <w:r>
        <w:rPr>
          <w:kern w:val="0"/>
          <w:lang w:bidi="ar"/>
        </w:rPr>
        <w:t>二十三、化学原料和化学制品制造业26</w:t>
      </w:r>
      <w:r>
        <w:rPr>
          <w:rFonts w:hint="eastAsia"/>
          <w:kern w:val="0"/>
          <w:lang w:bidi="ar"/>
        </w:rPr>
        <w:t>，44、涂料、油墨、颜料及类似产品制造264</w:t>
      </w:r>
      <w:r>
        <w:rPr>
          <w:rFonts w:hint="eastAsia"/>
          <w:kern w:val="0"/>
          <w:lang w:eastAsia="zh-CN" w:bidi="ar"/>
        </w:rPr>
        <w:t>”</w:t>
      </w:r>
      <w:r>
        <w:rPr>
          <w:rFonts w:hint="eastAsia"/>
          <w:kern w:val="0"/>
          <w:lang w:bidi="ar"/>
        </w:rPr>
        <w:t>，为单纯物理混合，应编制报告表的项目；单组份和双组份胶水属于</w:t>
      </w:r>
      <w:r>
        <w:rPr>
          <w:rFonts w:hint="eastAsia"/>
          <w:kern w:val="0"/>
          <w:lang w:eastAsia="zh-CN" w:bidi="ar"/>
        </w:rPr>
        <w:t>“</w:t>
      </w:r>
      <w:r>
        <w:rPr>
          <w:kern w:val="0"/>
          <w:lang w:bidi="ar"/>
        </w:rPr>
        <w:t>二十三、化学原料和化学制品制造业</w:t>
      </w:r>
      <w:r>
        <w:rPr>
          <w:rFonts w:cs="Times New Roman"/>
          <w:bCs/>
        </w:rPr>
        <w:t>26</w:t>
      </w:r>
      <w:r>
        <w:rPr>
          <w:rFonts w:hint="eastAsia" w:cs="Times New Roman"/>
          <w:bCs/>
        </w:rPr>
        <w:t>，44、专用化学产品制造266</w:t>
      </w:r>
      <w:r>
        <w:rPr>
          <w:rFonts w:hint="eastAsia" w:cs="Times New Roman"/>
          <w:bCs/>
          <w:lang w:eastAsia="zh-CN"/>
        </w:rPr>
        <w:t>”</w:t>
      </w:r>
      <w:r>
        <w:rPr>
          <w:rFonts w:hint="eastAsia" w:cs="Times New Roman"/>
          <w:bCs/>
        </w:rPr>
        <w:t>，生产参加化学反应，应编制报告书的项目；硅PU属于</w:t>
      </w:r>
      <w:r>
        <w:rPr>
          <w:rFonts w:hint="eastAsia" w:cs="Times New Roman"/>
          <w:bCs/>
          <w:lang w:eastAsia="zh-CN"/>
        </w:rPr>
        <w:t>“</w:t>
      </w:r>
      <w:r>
        <w:rPr>
          <w:rFonts w:hint="eastAsia" w:cs="Times New Roman"/>
          <w:bCs/>
        </w:rPr>
        <w:t>二十六、橡胶和塑料制品业29，52、橡胶制品业291</w:t>
      </w:r>
      <w:r>
        <w:rPr>
          <w:rFonts w:hint="eastAsia" w:cs="Times New Roman"/>
          <w:bCs/>
          <w:lang w:eastAsia="zh-CN"/>
        </w:rPr>
        <w:t>”</w:t>
      </w:r>
      <w:r>
        <w:rPr>
          <w:rFonts w:cs="Times New Roman"/>
          <w:bCs/>
        </w:rPr>
        <w:t>项目</w:t>
      </w:r>
      <w:r>
        <w:rPr>
          <w:rFonts w:hint="eastAsia" w:cs="Times New Roman"/>
          <w:bCs/>
        </w:rPr>
        <w:t>，为其他类，应编制报告表的项目；水性树脂属于</w:t>
      </w:r>
      <w:r>
        <w:rPr>
          <w:rFonts w:hint="eastAsia" w:cs="Times New Roman"/>
          <w:bCs/>
          <w:lang w:eastAsia="zh-CN"/>
        </w:rPr>
        <w:t>“</w:t>
      </w:r>
      <w:r>
        <w:rPr>
          <w:rFonts w:cs="Times New Roman"/>
          <w:bCs/>
        </w:rPr>
        <w:t>二十三、化学原料和化学制品制造业26</w:t>
      </w:r>
      <w:r>
        <w:rPr>
          <w:rFonts w:hint="eastAsia" w:cs="Times New Roman"/>
          <w:bCs/>
        </w:rPr>
        <w:t>，44、合成材料制造265</w:t>
      </w:r>
      <w:r>
        <w:rPr>
          <w:rFonts w:hint="eastAsia" w:cs="Times New Roman"/>
          <w:bCs/>
          <w:lang w:eastAsia="zh-CN"/>
        </w:rPr>
        <w:t>”</w:t>
      </w:r>
      <w:r>
        <w:rPr>
          <w:rFonts w:hint="eastAsia" w:cs="Times New Roman"/>
          <w:bCs/>
        </w:rPr>
        <w:t>，生产参加化学反应，应编制报告书的项目</w:t>
      </w:r>
      <w:r>
        <w:rPr>
          <w:rFonts w:hint="eastAsia"/>
        </w:rPr>
        <w:t>。综合判定本项目应当编制环境影响报告书。</w:t>
      </w:r>
    </w:p>
    <w:p>
      <w:pPr>
        <w:widowControl/>
        <w:ind w:firstLine="480"/>
        <w:rPr>
          <w:rFonts w:ascii="宋体" w:hAnsi="宋体" w:cs="宋体"/>
          <w:color w:val="000000"/>
          <w:kern w:val="0"/>
          <w:lang w:bidi="ar"/>
        </w:rPr>
      </w:pPr>
      <w:r>
        <w:rPr>
          <w:rFonts w:hint="eastAsia" w:ascii="宋体" w:hAnsi="宋体" w:cs="宋体"/>
          <w:color w:val="000000"/>
          <w:kern w:val="0"/>
          <w:lang w:bidi="ar"/>
        </w:rPr>
        <w:t>受新旭新材料有限公司委托，</w:t>
      </w:r>
      <w:r>
        <w:rPr>
          <w:rFonts w:hint="eastAsia" w:ascii="宋体" w:hAnsi="宋体" w:cs="宋体"/>
          <w:color w:val="000000" w:themeColor="text1"/>
          <w:kern w:val="0"/>
          <w:lang w:bidi="ar"/>
          <w14:textFill>
            <w14:solidFill>
              <w14:schemeClr w14:val="tx1"/>
            </w14:solidFill>
          </w14:textFill>
        </w:rPr>
        <w:t>河南畅年环保科技有限公司</w:t>
      </w:r>
      <w:r>
        <w:rPr>
          <w:rFonts w:hint="eastAsia" w:ascii="宋体" w:hAnsi="宋体" w:cs="宋体"/>
          <w:color w:val="000000"/>
          <w:kern w:val="0"/>
          <w:lang w:bidi="ar"/>
        </w:rPr>
        <w:t>承担了该项目的环境影响评价工作，为本项目在建设过程和建成投入运营后，完善环境管理，落实污染防治措施，减轻对环境的影响，改善和保护环境提供科学依据。公司接受委托后，及时组织人员到项目现场进行调查和勘察，并在资料收集整理，环境质量现状监测等的基础上，遵照国家及省内有关环保法规和评价技术导则的有关规定和要求，本着客观、公正、科学、规范的要求，编制完成了该项目的环境影响报告书。</w:t>
      </w:r>
    </w:p>
    <w:p>
      <w:pPr>
        <w:pStyle w:val="6"/>
        <w:ind w:firstLine="0" w:firstLineChars="0"/>
        <w:rPr>
          <w:lang w:val="en-US"/>
        </w:rPr>
      </w:pPr>
      <w:bookmarkStart w:id="6" w:name="_Toc534"/>
      <w:bookmarkStart w:id="7" w:name="_Toc6511"/>
      <w:bookmarkStart w:id="8" w:name="_Toc2567"/>
      <w:r>
        <w:rPr>
          <w:lang w:val="en-US"/>
        </w:rPr>
        <w:t>1.2 评价对象</w:t>
      </w:r>
      <w:bookmarkEnd w:id="6"/>
      <w:bookmarkEnd w:id="7"/>
      <w:bookmarkEnd w:id="8"/>
    </w:p>
    <w:p>
      <w:pPr>
        <w:ind w:firstLine="480"/>
      </w:pPr>
      <w:r>
        <w:rPr>
          <w:rFonts w:hint="eastAsia"/>
        </w:rPr>
        <w:t>本次评价对象为新旭环保型体育设施新区建设项目。</w:t>
      </w:r>
    </w:p>
    <w:p>
      <w:pPr>
        <w:pStyle w:val="6"/>
        <w:ind w:firstLine="0" w:firstLineChars="0"/>
        <w:rPr>
          <w:lang w:val="en-US"/>
        </w:rPr>
      </w:pPr>
      <w:bookmarkStart w:id="9" w:name="_Toc24055"/>
      <w:bookmarkStart w:id="10" w:name="_Toc7544"/>
      <w:bookmarkStart w:id="11" w:name="_Toc12696"/>
      <w:r>
        <w:rPr>
          <w:lang w:val="en-US"/>
        </w:rPr>
        <w:t>1.3 建设项目的特点</w:t>
      </w:r>
      <w:bookmarkEnd w:id="9"/>
      <w:bookmarkEnd w:id="10"/>
      <w:bookmarkEnd w:id="11"/>
    </w:p>
    <w:p>
      <w:pPr>
        <w:pStyle w:val="7"/>
        <w:ind w:firstLine="562"/>
      </w:pPr>
      <w:r>
        <w:t>1.3.1 工程特点</w:t>
      </w:r>
    </w:p>
    <w:p>
      <w:pPr>
        <w:ind w:firstLine="480"/>
      </w:pPr>
      <w:r>
        <w:rPr>
          <w:rFonts w:hint="eastAsia"/>
        </w:rPr>
        <w:t>根据现场勘查以及对项目建设内容、生产工艺分析，本次工程具有以下特点：</w:t>
      </w:r>
    </w:p>
    <w:p>
      <w:pPr>
        <w:ind w:firstLine="480"/>
        <w:rPr>
          <w:color w:val="C00000"/>
        </w:rPr>
      </w:pPr>
      <w:r>
        <w:rPr>
          <w:rFonts w:hint="eastAsia"/>
        </w:rPr>
        <w:t>（</w:t>
      </w:r>
      <w:r>
        <w:t>1</w:t>
      </w:r>
      <w:r>
        <w:rPr>
          <w:rFonts w:hint="eastAsia"/>
        </w:rPr>
        <w:t>）本次工程为新旭环保型体育设施新区建设项目，属于新建项目，建设地点位于</w:t>
      </w:r>
      <w:r>
        <w:rPr>
          <w:rFonts w:hint="eastAsia"/>
          <w:lang w:eastAsia="zh-CN"/>
        </w:rPr>
        <w:t>平顶山市尼龙新材料产业集聚区</w:t>
      </w:r>
      <w:r>
        <w:rPr>
          <w:rFonts w:hint="eastAsia"/>
        </w:rPr>
        <w:t>，本次工程占地为</w:t>
      </w:r>
      <w:r>
        <w:rPr>
          <w:rFonts w:hint="eastAsia"/>
          <w:color w:val="000000" w:themeColor="text1"/>
          <w14:textFill>
            <w14:solidFill>
              <w14:schemeClr w14:val="tx1"/>
            </w14:solidFill>
          </w14:textFill>
        </w:rPr>
        <w:t>工业用地</w:t>
      </w:r>
      <w:r>
        <w:rPr>
          <w:rFonts w:hint="eastAsia"/>
          <w:color w:val="000000" w:themeColor="text1"/>
          <w:lang w:eastAsia="zh-CN"/>
          <w14:textFill>
            <w14:solidFill>
              <w14:schemeClr w14:val="tx1"/>
            </w14:solidFill>
          </w14:textFill>
        </w:rPr>
        <w:t>（见附件</w:t>
      </w:r>
      <w:r>
        <w:rPr>
          <w:rFonts w:hint="eastAsia"/>
          <w:color w:val="000000" w:themeColor="text1"/>
          <w:lang w:val="en-US" w:eastAsia="zh-CN"/>
          <w14:textFill>
            <w14:solidFill>
              <w14:schemeClr w14:val="tx1"/>
            </w14:solidFill>
          </w14:textFill>
        </w:rPr>
        <w:t>6</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w:t>
      </w:r>
    </w:p>
    <w:p>
      <w:pPr>
        <w:ind w:firstLine="480"/>
      </w:pPr>
      <w:r>
        <w:rPr>
          <w:rFonts w:hint="eastAsia"/>
        </w:rPr>
        <w:t>（</w:t>
      </w:r>
      <w:r>
        <w:t>2</w:t>
      </w:r>
      <w:r>
        <w:rPr>
          <w:rFonts w:hint="eastAsia"/>
        </w:rPr>
        <w:t>）本项目产品种类较多，生产工艺简单成熟，生产过程产生的</w:t>
      </w:r>
      <w:r>
        <w:rPr>
          <w:rFonts w:hint="eastAsia"/>
          <w:lang w:eastAsia="zh-CN"/>
        </w:rPr>
        <w:t>“</w:t>
      </w:r>
      <w:r>
        <w:rPr>
          <w:rFonts w:hint="eastAsia"/>
        </w:rPr>
        <w:t>三废</w:t>
      </w:r>
      <w:r>
        <w:rPr>
          <w:rFonts w:hint="eastAsia"/>
          <w:lang w:eastAsia="zh-CN"/>
        </w:rPr>
        <w:t>”</w:t>
      </w:r>
      <w:r>
        <w:rPr>
          <w:rFonts w:hint="eastAsia"/>
        </w:rPr>
        <w:t>经配套的环保设施处置后，可稳定达标排放，对周边环境影响可接受。</w:t>
      </w:r>
    </w:p>
    <w:p>
      <w:pPr>
        <w:pStyle w:val="7"/>
        <w:ind w:firstLine="562"/>
      </w:pPr>
      <w:r>
        <w:t>1.3.2 环境特点</w:t>
      </w:r>
    </w:p>
    <w:p>
      <w:pPr>
        <w:ind w:firstLine="480"/>
      </w:pPr>
      <w:bookmarkStart w:id="12" w:name="_Toc12943"/>
      <w:bookmarkStart w:id="13" w:name="_Toc28009"/>
      <w:r>
        <w:rPr>
          <w:rFonts w:hint="eastAsia"/>
        </w:rPr>
        <w:t>（1）项目位于平顶山尼龙新材料产业集聚区内，用地为三类工业用地。平顶山尼龙新材料产业集聚区是主导产业为尼龙化工及制品、煤盐化工及精细化工为主的化工产业。空间布局坚持</w:t>
      </w:r>
      <w:r>
        <w:rPr>
          <w:rFonts w:hint="eastAsia"/>
          <w:lang w:eastAsia="zh-CN"/>
        </w:rPr>
        <w:t>“</w:t>
      </w:r>
      <w:r>
        <w:rPr>
          <w:rFonts w:hint="eastAsia"/>
        </w:rPr>
        <w:t>一体化</w:t>
      </w:r>
      <w:r>
        <w:rPr>
          <w:rFonts w:hint="eastAsia"/>
          <w:lang w:eastAsia="zh-CN"/>
        </w:rPr>
        <w:t>”</w:t>
      </w:r>
      <w:r>
        <w:rPr>
          <w:rFonts w:hint="eastAsia"/>
        </w:rPr>
        <w:t>开发原则，沿南干渠设置核心生态走廊，以神马大道和盐神大道为产业发展轴，规划建设尼龙材料及原料配套产业区、尼龙深加工产业区、高端化工新材料产业区、材料增值产业区、预留发展区，及</w:t>
      </w:r>
      <w:r>
        <w:rPr>
          <w:rFonts w:hint="eastAsia"/>
          <w:lang w:eastAsia="zh-CN"/>
        </w:rPr>
        <w:t>“</w:t>
      </w:r>
      <w:r>
        <w:rPr>
          <w:rFonts w:hint="eastAsia"/>
        </w:rPr>
        <w:t>一体化</w:t>
      </w:r>
      <w:r>
        <w:rPr>
          <w:rFonts w:hint="eastAsia"/>
          <w:lang w:eastAsia="zh-CN"/>
        </w:rPr>
        <w:t>”</w:t>
      </w:r>
      <w:r>
        <w:rPr>
          <w:rFonts w:hint="eastAsia"/>
        </w:rPr>
        <w:t>配套服务的公用工程及辅助设施，形成</w:t>
      </w:r>
      <w:r>
        <w:rPr>
          <w:rFonts w:hint="eastAsia"/>
          <w:lang w:eastAsia="zh-CN"/>
        </w:rPr>
        <w:t>“</w:t>
      </w:r>
      <w:r>
        <w:rPr>
          <w:rFonts w:hint="eastAsia"/>
        </w:rPr>
        <w:t>一廊、两轴、五区、多点</w:t>
      </w:r>
      <w:r>
        <w:rPr>
          <w:rFonts w:hint="eastAsia"/>
          <w:lang w:eastAsia="zh-CN"/>
        </w:rPr>
        <w:t>”</w:t>
      </w:r>
      <w:r>
        <w:rPr>
          <w:rFonts w:hint="eastAsia"/>
        </w:rPr>
        <w:t>的空间结构。周边以工业企业、道路为主。项目最近的敏感点为</w:t>
      </w:r>
      <w:r>
        <w:rPr>
          <w:rFonts w:hint="eastAsia"/>
          <w:color w:val="000000"/>
          <w:lang w:bidi="ar"/>
        </w:rPr>
        <w:t>东</w:t>
      </w:r>
      <w:r>
        <w:rPr>
          <w:rFonts w:hint="eastAsia"/>
          <w:color w:val="000000"/>
          <w:lang w:eastAsia="zh-CN" w:bidi="ar"/>
        </w:rPr>
        <w:t>南</w:t>
      </w:r>
      <w:r>
        <w:rPr>
          <w:rFonts w:hint="eastAsia"/>
          <w:color w:val="000000"/>
          <w:lang w:bidi="ar"/>
        </w:rPr>
        <w:t>侧</w:t>
      </w:r>
      <w:r>
        <w:rPr>
          <w:rFonts w:hint="eastAsia"/>
          <w:color w:val="000000"/>
          <w:lang w:eastAsia="zh-CN" w:bidi="ar"/>
        </w:rPr>
        <w:t>泥河张村</w:t>
      </w:r>
      <w:r>
        <w:rPr>
          <w:rFonts w:hint="eastAsia"/>
          <w:color w:val="000000"/>
          <w:lang w:val="en-US" w:eastAsia="zh-CN" w:bidi="ar"/>
        </w:rPr>
        <w:t>478</w:t>
      </w:r>
      <w:r>
        <w:rPr>
          <w:rFonts w:hint="eastAsia"/>
          <w:color w:val="000000"/>
          <w:lang w:bidi="ar"/>
        </w:rPr>
        <w:t>m</w:t>
      </w:r>
      <w:r>
        <w:rPr>
          <w:rFonts w:hint="eastAsia"/>
        </w:rPr>
        <w:t>，周边无食品、药品企业。</w:t>
      </w:r>
    </w:p>
    <w:p>
      <w:pPr>
        <w:ind w:firstLine="480"/>
      </w:pPr>
      <w:r>
        <w:rPr>
          <w:rFonts w:hint="eastAsia"/>
        </w:rPr>
        <w:t>（2）本项目营运期废水经厂区污水处理站处理后排入集聚区污水处理厂，处理后尾水排入关庙沟最终汇入灰河，水质标准为</w:t>
      </w:r>
      <w:r>
        <w:rPr>
          <w:rFonts w:hint="eastAsia" w:ascii="宋体" w:hAnsi="宋体" w:eastAsia="宋体" w:cs="宋体"/>
        </w:rPr>
        <w:t>Ⅳ</w:t>
      </w:r>
      <w:r>
        <w:rPr>
          <w:rFonts w:hint="eastAsia"/>
        </w:rPr>
        <w:t>类。</w:t>
      </w:r>
    </w:p>
    <w:p>
      <w:pPr>
        <w:ind w:firstLine="480"/>
      </w:pPr>
      <w:r>
        <w:rPr>
          <w:rFonts w:hint="eastAsia"/>
        </w:rPr>
        <w:t>（3）根据平顶山环境空气质量监测站发布的长期监测数据，2020和2021年平顶山市叶县属于环境空气质量非达标区。本次评价监测污染物其他污染物均能够满足相应标准要求。根据平顶山大气污染防治攻坚战方案，通过区域削减、调整优化能源结构和产业结构、强化工业污染治理、城乡扬尘治理管控等一系列措施的有力实施，将有效改善区域环境空气质量。</w:t>
      </w:r>
    </w:p>
    <w:p>
      <w:pPr>
        <w:ind w:firstLine="480"/>
      </w:pPr>
      <w:r>
        <w:rPr>
          <w:rFonts w:hint="eastAsia"/>
        </w:rPr>
        <w:t>项目废气应采取严格的污染防护措施，在确保稳定达标排放的基础上，最大限度减少污染物的排放量。</w:t>
      </w:r>
    </w:p>
    <w:p>
      <w:pPr>
        <w:numPr>
          <w:ilvl w:val="0"/>
          <w:numId w:val="2"/>
        </w:numPr>
        <w:ind w:firstLine="480"/>
        <w:rPr>
          <w:rFonts w:hint="eastAsia"/>
        </w:rPr>
      </w:pPr>
      <w:r>
        <w:rPr>
          <w:rFonts w:hint="eastAsia"/>
        </w:rPr>
        <w:t>本项目评价区内没有</w:t>
      </w:r>
      <w:r>
        <w:rPr>
          <w:rFonts w:hint="eastAsia"/>
          <w:lang w:eastAsia="zh-CN"/>
        </w:rPr>
        <w:t>分散式饮用水井、</w:t>
      </w:r>
      <w:r>
        <w:rPr>
          <w:rFonts w:hint="eastAsia"/>
        </w:rPr>
        <w:t>集中式饮用水源保护区、自然保护区、风景名胜区环境敏感目标。</w:t>
      </w:r>
    </w:p>
    <w:p>
      <w:pPr>
        <w:numPr>
          <w:ilvl w:val="0"/>
          <w:numId w:val="2"/>
        </w:numPr>
        <w:ind w:firstLine="480"/>
      </w:pPr>
      <w:r>
        <w:rPr>
          <w:rFonts w:hint="eastAsia"/>
        </w:rPr>
        <w:t>项目厂址西侧1270m有市级文物保护单位望娘楼，本项目不在文物保护范围内，项目周边无自然保护区、风景名胜区及世界文化和自然遗产地。</w:t>
      </w:r>
    </w:p>
    <w:p>
      <w:pPr>
        <w:pStyle w:val="6"/>
        <w:ind w:firstLine="0" w:firstLineChars="0"/>
        <w:rPr>
          <w:lang w:val="en-US"/>
        </w:rPr>
      </w:pPr>
      <w:bookmarkStart w:id="14" w:name="_Toc14389"/>
      <w:r>
        <w:rPr>
          <w:lang w:val="en-US"/>
        </w:rPr>
        <w:t>1.4 环境影响评价工作过程</w:t>
      </w:r>
      <w:bookmarkEnd w:id="12"/>
      <w:bookmarkEnd w:id="13"/>
      <w:bookmarkEnd w:id="14"/>
    </w:p>
    <w:p>
      <w:pPr>
        <w:ind w:firstLine="480"/>
      </w:pPr>
      <w:r>
        <w:rPr>
          <w:rFonts w:hint="eastAsia"/>
        </w:rPr>
        <w:t>建设项目环境影响评价工作分为三个阶段：即前期准备、调研和工作方案阶段；分析论证和预测评价阶段以及环评文件编制阶段，环评工作程序见图</w:t>
      </w:r>
      <w:r>
        <w:t>1-1</w:t>
      </w:r>
      <w:r>
        <w:rPr>
          <w:rFonts w:hint="eastAsia"/>
        </w:rPr>
        <w:t>。评价单位在多次实地踏勘、调研和收集分析资料的基础上，开展环境影响评价工作。评价工作中对厂址区域环境空气质量现状、地表水质量现状、地下水质量现状、土壤质量现状、噪声进行了调查、监测，对工程污染因素、污染防治措施、环境风险等进行了分析。并对项目建设对周围环境影响进行了预测分析。依据新旭新材料有限公司进行的项目公众参与调查结果，编制完成了该项目环境影响报告书。</w:t>
      </w:r>
    </w:p>
    <w:p>
      <w:pPr>
        <w:ind w:firstLine="480"/>
      </w:pPr>
      <w:r>
        <w:rPr>
          <w:rFonts w:hint="eastAsia"/>
        </w:rPr>
        <w:t>1、2022年1月10日河南畅年环保科技有限公司接受委托承担</w:t>
      </w:r>
      <w:r>
        <w:rPr>
          <w:rFonts w:hint="eastAsia"/>
          <w:lang w:eastAsia="zh-CN"/>
        </w:rPr>
        <w:t>“</w:t>
      </w:r>
      <w:r>
        <w:rPr>
          <w:rFonts w:hint="eastAsia"/>
        </w:rPr>
        <w:t>新旭环保型体育设施新区建设项目</w:t>
      </w:r>
      <w:r>
        <w:rPr>
          <w:rFonts w:hint="eastAsia"/>
          <w:lang w:eastAsia="zh-CN"/>
        </w:rPr>
        <w:t>”</w:t>
      </w:r>
      <w:r>
        <w:rPr>
          <w:rFonts w:hint="eastAsia"/>
        </w:rPr>
        <w:t>环境影响报告书的编制工作。</w:t>
      </w:r>
    </w:p>
    <w:p>
      <w:pPr>
        <w:ind w:firstLine="480"/>
      </w:pPr>
      <w:r>
        <w:rPr>
          <w:rFonts w:hint="eastAsia"/>
        </w:rPr>
        <w:t>2、2022年1月10日～1月15日，研究了相关技术文件和其他有关文件，进行初步工程分析、开展初步的环境现状调查；</w:t>
      </w:r>
    </w:p>
    <w:p>
      <w:pPr>
        <w:ind w:firstLine="480"/>
      </w:pPr>
      <w:r>
        <w:rPr>
          <w:rFonts w:hint="eastAsia"/>
        </w:rPr>
        <w:t>3、2022年1月16日～1月20日，进行环境影响识别和评价因子筛选，明确评价重点和环境保护目标，确定评价工作等级、评价范围和评价标准，制定工作方案。</w:t>
      </w:r>
    </w:p>
    <w:p>
      <w:pPr>
        <w:ind w:firstLine="480"/>
      </w:pPr>
      <w:r>
        <w:rPr>
          <w:rFonts w:hint="eastAsia"/>
        </w:rPr>
        <w:t>4、2022年1月20日～2月15日，开始进行建设项目工程分析，同时开展环境现状调查、监测与评价，进行各环境要素环境影响预测与评价，各专题环境影响分析与评价。</w:t>
      </w:r>
    </w:p>
    <w:p>
      <w:pPr>
        <w:ind w:firstLine="480"/>
      </w:pPr>
      <w:r>
        <w:rPr>
          <w:rFonts w:hint="eastAsia"/>
        </w:rPr>
        <w:t>5、2022年2月16日～3月30日，提出环境保护措施，进行技术经济论证，给出污染物排放清单，给出建设项目环境影响评价结论。</w:t>
      </w:r>
    </w:p>
    <w:p>
      <w:pPr>
        <w:ind w:firstLine="480"/>
      </w:pPr>
      <w:r>
        <w:rPr>
          <w:rFonts w:hint="eastAsia"/>
        </w:rPr>
        <w:t>6、2022年4月10日后，报告书进入环评单位内审程序、经校核、审核、审定后定稿。</w:t>
      </w:r>
    </w:p>
    <w:p>
      <w:pPr>
        <w:widowControl/>
        <w:ind w:firstLine="0" w:firstLineChars="0"/>
        <w:jc w:val="center"/>
        <w:rPr>
          <w:rFonts w:ascii="宋体" w:hAnsi="宋体" w:cs="宋体"/>
          <w:color w:val="000000"/>
          <w:kern w:val="0"/>
          <w:lang w:bidi="ar"/>
        </w:rPr>
      </w:pPr>
      <w:r>
        <w:drawing>
          <wp:inline distT="0" distB="0" distL="114300" distR="114300">
            <wp:extent cx="5290820" cy="5760085"/>
            <wp:effectExtent l="0" t="0" r="5080" b="1206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20"/>
                    <a:stretch>
                      <a:fillRect/>
                    </a:stretch>
                  </pic:blipFill>
                  <pic:spPr>
                    <a:xfrm>
                      <a:off x="0" y="0"/>
                      <a:ext cx="5290820" cy="5760085"/>
                    </a:xfrm>
                    <a:prstGeom prst="rect">
                      <a:avLst/>
                    </a:prstGeom>
                    <a:noFill/>
                    <a:ln>
                      <a:noFill/>
                    </a:ln>
                  </pic:spPr>
                </pic:pic>
              </a:graphicData>
            </a:graphic>
          </wp:inline>
        </w:drawing>
      </w:r>
    </w:p>
    <w:p>
      <w:pPr>
        <w:ind w:firstLine="0" w:firstLineChars="0"/>
        <w:jc w:val="center"/>
        <w:rPr>
          <w:b/>
          <w:bCs/>
        </w:rPr>
      </w:pPr>
      <w:r>
        <w:rPr>
          <w:rFonts w:hint="eastAsia"/>
          <w:b/>
          <w:bCs/>
        </w:rPr>
        <w:t>图</w:t>
      </w:r>
      <w:r>
        <w:rPr>
          <w:b/>
          <w:bCs/>
        </w:rPr>
        <w:t>1.4-1</w:t>
      </w:r>
      <w:r>
        <w:rPr>
          <w:rFonts w:hint="eastAsia"/>
          <w:b/>
          <w:bCs/>
        </w:rPr>
        <w:t xml:space="preserve">  本项目环境影响评价工作过程</w:t>
      </w:r>
    </w:p>
    <w:p>
      <w:pPr>
        <w:pStyle w:val="6"/>
        <w:ind w:firstLine="0" w:firstLineChars="0"/>
        <w:rPr>
          <w:lang w:val="en-US"/>
        </w:rPr>
      </w:pPr>
      <w:bookmarkStart w:id="15" w:name="_Toc19208"/>
      <w:bookmarkStart w:id="16" w:name="_Toc9011"/>
      <w:bookmarkStart w:id="17" w:name="_Toc13698"/>
      <w:r>
        <w:rPr>
          <w:lang w:val="en-US"/>
        </w:rPr>
        <w:t>1.5 相关产业政策分析</w:t>
      </w:r>
      <w:bookmarkEnd w:id="15"/>
      <w:bookmarkEnd w:id="16"/>
      <w:bookmarkEnd w:id="17"/>
    </w:p>
    <w:p>
      <w:pPr>
        <w:ind w:firstLine="480"/>
        <w:rPr>
          <w:color w:val="000000" w:themeColor="text1"/>
          <w:u w:val="single"/>
          <w14:textFill>
            <w14:solidFill>
              <w14:schemeClr w14:val="tx1"/>
            </w14:solidFill>
          </w14:textFill>
        </w:rPr>
      </w:pPr>
      <w:r>
        <w:rPr>
          <w:rFonts w:hint="eastAsia"/>
          <w:u w:val="single"/>
        </w:rPr>
        <w:t>经查阅《产业结构调整指导目录》（</w:t>
      </w:r>
      <w:r>
        <w:rPr>
          <w:u w:val="single"/>
        </w:rPr>
        <w:t>2019</w:t>
      </w:r>
      <w:r>
        <w:rPr>
          <w:rFonts w:hint="eastAsia"/>
          <w:u w:val="single"/>
        </w:rPr>
        <w:t>年本），本次工程</w:t>
      </w:r>
      <w:r>
        <w:rPr>
          <w:rFonts w:hint="eastAsia" w:cs="Times New Roman"/>
          <w:color w:val="000000"/>
          <w:kern w:val="0"/>
          <w:u w:val="single"/>
          <w:lang w:bidi="ar"/>
        </w:rPr>
        <w:t>人造草坪、单组份胶水跑道专用漆、水性树脂、双组份胶水、</w:t>
      </w:r>
      <w:r>
        <w:rPr>
          <w:rFonts w:hint="eastAsia"/>
          <w:u w:val="single"/>
        </w:rPr>
        <w:t>EPDM颗粒、硅PU产品（单组份有机硅改性聚氨酯）属于允许类，同时工程已取得平顶山尼龙新材料产业集聚区管理委员会备案证明（项目代码：2020</w:t>
      </w:r>
      <w:r>
        <w:rPr>
          <w:u w:val="single"/>
        </w:rPr>
        <w:t>-410422-</w:t>
      </w:r>
      <w:r>
        <w:rPr>
          <w:rFonts w:hint="eastAsia"/>
          <w:u w:val="single"/>
        </w:rPr>
        <w:t>26</w:t>
      </w:r>
      <w:r>
        <w:rPr>
          <w:u w:val="single"/>
        </w:rPr>
        <w:t>-0</w:t>
      </w:r>
      <w:r>
        <w:rPr>
          <w:rFonts w:hint="eastAsia"/>
          <w:u w:val="single"/>
        </w:rPr>
        <w:t>3</w:t>
      </w:r>
      <w:r>
        <w:rPr>
          <w:u w:val="single"/>
        </w:rPr>
        <w:t>-</w:t>
      </w:r>
      <w:r>
        <w:rPr>
          <w:rFonts w:hint="eastAsia"/>
          <w:u w:val="single"/>
        </w:rPr>
        <w:t>105090），因此，本次工程的建设符合国家产业政策。</w:t>
      </w:r>
      <w:r>
        <w:rPr>
          <w:rFonts w:hint="eastAsia"/>
          <w:color w:val="000000" w:themeColor="text1"/>
          <w:u w:val="single"/>
          <w14:textFill>
            <w14:solidFill>
              <w14:schemeClr w14:val="tx1"/>
            </w14:solidFill>
          </w14:textFill>
        </w:rPr>
        <w:t>根据</w:t>
      </w:r>
      <w:r>
        <w:rPr>
          <w:rFonts w:hint="eastAsia"/>
          <w:color w:val="000000" w:themeColor="text1"/>
          <w:u w:val="single"/>
          <w:lang w:eastAsia="zh-CN"/>
          <w14:textFill>
            <w14:solidFill>
              <w14:schemeClr w14:val="tx1"/>
            </w14:solidFill>
          </w14:textFill>
        </w:rPr>
        <w:t>豫（</w:t>
      </w:r>
      <w:r>
        <w:rPr>
          <w:rFonts w:hint="eastAsia"/>
          <w:color w:val="000000" w:themeColor="text1"/>
          <w:u w:val="single"/>
          <w:lang w:val="en-US" w:eastAsia="zh-CN"/>
          <w14:textFill>
            <w14:solidFill>
              <w14:schemeClr w14:val="tx1"/>
            </w14:solidFill>
          </w14:textFill>
        </w:rPr>
        <w:t>2022</w:t>
      </w:r>
      <w:r>
        <w:rPr>
          <w:rFonts w:hint="eastAsia"/>
          <w:color w:val="000000" w:themeColor="text1"/>
          <w:u w:val="single"/>
          <w:lang w:eastAsia="zh-CN"/>
          <w14:textFill>
            <w14:solidFill>
              <w14:schemeClr w14:val="tx1"/>
            </w14:solidFill>
          </w14:textFill>
        </w:rPr>
        <w:t>）不动产权第</w:t>
      </w:r>
      <w:r>
        <w:rPr>
          <w:rFonts w:hint="eastAsia"/>
          <w:color w:val="000000" w:themeColor="text1"/>
          <w:u w:val="single"/>
          <w:lang w:val="en-US" w:eastAsia="zh-CN"/>
          <w14:textFill>
            <w14:solidFill>
              <w14:schemeClr w14:val="tx1"/>
            </w14:solidFill>
          </w14:textFill>
        </w:rPr>
        <w:t>0010347号土地证显示</w:t>
      </w:r>
      <w:r>
        <w:rPr>
          <w:rFonts w:hint="eastAsia"/>
          <w:color w:val="000000" w:themeColor="text1"/>
          <w:u w:val="single"/>
          <w14:textFill>
            <w14:solidFill>
              <w14:schemeClr w14:val="tx1"/>
            </w14:solidFill>
          </w14:textFill>
        </w:rPr>
        <w:t>项目占地属工业用地，项目符合平顶山尼龙新材料产业集聚区规划。本次项目位于平顶山尼龙新材料产业集聚区，属于集聚区上游产业链，符合集聚区产业总体发展目标和尼龙产业空间布局位置，项目建设符合园区规划及规划环评要求，本次项目位于平顶山尼龙新材料产业集聚区，项目占地属于三类工业用地，项目建设符合《叶县城乡总体规划（2017-2035）》要求，项目建设符合产业集聚区生态保护红线、资源利用上线和环境质量底线要求，不在产业集聚区负面清单之内，符合平顶山尼龙新材料产业集聚区发展规划要求。</w:t>
      </w:r>
    </w:p>
    <w:p>
      <w:pPr>
        <w:widowControl/>
        <w:ind w:firstLine="480"/>
        <w:rPr>
          <w:rFonts w:cs="Times New Roman"/>
        </w:rPr>
      </w:pPr>
      <w:r>
        <w:rPr>
          <w:rFonts w:cs="Times New Roman"/>
          <w:color w:val="000000"/>
          <w:lang w:bidi="ar"/>
        </w:rPr>
        <w:t>对照河南省企业投资项目备案证明，项目建设名称、企业全称、证件代码、建设地点、项目性质和建设内容一致。项目占地面积备案文件为</w:t>
      </w:r>
      <w:r>
        <w:rPr>
          <w:rFonts w:hint="eastAsia" w:cs="Times New Roman"/>
          <w:color w:val="000000"/>
          <w:lang w:bidi="ar"/>
        </w:rPr>
        <w:t>27596.74m</w:t>
      </w:r>
      <w:r>
        <w:rPr>
          <w:rFonts w:hint="eastAsia" w:cs="Times New Roman"/>
          <w:color w:val="000000"/>
          <w:vertAlign w:val="superscript"/>
          <w:lang w:bidi="ar"/>
        </w:rPr>
        <w:t>2</w:t>
      </w:r>
      <w:r>
        <w:rPr>
          <w:rFonts w:cs="Times New Roman"/>
          <w:color w:val="000000"/>
          <w:lang w:bidi="ar"/>
        </w:rPr>
        <w:t>，</w:t>
      </w:r>
      <w:r>
        <w:rPr>
          <w:rFonts w:hint="eastAsia" w:cs="Times New Roman"/>
          <w:color w:val="000000"/>
          <w:lang w:bidi="ar"/>
        </w:rPr>
        <w:t>与</w:t>
      </w:r>
      <w:r>
        <w:rPr>
          <w:rFonts w:cs="Times New Roman"/>
          <w:color w:val="000000"/>
          <w:lang w:bidi="ar"/>
        </w:rPr>
        <w:t>实际</w:t>
      </w:r>
      <w:r>
        <w:rPr>
          <w:rFonts w:hint="eastAsia" w:cs="Times New Roman"/>
          <w:color w:val="000000"/>
          <w:lang w:bidi="ar"/>
        </w:rPr>
        <w:t>厂区</w:t>
      </w:r>
      <w:r>
        <w:rPr>
          <w:rFonts w:cs="Times New Roman"/>
          <w:color w:val="000000"/>
          <w:lang w:bidi="ar"/>
        </w:rPr>
        <w:t>建设选址用地面积</w:t>
      </w:r>
      <w:r>
        <w:rPr>
          <w:rFonts w:hint="eastAsia" w:cs="Times New Roman"/>
          <w:color w:val="000000"/>
          <w:lang w:bidi="ar"/>
        </w:rPr>
        <w:t>一致</w:t>
      </w:r>
      <w:r>
        <w:rPr>
          <w:rFonts w:cs="Times New Roman"/>
          <w:color w:val="000000"/>
          <w:lang w:bidi="ar"/>
        </w:rPr>
        <w:t>（详见附件6）</w:t>
      </w:r>
      <w:r>
        <w:rPr>
          <w:rFonts w:hint="eastAsia" w:cs="Times New Roman"/>
          <w:color w:val="000000"/>
          <w:lang w:bidi="ar"/>
        </w:rPr>
        <w:t>。</w:t>
      </w:r>
    </w:p>
    <w:p>
      <w:pPr>
        <w:pStyle w:val="6"/>
        <w:ind w:firstLine="0" w:firstLineChars="0"/>
        <w:rPr>
          <w:lang w:val="en-US"/>
        </w:rPr>
      </w:pPr>
      <w:bookmarkStart w:id="18" w:name="_Toc11352"/>
      <w:bookmarkStart w:id="19" w:name="_Toc13459"/>
      <w:bookmarkStart w:id="20" w:name="_Toc943"/>
      <w:r>
        <w:rPr>
          <w:lang w:val="en-US"/>
        </w:rPr>
        <w:t>1.6 关注的主要环境问题及环境影响</w:t>
      </w:r>
      <w:bookmarkEnd w:id="18"/>
      <w:bookmarkEnd w:id="19"/>
      <w:bookmarkEnd w:id="20"/>
    </w:p>
    <w:p>
      <w:pPr>
        <w:pStyle w:val="7"/>
        <w:ind w:firstLine="562"/>
      </w:pPr>
      <w:r>
        <w:t>1.6.1 主要关注的环境问题</w:t>
      </w:r>
    </w:p>
    <w:p>
      <w:pPr>
        <w:widowControl/>
        <w:ind w:firstLine="480"/>
        <w:jc w:val="left"/>
      </w:pPr>
      <w:r>
        <w:rPr>
          <w:rFonts w:hint="eastAsia" w:ascii="宋体" w:hAnsi="宋体" w:cs="宋体"/>
          <w:color w:val="000000"/>
          <w:kern w:val="0"/>
          <w:lang w:bidi="ar"/>
        </w:rPr>
        <w:t>结合项目工程特点和环境特征，本次环评工作应重点关注以下环境问题：</w:t>
      </w:r>
    </w:p>
    <w:p>
      <w:pPr>
        <w:ind w:firstLine="480"/>
        <w:rPr>
          <w:color w:val="000000" w:themeColor="text1"/>
          <w:u w:val="single"/>
          <w14:textFill>
            <w14:solidFill>
              <w14:schemeClr w14:val="tx1"/>
            </w14:solidFill>
          </w14:textFill>
        </w:rPr>
      </w:pPr>
      <w:r>
        <w:rPr>
          <w:rFonts w:hint="eastAsia"/>
          <w:u w:val="single"/>
        </w:rPr>
        <w:t>（1）</w:t>
      </w:r>
      <w:r>
        <w:rPr>
          <w:rFonts w:hint="eastAsia"/>
          <w:color w:val="000000" w:themeColor="text1"/>
          <w:u w:val="single"/>
          <w14:textFill>
            <w14:solidFill>
              <w14:schemeClr w14:val="tx1"/>
            </w14:solidFill>
          </w14:textFill>
        </w:rPr>
        <w:t>根据平顶山市2021年环境状况公报显示数据，</w:t>
      </w:r>
      <w:r>
        <w:rPr>
          <w:rFonts w:hint="eastAsia"/>
          <w:color w:val="000000" w:themeColor="text1"/>
          <w:u w:val="single"/>
          <w:lang w:eastAsia="zh-CN"/>
          <w14:textFill>
            <w14:solidFill>
              <w14:schemeClr w14:val="tx1"/>
            </w14:solidFill>
          </w14:textFill>
        </w:rPr>
        <w:t>综合平顶山市新华旅馆、规划设计院、平顶山工学院、尚学堂、高新区遵化党群中心和石龙区</w:t>
      </w:r>
      <w:r>
        <w:rPr>
          <w:rFonts w:hint="eastAsia"/>
          <w:color w:val="000000" w:themeColor="text1"/>
          <w:u w:val="single"/>
          <w:lang w:val="en-US" w:eastAsia="zh-CN"/>
          <w14:textFill>
            <w14:solidFill>
              <w14:schemeClr w14:val="tx1"/>
            </w14:solidFill>
          </w14:textFill>
        </w:rPr>
        <w:t>6个监测站点的监测数据，</w:t>
      </w:r>
      <w:r>
        <w:rPr>
          <w:rFonts w:hint="eastAsia"/>
          <w:color w:val="000000" w:themeColor="text1"/>
          <w:u w:val="single"/>
          <w14:textFill>
            <w14:solidFill>
              <w14:schemeClr w14:val="tx1"/>
            </w14:solidFill>
          </w14:textFill>
        </w:rPr>
        <w:t>2021年评价因子为六项：二氧化硫、二氧化氮、PM</w:t>
      </w:r>
      <w:r>
        <w:rPr>
          <w:rFonts w:hint="eastAsia"/>
          <w:color w:val="000000" w:themeColor="text1"/>
          <w:u w:val="single"/>
          <w:vertAlign w:val="subscript"/>
          <w14:textFill>
            <w14:solidFill>
              <w14:schemeClr w14:val="tx1"/>
            </w14:solidFill>
          </w14:textFill>
        </w:rPr>
        <w:t>10</w:t>
      </w:r>
      <w:r>
        <w:rPr>
          <w:rFonts w:hint="eastAsia"/>
          <w:color w:val="000000" w:themeColor="text1"/>
          <w:u w:val="single"/>
          <w14:textFill>
            <w14:solidFill>
              <w14:schemeClr w14:val="tx1"/>
            </w14:solidFill>
          </w14:textFill>
        </w:rPr>
        <w:t>（粒径小于或等于10微米颗粒物）、PM</w:t>
      </w:r>
      <w:r>
        <w:rPr>
          <w:rFonts w:hint="eastAsia"/>
          <w:color w:val="000000" w:themeColor="text1"/>
          <w:u w:val="single"/>
          <w:vertAlign w:val="subscript"/>
          <w14:textFill>
            <w14:solidFill>
              <w14:schemeClr w14:val="tx1"/>
            </w14:solidFill>
          </w14:textFill>
        </w:rPr>
        <w:t>2.5</w:t>
      </w:r>
      <w:r>
        <w:rPr>
          <w:rFonts w:hint="eastAsia"/>
          <w:color w:val="000000" w:themeColor="text1"/>
          <w:u w:val="single"/>
          <w14:textFill>
            <w14:solidFill>
              <w14:schemeClr w14:val="tx1"/>
            </w14:solidFill>
          </w14:textFill>
        </w:rPr>
        <w:t>（粒径小于或等于2.5微米颗粒物）、一氧化碳、臭氧，全市空气质量首要污染物为PM</w:t>
      </w:r>
      <w:r>
        <w:rPr>
          <w:rFonts w:hint="eastAsia"/>
          <w:color w:val="000000" w:themeColor="text1"/>
          <w:u w:val="single"/>
          <w:vertAlign w:val="subscript"/>
          <w14:textFill>
            <w14:solidFill>
              <w14:schemeClr w14:val="tx1"/>
            </w14:solidFill>
          </w14:textFill>
        </w:rPr>
        <w:t>2.5</w:t>
      </w:r>
      <w:r>
        <w:rPr>
          <w:rFonts w:hint="eastAsia"/>
          <w:color w:val="000000" w:themeColor="text1"/>
          <w:u w:val="single"/>
          <w14:textFill>
            <w14:solidFill>
              <w14:schemeClr w14:val="tx1"/>
            </w14:solidFill>
          </w14:textFill>
        </w:rPr>
        <w:t>，达标天数279天，达标率76.4%，环境空气质量综合指数为4.72。</w:t>
      </w:r>
    </w:p>
    <w:p>
      <w:pPr>
        <w:ind w:firstLine="480"/>
        <w:rPr>
          <w:u w:val="single"/>
        </w:rPr>
      </w:pPr>
      <w:r>
        <w:rPr>
          <w:rFonts w:hint="eastAsia"/>
          <w:u w:val="single"/>
        </w:rPr>
        <w:t>项目废气应采取严格的污染防护措施，在确保稳定达标排放的基础上，最大限度减少污染物的排放量。</w:t>
      </w:r>
    </w:p>
    <w:p>
      <w:pPr>
        <w:numPr>
          <w:ilvl w:val="0"/>
          <w:numId w:val="3"/>
        </w:numPr>
        <w:ind w:firstLine="480"/>
        <w:rPr>
          <w:rFonts w:hint="eastAsia"/>
          <w:color w:val="000000" w:themeColor="text1"/>
          <w:u w:val="single"/>
          <w:lang w:eastAsia="zh-CN"/>
          <w14:textFill>
            <w14:solidFill>
              <w14:schemeClr w14:val="tx1"/>
            </w14:solidFill>
          </w14:textFill>
        </w:rPr>
      </w:pPr>
      <w:r>
        <w:rPr>
          <w:rFonts w:hint="eastAsia"/>
          <w:color w:val="000000" w:themeColor="text1"/>
          <w:u w:val="single"/>
          <w14:textFill>
            <w14:solidFill>
              <w14:schemeClr w14:val="tx1"/>
            </w14:solidFill>
          </w14:textFill>
        </w:rPr>
        <w:t>项目附近水体为灰河</w:t>
      </w:r>
      <w:r>
        <w:rPr>
          <w:rFonts w:hint="eastAsia"/>
          <w:color w:val="000000" w:themeColor="text1"/>
          <w:u w:val="single"/>
          <w:lang w:eastAsia="zh-CN"/>
          <w14:textFill>
            <w14:solidFill>
              <w14:schemeClr w14:val="tx1"/>
            </w14:solidFill>
          </w14:textFill>
        </w:rPr>
        <w:t>和沙河</w:t>
      </w:r>
      <w:r>
        <w:rPr>
          <w:rFonts w:hint="eastAsia"/>
          <w:color w:val="000000" w:themeColor="text1"/>
          <w:u w:val="single"/>
          <w14:textFill>
            <w14:solidFill>
              <w14:schemeClr w14:val="tx1"/>
            </w14:solidFill>
          </w14:textFill>
        </w:rPr>
        <w:t>，水体规划功能沙河为III类水体</w:t>
      </w:r>
      <w:r>
        <w:rPr>
          <w:rFonts w:hint="eastAsia"/>
          <w:color w:val="000000" w:themeColor="text1"/>
          <w:u w:val="single"/>
          <w:lang w:eastAsia="zh-CN"/>
          <w14:textFill>
            <w14:solidFill>
              <w14:schemeClr w14:val="tx1"/>
            </w14:solidFill>
          </w14:textFill>
        </w:rPr>
        <w:t>，</w:t>
      </w:r>
      <w:r>
        <w:rPr>
          <w:rFonts w:hint="eastAsia"/>
          <w:color w:val="000000" w:themeColor="text1"/>
          <w:u w:val="single"/>
          <w14:textFill>
            <w14:solidFill>
              <w14:schemeClr w14:val="tx1"/>
            </w14:solidFill>
          </w14:textFill>
        </w:rPr>
        <w:t>灰河为IV类水体</w:t>
      </w:r>
      <w:r>
        <w:rPr>
          <w:rFonts w:hint="eastAsia"/>
          <w:color w:val="000000" w:themeColor="text1"/>
          <w:u w:val="single"/>
          <w:lang w:eastAsia="zh-CN"/>
          <w14:textFill>
            <w14:solidFill>
              <w14:schemeClr w14:val="tx1"/>
            </w14:solidFill>
          </w14:textFill>
        </w:rPr>
        <w:t>，根据</w:t>
      </w:r>
      <w:r>
        <w:rPr>
          <w:rFonts w:hint="eastAsia"/>
          <w:color w:val="000000" w:themeColor="text1"/>
          <w:u w:val="single"/>
          <w14:textFill>
            <w14:solidFill>
              <w14:schemeClr w14:val="tx1"/>
            </w14:solidFill>
          </w14:textFill>
        </w:rPr>
        <w:t>2021年平顶山生态环保部门发布叶县灰河水寨屈庄断面、沙河舞阳马湾断面的监测数据。2021年度灰河叶县水寨屈庄断面各监测因子均满足《地表水环境质量标准》（GB38382002）IV类标准</w:t>
      </w:r>
      <w:r>
        <w:rPr>
          <w:rFonts w:hint="eastAsia"/>
          <w:color w:val="000000" w:themeColor="text1"/>
          <w:u w:val="single"/>
          <w:lang w:eastAsia="zh-CN"/>
          <w14:textFill>
            <w14:solidFill>
              <w14:schemeClr w14:val="tx1"/>
            </w14:solidFill>
          </w14:textFill>
        </w:rPr>
        <w:t>，2021年度沙河马湾断面各监测因子均满足《地表水环境质量标准》（GB3838-2002）III类标准，说明附近地表水水质现状较好。</w:t>
      </w:r>
    </w:p>
    <w:p>
      <w:pPr>
        <w:numPr>
          <w:ilvl w:val="0"/>
          <w:numId w:val="3"/>
        </w:numPr>
        <w:ind w:firstLine="480"/>
        <w:rPr>
          <w:u w:val="single"/>
        </w:rPr>
      </w:pPr>
      <w:r>
        <w:rPr>
          <w:rFonts w:hint="eastAsia"/>
          <w:u w:val="single"/>
        </w:rPr>
        <w:t>本项目不需设置大气环境防护距离。</w:t>
      </w:r>
    </w:p>
    <w:p>
      <w:pPr>
        <w:pStyle w:val="7"/>
        <w:ind w:firstLine="562"/>
      </w:pPr>
      <w:r>
        <w:t>1.6.2 运营期内环境影响</w:t>
      </w:r>
    </w:p>
    <w:p>
      <w:pPr>
        <w:ind w:firstLine="480"/>
      </w:pPr>
      <w:r>
        <w:rPr>
          <w:rFonts w:hint="eastAsia"/>
        </w:rPr>
        <w:t>大气环境：</w:t>
      </w:r>
      <w:r>
        <w:t>废气采用不同收集及处理方式。本次评价重点分析废气源强、治理措施的可行性、厂界废气达标的可行性及对周边环境空气的影响。不论哪个区域，无论废气浓度大小，都采用负压引压收集系统，减少废气逃逸，并尽可能减少收集目标点的空间，减少收集所需的风量，同时通过引压系统将无组织排放转变为有组织收集，将所有转化为有组织废气高空排放。</w:t>
      </w:r>
      <w:r>
        <w:rPr>
          <w:rFonts w:hint="eastAsia"/>
        </w:rPr>
        <w:t>重点分析废气排放是否对周边环境有较大影响以及废气污染防治设施是否合理可行。</w:t>
      </w:r>
    </w:p>
    <w:p>
      <w:pPr>
        <w:ind w:firstLine="480"/>
        <w:rPr>
          <w:color w:val="000000" w:themeColor="text1"/>
          <w14:textFill>
            <w14:solidFill>
              <w14:schemeClr w14:val="tx1"/>
            </w14:solidFill>
          </w14:textFill>
        </w:rPr>
      </w:pPr>
      <w:r>
        <w:rPr>
          <w:rFonts w:hint="eastAsia"/>
        </w:rPr>
        <w:t>地表水环境：</w:t>
      </w:r>
      <w:r>
        <w:rPr>
          <w:rFonts w:hint="eastAsia" w:ascii="宋体" w:hAnsi="宋体" w:cs="宋体"/>
          <w:color w:val="000000" w:themeColor="text1"/>
          <w:kern w:val="0"/>
          <w:lang w:bidi="ar"/>
          <w14:textFill>
            <w14:solidFill>
              <w14:schemeClr w14:val="tx1"/>
            </w14:solidFill>
          </w14:textFill>
        </w:rPr>
        <w:t>本项目生产废水处理措施的可行性及废水排放去向。重点分析废水外排的可行性。</w:t>
      </w:r>
    </w:p>
    <w:p>
      <w:pPr>
        <w:ind w:firstLine="480"/>
        <w:rPr>
          <w:color w:val="000000" w:themeColor="text1"/>
          <w14:textFill>
            <w14:solidFill>
              <w14:schemeClr w14:val="tx1"/>
            </w14:solidFill>
          </w14:textFill>
        </w:rPr>
      </w:pPr>
      <w:r>
        <w:rPr>
          <w:rFonts w:hint="eastAsia"/>
        </w:rPr>
        <w:t>声环境：</w:t>
      </w:r>
      <w:r>
        <w:rPr>
          <w:rFonts w:hint="eastAsia" w:ascii="宋体" w:hAnsi="宋体" w:cs="宋体"/>
          <w:color w:val="000000" w:themeColor="text1"/>
          <w:kern w:val="0"/>
          <w:lang w:bidi="ar"/>
          <w14:textFill>
            <w14:solidFill>
              <w14:schemeClr w14:val="tx1"/>
            </w14:solidFill>
          </w14:textFill>
        </w:rPr>
        <w:t>本次工程新增高噪声设备主要为电机、搅拌机、风机、密炼机、高速分散釜等，经采取</w:t>
      </w:r>
      <w:r>
        <w:rPr>
          <w:rFonts w:hint="eastAsia" w:ascii="宋体" w:hAnsi="宋体" w:cs="宋体"/>
          <w:color w:val="000000" w:themeColor="text1"/>
          <w:kern w:val="0"/>
          <w:lang w:eastAsia="zh-CN" w:bidi="ar"/>
          <w14:textFill>
            <w14:solidFill>
              <w14:schemeClr w14:val="tx1"/>
            </w14:solidFill>
          </w14:textFill>
        </w:rPr>
        <w:t>选取</w:t>
      </w:r>
      <w:r>
        <w:rPr>
          <w:rFonts w:hint="eastAsia" w:ascii="宋体" w:hAnsi="宋体" w:cs="宋体"/>
          <w:color w:val="000000" w:themeColor="text1"/>
          <w:kern w:val="0"/>
          <w:u w:val="single"/>
          <w:lang w:eastAsia="zh-CN" w:bidi="ar"/>
          <w14:textFill>
            <w14:solidFill>
              <w14:schemeClr w14:val="tx1"/>
            </w14:solidFill>
          </w14:textFill>
        </w:rPr>
        <w:t>低噪声型号设备，</w:t>
      </w:r>
      <w:r>
        <w:rPr>
          <w:rFonts w:hint="eastAsia" w:ascii="宋体" w:hAnsi="宋体" w:cs="宋体"/>
          <w:color w:val="000000" w:themeColor="text1"/>
          <w:kern w:val="0"/>
          <w:u w:val="single"/>
          <w:lang w:bidi="ar"/>
          <w14:textFill>
            <w14:solidFill>
              <w14:schemeClr w14:val="tx1"/>
            </w14:solidFill>
          </w14:textFill>
        </w:rPr>
        <w:t>“闹静分开”和合理布局的设置原则，尽量将高噪声源远离厂界</w:t>
      </w:r>
      <w:r>
        <w:rPr>
          <w:rFonts w:hint="eastAsia" w:ascii="宋体" w:hAnsi="宋体" w:cs="宋体"/>
          <w:color w:val="000000" w:themeColor="text1"/>
          <w:kern w:val="0"/>
          <w:u w:val="single"/>
          <w:lang w:eastAsia="zh-CN" w:bidi="ar"/>
          <w14:textFill>
            <w14:solidFill>
              <w14:schemeClr w14:val="tx1"/>
            </w14:solidFill>
          </w14:textFill>
        </w:rPr>
        <w:t>，在设备连接处安装减震垫、车间内墙加装隔音棉，主排风管道增加消音器，厂区种植降噪绿植</w:t>
      </w:r>
      <w:r>
        <w:rPr>
          <w:rFonts w:hint="eastAsia" w:ascii="宋体" w:hAnsi="宋体" w:cs="宋体"/>
          <w:color w:val="000000" w:themeColor="text1"/>
          <w:kern w:val="0"/>
          <w:u w:val="single"/>
          <w:lang w:bidi="ar"/>
          <w14:textFill>
            <w14:solidFill>
              <w14:schemeClr w14:val="tx1"/>
            </w14:solidFill>
          </w14:textFill>
        </w:rPr>
        <w:t>等治理措施</w:t>
      </w:r>
      <w:r>
        <w:rPr>
          <w:rFonts w:hint="eastAsia" w:ascii="宋体" w:hAnsi="宋体" w:cs="宋体"/>
          <w:color w:val="000000" w:themeColor="text1"/>
          <w:kern w:val="0"/>
          <w:lang w:bidi="ar"/>
          <w14:textFill>
            <w14:solidFill>
              <w14:schemeClr w14:val="tx1"/>
            </w14:solidFill>
          </w14:textFill>
        </w:rPr>
        <w:t>。本环评重点分析噪声控制措施的可行性、厂界噪声达标的可行性及对周围声环境的影响。</w:t>
      </w:r>
    </w:p>
    <w:p>
      <w:pPr>
        <w:ind w:firstLine="480"/>
        <w:rPr>
          <w:rFonts w:ascii="宋体" w:hAnsi="宋体" w:cs="宋体"/>
          <w:color w:val="000000" w:themeColor="text1"/>
          <w14:textFill>
            <w14:solidFill>
              <w14:schemeClr w14:val="tx1"/>
            </w14:solidFill>
          </w14:textFill>
        </w:rPr>
      </w:pPr>
      <w:r>
        <w:rPr>
          <w:rFonts w:hint="eastAsia"/>
          <w:color w:val="000000" w:themeColor="text1"/>
          <w14:textFill>
            <w14:solidFill>
              <w14:schemeClr w14:val="tx1"/>
            </w14:solidFill>
          </w14:textFill>
        </w:rPr>
        <w:t>固体废物：本次工程所产生的固体废物包括分喷淋塔漂浮物、收集粉尘、废弃边角料、废催化剂、废机油、废活性炭、污水处理站污泥、产品滤渣、废原材料包装、生活垃圾。其中废弃边角料、</w:t>
      </w:r>
      <w:r>
        <w:rPr>
          <w:rFonts w:hint="eastAsia"/>
          <w:color w:val="000000" w:themeColor="text1"/>
          <w:lang w:eastAsia="zh-CN"/>
          <w14:textFill>
            <w14:solidFill>
              <w14:schemeClr w14:val="tx1"/>
            </w14:solidFill>
          </w14:textFill>
        </w:rPr>
        <w:t>一般废包装材料</w:t>
      </w:r>
      <w:r>
        <w:rPr>
          <w:rFonts w:hint="eastAsia"/>
          <w:color w:val="000000" w:themeColor="text1"/>
          <w14:textFill>
            <w14:solidFill>
              <w14:schemeClr w14:val="tx1"/>
            </w14:solidFill>
          </w14:textFill>
        </w:rPr>
        <w:t>外售资源公司再利用；除尘器卸灰、生活垃圾由环卫清运；</w:t>
      </w:r>
      <w:r>
        <w:rPr>
          <w:rFonts w:hint="eastAsia"/>
          <w:color w:val="000000" w:themeColor="text1"/>
          <w:u w:val="single"/>
          <w14:textFill>
            <w14:solidFill>
              <w14:schemeClr w14:val="tx1"/>
            </w14:solidFill>
          </w14:textFill>
        </w:rPr>
        <w:t>危险废物主要包括滤渣、废催化剂</w:t>
      </w:r>
      <w:r>
        <w:rPr>
          <w:rFonts w:hint="eastAsia"/>
          <w:color w:val="000000" w:themeColor="text1"/>
          <w:u w:val="single"/>
          <w:lang w:eastAsia="zh-CN"/>
          <w14:textFill>
            <w14:solidFill>
              <w14:schemeClr w14:val="tx1"/>
            </w14:solidFill>
          </w14:textFill>
        </w:rPr>
        <w:t>、</w:t>
      </w:r>
      <w:r>
        <w:rPr>
          <w:rFonts w:hint="eastAsia"/>
          <w:color w:val="000000" w:themeColor="text1"/>
          <w:u w:val="single"/>
          <w14:textFill>
            <w14:solidFill>
              <w14:schemeClr w14:val="tx1"/>
            </w14:solidFill>
          </w14:textFill>
        </w:rPr>
        <w:t>废活性炭、喷淋塔沉渣</w:t>
      </w:r>
      <w:r>
        <w:rPr>
          <w:rFonts w:hint="eastAsia"/>
          <w:color w:val="000000" w:themeColor="text1"/>
          <w:u w:val="single"/>
          <w:lang w:eastAsia="zh-CN"/>
          <w14:textFill>
            <w14:solidFill>
              <w14:schemeClr w14:val="tx1"/>
            </w14:solidFill>
          </w14:textFill>
        </w:rPr>
        <w:t>、</w:t>
      </w:r>
      <w:r>
        <w:rPr>
          <w:rFonts w:hint="eastAsia"/>
          <w:color w:val="000000" w:themeColor="text1"/>
          <w:u w:val="single"/>
          <w14:textFill>
            <w14:solidFill>
              <w14:schemeClr w14:val="tx1"/>
            </w14:solidFill>
          </w14:textFill>
        </w:rPr>
        <w:t>污泥和废化学品包装桶，危废经暂存间暂存后定期交危废处理资质单位处理。</w:t>
      </w:r>
      <w:r>
        <w:rPr>
          <w:rFonts w:ascii="宋体" w:hAnsi="宋体" w:cs="宋体"/>
          <w:color w:val="000000" w:themeColor="text1"/>
          <w14:textFill>
            <w14:solidFill>
              <w14:schemeClr w14:val="tx1"/>
            </w14:solidFill>
          </w14:textFill>
        </w:rPr>
        <w:t>本环评重点分析危险废物的产生情况、暂存设施设置的规范要求以及最终处置是否符合环保管理要求。</w:t>
      </w:r>
    </w:p>
    <w:p>
      <w:pPr>
        <w:ind w:firstLine="480"/>
        <w:rPr>
          <w:color w:val="000000" w:themeColor="text1"/>
          <w14:textFill>
            <w14:solidFill>
              <w14:schemeClr w14:val="tx1"/>
            </w14:solidFill>
          </w14:textFill>
        </w:rPr>
      </w:pPr>
      <w:r>
        <w:rPr>
          <w:color w:val="000000" w:themeColor="text1"/>
          <w14:textFill>
            <w14:solidFill>
              <w14:schemeClr w14:val="tx1"/>
            </w14:solidFill>
          </w14:textFill>
        </w:rPr>
        <w:t>环境风险：本项目生产</w:t>
      </w:r>
      <w:r>
        <w:rPr>
          <w:rFonts w:hint="eastAsia"/>
          <w:color w:val="000000" w:themeColor="text1"/>
          <w14:textFill>
            <w14:solidFill>
              <w14:schemeClr w14:val="tx1"/>
            </w14:solidFill>
          </w14:textFill>
        </w:rPr>
        <w:t>评价有毒有害物质储存与使用</w:t>
      </w:r>
      <w:r>
        <w:rPr>
          <w:color w:val="000000" w:themeColor="text1"/>
          <w14:textFill>
            <w14:solidFill>
              <w14:schemeClr w14:val="tx1"/>
            </w14:solidFill>
          </w14:textFill>
        </w:rPr>
        <w:t>。因此，本次评价重点关注项目生产及物料储存过程中存在的潜在环境风险是否可防可控。</w:t>
      </w:r>
    </w:p>
    <w:p>
      <w:pPr>
        <w:ind w:firstLine="480"/>
        <w:rPr>
          <w:color w:val="000000" w:themeColor="text1"/>
          <w14:textFill>
            <w14:solidFill>
              <w14:schemeClr w14:val="tx1"/>
            </w14:solidFill>
          </w14:textFill>
        </w:rPr>
      </w:pPr>
      <w:r>
        <w:rPr>
          <w:color w:val="000000" w:themeColor="text1"/>
          <w14:textFill>
            <w14:solidFill>
              <w14:schemeClr w14:val="tx1"/>
            </w14:solidFill>
          </w14:textFill>
        </w:rPr>
        <w:t>通过对消耗量较小的物料不在厂区存储随用随买，减少厂区物料的存储</w:t>
      </w:r>
      <w:r>
        <w:rPr>
          <w:rFonts w:hint="eastAsia"/>
          <w:color w:val="000000" w:themeColor="text1"/>
          <w14:textFill>
            <w14:solidFill>
              <w14:schemeClr w14:val="tx1"/>
            </w14:solidFill>
          </w14:textFill>
        </w:rPr>
        <w:t>来降低环境风险的发生</w:t>
      </w:r>
      <w:r>
        <w:rPr>
          <w:color w:val="000000" w:themeColor="text1"/>
          <w14:textFill>
            <w14:solidFill>
              <w14:schemeClr w14:val="tx1"/>
            </w14:solidFill>
          </w14:textFill>
        </w:rPr>
        <w:t>。</w:t>
      </w:r>
    </w:p>
    <w:p>
      <w:pPr>
        <w:ind w:firstLine="480"/>
        <w:rPr>
          <w:color w:val="000000" w:themeColor="text1"/>
          <w14:textFill>
            <w14:solidFill>
              <w14:schemeClr w14:val="tx1"/>
            </w14:solidFill>
          </w14:textFill>
        </w:rPr>
      </w:pPr>
      <w:r>
        <w:rPr>
          <w:color w:val="000000" w:themeColor="text1"/>
          <w14:textFill>
            <w14:solidFill>
              <w14:schemeClr w14:val="tx1"/>
            </w14:solidFill>
          </w14:textFill>
        </w:rPr>
        <w:t>地下水和土壤：本次评价重点关注生产区、原料产品</w:t>
      </w:r>
      <w:r>
        <w:rPr>
          <w:rFonts w:hint="eastAsia"/>
          <w:color w:val="000000" w:themeColor="text1"/>
          <w14:textFill>
            <w14:solidFill>
              <w14:schemeClr w14:val="tx1"/>
            </w14:solidFill>
          </w14:textFill>
        </w:rPr>
        <w:t>储存</w:t>
      </w:r>
      <w:r>
        <w:rPr>
          <w:color w:val="000000" w:themeColor="text1"/>
          <w14:textFill>
            <w14:solidFill>
              <w14:schemeClr w14:val="tx1"/>
            </w14:solidFill>
          </w14:textFill>
        </w:rPr>
        <w:t>区、危废暂存间和废水处理站的防渗措施和防渗要求，结合车间优化立体布置，减少和地面的接触。</w:t>
      </w:r>
    </w:p>
    <w:p>
      <w:pPr>
        <w:pStyle w:val="6"/>
        <w:ind w:firstLine="0" w:firstLineChars="0"/>
        <w:rPr>
          <w:lang w:val="en-US"/>
        </w:rPr>
      </w:pPr>
      <w:bookmarkStart w:id="21" w:name="_Toc4948"/>
      <w:bookmarkStart w:id="22" w:name="_Toc32700"/>
      <w:bookmarkStart w:id="23" w:name="_Toc17568"/>
      <w:r>
        <w:rPr>
          <w:lang w:val="en-US"/>
        </w:rPr>
        <w:t>1.</w:t>
      </w:r>
      <w:r>
        <w:rPr>
          <w:rFonts w:hint="eastAsia"/>
          <w:lang w:val="en-US"/>
        </w:rPr>
        <w:t>7</w:t>
      </w:r>
      <w:r>
        <w:rPr>
          <w:lang w:val="en-US"/>
        </w:rPr>
        <w:t xml:space="preserve"> 环境影响报告书主要结论</w:t>
      </w:r>
      <w:bookmarkEnd w:id="21"/>
      <w:bookmarkEnd w:id="22"/>
      <w:bookmarkEnd w:id="23"/>
    </w:p>
    <w:p>
      <w:pPr>
        <w:ind w:firstLine="480"/>
      </w:pPr>
      <w:r>
        <w:t>本项目为</w:t>
      </w:r>
      <w:r>
        <w:rPr>
          <w:rFonts w:hint="eastAsia"/>
        </w:rPr>
        <w:t>新旭环保型体育设施新区建设项目</w:t>
      </w:r>
      <w:r>
        <w:t>，项目符合现阶段国家产业政策，选址位于</w:t>
      </w:r>
      <w:r>
        <w:rPr>
          <w:rFonts w:hint="eastAsia"/>
          <w:lang w:eastAsia="zh-CN"/>
        </w:rPr>
        <w:t>平顶山市尼龙新材料产业集聚区</w:t>
      </w:r>
      <w:r>
        <w:t>，符合</w:t>
      </w:r>
      <w:r>
        <w:rPr>
          <w:rFonts w:hint="eastAsia"/>
          <w:lang w:eastAsia="zh-CN"/>
        </w:rPr>
        <w:t>“</w:t>
      </w:r>
      <w:r>
        <w:t>三线一单</w:t>
      </w:r>
      <w:r>
        <w:rPr>
          <w:rFonts w:hint="eastAsia"/>
          <w:lang w:eastAsia="zh-CN"/>
        </w:rPr>
        <w:t>”</w:t>
      </w:r>
      <w:r>
        <w:t>的要求。</w:t>
      </w:r>
    </w:p>
    <w:p>
      <w:pPr>
        <w:ind w:firstLine="480"/>
      </w:pPr>
      <w:r>
        <w:t>本项目建成运营后具有较明显的社会、经济、环境综合效益；项目建成投入使用后，在采取相应的治理措施后，可满足相应的国家排放标准；项目实施后能满足区域环境质量与环境功能的要求。建设方在施工期、运营期应当在执行</w:t>
      </w:r>
      <w:r>
        <w:rPr>
          <w:rFonts w:hint="eastAsia"/>
          <w:lang w:eastAsia="zh-CN"/>
        </w:rPr>
        <w:t>“</w:t>
      </w:r>
      <w:r>
        <w:t>三同时</w:t>
      </w:r>
      <w:r>
        <w:rPr>
          <w:rFonts w:hint="eastAsia"/>
          <w:lang w:eastAsia="zh-CN"/>
        </w:rPr>
        <w:t>”</w:t>
      </w:r>
      <w:r>
        <w:t>原则的基础上，严格执行国家的环保法律法规，切实落实本环评中提出的各项污染防治和生态保护措施，将对周围环境的影响降低到可接受的程度，从环保角度看，本项目的建设可行。</w:t>
      </w:r>
    </w:p>
    <w:p>
      <w:pPr>
        <w:ind w:firstLine="480"/>
      </w:pPr>
      <w:r>
        <w:t>本次评价工作得到了</w:t>
      </w:r>
      <w:r>
        <w:rPr>
          <w:rFonts w:hint="eastAsia"/>
        </w:rPr>
        <w:t>企业</w:t>
      </w:r>
      <w:r>
        <w:t>有关人员的积极配合和支持，也得到了平顶山市生态环境局，平顶山市生态环境局</w:t>
      </w:r>
      <w:r>
        <w:rPr>
          <w:rFonts w:hint="eastAsia"/>
        </w:rPr>
        <w:t>叶县</w:t>
      </w:r>
      <w:r>
        <w:t>分局等单位的技术指导和大力支持，在此一并致谢。</w:t>
      </w:r>
    </w:p>
    <w:p>
      <w:pPr>
        <w:ind w:firstLine="480"/>
      </w:pPr>
    </w:p>
    <w:p>
      <w:pPr>
        <w:ind w:firstLine="480"/>
      </w:pPr>
      <w:r>
        <w:rPr>
          <w:rFonts w:hint="eastAsia"/>
        </w:rPr>
        <w:br w:type="page"/>
      </w:r>
    </w:p>
    <w:p>
      <w:pPr>
        <w:pStyle w:val="5"/>
        <w:ind w:firstLine="0" w:firstLineChars="0"/>
        <w:jc w:val="center"/>
        <w:rPr>
          <w:rFonts w:hint="default"/>
        </w:rPr>
      </w:pPr>
      <w:bookmarkStart w:id="24" w:name="_Toc18467"/>
      <w:bookmarkStart w:id="25" w:name="_Toc25297"/>
      <w:bookmarkStart w:id="26" w:name="_Toc4485"/>
      <w:r>
        <w:t>第二章</w:t>
      </w:r>
      <w:r>
        <w:rPr>
          <w:rFonts w:hint="default"/>
        </w:rPr>
        <w:t xml:space="preserve"> </w:t>
      </w:r>
      <w:r>
        <w:t>总则</w:t>
      </w:r>
      <w:bookmarkEnd w:id="24"/>
      <w:bookmarkEnd w:id="25"/>
      <w:bookmarkEnd w:id="26"/>
    </w:p>
    <w:p>
      <w:pPr>
        <w:pStyle w:val="6"/>
        <w:ind w:firstLine="0" w:firstLineChars="0"/>
      </w:pPr>
      <w:bookmarkStart w:id="27" w:name="_Toc3237"/>
      <w:bookmarkStart w:id="28" w:name="_Toc8828"/>
      <w:bookmarkStart w:id="29" w:name="_Toc18350"/>
      <w:r>
        <w:rPr>
          <w:lang w:val="en-US"/>
        </w:rPr>
        <w:t xml:space="preserve">2.1 </w:t>
      </w:r>
      <w:r>
        <w:rPr>
          <w:rFonts w:hint="eastAsia"/>
          <w:lang w:val="en-US"/>
        </w:rPr>
        <w:t>编制依据</w:t>
      </w:r>
      <w:bookmarkEnd w:id="27"/>
      <w:bookmarkEnd w:id="28"/>
      <w:bookmarkEnd w:id="29"/>
    </w:p>
    <w:p>
      <w:pPr>
        <w:pStyle w:val="7"/>
        <w:ind w:firstLine="562"/>
      </w:pPr>
      <w:r>
        <w:t>2.1.1 法律法规及部门规章</w:t>
      </w:r>
    </w:p>
    <w:p>
      <w:pPr>
        <w:widowControl/>
        <w:ind w:firstLine="48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kern w:val="0"/>
          <w:sz w:val="24"/>
          <w:szCs w:val="24"/>
          <w:lang w:bidi="ar"/>
          <w14:textFill>
            <w14:solidFill>
              <w14:schemeClr w14:val="tx1"/>
            </w14:solidFill>
          </w14:textFill>
        </w:rPr>
        <w:t>（1）《中华人民共和国环境保护法》（自2015年1月1日</w:t>
      </w:r>
      <w:r>
        <w:rPr>
          <w:rFonts w:hint="default" w:ascii="Times New Roman" w:hAnsi="Times New Roman" w:eastAsia="宋体" w:cs="Times New Roman"/>
          <w:color w:val="4C4C4C"/>
          <w:sz w:val="24"/>
          <w:szCs w:val="24"/>
          <w:shd w:val="clear" w:color="auto" w:fill="FFFFFF"/>
        </w:rPr>
        <w:t>施行</w:t>
      </w:r>
      <w:r>
        <w:rPr>
          <w:rFonts w:hint="default" w:ascii="Times New Roman" w:hAnsi="Times New Roman" w:eastAsia="宋体" w:cs="Times New Roman"/>
          <w:color w:val="000000" w:themeColor="text1"/>
          <w:kern w:val="0"/>
          <w:sz w:val="24"/>
          <w:szCs w:val="24"/>
          <w:lang w:bidi="ar"/>
          <w14:textFill>
            <w14:solidFill>
              <w14:schemeClr w14:val="tx1"/>
            </w14:solidFill>
          </w14:textFill>
        </w:rPr>
        <w:t>）；</w:t>
      </w:r>
    </w:p>
    <w:p>
      <w:pPr>
        <w:widowControl/>
        <w:ind w:firstLine="480"/>
        <w:rPr>
          <w:rFonts w:hint="default" w:ascii="Times New Roman" w:hAnsi="Times New Roman" w:eastAsia="宋体" w:cs="Times New Roman"/>
          <w:color w:val="000000" w:themeColor="text1"/>
          <w:kern w:val="0"/>
          <w:sz w:val="24"/>
          <w:szCs w:val="24"/>
          <w:lang w:bidi="ar"/>
          <w14:textFill>
            <w14:solidFill>
              <w14:schemeClr w14:val="tx1"/>
            </w14:solidFill>
          </w14:textFill>
        </w:rPr>
      </w:pPr>
      <w:r>
        <w:rPr>
          <w:rFonts w:hint="default" w:ascii="Times New Roman" w:hAnsi="Times New Roman" w:eastAsia="宋体" w:cs="Times New Roman"/>
          <w:color w:val="000000" w:themeColor="text1"/>
          <w:kern w:val="0"/>
          <w:sz w:val="24"/>
          <w:szCs w:val="24"/>
          <w:lang w:bidi="ar"/>
          <w14:textFill>
            <w14:solidFill>
              <w14:schemeClr w14:val="tx1"/>
            </w14:solidFill>
          </w14:textFill>
        </w:rPr>
        <w:t xml:space="preserve">（2）《中华人民共和国大气污染防治法》（自2016年1月1日起施行）； </w:t>
      </w:r>
    </w:p>
    <w:p>
      <w:pPr>
        <w:widowControl/>
        <w:ind w:firstLine="480"/>
        <w:rPr>
          <w:rFonts w:hint="default" w:ascii="Times New Roman" w:hAnsi="Times New Roman" w:eastAsia="宋体" w:cs="Times New Roman"/>
          <w:color w:val="000000" w:themeColor="text1"/>
          <w:kern w:val="0"/>
          <w:sz w:val="24"/>
          <w:szCs w:val="24"/>
          <w:lang w:bidi="ar"/>
          <w14:textFill>
            <w14:solidFill>
              <w14:schemeClr w14:val="tx1"/>
            </w14:solidFill>
          </w14:textFill>
        </w:rPr>
      </w:pPr>
      <w:r>
        <w:rPr>
          <w:rFonts w:hint="default" w:ascii="Times New Roman" w:hAnsi="Times New Roman" w:eastAsia="宋体" w:cs="Times New Roman"/>
          <w:color w:val="000000" w:themeColor="text1"/>
          <w:kern w:val="0"/>
          <w:sz w:val="24"/>
          <w:szCs w:val="24"/>
          <w:lang w:bidi="ar"/>
          <w14:textFill>
            <w14:solidFill>
              <w14:schemeClr w14:val="tx1"/>
            </w14:solidFill>
          </w14:textFill>
        </w:rPr>
        <w:t>（3）《中华人民共和国水污染防治法》（自2018年1月1日起施行）；</w:t>
      </w:r>
    </w:p>
    <w:p>
      <w:pPr>
        <w:widowControl/>
        <w:ind w:firstLine="480"/>
        <w:rPr>
          <w:rFonts w:hint="default" w:ascii="Times New Roman" w:hAnsi="Times New Roman" w:eastAsia="宋体" w:cs="Times New Roman"/>
          <w:color w:val="000000" w:themeColor="text1"/>
          <w:kern w:val="0"/>
          <w:sz w:val="24"/>
          <w:szCs w:val="24"/>
          <w:lang w:bidi="ar"/>
          <w14:textFill>
            <w14:solidFill>
              <w14:schemeClr w14:val="tx1"/>
            </w14:solidFill>
          </w14:textFill>
        </w:rPr>
      </w:pPr>
      <w:r>
        <w:rPr>
          <w:rFonts w:hint="default" w:ascii="Times New Roman" w:hAnsi="Times New Roman" w:eastAsia="宋体" w:cs="Times New Roman"/>
          <w:color w:val="000000" w:themeColor="text1"/>
          <w:kern w:val="0"/>
          <w:sz w:val="24"/>
          <w:szCs w:val="24"/>
          <w:lang w:bidi="ar"/>
          <w14:textFill>
            <w14:solidFill>
              <w14:schemeClr w14:val="tx1"/>
            </w14:solidFill>
          </w14:textFill>
        </w:rPr>
        <w:t>（4）《中华人民共和国环境噪声污染防治法》（自2022年6月5日起施行）；</w:t>
      </w:r>
    </w:p>
    <w:p>
      <w:pPr>
        <w:widowControl/>
        <w:ind w:firstLine="480"/>
        <w:rPr>
          <w:rFonts w:hint="default" w:ascii="Times New Roman" w:hAnsi="Times New Roman" w:eastAsia="宋体" w:cs="Times New Roman"/>
          <w:color w:val="000000" w:themeColor="text1"/>
          <w:kern w:val="0"/>
          <w:sz w:val="24"/>
          <w:szCs w:val="24"/>
          <w:lang w:bidi="ar"/>
          <w14:textFill>
            <w14:solidFill>
              <w14:schemeClr w14:val="tx1"/>
            </w14:solidFill>
          </w14:textFill>
        </w:rPr>
      </w:pPr>
      <w:r>
        <w:rPr>
          <w:rFonts w:hint="default" w:ascii="Times New Roman" w:hAnsi="Times New Roman" w:eastAsia="宋体" w:cs="Times New Roman"/>
          <w:color w:val="000000" w:themeColor="text1"/>
          <w:kern w:val="0"/>
          <w:sz w:val="24"/>
          <w:szCs w:val="24"/>
          <w:lang w:bidi="ar"/>
          <w14:textFill>
            <w14:solidFill>
              <w14:schemeClr w14:val="tx1"/>
            </w14:solidFill>
          </w14:textFill>
        </w:rPr>
        <w:t>（5）《中华人民共和国固体废物污染防治法》（自2020年9月1日起施行）；</w:t>
      </w:r>
    </w:p>
    <w:p>
      <w:pPr>
        <w:widowControl/>
        <w:ind w:firstLine="480"/>
        <w:rPr>
          <w:rFonts w:hint="default" w:ascii="Times New Roman" w:hAnsi="Times New Roman" w:eastAsia="宋体" w:cs="Times New Roman"/>
          <w:color w:val="000000" w:themeColor="text1"/>
          <w:kern w:val="0"/>
          <w:sz w:val="24"/>
          <w:szCs w:val="24"/>
          <w:lang w:bidi="ar"/>
          <w14:textFill>
            <w14:solidFill>
              <w14:schemeClr w14:val="tx1"/>
            </w14:solidFill>
          </w14:textFill>
        </w:rPr>
      </w:pPr>
      <w:r>
        <w:rPr>
          <w:rFonts w:hint="default" w:ascii="Times New Roman" w:hAnsi="Times New Roman" w:eastAsia="宋体" w:cs="Times New Roman"/>
          <w:color w:val="000000" w:themeColor="text1"/>
          <w:kern w:val="0"/>
          <w:sz w:val="24"/>
          <w:szCs w:val="24"/>
          <w:lang w:bidi="ar"/>
          <w14:textFill>
            <w14:solidFill>
              <w14:schemeClr w14:val="tx1"/>
            </w14:solidFill>
          </w14:textFill>
        </w:rPr>
        <w:t>（6）《中华人民共和国清洁生产促进法》（自</w:t>
      </w:r>
      <w:r>
        <w:rPr>
          <w:rFonts w:hint="eastAsia" w:ascii="Times New Roman" w:hAnsi="Times New Roman" w:eastAsia="宋体" w:cs="Times New Roman"/>
          <w:color w:val="000000" w:themeColor="text1"/>
          <w:kern w:val="0"/>
          <w:sz w:val="24"/>
          <w:szCs w:val="24"/>
          <w:lang w:val="en-US" w:eastAsia="zh-CN" w:bidi="ar"/>
          <w14:textFill>
            <w14:solidFill>
              <w14:schemeClr w14:val="tx1"/>
            </w14:solidFill>
          </w14:textFill>
        </w:rPr>
        <w:t>2012年7月1日</w:t>
      </w:r>
      <w:r>
        <w:rPr>
          <w:rFonts w:hint="default" w:ascii="Times New Roman" w:hAnsi="Times New Roman" w:eastAsia="宋体" w:cs="Times New Roman"/>
          <w:color w:val="000000" w:themeColor="text1"/>
          <w:kern w:val="0"/>
          <w:sz w:val="24"/>
          <w:szCs w:val="24"/>
          <w:lang w:bidi="ar"/>
          <w14:textFill>
            <w14:solidFill>
              <w14:schemeClr w14:val="tx1"/>
            </w14:solidFill>
          </w14:textFill>
        </w:rPr>
        <w:t>起施行）；</w:t>
      </w:r>
    </w:p>
    <w:p>
      <w:pPr>
        <w:widowControl/>
        <w:ind w:firstLine="48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kern w:val="0"/>
          <w:sz w:val="24"/>
          <w:szCs w:val="24"/>
          <w:lang w:bidi="ar"/>
          <w14:textFill>
            <w14:solidFill>
              <w14:schemeClr w14:val="tx1"/>
            </w14:solidFill>
          </w14:textFill>
        </w:rPr>
        <w:t>（7）《中华人民共和国环境影响评价法》（2018年12月29日第二次修正）；</w:t>
      </w:r>
    </w:p>
    <w:p>
      <w:pPr>
        <w:widowControl/>
        <w:ind w:firstLine="480"/>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kern w:val="0"/>
          <w:sz w:val="24"/>
          <w:szCs w:val="24"/>
          <w:lang w:bidi="ar"/>
          <w14:textFill>
            <w14:solidFill>
              <w14:schemeClr w14:val="tx1"/>
            </w14:solidFill>
          </w14:textFill>
        </w:rPr>
        <w:t>（8）《建设项目环境保护管理条例》（国务院令第682号，</w:t>
      </w:r>
      <w:r>
        <w:rPr>
          <w:rFonts w:hint="default" w:ascii="Times New Roman" w:hAnsi="Times New Roman" w:eastAsia="宋体" w:cs="Times New Roman"/>
          <w:color w:val="4C4C4C"/>
          <w:sz w:val="24"/>
          <w:szCs w:val="24"/>
          <w:shd w:val="clear" w:color="auto" w:fill="FFFFFF"/>
        </w:rPr>
        <w:t>自2017年10月1日起施行</w:t>
      </w:r>
      <w:r>
        <w:rPr>
          <w:rFonts w:hint="default" w:ascii="Times New Roman" w:hAnsi="Times New Roman" w:eastAsia="宋体" w:cs="Times New Roman"/>
          <w:color w:val="000000" w:themeColor="text1"/>
          <w:kern w:val="0"/>
          <w:sz w:val="24"/>
          <w:szCs w:val="24"/>
          <w:lang w:bidi="ar"/>
          <w14:textFill>
            <w14:solidFill>
              <w14:schemeClr w14:val="tx1"/>
            </w14:solidFill>
          </w14:textFill>
        </w:rPr>
        <w:t>）；</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（9）《建设项目环境影响评价分类管理名录》（部令第44号，2021年版）；</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（10）《关于进一步加强环境影响评价管理防范环境风险的通知》（环发〔2012〕77号）；</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（11）《关于切实加强风险防范严格环境影响评价管理的通知》（环发〔2012〕98号）；</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（12）《国家发展改革委关于修改&lt;产业结构调整指导目录（2019年本）&gt;的决定》（第49号令）；</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（13）《环境影响评价公众参与办法》（自2019年1月1日实施）；</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（14）《国家发展改革委工业和信息化部关于促进石化产业绿色发展的指导意见》（发改产业〔2017〕2105号）；</w:t>
      </w:r>
    </w:p>
    <w:p>
      <w:pPr>
        <w:widowControl/>
        <w:ind w:firstLine="480"/>
        <w:rPr>
          <w:rFonts w:cs="Times New Roman"/>
          <w:color w:val="000000" w:themeColor="text1"/>
          <w:kern w:val="0"/>
          <w:lang w:bidi="ar"/>
          <w14:textFill>
            <w14:solidFill>
              <w14:schemeClr w14:val="tx1"/>
            </w14:solidFill>
          </w14:textFill>
        </w:rPr>
      </w:pPr>
      <w:r>
        <w:rPr>
          <w:rFonts w:cs="Times New Roman"/>
          <w:color w:val="000000" w:themeColor="text1"/>
          <w:kern w:val="0"/>
          <w:lang w:bidi="ar"/>
          <w14:textFill>
            <w14:solidFill>
              <w14:schemeClr w14:val="tx1"/>
            </w14:solidFill>
          </w14:textFill>
        </w:rPr>
        <w:t>（15）《国家危险废物名录》（2021年版）。</w:t>
      </w:r>
    </w:p>
    <w:p>
      <w:pPr>
        <w:ind w:firstLine="480"/>
        <w:rPr>
          <w:rFonts w:cs="Times New Roman"/>
        </w:rPr>
      </w:pPr>
      <w:r>
        <w:rPr>
          <w:rFonts w:cs="Times New Roman"/>
        </w:rPr>
        <w:t>（16）《国务院关于印发大气污染防治行动计划的通知》（国发〔2013〕37号）；</w:t>
      </w:r>
    </w:p>
    <w:p>
      <w:pPr>
        <w:ind w:firstLine="480"/>
        <w:rPr>
          <w:rFonts w:cs="Times New Roman"/>
        </w:rPr>
      </w:pPr>
      <w:r>
        <w:rPr>
          <w:rFonts w:cs="Times New Roman"/>
        </w:rPr>
        <w:t>（17）《关于落实大气污染防治行动计划严格环境影响评价准入的通知》（环办〔2014〕30号）；</w:t>
      </w:r>
    </w:p>
    <w:p>
      <w:pPr>
        <w:ind w:firstLine="480"/>
        <w:rPr>
          <w:rFonts w:cs="Times New Roman"/>
        </w:rPr>
      </w:pPr>
      <w:r>
        <w:rPr>
          <w:rFonts w:cs="Times New Roman"/>
        </w:rPr>
        <w:t>（18）《国务院关于印发土壤污染防治行动计划的通知》（国发〔2016〕31号）；</w:t>
      </w:r>
    </w:p>
    <w:p>
      <w:pPr>
        <w:ind w:firstLine="480"/>
        <w:rPr>
          <w:rFonts w:cs="Times New Roman"/>
        </w:rPr>
      </w:pPr>
      <w:r>
        <w:rPr>
          <w:rFonts w:cs="Times New Roman"/>
        </w:rPr>
        <w:t>（19）《国务院关于印发水污染防治行动计划的通知》（国发〔2015〕17号）；</w:t>
      </w:r>
    </w:p>
    <w:p>
      <w:pPr>
        <w:ind w:firstLine="480"/>
        <w:rPr>
          <w:rFonts w:cs="Times New Roman"/>
        </w:rPr>
      </w:pPr>
      <w:r>
        <w:rPr>
          <w:rFonts w:cs="Times New Roman"/>
        </w:rPr>
        <w:t>（20）《国务院办公厅关于印发控制污染物排放许可制实施方案的通知》，国发〔2016〕81号；</w:t>
      </w:r>
    </w:p>
    <w:p>
      <w:pPr>
        <w:ind w:firstLine="480"/>
        <w:rPr>
          <w:rFonts w:cs="Times New Roman"/>
        </w:rPr>
      </w:pPr>
      <w:r>
        <w:rPr>
          <w:rFonts w:cs="Times New Roman"/>
        </w:rPr>
        <w:t>（21）《排污许可管理办法（试行）》，部令第48号，2018年1月10日实施；</w:t>
      </w:r>
    </w:p>
    <w:p>
      <w:pPr>
        <w:pStyle w:val="7"/>
        <w:ind w:firstLine="562"/>
        <w:rPr>
          <w:color w:val="000000" w:themeColor="text1"/>
          <w14:textFill>
            <w14:solidFill>
              <w14:schemeClr w14:val="tx1"/>
            </w14:solidFill>
          </w14:textFill>
        </w:rPr>
      </w:pPr>
      <w:r>
        <w:rPr>
          <w:color w:val="000000" w:themeColor="text1"/>
          <w14:textFill>
            <w14:solidFill>
              <w14:schemeClr w14:val="tx1"/>
            </w14:solidFill>
          </w14:textFill>
        </w:rPr>
        <w:t xml:space="preserve">2.1.2 </w:t>
      </w:r>
      <w:r>
        <w:rPr>
          <w:rFonts w:hint="eastAsia"/>
          <w:color w:val="000000" w:themeColor="text1"/>
          <w14:textFill>
            <w14:solidFill>
              <w14:schemeClr w14:val="tx1"/>
            </w14:solidFill>
          </w14:textFill>
        </w:rPr>
        <w:t>地方性法规</w:t>
      </w:r>
    </w:p>
    <w:p>
      <w:pPr>
        <w:widowControl/>
        <w:ind w:firstLine="480"/>
        <w:rPr>
          <w:rFonts w:cs="Times New Roman"/>
          <w:color w:val="000000" w:themeColor="text1"/>
          <w:kern w:val="0"/>
          <w:lang w:bidi="ar"/>
          <w14:textFill>
            <w14:solidFill>
              <w14:schemeClr w14:val="tx1"/>
            </w14:solidFill>
          </w14:textFill>
        </w:rPr>
      </w:pPr>
      <w:r>
        <w:rPr>
          <w:rFonts w:cs="Times New Roman"/>
          <w:color w:val="000000" w:themeColor="text1"/>
          <w:kern w:val="0"/>
          <w:lang w:bidi="ar"/>
          <w14:textFill>
            <w14:solidFill>
              <w14:schemeClr w14:val="tx1"/>
            </w14:solidFill>
          </w14:textFill>
        </w:rPr>
        <w:t>（1）《河南省建设项目环境保护管理条例》（2018年9月29日）；</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（2）《河南省大气污染防治条例》（20</w:t>
      </w:r>
      <w:r>
        <w:rPr>
          <w:rFonts w:hint="eastAsia" w:cs="Times New Roman"/>
          <w:color w:val="000000" w:themeColor="text1"/>
          <w:kern w:val="0"/>
          <w:lang w:val="en-US" w:eastAsia="zh-CN" w:bidi="ar"/>
          <w14:textFill>
            <w14:solidFill>
              <w14:schemeClr w14:val="tx1"/>
            </w14:solidFill>
          </w14:textFill>
        </w:rPr>
        <w:t>21</w:t>
      </w:r>
      <w:r>
        <w:rPr>
          <w:rFonts w:cs="Times New Roman"/>
          <w:color w:val="000000" w:themeColor="text1"/>
          <w:kern w:val="0"/>
          <w:lang w:bidi="ar"/>
          <w14:textFill>
            <w14:solidFill>
              <w14:schemeClr w14:val="tx1"/>
            </w14:solidFill>
          </w14:textFill>
        </w:rPr>
        <w:t>年</w:t>
      </w:r>
      <w:r>
        <w:rPr>
          <w:rFonts w:hint="eastAsia" w:cs="Times New Roman"/>
          <w:color w:val="000000" w:themeColor="text1"/>
          <w:kern w:val="0"/>
          <w:lang w:eastAsia="zh-CN" w:bidi="ar"/>
          <w14:textFill>
            <w14:solidFill>
              <w14:schemeClr w14:val="tx1"/>
            </w14:solidFill>
          </w14:textFill>
        </w:rPr>
        <w:t>修订本</w:t>
      </w:r>
      <w:r>
        <w:rPr>
          <w:rFonts w:cs="Times New Roman"/>
          <w:color w:val="000000" w:themeColor="text1"/>
          <w:kern w:val="0"/>
          <w:lang w:bidi="ar"/>
          <w14:textFill>
            <w14:solidFill>
              <w14:schemeClr w14:val="tx1"/>
            </w14:solidFill>
          </w14:textFill>
        </w:rPr>
        <w:t>）；</w:t>
      </w:r>
    </w:p>
    <w:p>
      <w:pPr>
        <w:widowControl/>
        <w:ind w:firstLine="480"/>
        <w:rPr>
          <w:rFonts w:ascii="Times New Roman" w:hAnsi="Times New Roman" w:eastAsia="宋体" w:cs="Times New Roman"/>
          <w:color w:val="000000" w:themeColor="text1"/>
          <w:kern w:val="0"/>
          <w:lang w:bidi="ar"/>
          <w14:textFill>
            <w14:solidFill>
              <w14:schemeClr w14:val="tx1"/>
            </w14:solidFill>
          </w14:textFill>
        </w:rPr>
      </w:pPr>
      <w:r>
        <w:rPr>
          <w:rFonts w:ascii="Times New Roman" w:hAnsi="Times New Roman" w:eastAsia="宋体" w:cs="Times New Roman"/>
          <w:color w:val="000000" w:themeColor="text1"/>
          <w:kern w:val="0"/>
          <w:lang w:bidi="ar"/>
          <w14:textFill>
            <w14:solidFill>
              <w14:schemeClr w14:val="tx1"/>
            </w14:solidFill>
          </w14:textFill>
        </w:rPr>
        <w:t>（3）《河南省水污染防治条例》（自2019年10月1日起施行）；</w:t>
      </w:r>
    </w:p>
    <w:p>
      <w:pPr>
        <w:widowControl/>
        <w:ind w:firstLine="480"/>
        <w:rPr>
          <w:rFonts w:ascii="Times New Roman" w:hAnsi="Times New Roman" w:eastAsia="宋体" w:cs="Times New Roman"/>
          <w:color w:val="000000" w:themeColor="text1"/>
          <w:kern w:val="0"/>
          <w:lang w:bidi="ar"/>
          <w14:textFill>
            <w14:solidFill>
              <w14:schemeClr w14:val="tx1"/>
            </w14:solidFill>
          </w14:textFill>
        </w:rPr>
      </w:pPr>
      <w:r>
        <w:rPr>
          <w:rFonts w:ascii="Times New Roman" w:hAnsi="Times New Roman" w:eastAsia="宋体" w:cs="Times New Roman"/>
          <w:color w:val="000000" w:themeColor="text1"/>
          <w:kern w:val="0"/>
          <w:lang w:bidi="ar"/>
          <w14:textFill>
            <w14:solidFill>
              <w14:schemeClr w14:val="tx1"/>
            </w14:solidFill>
          </w14:textFill>
        </w:rPr>
        <w:t>（4）《河南省固体废物污染环境防治条例》（自2012年1月1日起施行）；</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5</w:t>
      </w:r>
      <w:r>
        <w:rPr>
          <w:rFonts w:cs="Times New Roman"/>
          <w:color w:val="000000" w:themeColor="text1"/>
          <w:kern w:val="0"/>
          <w:lang w:bidi="ar"/>
          <w14:textFill>
            <w14:solidFill>
              <w14:schemeClr w14:val="tx1"/>
            </w14:solidFill>
          </w14:textFill>
        </w:rPr>
        <w:t>）《河南省环境保护厅关于印发深化建设项目环境影响评价审批制度改革实施意见的通知》（豫环文</w:t>
      </w:r>
      <w:r>
        <w:rPr>
          <w:rFonts w:hint="eastAsia" w:ascii="宋体" w:hAnsi="宋体" w:cs="宋体"/>
          <w:color w:val="000000" w:themeColor="text1"/>
          <w:kern w:val="0"/>
          <w:lang w:bidi="ar"/>
          <w14:textFill>
            <w14:solidFill>
              <w14:schemeClr w14:val="tx1"/>
            </w14:solidFill>
          </w14:textFill>
        </w:rPr>
        <w:t>〔</w:t>
      </w:r>
      <w:r>
        <w:rPr>
          <w:rFonts w:cs="Times New Roman"/>
          <w:color w:val="000000" w:themeColor="text1"/>
          <w:kern w:val="0"/>
          <w:lang w:bidi="ar"/>
          <w14:textFill>
            <w14:solidFill>
              <w14:schemeClr w14:val="tx1"/>
            </w14:solidFill>
          </w14:textFill>
        </w:rPr>
        <w:t>2015</w:t>
      </w:r>
      <w:r>
        <w:rPr>
          <w:rFonts w:hint="eastAsia" w:ascii="宋体" w:hAnsi="宋体" w:cs="宋体"/>
          <w:color w:val="000000" w:themeColor="text1"/>
          <w:kern w:val="0"/>
          <w:lang w:bidi="ar"/>
          <w14:textFill>
            <w14:solidFill>
              <w14:schemeClr w14:val="tx1"/>
            </w14:solidFill>
          </w14:textFill>
        </w:rPr>
        <w:t>〕</w:t>
      </w:r>
      <w:r>
        <w:rPr>
          <w:rFonts w:cs="Times New Roman"/>
          <w:color w:val="000000" w:themeColor="text1"/>
          <w:kern w:val="0"/>
          <w:lang w:bidi="ar"/>
          <w14:textFill>
            <w14:solidFill>
              <w14:schemeClr w14:val="tx1"/>
            </w14:solidFill>
          </w14:textFill>
        </w:rPr>
        <w:t>33号）；</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6</w:t>
      </w:r>
      <w:r>
        <w:rPr>
          <w:rFonts w:cs="Times New Roman"/>
          <w:color w:val="000000" w:themeColor="text1"/>
          <w:kern w:val="0"/>
          <w:lang w:bidi="ar"/>
          <w14:textFill>
            <w14:solidFill>
              <w14:schemeClr w14:val="tx1"/>
            </w14:solidFill>
          </w14:textFill>
        </w:rPr>
        <w:t>）《河南省生态环境厅审批环境影响评价文件的建设项目目录（2019年本）》（河南省环保厅公告2019年第6号，2019年5月27日起施行）；</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7</w:t>
      </w:r>
      <w:r>
        <w:rPr>
          <w:rFonts w:cs="Times New Roman"/>
          <w:color w:val="000000" w:themeColor="text1"/>
          <w:kern w:val="0"/>
          <w:lang w:bidi="ar"/>
          <w14:textFill>
            <w14:solidFill>
              <w14:schemeClr w14:val="tx1"/>
            </w14:solidFill>
          </w14:textFill>
        </w:rPr>
        <w:t>）《河南省生态环境厅下放环境影响评价文件审批权限的建设项目目录》（2019年8月29日）</w:t>
      </w:r>
      <w:r>
        <w:rPr>
          <w:rFonts w:hint="eastAsia" w:cs="Times New Roman"/>
          <w:color w:val="000000" w:themeColor="text1"/>
          <w:kern w:val="0"/>
          <w:lang w:bidi="ar"/>
          <w14:textFill>
            <w14:solidFill>
              <w14:schemeClr w14:val="tx1"/>
            </w14:solidFill>
          </w14:textFill>
        </w:rPr>
        <w:t>；</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8</w:t>
      </w:r>
      <w:r>
        <w:rPr>
          <w:rFonts w:cs="Times New Roman"/>
          <w:color w:val="000000" w:themeColor="text1"/>
          <w:kern w:val="0"/>
          <w:lang w:bidi="ar"/>
          <w14:textFill>
            <w14:solidFill>
              <w14:schemeClr w14:val="tx1"/>
            </w14:solidFill>
          </w14:textFill>
        </w:rPr>
        <w:t>）《河南省环境保护厅关于加强环评管理防范环境风险的通知》（豫环文〔2012〕159号）；</w:t>
      </w:r>
    </w:p>
    <w:p>
      <w:pPr>
        <w:widowControl/>
        <w:ind w:firstLine="480"/>
        <w:rPr>
          <w:rFonts w:cs="Times New Roman"/>
          <w:color w:val="000000" w:themeColor="text1"/>
          <w:u w:val="single"/>
          <w14:textFill>
            <w14:solidFill>
              <w14:schemeClr w14:val="tx1"/>
            </w14:solidFill>
          </w14:textFill>
        </w:rPr>
      </w:pPr>
      <w:r>
        <w:rPr>
          <w:rFonts w:cs="Times New Roman"/>
          <w:color w:val="000000" w:themeColor="text1"/>
          <w:kern w:val="0"/>
          <w:u w:val="single"/>
          <w:lang w:bidi="ar"/>
          <w14:textFill>
            <w14:solidFill>
              <w14:schemeClr w14:val="tx1"/>
            </w14:solidFill>
          </w14:textFill>
        </w:rPr>
        <w:t>（</w:t>
      </w:r>
      <w:r>
        <w:rPr>
          <w:rFonts w:hint="eastAsia" w:cs="Times New Roman"/>
          <w:color w:val="000000" w:themeColor="text1"/>
          <w:kern w:val="0"/>
          <w:u w:val="single"/>
          <w:lang w:bidi="ar"/>
          <w14:textFill>
            <w14:solidFill>
              <w14:schemeClr w14:val="tx1"/>
            </w14:solidFill>
          </w14:textFill>
        </w:rPr>
        <w:t>9</w:t>
      </w:r>
      <w:r>
        <w:rPr>
          <w:rFonts w:cs="Times New Roman"/>
          <w:color w:val="000000" w:themeColor="text1"/>
          <w:kern w:val="0"/>
          <w:u w:val="single"/>
          <w:lang w:bidi="ar"/>
          <w14:textFill>
            <w14:solidFill>
              <w14:schemeClr w14:val="tx1"/>
            </w14:solidFill>
          </w14:textFill>
        </w:rPr>
        <w:t>）《河南省2022年大气、水、土壤污染防治攻坚战及农业农村污染治理攻坚战实施方案》（豫环委办〔2022〕9号）；</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10</w:t>
      </w:r>
      <w:r>
        <w:rPr>
          <w:rFonts w:cs="Times New Roman"/>
          <w:color w:val="000000" w:themeColor="text1"/>
          <w:kern w:val="0"/>
          <w:lang w:bidi="ar"/>
          <w14:textFill>
            <w14:solidFill>
              <w14:schemeClr w14:val="tx1"/>
            </w14:solidFill>
          </w14:textFill>
        </w:rPr>
        <w:t>）《河南省生态环境厅关于印发河南省工业大气污染防治6个专项方案的通知》（豫环文</w:t>
      </w:r>
      <w:r>
        <w:rPr>
          <w:rFonts w:hint="eastAsia" w:ascii="宋体" w:hAnsi="宋体" w:cs="宋体"/>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2</w:t>
      </w:r>
      <w:r>
        <w:rPr>
          <w:rFonts w:cs="Times New Roman"/>
          <w:color w:val="000000" w:themeColor="text1"/>
          <w:kern w:val="0"/>
          <w:lang w:bidi="ar"/>
          <w14:textFill>
            <w14:solidFill>
              <w14:schemeClr w14:val="tx1"/>
            </w14:solidFill>
          </w14:textFill>
        </w:rPr>
        <w:t>019</w:t>
      </w:r>
      <w:r>
        <w:rPr>
          <w:rFonts w:hint="eastAsia" w:ascii="宋体" w:hAnsi="宋体" w:cs="宋体"/>
          <w:color w:val="000000" w:themeColor="text1"/>
          <w:kern w:val="0"/>
          <w:lang w:bidi="ar"/>
          <w14:textFill>
            <w14:solidFill>
              <w14:schemeClr w14:val="tx1"/>
            </w14:solidFill>
          </w14:textFill>
        </w:rPr>
        <w:t>〕</w:t>
      </w:r>
      <w:r>
        <w:rPr>
          <w:rFonts w:cs="Times New Roman"/>
          <w:color w:val="000000" w:themeColor="text1"/>
          <w:kern w:val="0"/>
          <w:lang w:bidi="ar"/>
          <w14:textFill>
            <w14:solidFill>
              <w14:schemeClr w14:val="tx1"/>
            </w14:solidFill>
          </w14:textFill>
        </w:rPr>
        <w:t>84号）；</w:t>
      </w:r>
    </w:p>
    <w:p>
      <w:pPr>
        <w:widowControl/>
        <w:ind w:firstLine="480"/>
        <w:rPr>
          <w:rFonts w:cs="Times New Roman"/>
          <w:color w:val="000000" w:themeColor="text1"/>
          <w:u w:val="single"/>
          <w14:textFill>
            <w14:solidFill>
              <w14:schemeClr w14:val="tx1"/>
            </w14:solidFill>
          </w14:textFill>
        </w:rPr>
      </w:pPr>
      <w:r>
        <w:rPr>
          <w:rFonts w:cs="Times New Roman"/>
          <w:color w:val="000000" w:themeColor="text1"/>
          <w:kern w:val="0"/>
          <w:u w:val="single"/>
          <w:lang w:bidi="ar"/>
          <w14:textFill>
            <w14:solidFill>
              <w14:schemeClr w14:val="tx1"/>
            </w14:solidFill>
          </w14:textFill>
        </w:rPr>
        <w:t>（</w:t>
      </w:r>
      <w:r>
        <w:rPr>
          <w:rFonts w:hint="eastAsia" w:cs="Times New Roman"/>
          <w:color w:val="000000" w:themeColor="text1"/>
          <w:kern w:val="0"/>
          <w:u w:val="single"/>
          <w:lang w:bidi="ar"/>
          <w14:textFill>
            <w14:solidFill>
              <w14:schemeClr w14:val="tx1"/>
            </w14:solidFill>
          </w14:textFill>
        </w:rPr>
        <w:t>11</w:t>
      </w:r>
      <w:r>
        <w:rPr>
          <w:rFonts w:cs="Times New Roman"/>
          <w:color w:val="000000" w:themeColor="text1"/>
          <w:kern w:val="0"/>
          <w:u w:val="single"/>
          <w:lang w:bidi="ar"/>
          <w14:textFill>
            <w14:solidFill>
              <w14:schemeClr w14:val="tx1"/>
            </w14:solidFill>
          </w14:textFill>
        </w:rPr>
        <w:t>）</w:t>
      </w:r>
      <w:r>
        <w:rPr>
          <w:rFonts w:cs="Times New Roman"/>
          <w:color w:val="000000" w:themeColor="text1"/>
          <w:u w:val="single"/>
          <w14:textFill>
            <w14:solidFill>
              <w14:schemeClr w14:val="tx1"/>
            </w14:solidFill>
          </w14:textFill>
        </w:rPr>
        <w:t>《平顶山市202</w:t>
      </w:r>
      <w:r>
        <w:rPr>
          <w:rFonts w:hint="eastAsia" w:cs="Times New Roman"/>
          <w:color w:val="000000" w:themeColor="text1"/>
          <w:u w:val="single"/>
          <w14:textFill>
            <w14:solidFill>
              <w14:schemeClr w14:val="tx1"/>
            </w14:solidFill>
          </w14:textFill>
        </w:rPr>
        <w:t>2</w:t>
      </w:r>
      <w:r>
        <w:rPr>
          <w:rFonts w:cs="Times New Roman"/>
          <w:color w:val="000000" w:themeColor="text1"/>
          <w:u w:val="single"/>
          <w14:textFill>
            <w14:solidFill>
              <w14:schemeClr w14:val="tx1"/>
            </w14:solidFill>
          </w14:textFill>
        </w:rPr>
        <w:t>年大气</w:t>
      </w:r>
      <w:r>
        <w:rPr>
          <w:rFonts w:hint="eastAsia" w:cs="Times New Roman"/>
          <w:color w:val="000000" w:themeColor="text1"/>
          <w:u w:val="single"/>
          <w14:textFill>
            <w14:solidFill>
              <w14:schemeClr w14:val="tx1"/>
            </w14:solidFill>
          </w14:textFill>
        </w:rPr>
        <w:t>、水、土壤</w:t>
      </w:r>
      <w:r>
        <w:rPr>
          <w:rFonts w:cs="Times New Roman"/>
          <w:color w:val="000000" w:themeColor="text1"/>
          <w:u w:val="single"/>
          <w14:textFill>
            <w14:solidFill>
              <w14:schemeClr w14:val="tx1"/>
            </w14:solidFill>
          </w14:textFill>
        </w:rPr>
        <w:t>污染防治攻坚战</w:t>
      </w:r>
      <w:r>
        <w:rPr>
          <w:rFonts w:hint="eastAsia" w:cs="Times New Roman"/>
          <w:color w:val="000000" w:themeColor="text1"/>
          <w:kern w:val="0"/>
          <w:u w:val="single"/>
          <w:lang w:bidi="ar"/>
          <w14:textFill>
            <w14:solidFill>
              <w14:schemeClr w14:val="tx1"/>
            </w14:solidFill>
          </w14:textFill>
        </w:rPr>
        <w:t>及农村农业污染治理攻坚战</w:t>
      </w:r>
      <w:r>
        <w:rPr>
          <w:rFonts w:cs="Times New Roman"/>
          <w:color w:val="000000" w:themeColor="text1"/>
          <w:u w:val="single"/>
          <w14:textFill>
            <w14:solidFill>
              <w14:schemeClr w14:val="tx1"/>
            </w14:solidFill>
          </w14:textFill>
        </w:rPr>
        <w:t>实施方案》（平</w:t>
      </w:r>
      <w:r>
        <w:rPr>
          <w:rFonts w:hint="eastAsia" w:cs="Times New Roman"/>
          <w:color w:val="000000" w:themeColor="text1"/>
          <w:u w:val="single"/>
          <w14:textFill>
            <w14:solidFill>
              <w14:schemeClr w14:val="tx1"/>
            </w14:solidFill>
          </w14:textFill>
        </w:rPr>
        <w:t>环委办</w:t>
      </w:r>
      <w:r>
        <w:rPr>
          <w:rFonts w:cs="Times New Roman"/>
          <w:color w:val="000000" w:themeColor="text1"/>
          <w:u w:val="single"/>
          <w14:textFill>
            <w14:solidFill>
              <w14:schemeClr w14:val="tx1"/>
            </w14:solidFill>
          </w14:textFill>
        </w:rPr>
        <w:t>〔202</w:t>
      </w:r>
      <w:r>
        <w:rPr>
          <w:rFonts w:hint="eastAsia" w:cs="Times New Roman"/>
          <w:color w:val="000000" w:themeColor="text1"/>
          <w:u w:val="single"/>
          <w14:textFill>
            <w14:solidFill>
              <w14:schemeClr w14:val="tx1"/>
            </w14:solidFill>
          </w14:textFill>
        </w:rPr>
        <w:t>2</w:t>
      </w:r>
      <w:r>
        <w:rPr>
          <w:rFonts w:cs="Times New Roman"/>
          <w:color w:val="000000" w:themeColor="text1"/>
          <w:u w:val="single"/>
          <w14:textFill>
            <w14:solidFill>
              <w14:schemeClr w14:val="tx1"/>
            </w14:solidFill>
          </w14:textFill>
        </w:rPr>
        <w:t>〕</w:t>
      </w:r>
      <w:r>
        <w:rPr>
          <w:rFonts w:hint="eastAsia" w:cs="Times New Roman"/>
          <w:color w:val="000000" w:themeColor="text1"/>
          <w:u w:val="single"/>
          <w14:textFill>
            <w14:solidFill>
              <w14:schemeClr w14:val="tx1"/>
            </w14:solidFill>
          </w14:textFill>
        </w:rPr>
        <w:t>19</w:t>
      </w:r>
      <w:r>
        <w:rPr>
          <w:rFonts w:cs="Times New Roman"/>
          <w:color w:val="000000" w:themeColor="text1"/>
          <w:u w:val="single"/>
          <w14:textFill>
            <w14:solidFill>
              <w14:schemeClr w14:val="tx1"/>
            </w14:solidFill>
          </w14:textFill>
        </w:rPr>
        <w:t>号</w:t>
      </w:r>
      <w:r>
        <w:rPr>
          <w:rFonts w:hint="eastAsia" w:cs="Times New Roman"/>
          <w:color w:val="000000" w:themeColor="text1"/>
          <w:u w:val="single"/>
          <w14:textFill>
            <w14:solidFill>
              <w14:schemeClr w14:val="tx1"/>
            </w14:solidFill>
          </w14:textFill>
        </w:rPr>
        <w:t>）</w:t>
      </w:r>
      <w:r>
        <w:rPr>
          <w:rFonts w:cs="Times New Roman"/>
          <w:color w:val="000000" w:themeColor="text1"/>
          <w:kern w:val="0"/>
          <w:u w:val="single"/>
          <w:lang w:bidi="ar"/>
          <w14:textFill>
            <w14:solidFill>
              <w14:schemeClr w14:val="tx1"/>
            </w14:solidFill>
          </w14:textFill>
        </w:rPr>
        <w:t>；</w:t>
      </w:r>
    </w:p>
    <w:p>
      <w:pPr>
        <w:widowControl/>
        <w:ind w:firstLine="480"/>
        <w:rPr>
          <w:rFonts w:cs="Times New Roman"/>
          <w:color w:val="000000" w:themeColor="text1"/>
          <w:kern w:val="0"/>
          <w:lang w:bidi="ar"/>
          <w14:textFill>
            <w14:solidFill>
              <w14:schemeClr w14:val="tx1"/>
            </w14:solidFill>
          </w14:textFill>
        </w:rPr>
      </w:pPr>
      <w:r>
        <w:rPr>
          <w:rFonts w:cs="Times New Roman"/>
          <w:color w:val="000000" w:themeColor="text1"/>
          <w:kern w:val="0"/>
          <w:lang w:bidi="ar"/>
          <w14:textFill>
            <w14:solidFill>
              <w14:schemeClr w14:val="tx1"/>
            </w14:solidFill>
          </w14:textFill>
        </w:rPr>
        <w:t>（1</w:t>
      </w:r>
      <w:r>
        <w:rPr>
          <w:rFonts w:hint="eastAsia" w:cs="Times New Roman"/>
          <w:color w:val="000000" w:themeColor="text1"/>
          <w:kern w:val="0"/>
          <w:lang w:bidi="ar"/>
          <w14:textFill>
            <w14:solidFill>
              <w14:schemeClr w14:val="tx1"/>
            </w14:solidFill>
          </w14:textFill>
        </w:rPr>
        <w:t>2</w:t>
      </w:r>
      <w:r>
        <w:rPr>
          <w:rFonts w:cs="Times New Roman"/>
          <w:color w:val="000000" w:themeColor="text1"/>
          <w:kern w:val="0"/>
          <w:lang w:bidi="ar"/>
          <w14:textFill>
            <w14:solidFill>
              <w14:schemeClr w14:val="tx1"/>
            </w14:solidFill>
          </w14:textFill>
        </w:rPr>
        <w:t>）《河南省人民政府办公厅关于印发河南省城市集中式饮用水源保护区划的通知》（豫政办〔2007〕125号）</w:t>
      </w:r>
      <w:r>
        <w:rPr>
          <w:rFonts w:hint="eastAsia" w:cs="Times New Roman"/>
          <w:color w:val="000000" w:themeColor="text1"/>
          <w:kern w:val="0"/>
          <w:lang w:bidi="ar"/>
          <w14:textFill>
            <w14:solidFill>
              <w14:schemeClr w14:val="tx1"/>
            </w14:solidFill>
          </w14:textFill>
        </w:rPr>
        <w:t>；</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13</w:t>
      </w:r>
      <w:r>
        <w:rPr>
          <w:rFonts w:cs="Times New Roman"/>
          <w:color w:val="000000" w:themeColor="text1"/>
          <w:kern w:val="0"/>
          <w:lang w:bidi="ar"/>
          <w14:textFill>
            <w14:solidFill>
              <w14:schemeClr w14:val="tx1"/>
            </w14:solidFill>
          </w14:textFill>
        </w:rPr>
        <w:t>）《河南省人民政府办公厅关于印发河南省县级集中式饮用水源保护区划的通知》（豫政办〔2013〕107号）；</w:t>
      </w:r>
    </w:p>
    <w:p>
      <w:pPr>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14</w:t>
      </w:r>
      <w:r>
        <w:rPr>
          <w:rFonts w:cs="Times New Roman"/>
          <w:color w:val="000000" w:themeColor="text1"/>
          <w:kern w:val="0"/>
          <w:lang w:bidi="ar"/>
          <w14:textFill>
            <w14:solidFill>
              <w14:schemeClr w14:val="tx1"/>
            </w14:solidFill>
          </w14:textFill>
        </w:rPr>
        <w:t>）《河南省人民政府办公厅关于印发河南省乡镇集中式饮用水源保护区划的通知》（豫政办〔2016〕23号）；</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15</w:t>
      </w:r>
      <w:r>
        <w:rPr>
          <w:rFonts w:cs="Times New Roman"/>
          <w:color w:val="000000" w:themeColor="text1"/>
          <w:kern w:val="0"/>
          <w:lang w:bidi="ar"/>
          <w14:textFill>
            <w14:solidFill>
              <w14:schemeClr w14:val="tx1"/>
            </w14:solidFill>
          </w14:textFill>
        </w:rPr>
        <w:t>）《平顶山市环境保护局关于平顶山市深化建设项目环境影响评价审批制度改革实施细则》的通知（平环〔2016〕38号）；</w:t>
      </w:r>
    </w:p>
    <w:p>
      <w:pPr>
        <w:widowControl/>
        <w:ind w:firstLine="480"/>
        <w:rPr>
          <w:rFonts w:cs="Times New Roman"/>
          <w:color w:val="000000" w:themeColor="text1"/>
          <w:kern w:val="0"/>
          <w:lang w:bidi="ar"/>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16</w:t>
      </w:r>
      <w:r>
        <w:rPr>
          <w:rFonts w:cs="Times New Roman"/>
          <w:color w:val="000000" w:themeColor="text1"/>
          <w:kern w:val="0"/>
          <w:lang w:bidi="ar"/>
          <w14:textFill>
            <w14:solidFill>
              <w14:schemeClr w14:val="tx1"/>
            </w14:solidFill>
          </w14:textFill>
        </w:rPr>
        <w:t>）《平顶山市环境保护局关于调整建设项目环境影响评价审批权限的通知》，2019年6月4日实施；</w:t>
      </w:r>
    </w:p>
    <w:p>
      <w:pPr>
        <w:widowControl/>
        <w:ind w:firstLine="480"/>
        <w:rPr>
          <w:rFonts w:cs="Times New Roman"/>
          <w:color w:val="000000" w:themeColor="text1"/>
          <w:kern w:val="0"/>
          <w:lang w:bidi="ar"/>
          <w14:textFill>
            <w14:solidFill>
              <w14:schemeClr w14:val="tx1"/>
            </w14:solidFill>
          </w14:textFill>
        </w:rPr>
      </w:pPr>
      <w:bookmarkStart w:id="30" w:name="_Toc44493931"/>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17</w:t>
      </w:r>
      <w:r>
        <w:rPr>
          <w:rFonts w:cs="Times New Roman"/>
          <w:color w:val="000000" w:themeColor="text1"/>
          <w:kern w:val="0"/>
          <w:lang w:bidi="ar"/>
          <w14:textFill>
            <w14:solidFill>
              <w14:schemeClr w14:val="tx1"/>
            </w14:solidFill>
          </w14:textFill>
        </w:rPr>
        <w:t>）《重污染天气重点行业应急减排措施制定</w:t>
      </w:r>
      <w:bookmarkEnd w:id="30"/>
      <w:bookmarkStart w:id="31" w:name="_Toc44493932"/>
      <w:r>
        <w:rPr>
          <w:rFonts w:cs="Times New Roman"/>
          <w:color w:val="000000" w:themeColor="text1"/>
          <w:kern w:val="0"/>
          <w:lang w:bidi="ar"/>
          <w14:textFill>
            <w14:solidFill>
              <w14:schemeClr w14:val="tx1"/>
            </w14:solidFill>
          </w14:textFill>
        </w:rPr>
        <w:t>技术指南</w:t>
      </w:r>
      <w:bookmarkEnd w:id="31"/>
      <w:r>
        <w:rPr>
          <w:rFonts w:hint="eastAsia" w:cs="Times New Roman"/>
          <w:color w:val="000000" w:themeColor="text1"/>
          <w:kern w:val="0"/>
          <w:lang w:bidi="ar"/>
          <w14:textFill>
            <w14:solidFill>
              <w14:schemeClr w14:val="tx1"/>
            </w14:solidFill>
          </w14:textFill>
        </w:rPr>
        <w:t>》</w:t>
      </w:r>
      <w:r>
        <w:rPr>
          <w:rFonts w:cs="Times New Roman"/>
          <w:color w:val="000000" w:themeColor="text1"/>
          <w:kern w:val="0"/>
          <w:lang w:bidi="ar"/>
          <w14:textFill>
            <w14:solidFill>
              <w14:schemeClr w14:val="tx1"/>
            </w14:solidFill>
          </w14:textFill>
        </w:rPr>
        <w:t>（2020年修订版）；</w:t>
      </w:r>
    </w:p>
    <w:p>
      <w:pPr>
        <w:widowControl/>
        <w:ind w:firstLine="480"/>
        <w:rPr>
          <w:rFonts w:cs="Times New Roman"/>
          <w:color w:val="000000" w:themeColor="text1"/>
          <w:kern w:val="0"/>
          <w:lang w:bidi="ar"/>
          <w14:textFill>
            <w14:solidFill>
              <w14:schemeClr w14:val="tx1"/>
            </w14:solidFill>
          </w14:textFill>
        </w:rPr>
      </w:pPr>
      <w:r>
        <w:rPr>
          <w:rFonts w:cs="Times New Roman"/>
          <w:color w:val="000000" w:themeColor="text1"/>
          <w:kern w:val="0"/>
          <w:lang w:bidi="ar"/>
          <w14:textFill>
            <w14:solidFill>
              <w14:schemeClr w14:val="tx1"/>
            </w14:solidFill>
          </w14:textFill>
        </w:rPr>
        <w:t>（</w:t>
      </w:r>
      <w:r>
        <w:rPr>
          <w:rFonts w:hint="eastAsia" w:cs="Times New Roman"/>
          <w:color w:val="000000" w:themeColor="text1"/>
          <w:kern w:val="0"/>
          <w:lang w:bidi="ar"/>
          <w14:textFill>
            <w14:solidFill>
              <w14:schemeClr w14:val="tx1"/>
            </w14:solidFill>
          </w14:textFill>
        </w:rPr>
        <w:t>18</w:t>
      </w:r>
      <w:r>
        <w:rPr>
          <w:rFonts w:cs="Times New Roman"/>
          <w:color w:val="000000" w:themeColor="text1"/>
          <w:kern w:val="0"/>
          <w:lang w:bidi="ar"/>
          <w14:textFill>
            <w14:solidFill>
              <w14:schemeClr w14:val="tx1"/>
            </w14:solidFill>
          </w14:textFill>
        </w:rPr>
        <w:t>）《河南省重污染天气重点行业应急减排措施制定技术指南》（2021年修订版）；</w:t>
      </w:r>
    </w:p>
    <w:p>
      <w:pPr>
        <w:widowControl/>
        <w:ind w:firstLine="480"/>
        <w:rPr>
          <w:rFonts w:cs="Times New Roman"/>
          <w:color w:val="000000" w:themeColor="text1"/>
          <w:kern w:val="0"/>
          <w:u w:val="single"/>
          <w:lang w:bidi="ar"/>
          <w14:textFill>
            <w14:solidFill>
              <w14:schemeClr w14:val="tx1"/>
            </w14:solidFill>
          </w14:textFill>
        </w:rPr>
      </w:pPr>
      <w:r>
        <w:rPr>
          <w:rFonts w:cs="Times New Roman"/>
          <w:color w:val="000000" w:themeColor="text1"/>
          <w:kern w:val="0"/>
          <w:u w:val="single"/>
          <w:lang w:bidi="ar"/>
          <w14:textFill>
            <w14:solidFill>
              <w14:schemeClr w14:val="tx1"/>
            </w14:solidFill>
          </w14:textFill>
        </w:rPr>
        <w:t>（</w:t>
      </w:r>
      <w:r>
        <w:rPr>
          <w:rFonts w:hint="eastAsia" w:cs="Times New Roman"/>
          <w:color w:val="000000" w:themeColor="text1"/>
          <w:kern w:val="0"/>
          <w:u w:val="single"/>
          <w:lang w:bidi="ar"/>
          <w14:textFill>
            <w14:solidFill>
              <w14:schemeClr w14:val="tx1"/>
            </w14:solidFill>
          </w14:textFill>
        </w:rPr>
        <w:t>19</w:t>
      </w:r>
      <w:r>
        <w:rPr>
          <w:rFonts w:cs="Times New Roman"/>
          <w:color w:val="000000" w:themeColor="text1"/>
          <w:kern w:val="0"/>
          <w:u w:val="single"/>
          <w:lang w:bidi="ar"/>
          <w14:textFill>
            <w14:solidFill>
              <w14:schemeClr w14:val="tx1"/>
            </w14:solidFill>
          </w14:textFill>
        </w:rPr>
        <w:t>）</w:t>
      </w:r>
      <w:r>
        <w:rPr>
          <w:rFonts w:hint="eastAsia" w:cs="Times New Roman"/>
          <w:color w:val="000000" w:themeColor="text1"/>
          <w:kern w:val="0"/>
          <w:u w:val="single"/>
          <w:lang w:val="en-US" w:eastAsia="zh-CN" w:bidi="ar"/>
          <w14:textFill>
            <w14:solidFill>
              <w14:schemeClr w14:val="tx1"/>
            </w14:solidFill>
          </w14:textFill>
        </w:rPr>
        <w:t>《河南省</w:t>
      </w:r>
      <w:r>
        <w:rPr>
          <w:rFonts w:hint="default" w:cs="Times New Roman"/>
          <w:color w:val="000000" w:themeColor="text1"/>
          <w:kern w:val="0"/>
          <w:u w:val="single"/>
          <w:lang w:val="en-US" w:eastAsia="zh-CN" w:bidi="ar"/>
          <w14:textFill>
            <w14:solidFill>
              <w14:schemeClr w14:val="tx1"/>
            </w14:solidFill>
          </w14:textFill>
        </w:rPr>
        <w:t>2019</w:t>
      </w:r>
      <w:r>
        <w:rPr>
          <w:rFonts w:hint="eastAsia" w:cs="Times New Roman"/>
          <w:color w:val="000000" w:themeColor="text1"/>
          <w:kern w:val="0"/>
          <w:u w:val="single"/>
          <w:lang w:val="en-US" w:eastAsia="zh-CN" w:bidi="ar"/>
          <w14:textFill>
            <w14:solidFill>
              <w14:schemeClr w14:val="tx1"/>
            </w14:solidFill>
          </w14:textFill>
        </w:rPr>
        <w:t>年挥发性有机物治理方案》豫环文〔</w:t>
      </w:r>
      <w:r>
        <w:rPr>
          <w:rFonts w:hint="default" w:cs="Times New Roman"/>
          <w:color w:val="000000" w:themeColor="text1"/>
          <w:kern w:val="0"/>
          <w:u w:val="single"/>
          <w:lang w:val="en-US" w:eastAsia="zh-CN" w:bidi="ar"/>
          <w14:textFill>
            <w14:solidFill>
              <w14:schemeClr w14:val="tx1"/>
            </w14:solidFill>
          </w14:textFill>
        </w:rPr>
        <w:t>2019</w:t>
      </w:r>
      <w:r>
        <w:rPr>
          <w:rFonts w:hint="eastAsia" w:cs="Times New Roman"/>
          <w:color w:val="000000" w:themeColor="text1"/>
          <w:kern w:val="0"/>
          <w:u w:val="single"/>
          <w:lang w:val="en-US" w:eastAsia="zh-CN" w:bidi="ar"/>
          <w14:textFill>
            <w14:solidFill>
              <w14:schemeClr w14:val="tx1"/>
            </w14:solidFill>
          </w14:textFill>
        </w:rPr>
        <w:t>〕</w:t>
      </w:r>
      <w:r>
        <w:rPr>
          <w:rFonts w:hint="default" w:cs="Times New Roman"/>
          <w:color w:val="000000" w:themeColor="text1"/>
          <w:kern w:val="0"/>
          <w:u w:val="single"/>
          <w:lang w:val="en-US" w:eastAsia="zh-CN" w:bidi="ar"/>
          <w14:textFill>
            <w14:solidFill>
              <w14:schemeClr w14:val="tx1"/>
            </w14:solidFill>
          </w14:textFill>
        </w:rPr>
        <w:t>84</w:t>
      </w:r>
      <w:r>
        <w:rPr>
          <w:rFonts w:hint="eastAsia" w:cs="Times New Roman"/>
          <w:color w:val="000000" w:themeColor="text1"/>
          <w:kern w:val="0"/>
          <w:u w:val="single"/>
          <w:lang w:val="en-US" w:eastAsia="zh-CN" w:bidi="ar"/>
          <w14:textFill>
            <w14:solidFill>
              <w14:schemeClr w14:val="tx1"/>
            </w14:solidFill>
          </w14:textFill>
        </w:rPr>
        <w:t>号；</w:t>
      </w:r>
    </w:p>
    <w:p>
      <w:pPr>
        <w:widowControl/>
        <w:ind w:firstLine="480"/>
        <w:rPr>
          <w:rFonts w:hint="eastAsia" w:cs="Times New Roman"/>
          <w:color w:val="000000" w:themeColor="text1"/>
          <w:kern w:val="0"/>
          <w:u w:val="single"/>
          <w:lang w:val="en-US" w:eastAsia="zh-CN" w:bidi="ar"/>
          <w14:textFill>
            <w14:solidFill>
              <w14:schemeClr w14:val="tx1"/>
            </w14:solidFill>
          </w14:textFill>
        </w:rPr>
      </w:pPr>
      <w:r>
        <w:rPr>
          <w:rFonts w:hint="eastAsia" w:cs="Times New Roman"/>
          <w:color w:val="000000" w:themeColor="text1"/>
          <w:kern w:val="0"/>
          <w:u w:val="single"/>
          <w:lang w:val="en-US" w:eastAsia="zh-CN" w:bidi="ar"/>
          <w14:textFill>
            <w14:solidFill>
              <w14:schemeClr w14:val="tx1"/>
            </w14:solidFill>
          </w14:textFill>
        </w:rPr>
        <w:t>（20）《河南省挥发性有机物污染控制技术指南的通知》；</w:t>
      </w:r>
    </w:p>
    <w:p>
      <w:pPr>
        <w:widowControl/>
        <w:ind w:firstLine="480"/>
        <w:rPr>
          <w:rFonts w:cs="Times New Roman"/>
          <w:color w:val="000000" w:themeColor="text1"/>
          <w:kern w:val="0"/>
          <w:u w:val="single"/>
          <w:lang w:bidi="ar"/>
          <w14:textFill>
            <w14:solidFill>
              <w14:schemeClr w14:val="tx1"/>
            </w14:solidFill>
          </w14:textFill>
        </w:rPr>
      </w:pPr>
      <w:r>
        <w:rPr>
          <w:rFonts w:hint="eastAsia" w:cs="Times New Roman"/>
          <w:color w:val="000000" w:themeColor="text1"/>
          <w:kern w:val="0"/>
          <w:u w:val="single"/>
          <w:lang w:val="en-US" w:eastAsia="zh-CN" w:bidi="ar"/>
          <w14:textFill>
            <w14:solidFill>
              <w14:schemeClr w14:val="tx1"/>
            </w14:solidFill>
          </w14:textFill>
        </w:rPr>
        <w:t>（21）《河南省</w:t>
      </w:r>
      <w:r>
        <w:rPr>
          <w:rFonts w:hint="default" w:cs="Times New Roman"/>
          <w:color w:val="000000" w:themeColor="text1"/>
          <w:kern w:val="0"/>
          <w:u w:val="single"/>
          <w:lang w:val="en-US" w:eastAsia="zh-CN" w:bidi="ar"/>
          <w14:textFill>
            <w14:solidFill>
              <w14:schemeClr w14:val="tx1"/>
            </w14:solidFill>
          </w14:textFill>
        </w:rPr>
        <w:t>2021</w:t>
      </w:r>
      <w:r>
        <w:rPr>
          <w:rFonts w:hint="eastAsia" w:cs="Times New Roman"/>
          <w:color w:val="000000" w:themeColor="text1"/>
          <w:kern w:val="0"/>
          <w:u w:val="single"/>
          <w:lang w:val="en-US" w:eastAsia="zh-CN" w:bidi="ar"/>
          <w14:textFill>
            <w14:solidFill>
              <w14:schemeClr w14:val="tx1"/>
            </w14:solidFill>
          </w14:textFill>
        </w:rPr>
        <w:t>年工业企业大气污染物全面达标提升行动方案的通知》豫环文〔</w:t>
      </w:r>
      <w:r>
        <w:rPr>
          <w:rFonts w:hint="default" w:cs="Times New Roman"/>
          <w:color w:val="000000" w:themeColor="text1"/>
          <w:kern w:val="0"/>
          <w:u w:val="single"/>
          <w:lang w:val="en-US" w:eastAsia="zh-CN" w:bidi="ar"/>
          <w14:textFill>
            <w14:solidFill>
              <w14:schemeClr w14:val="tx1"/>
            </w14:solidFill>
          </w14:textFill>
        </w:rPr>
        <w:t>2021</w:t>
      </w:r>
      <w:r>
        <w:rPr>
          <w:rFonts w:hint="eastAsia" w:cs="Times New Roman"/>
          <w:color w:val="000000" w:themeColor="text1"/>
          <w:kern w:val="0"/>
          <w:u w:val="single"/>
          <w:lang w:val="en-US" w:eastAsia="zh-CN" w:bidi="ar"/>
          <w14:textFill>
            <w14:solidFill>
              <w14:schemeClr w14:val="tx1"/>
            </w14:solidFill>
          </w14:textFill>
        </w:rPr>
        <w:t>〕</w:t>
      </w:r>
      <w:r>
        <w:rPr>
          <w:rFonts w:hint="default" w:cs="Times New Roman"/>
          <w:color w:val="000000" w:themeColor="text1"/>
          <w:kern w:val="0"/>
          <w:u w:val="single"/>
          <w:lang w:val="en-US" w:eastAsia="zh-CN" w:bidi="ar"/>
          <w14:textFill>
            <w14:solidFill>
              <w14:schemeClr w14:val="tx1"/>
            </w14:solidFill>
          </w14:textFill>
        </w:rPr>
        <w:t>59</w:t>
      </w:r>
      <w:r>
        <w:rPr>
          <w:rFonts w:hint="eastAsia" w:cs="Times New Roman"/>
          <w:color w:val="000000" w:themeColor="text1"/>
          <w:kern w:val="0"/>
          <w:u w:val="single"/>
          <w:lang w:val="en-US" w:eastAsia="zh-CN" w:bidi="ar"/>
          <w14:textFill>
            <w14:solidFill>
              <w14:schemeClr w14:val="tx1"/>
            </w14:solidFill>
          </w14:textFill>
        </w:rPr>
        <w:t>号；</w:t>
      </w:r>
    </w:p>
    <w:p>
      <w:pPr>
        <w:widowControl/>
        <w:ind w:firstLine="480"/>
        <w:rPr>
          <w:rFonts w:hint="eastAsia" w:cs="Times New Roman"/>
          <w:color w:val="000000" w:themeColor="text1"/>
          <w:kern w:val="0"/>
          <w:u w:val="single"/>
          <w:lang w:val="en-US" w:eastAsia="zh-CN" w:bidi="ar"/>
          <w14:textFill>
            <w14:solidFill>
              <w14:schemeClr w14:val="tx1"/>
            </w14:solidFill>
          </w14:textFill>
        </w:rPr>
      </w:pPr>
      <w:r>
        <w:rPr>
          <w:rFonts w:hint="eastAsia" w:cs="Times New Roman"/>
          <w:color w:val="000000" w:themeColor="text1"/>
          <w:kern w:val="0"/>
          <w:u w:val="single"/>
          <w:lang w:val="en-US" w:eastAsia="zh-CN" w:bidi="ar"/>
          <w14:textFill>
            <w14:solidFill>
              <w14:schemeClr w14:val="tx1"/>
            </w14:solidFill>
          </w14:textFill>
        </w:rPr>
        <w:t>（22）河南省环境污染防治攻坚战领导小组办公室《关于全省开展工业企业挥发性有机物专项治理工作中排放建议值的通知》（豫环攻坚办〔2017〕162号）；</w:t>
      </w:r>
    </w:p>
    <w:p>
      <w:pPr>
        <w:widowControl/>
        <w:ind w:firstLine="480"/>
        <w:rPr>
          <w:rFonts w:cs="Times New Roman"/>
          <w:color w:val="000000" w:themeColor="text1"/>
          <w:kern w:val="0"/>
          <w:lang w:bidi="ar"/>
          <w14:textFill>
            <w14:solidFill>
              <w14:schemeClr w14:val="tx1"/>
            </w14:solidFill>
          </w14:textFill>
        </w:rPr>
      </w:pPr>
      <w:r>
        <w:rPr>
          <w:rFonts w:hint="eastAsia" w:cs="Times New Roman"/>
          <w:color w:val="000000" w:themeColor="text1"/>
          <w:kern w:val="0"/>
          <w:lang w:bidi="ar"/>
          <w14:textFill>
            <w14:solidFill>
              <w14:schemeClr w14:val="tx1"/>
            </w14:solidFill>
          </w14:textFill>
        </w:rPr>
        <w:t>（2</w:t>
      </w:r>
      <w:r>
        <w:rPr>
          <w:rFonts w:hint="eastAsia" w:cs="Times New Roman"/>
          <w:color w:val="000000" w:themeColor="text1"/>
          <w:kern w:val="0"/>
          <w:lang w:val="en-US" w:eastAsia="zh-CN" w:bidi="ar"/>
          <w14:textFill>
            <w14:solidFill>
              <w14:schemeClr w14:val="tx1"/>
            </w14:solidFill>
          </w14:textFill>
        </w:rPr>
        <w:t>3</w:t>
      </w:r>
      <w:r>
        <w:rPr>
          <w:rFonts w:hint="eastAsia" w:cs="Times New Roman"/>
          <w:color w:val="000000" w:themeColor="text1"/>
          <w:kern w:val="0"/>
          <w:lang w:bidi="ar"/>
          <w14:textFill>
            <w14:solidFill>
              <w14:schemeClr w14:val="tx1"/>
            </w14:solidFill>
          </w14:textFill>
        </w:rPr>
        <w:t>）</w:t>
      </w:r>
      <w:r>
        <w:rPr>
          <w:rFonts w:cs="Times New Roman"/>
          <w:color w:val="000000" w:themeColor="text1"/>
          <w:kern w:val="0"/>
          <w:lang w:bidi="ar"/>
          <w14:textFill>
            <w14:solidFill>
              <w14:schemeClr w14:val="tx1"/>
            </w14:solidFill>
          </w14:textFill>
        </w:rPr>
        <w:t>《平顶山市人民政府关于实施</w:t>
      </w:r>
      <w:r>
        <w:rPr>
          <w:rFonts w:hint="eastAsia" w:cs="Times New Roman"/>
          <w:color w:val="000000" w:themeColor="text1"/>
          <w:kern w:val="0"/>
          <w:lang w:eastAsia="zh-CN" w:bidi="ar"/>
          <w14:textFill>
            <w14:solidFill>
              <w14:schemeClr w14:val="tx1"/>
            </w14:solidFill>
          </w14:textFill>
        </w:rPr>
        <w:t>“</w:t>
      </w:r>
      <w:r>
        <w:rPr>
          <w:rFonts w:cs="Times New Roman"/>
          <w:color w:val="000000" w:themeColor="text1"/>
          <w:kern w:val="0"/>
          <w:lang w:bidi="ar"/>
          <w14:textFill>
            <w14:solidFill>
              <w14:schemeClr w14:val="tx1"/>
            </w14:solidFill>
          </w14:textFill>
        </w:rPr>
        <w:t>三线一单</w:t>
      </w:r>
      <w:r>
        <w:rPr>
          <w:rFonts w:hint="eastAsia" w:cs="Times New Roman"/>
          <w:color w:val="000000" w:themeColor="text1"/>
          <w:kern w:val="0"/>
          <w:lang w:eastAsia="zh-CN" w:bidi="ar"/>
          <w14:textFill>
            <w14:solidFill>
              <w14:schemeClr w14:val="tx1"/>
            </w14:solidFill>
          </w14:textFill>
        </w:rPr>
        <w:t>”</w:t>
      </w:r>
      <w:r>
        <w:rPr>
          <w:rFonts w:cs="Times New Roman"/>
          <w:color w:val="000000" w:themeColor="text1"/>
          <w:kern w:val="0"/>
          <w:lang w:bidi="ar"/>
          <w14:textFill>
            <w14:solidFill>
              <w14:schemeClr w14:val="tx1"/>
            </w14:solidFill>
          </w14:textFill>
        </w:rPr>
        <w:t>生态环境分区管控的意见》</w:t>
      </w:r>
      <w:r>
        <w:rPr>
          <w:rFonts w:hint="eastAsia" w:cs="Times New Roman"/>
          <w:color w:val="000000" w:themeColor="text1"/>
          <w:kern w:val="0"/>
          <w:lang w:bidi="ar"/>
          <w14:textFill>
            <w14:solidFill>
              <w14:schemeClr w14:val="tx1"/>
            </w14:solidFill>
          </w14:textFill>
        </w:rPr>
        <w:t>（平政〔2021〕10号）；</w:t>
      </w:r>
    </w:p>
    <w:p>
      <w:pPr>
        <w:pStyle w:val="7"/>
        <w:ind w:firstLine="562"/>
        <w:rPr>
          <w:color w:val="000000" w:themeColor="text1"/>
          <w14:textFill>
            <w14:solidFill>
              <w14:schemeClr w14:val="tx1"/>
            </w14:solidFill>
          </w14:textFill>
        </w:rPr>
      </w:pPr>
      <w:r>
        <w:rPr>
          <w:color w:val="000000" w:themeColor="text1"/>
          <w14:textFill>
            <w14:solidFill>
              <w14:schemeClr w14:val="tx1"/>
            </w14:solidFill>
          </w14:textFill>
        </w:rPr>
        <w:t>2.1.3 技术规范</w:t>
      </w:r>
    </w:p>
    <w:p>
      <w:pPr>
        <w:widowControl/>
        <w:ind w:firstLine="480"/>
        <w:rPr>
          <w:rFonts w:cs="Times New Roman"/>
          <w:color w:val="000000" w:themeColor="text1"/>
          <w:u w:val="single"/>
          <w14:textFill>
            <w14:solidFill>
              <w14:schemeClr w14:val="tx1"/>
            </w14:solidFill>
          </w14:textFill>
        </w:rPr>
      </w:pPr>
      <w:r>
        <w:rPr>
          <w:rFonts w:cs="Times New Roman"/>
          <w:color w:val="000000" w:themeColor="text1"/>
          <w:kern w:val="0"/>
          <w:u w:val="single"/>
          <w:lang w:bidi="ar"/>
          <w14:textFill>
            <w14:solidFill>
              <w14:schemeClr w14:val="tx1"/>
            </w14:solidFill>
          </w14:textFill>
        </w:rPr>
        <w:t>（1）《</w:t>
      </w:r>
      <w:r>
        <w:rPr>
          <w:rFonts w:cs="Times New Roman"/>
          <w:color w:val="000000" w:themeColor="text1"/>
          <w:kern w:val="0"/>
          <w:u w:val="single"/>
          <w:lang w:bidi="ar"/>
          <w14:textFill>
            <w14:solidFill>
              <w14:schemeClr w14:val="tx1"/>
            </w14:solidFill>
          </w14:textFill>
        </w:rPr>
        <w:fldChar w:fldCharType="begin"/>
      </w:r>
      <w:r>
        <w:rPr>
          <w:rFonts w:cs="Times New Roman"/>
          <w:color w:val="000000" w:themeColor="text1"/>
          <w:kern w:val="0"/>
          <w:u w:val="single"/>
          <w:lang w:bidi="ar"/>
          <w14:textFill>
            <w14:solidFill>
              <w14:schemeClr w14:val="tx1"/>
            </w14:solidFill>
          </w14:textFill>
        </w:rPr>
        <w:instrText xml:space="preserve"> HYPERLINK "https://www.mee.gov.cn/ywgz/fgbz/bz/bzwb/other/pjjsdz/201612/W020161214348664955109.pdf" </w:instrText>
      </w:r>
      <w:r>
        <w:rPr>
          <w:rFonts w:cs="Times New Roman"/>
          <w:color w:val="000000" w:themeColor="text1"/>
          <w:kern w:val="0"/>
          <w:u w:val="single"/>
          <w:lang w:bidi="ar"/>
          <w14:textFill>
            <w14:solidFill>
              <w14:schemeClr w14:val="tx1"/>
            </w14:solidFill>
          </w14:textFill>
        </w:rPr>
        <w:fldChar w:fldCharType="separate"/>
      </w:r>
      <w:r>
        <w:rPr>
          <w:rFonts w:cs="Times New Roman"/>
          <w:color w:val="000000" w:themeColor="text1"/>
          <w:kern w:val="0"/>
          <w:u w:val="single"/>
          <w:lang w:bidi="ar"/>
          <w14:textFill>
            <w14:solidFill>
              <w14:schemeClr w14:val="tx1"/>
            </w14:solidFill>
          </w14:textFill>
        </w:rPr>
        <w:t>建设项目环境影响评价技术导则</w:t>
      </w:r>
      <w:r>
        <w:rPr>
          <w:rFonts w:cs="Times New Roman"/>
          <w:color w:val="000000" w:themeColor="text1"/>
          <w:kern w:val="0"/>
          <w:u w:val="single"/>
          <w:lang w:bidi="ar"/>
          <w14:textFill>
            <w14:solidFill>
              <w14:schemeClr w14:val="tx1"/>
            </w14:solidFill>
          </w14:textFill>
        </w:rPr>
        <w:fldChar w:fldCharType="end"/>
      </w:r>
      <w:r>
        <w:rPr>
          <w:rFonts w:cs="Times New Roman"/>
          <w:color w:val="000000" w:themeColor="text1"/>
          <w:kern w:val="0"/>
          <w:u w:val="single"/>
          <w:lang w:bidi="ar"/>
          <w14:textFill>
            <w14:solidFill>
              <w14:schemeClr w14:val="tx1"/>
            </w14:solidFill>
          </w14:textFill>
        </w:rPr>
        <w:t>—总纲》（HJ2.1-2016）；</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（2）《环境影响评价技术导则—大气环境》（HJ2.2-2018）；</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（3）《环境影响评价技术导则—地</w:t>
      </w:r>
      <w:r>
        <w:rPr>
          <w:rFonts w:hint="eastAsia" w:cs="Times New Roman"/>
          <w:color w:val="000000" w:themeColor="text1"/>
          <w:kern w:val="0"/>
          <w:lang w:eastAsia="zh-CN" w:bidi="ar"/>
          <w14:textFill>
            <w14:solidFill>
              <w14:schemeClr w14:val="tx1"/>
            </w14:solidFill>
          </w14:textFill>
        </w:rPr>
        <w:t>表</w:t>
      </w:r>
      <w:r>
        <w:rPr>
          <w:rFonts w:cs="Times New Roman"/>
          <w:color w:val="000000" w:themeColor="text1"/>
          <w:kern w:val="0"/>
          <w:lang w:bidi="ar"/>
          <w14:textFill>
            <w14:solidFill>
              <w14:schemeClr w14:val="tx1"/>
            </w14:solidFill>
          </w14:textFill>
        </w:rPr>
        <w:t>水环境》（HJ/T2.3-2018）；</w:t>
      </w:r>
    </w:p>
    <w:p>
      <w:pPr>
        <w:widowControl/>
        <w:ind w:firstLine="480"/>
        <w:rPr>
          <w:rFonts w:cs="Times New Roman"/>
          <w:color w:val="000000" w:themeColor="text1"/>
          <w:u w:val="single"/>
          <w14:textFill>
            <w14:solidFill>
              <w14:schemeClr w14:val="tx1"/>
            </w14:solidFill>
          </w14:textFill>
        </w:rPr>
      </w:pPr>
      <w:r>
        <w:rPr>
          <w:rFonts w:cs="Times New Roman"/>
          <w:color w:val="000000" w:themeColor="text1"/>
          <w:kern w:val="0"/>
          <w:u w:val="single"/>
          <w:lang w:bidi="ar"/>
          <w14:textFill>
            <w14:solidFill>
              <w14:schemeClr w14:val="tx1"/>
            </w14:solidFill>
          </w14:textFill>
        </w:rPr>
        <w:t>（4）《环境影响评价技术导则—声环境》（HJ2.4-20</w:t>
      </w:r>
      <w:r>
        <w:rPr>
          <w:rFonts w:hint="eastAsia" w:cs="Times New Roman"/>
          <w:color w:val="000000" w:themeColor="text1"/>
          <w:kern w:val="0"/>
          <w:u w:val="single"/>
          <w:lang w:bidi="ar"/>
          <w14:textFill>
            <w14:solidFill>
              <w14:schemeClr w14:val="tx1"/>
            </w14:solidFill>
          </w14:textFill>
        </w:rPr>
        <w:t>21</w:t>
      </w:r>
      <w:r>
        <w:rPr>
          <w:rFonts w:cs="Times New Roman"/>
          <w:color w:val="000000" w:themeColor="text1"/>
          <w:kern w:val="0"/>
          <w:u w:val="single"/>
          <w:lang w:bidi="ar"/>
          <w14:textFill>
            <w14:solidFill>
              <w14:schemeClr w14:val="tx1"/>
            </w14:solidFill>
          </w14:textFill>
        </w:rPr>
        <w:t>）；</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（5）《环境影响评价技术导则—地下水环境》（HJ610-2016）；</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（6）《建设项目环境风险评价技术导则》（HJ/T169-2018）；</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（7）《环境影响评价技术导则—土壤环境（试行）》（HJ964-2018）；</w:t>
      </w:r>
    </w:p>
    <w:p>
      <w:pPr>
        <w:widowControl/>
        <w:ind w:firstLine="480"/>
        <w:rPr>
          <w:rFonts w:cs="Times New Roman"/>
          <w:color w:val="000000" w:themeColor="text1"/>
          <w14:textFill>
            <w14:solidFill>
              <w14:schemeClr w14:val="tx1"/>
            </w14:solidFill>
          </w14:textFill>
        </w:rPr>
      </w:pPr>
      <w:r>
        <w:rPr>
          <w:rFonts w:cs="Times New Roman"/>
          <w:color w:val="000000" w:themeColor="text1"/>
          <w:kern w:val="0"/>
          <w:lang w:bidi="ar"/>
          <w14:textFill>
            <w14:solidFill>
              <w14:schemeClr w14:val="tx1"/>
            </w14:solidFill>
          </w14:textFill>
        </w:rPr>
        <w:t>（8）《环境影响评价技术导则—生态影响》（HJ19-20</w:t>
      </w:r>
      <w:r>
        <w:rPr>
          <w:rFonts w:hint="eastAsia" w:cs="Times New Roman"/>
          <w:color w:val="000000" w:themeColor="text1"/>
          <w:kern w:val="0"/>
          <w:lang w:val="en-US" w:eastAsia="zh-CN" w:bidi="ar"/>
          <w14:textFill>
            <w14:solidFill>
              <w14:schemeClr w14:val="tx1"/>
            </w14:solidFill>
          </w14:textFill>
        </w:rPr>
        <w:t>22</w:t>
      </w:r>
      <w:r>
        <w:rPr>
          <w:rFonts w:cs="Times New Roman"/>
          <w:color w:val="000000" w:themeColor="text1"/>
          <w:kern w:val="0"/>
          <w:lang w:bidi="ar"/>
          <w14:textFill>
            <w14:solidFill>
              <w14:schemeClr w14:val="tx1"/>
            </w14:solidFill>
          </w14:textFill>
        </w:rPr>
        <w:t>）；</w:t>
      </w:r>
    </w:p>
    <w:p>
      <w:pPr>
        <w:widowControl/>
        <w:ind w:firstLine="480"/>
        <w:rPr>
          <w:rFonts w:cs="Times New Roman"/>
          <w:color w:val="000000" w:themeColor="text1"/>
          <w:kern w:val="0"/>
          <w:lang w:bidi="ar"/>
          <w14:textFill>
            <w14:solidFill>
              <w14:schemeClr w14:val="tx1"/>
            </w14:solidFill>
          </w14:textFill>
        </w:rPr>
      </w:pPr>
      <w:r>
        <w:rPr>
          <w:rFonts w:cs="Times New Roman"/>
          <w:color w:val="000000" w:themeColor="text1"/>
          <w:kern w:val="0"/>
          <w:lang w:bidi="ar"/>
          <w14:textFill>
            <w14:solidFill>
              <w14:schemeClr w14:val="tx1"/>
            </w14:solidFill>
          </w14:textFill>
        </w:rPr>
        <w:t>（9）《建设项目危险废物环境影响评价指南》（2017年9月1日）。</w:t>
      </w:r>
    </w:p>
    <w:p>
      <w:pPr>
        <w:pStyle w:val="25"/>
        <w:widowControl/>
        <w:spacing w:beforeAutospacing="0" w:afterAutospacing="0"/>
        <w:ind w:firstLine="480"/>
        <w:jc w:val="both"/>
        <w:rPr>
          <w:color w:val="000000" w:themeColor="text1"/>
          <w14:textFill>
            <w14:solidFill>
              <w14:schemeClr w14:val="tx1"/>
            </w14:solidFill>
          </w14:textFill>
        </w:rPr>
      </w:pPr>
      <w:r>
        <w:rPr>
          <w:color w:val="000000" w:themeColor="text1"/>
          <w:lang w:bidi="ar"/>
          <w14:textFill>
            <w14:solidFill>
              <w14:schemeClr w14:val="tx1"/>
            </w14:solidFill>
          </w14:textFill>
        </w:rPr>
        <w:t>（10）</w:t>
      </w:r>
      <w:r>
        <w:rPr>
          <w:color w:val="000000" w:themeColor="text1"/>
          <w14:textFill>
            <w14:solidFill>
              <w14:schemeClr w14:val="tx1"/>
            </w14:solidFill>
          </w14:textFill>
        </w:rPr>
        <w:t>《大气污染治理工程技术导则》（HJ2000-2010）；</w:t>
      </w:r>
    </w:p>
    <w:p>
      <w:pPr>
        <w:pStyle w:val="25"/>
        <w:widowControl/>
        <w:spacing w:beforeAutospacing="0" w:afterAutospacing="0"/>
        <w:ind w:firstLine="480"/>
        <w:jc w:val="both"/>
        <w:rPr>
          <w:color w:val="000000" w:themeColor="text1"/>
          <w14:textFill>
            <w14:solidFill>
              <w14:schemeClr w14:val="tx1"/>
            </w14:solidFill>
          </w14:textFill>
        </w:rPr>
      </w:pPr>
      <w:r>
        <w:rPr>
          <w:color w:val="000000" w:themeColor="text1"/>
          <w:lang w:bidi="ar"/>
          <w14:textFill>
            <w14:solidFill>
              <w14:schemeClr w14:val="tx1"/>
            </w14:solidFill>
          </w14:textFill>
        </w:rPr>
        <w:t>（11）</w:t>
      </w:r>
      <w:r>
        <w:rPr>
          <w:color w:val="000000" w:themeColor="text1"/>
          <w14:textFill>
            <w14:solidFill>
              <w14:schemeClr w14:val="tx1"/>
            </w14:solidFill>
          </w14:textFill>
        </w:rPr>
        <w:t>《水污染治理工程技术导则》（HJ2015-2012）；</w:t>
      </w:r>
    </w:p>
    <w:p>
      <w:pPr>
        <w:pStyle w:val="25"/>
        <w:widowControl/>
        <w:spacing w:beforeAutospacing="0" w:afterAutospacing="0"/>
        <w:ind w:firstLine="480"/>
        <w:jc w:val="both"/>
        <w:rPr>
          <w:color w:val="000000" w:themeColor="text1"/>
          <w14:textFill>
            <w14:solidFill>
              <w14:schemeClr w14:val="tx1"/>
            </w14:solidFill>
          </w14:textFill>
        </w:rPr>
      </w:pPr>
      <w:r>
        <w:rPr>
          <w:color w:val="000000" w:themeColor="text1"/>
          <w:lang w:bidi="ar"/>
          <w14:textFill>
            <w14:solidFill>
              <w14:schemeClr w14:val="tx1"/>
            </w14:solidFill>
          </w14:textFill>
        </w:rPr>
        <w:t>（12）</w:t>
      </w:r>
      <w:r>
        <w:rPr>
          <w:color w:val="000000" w:themeColor="text1"/>
          <w14:textFill>
            <w14:solidFill>
              <w14:schemeClr w14:val="tx1"/>
            </w14:solidFill>
          </w14:textFill>
        </w:rPr>
        <w:t>《固体废物处理处置工程技术导则》（HJ2035-2013）；</w:t>
      </w:r>
    </w:p>
    <w:p>
      <w:pPr>
        <w:pStyle w:val="12"/>
        <w:ind w:firstLine="420"/>
        <w:rPr>
          <w:color w:val="000000" w:themeColor="text1"/>
          <w14:textFill>
            <w14:solidFill>
              <w14:schemeClr w14:val="tx1"/>
            </w14:solidFill>
          </w14:textFill>
        </w:rPr>
      </w:pPr>
      <w:r>
        <w:rPr>
          <w:color w:val="000000" w:themeColor="text1"/>
          <w:lang w:bidi="ar"/>
          <w14:textFill>
            <w14:solidFill>
              <w14:schemeClr w14:val="tx1"/>
            </w14:solidFill>
          </w14:textFill>
        </w:rPr>
        <w:t>（1</w:t>
      </w:r>
      <w:r>
        <w:rPr>
          <w:rFonts w:hint="eastAsia"/>
          <w:color w:val="000000" w:themeColor="text1"/>
          <w:lang w:bidi="ar"/>
          <w14:textFill>
            <w14:solidFill>
              <w14:schemeClr w14:val="tx1"/>
            </w14:solidFill>
          </w14:textFill>
        </w:rPr>
        <w:t>3</w:t>
      </w:r>
      <w:r>
        <w:rPr>
          <w:color w:val="000000" w:themeColor="text1"/>
          <w:lang w:bidi="ar"/>
          <w14:textFill>
            <w14:solidFill>
              <w14:schemeClr w14:val="tx1"/>
            </w14:solidFill>
          </w14:textFill>
        </w:rPr>
        <w:t>）</w:t>
      </w:r>
      <w:r>
        <w:rPr>
          <w:color w:val="000000" w:themeColor="text1"/>
          <w14:textFill>
            <w14:solidFill>
              <w14:schemeClr w14:val="tx1"/>
            </w14:solidFill>
          </w14:textFill>
        </w:rPr>
        <w:t>《危险化学品重大危险源辨识》（</w:t>
      </w:r>
      <w:r>
        <w:rPr>
          <w:rFonts w:hint="eastAsia"/>
        </w:rPr>
        <w:t>GB18218-2018</w:t>
      </w:r>
      <w:r>
        <w:rPr>
          <w:color w:val="000000" w:themeColor="text1"/>
          <w14:textFill>
            <w14:solidFill>
              <w14:schemeClr w14:val="tx1"/>
            </w14:solidFill>
          </w14:textFill>
        </w:rPr>
        <w:t>）；</w:t>
      </w:r>
    </w:p>
    <w:p>
      <w:pPr>
        <w:pStyle w:val="27"/>
        <w:spacing w:after="0"/>
        <w:ind w:left="0" w:leftChars="0" w:firstLine="480"/>
      </w:pPr>
      <w:r>
        <w:rPr>
          <w:rFonts w:hint="eastAsia"/>
        </w:rPr>
        <w:t>（14）《一般工业固体废物贮存和填埋污染控制标准》（GB18599-2020）；</w:t>
      </w:r>
    </w:p>
    <w:p>
      <w:pPr>
        <w:ind w:firstLine="480"/>
      </w:pPr>
      <w:r>
        <w:rPr>
          <w:rFonts w:hint="eastAsia"/>
        </w:rPr>
        <w:t>（15）《危险废物贮存污染控制标准》（</w:t>
      </w:r>
      <w:r>
        <w:t>GB18597-2001</w:t>
      </w:r>
      <w:r>
        <w:rPr>
          <w:rFonts w:hint="eastAsia"/>
        </w:rPr>
        <w:t>）及其修改单；</w:t>
      </w:r>
    </w:p>
    <w:p>
      <w:pPr>
        <w:ind w:firstLine="480"/>
      </w:pPr>
      <w:r>
        <w:rPr>
          <w:rFonts w:hint="eastAsia"/>
        </w:rPr>
        <w:t>（16）《排污单位环境管理台账及排污许可证执行报告技术规范 总则（试行）》（</w:t>
      </w:r>
      <w:r>
        <w:t>HJ944-2018</w:t>
      </w:r>
      <w:r>
        <w:rPr>
          <w:rFonts w:hint="eastAsia"/>
        </w:rPr>
        <w:t>）；</w:t>
      </w:r>
    </w:p>
    <w:p>
      <w:pPr>
        <w:ind w:firstLine="480"/>
        <w:rPr>
          <w:rFonts w:cs="Times New Roman"/>
          <w:color w:val="000000" w:themeColor="text1"/>
          <w14:textFill>
            <w14:solidFill>
              <w14:schemeClr w14:val="tx1"/>
            </w14:solidFill>
          </w14:textFill>
        </w:rPr>
      </w:pPr>
      <w:r>
        <w:rPr>
          <w:rFonts w:hint="eastAsia"/>
        </w:rPr>
        <w:t>（17）《</w:t>
      </w:r>
      <w:r>
        <w:fldChar w:fldCharType="begin"/>
      </w:r>
      <w:r>
        <w:instrText xml:space="preserve"> HYPERLINK "http://www.mee.gov.cn/ywgz/fgbz/bz/bzwb/pwxk/202004/W020200401327032592051.pdf" </w:instrText>
      </w:r>
      <w:r>
        <w:fldChar w:fldCharType="separate"/>
      </w:r>
      <w:r>
        <w:rPr>
          <w:rFonts w:hint="eastAsia"/>
        </w:rPr>
        <w:t>排污许可证申请与核发技术规范-橡胶和塑料制品工业</w:t>
      </w:r>
      <w:r>
        <w:rPr>
          <w:rFonts w:hint="eastAsia"/>
        </w:rPr>
        <w:fldChar w:fldCharType="end"/>
      </w:r>
      <w:r>
        <w:rPr>
          <w:rFonts w:hint="eastAsia"/>
        </w:rPr>
        <w:t>》（HJ1122-2020）</w:t>
      </w:r>
    </w:p>
    <w:p>
      <w:pPr>
        <w:pStyle w:val="7"/>
        <w:ind w:firstLine="562"/>
      </w:pPr>
      <w:r>
        <w:t>2.1.4 项目依据</w:t>
      </w:r>
    </w:p>
    <w:p>
      <w:pPr>
        <w:ind w:firstLine="480"/>
      </w:pPr>
      <w:r>
        <w:t>1、</w:t>
      </w:r>
      <w:r>
        <w:rPr>
          <w:rFonts w:hint="eastAsia"/>
        </w:rPr>
        <w:t>新旭环保型体育设施新区建设项目</w:t>
      </w:r>
      <w:r>
        <w:t>环境影响评价委托书</w:t>
      </w:r>
      <w:r>
        <w:rPr>
          <w:rFonts w:hint="eastAsia"/>
        </w:rPr>
        <w:t>；</w:t>
      </w:r>
    </w:p>
    <w:p>
      <w:pPr>
        <w:ind w:firstLine="480"/>
      </w:pPr>
      <w:r>
        <w:rPr>
          <w:rFonts w:hint="eastAsia"/>
        </w:rPr>
        <w:t>2</w:t>
      </w:r>
      <w:r>
        <w:t>、</w:t>
      </w:r>
      <w:r>
        <w:rPr>
          <w:rFonts w:hint="eastAsia"/>
        </w:rPr>
        <w:t>新旭环保型体育设施新区建设项目</w:t>
      </w:r>
      <w:r>
        <w:t>登记备案证明</w:t>
      </w:r>
      <w:r>
        <w:rPr>
          <w:rFonts w:hint="eastAsia"/>
        </w:rPr>
        <w:t>；</w:t>
      </w:r>
    </w:p>
    <w:p>
      <w:pPr>
        <w:ind w:firstLine="480"/>
      </w:pPr>
      <w:r>
        <w:rPr>
          <w:rFonts w:hint="eastAsia"/>
        </w:rPr>
        <w:t>3</w:t>
      </w:r>
      <w:r>
        <w:t>、</w:t>
      </w:r>
      <w:r>
        <w:rPr>
          <w:rFonts w:hint="eastAsia"/>
        </w:rPr>
        <w:t>环境质量现状</w:t>
      </w:r>
      <w:r>
        <w:t>监测报</w:t>
      </w:r>
      <w:r>
        <w:rPr>
          <w:rFonts w:hint="eastAsia"/>
        </w:rPr>
        <w:t>告；</w:t>
      </w:r>
    </w:p>
    <w:p>
      <w:pPr>
        <w:ind w:firstLine="480"/>
        <w:rPr>
          <w:rFonts w:hint="eastAsia" w:eastAsia="宋体"/>
          <w:lang w:eastAsia="zh-CN"/>
        </w:rPr>
      </w:pPr>
      <w:r>
        <w:rPr>
          <w:rFonts w:hint="eastAsia"/>
        </w:rPr>
        <w:t>4</w:t>
      </w:r>
      <w:r>
        <w:t>、项目承办单位提供的其他技术资料</w:t>
      </w:r>
      <w:r>
        <w:rPr>
          <w:rFonts w:hint="eastAsia"/>
          <w:lang w:eastAsia="zh-CN"/>
        </w:rPr>
        <w:t>；</w:t>
      </w:r>
    </w:p>
    <w:p>
      <w:pPr>
        <w:ind w:firstLine="480"/>
        <w:rPr>
          <w:u w:val="single"/>
        </w:rPr>
      </w:pPr>
      <w:r>
        <w:rPr>
          <w:rFonts w:hint="eastAsia"/>
          <w:u w:val="single"/>
          <w:lang w:val="en-US" w:eastAsia="zh-CN"/>
        </w:rPr>
        <w:t>5、平顶山尼龙新材料开发区管委会出具的入驻证明</w:t>
      </w:r>
      <w:r>
        <w:rPr>
          <w:u w:val="single"/>
        </w:rPr>
        <w:t>。</w:t>
      </w:r>
    </w:p>
    <w:p>
      <w:pPr>
        <w:pStyle w:val="6"/>
        <w:ind w:firstLine="0" w:firstLineChars="0"/>
        <w:rPr>
          <w:lang w:val="en-US"/>
        </w:rPr>
      </w:pPr>
      <w:bookmarkStart w:id="32" w:name="_Toc31636"/>
      <w:bookmarkStart w:id="33" w:name="_Toc19363"/>
      <w:bookmarkStart w:id="34" w:name="_Toc7698"/>
      <w:r>
        <w:rPr>
          <w:lang w:val="en-US"/>
        </w:rPr>
        <w:t>2.2 评价目的与原则</w:t>
      </w:r>
      <w:bookmarkEnd w:id="32"/>
      <w:bookmarkEnd w:id="33"/>
      <w:bookmarkEnd w:id="34"/>
    </w:p>
    <w:p>
      <w:pPr>
        <w:pStyle w:val="7"/>
        <w:ind w:firstLine="562"/>
      </w:pPr>
      <w:r>
        <w:t>2.2.1 评价目的</w:t>
      </w:r>
    </w:p>
    <w:p>
      <w:pPr>
        <w:widowControl/>
        <w:ind w:firstLine="480"/>
        <w:jc w:val="left"/>
      </w:pPr>
      <w:r>
        <w:rPr>
          <w:rFonts w:hint="eastAsia" w:ascii="宋体" w:hAnsi="宋体" w:cs="宋体"/>
          <w:color w:val="000000"/>
          <w:kern w:val="0"/>
          <w:lang w:bidi="ar"/>
        </w:rPr>
        <w:t>本次评价通过现场调查、监测，摸清项目所在地环境质量状况及周围环境特征。通过类比调查，摸清项目运营期的污染物排放情况，评价其采用的污染防治措施的可行性，得出项目的环境可行性结论，提出有关污染防治措施的对策与建议。根据环境保护审批原则综合分析得出项目在拟建地建设可行与否的结论，为项目环境管理提供审批依据，为项目工程设计提供支持。</w:t>
      </w:r>
    </w:p>
    <w:p>
      <w:pPr>
        <w:pStyle w:val="7"/>
        <w:ind w:firstLine="562"/>
      </w:pPr>
      <w:r>
        <w:t xml:space="preserve">2.2.2 </w:t>
      </w:r>
      <w:r>
        <w:rPr>
          <w:rFonts w:hint="eastAsia"/>
        </w:rPr>
        <w:t>评价原则</w:t>
      </w:r>
    </w:p>
    <w:p>
      <w:pPr>
        <w:widowControl/>
        <w:ind w:firstLine="480"/>
      </w:pPr>
      <w:r>
        <w:rPr>
          <w:rFonts w:hint="eastAsia" w:ascii="宋体" w:hAnsi="宋体" w:cs="宋体"/>
          <w:color w:val="000000"/>
          <w:kern w:val="0"/>
          <w:lang w:bidi="ar"/>
        </w:rPr>
        <w:t>突出环境影响评价的源头预防作用，坚持保护和改善环境质量。</w:t>
      </w:r>
    </w:p>
    <w:p>
      <w:pPr>
        <w:widowControl/>
        <w:ind w:firstLine="480"/>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）依法评价：贯彻执行我国环境保护相关法律法规、标准、政策和规划等，优化项目建设，服务环境管理。</w:t>
      </w:r>
    </w:p>
    <w:p>
      <w:pPr>
        <w:widowControl/>
        <w:ind w:firstLine="480"/>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）科学评价：规范环境影响评价方法，科学分析项目建设对环境质量的影响。</w:t>
      </w:r>
    </w:p>
    <w:p>
      <w:pPr>
        <w:widowControl/>
        <w:ind w:firstLine="480"/>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突出重点：根据建设项目的工程内容及其特点，明确与环境要素间的作用效应关系，根据规划环境影响评价结论和审查意见，充分利用符合时效的数据资料及成果，对建设项目主要环境影响予以重点分析和评价。</w:t>
      </w:r>
    </w:p>
    <w:p>
      <w:pPr>
        <w:pStyle w:val="6"/>
        <w:ind w:firstLine="0" w:firstLineChars="0"/>
        <w:rPr>
          <w:lang w:val="en-US"/>
        </w:rPr>
      </w:pPr>
      <w:bookmarkStart w:id="35" w:name="_Toc23439"/>
      <w:bookmarkStart w:id="36" w:name="_Toc25343"/>
      <w:bookmarkStart w:id="37" w:name="_Toc15397"/>
      <w:r>
        <w:rPr>
          <w:lang w:val="en-US"/>
        </w:rPr>
        <w:t>2.3 环境影响识别及评价因子筛选</w:t>
      </w:r>
      <w:bookmarkEnd w:id="35"/>
      <w:bookmarkEnd w:id="36"/>
      <w:bookmarkEnd w:id="37"/>
    </w:p>
    <w:p>
      <w:pPr>
        <w:pStyle w:val="7"/>
        <w:ind w:firstLine="562"/>
      </w:pPr>
      <w:r>
        <w:t>2.3.1 环境影响识别</w:t>
      </w:r>
    </w:p>
    <w:p>
      <w:pPr>
        <w:widowControl/>
        <w:ind w:firstLine="480"/>
        <w:jc w:val="left"/>
      </w:pPr>
      <w:r>
        <w:rPr>
          <w:rFonts w:hint="eastAsia" w:ascii="宋体" w:hAnsi="宋体" w:cs="宋体"/>
          <w:color w:val="000000"/>
          <w:kern w:val="0"/>
          <w:lang w:bidi="ar"/>
        </w:rPr>
        <w:t>根据工程特点和区域环境特征，进行环境影响因子识别，以确定工程在施工期和运行期对自然环境及生态环境等的影响情况。</w:t>
      </w:r>
    </w:p>
    <w:p>
      <w:pPr>
        <w:widowControl/>
        <w:ind w:firstLine="480"/>
        <w:jc w:val="left"/>
      </w:pPr>
      <w:r>
        <w:rPr>
          <w:rFonts w:hint="eastAsia" w:ascii="宋体" w:hAnsi="宋体" w:cs="宋体"/>
          <w:color w:val="000000"/>
          <w:kern w:val="0"/>
          <w:lang w:bidi="ar"/>
        </w:rPr>
        <w:t>工程环境影响因素识别内容见表</w:t>
      </w:r>
      <w:r>
        <w:rPr>
          <w:rFonts w:cs="Times New Roman"/>
          <w:color w:val="000000"/>
          <w:kern w:val="0"/>
          <w:lang w:bidi="ar"/>
        </w:rPr>
        <w:t>2.</w:t>
      </w:r>
      <w:r>
        <w:rPr>
          <w:rFonts w:hint="eastAsia" w:cs="Times New Roman"/>
          <w:color w:val="000000"/>
          <w:kern w:val="0"/>
          <w:lang w:bidi="ar"/>
        </w:rPr>
        <w:t>3</w:t>
      </w:r>
      <w:r>
        <w:rPr>
          <w:rFonts w:cs="Times New Roman"/>
          <w:color w:val="000000"/>
          <w:kern w:val="0"/>
          <w:lang w:bidi="ar"/>
        </w:rPr>
        <w:t>-1</w:t>
      </w:r>
      <w:r>
        <w:rPr>
          <w:rFonts w:hint="eastAsia" w:ascii="宋体" w:hAnsi="宋体" w:cs="宋体"/>
          <w:color w:val="000000"/>
          <w:kern w:val="0"/>
          <w:lang w:bidi="ar"/>
        </w:rPr>
        <w:t>。</w:t>
      </w:r>
    </w:p>
    <w:p>
      <w:pPr>
        <w:ind w:firstLine="0" w:firstLineChars="0"/>
        <w:jc w:val="center"/>
        <w:rPr>
          <w:b/>
          <w:bCs/>
        </w:rPr>
      </w:pPr>
      <w:r>
        <w:rPr>
          <w:rFonts w:hint="eastAsia"/>
          <w:b/>
          <w:bCs/>
        </w:rPr>
        <w:t>表2.3-1  环境影响因素识别表</w:t>
      </w:r>
    </w:p>
    <w:tbl>
      <w:tblPr>
        <w:tblStyle w:val="28"/>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8"/>
        <w:gridCol w:w="1172"/>
        <w:gridCol w:w="778"/>
        <w:gridCol w:w="808"/>
        <w:gridCol w:w="822"/>
        <w:gridCol w:w="808"/>
        <w:gridCol w:w="765"/>
        <w:gridCol w:w="823"/>
        <w:gridCol w:w="826"/>
        <w:gridCol w:w="826"/>
        <w:gridCol w:w="8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81" w:type="dxa"/>
            <w:vMerge w:val="restart"/>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项目名称</w:t>
            </w:r>
          </w:p>
        </w:tc>
        <w:tc>
          <w:tcPr>
            <w:tcW w:w="4764" w:type="dxa"/>
            <w:gridSpan w:val="5"/>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施工期</w:t>
            </w:r>
          </w:p>
        </w:tc>
        <w:tc>
          <w:tcPr>
            <w:tcW w:w="4415" w:type="dxa"/>
            <w:gridSpan w:val="5"/>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运行期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81" w:type="dxa"/>
            <w:vMerge w:val="continue"/>
            <w:tcBorders>
              <w:tl2br w:val="nil"/>
              <w:tr2bl w:val="nil"/>
            </w:tcBorders>
            <w:vAlign w:val="center"/>
          </w:tcPr>
          <w:p>
            <w:pPr>
              <w:pStyle w:val="38"/>
              <w:rPr>
                <w:rFonts w:hint="default"/>
                <w:color w:val="000000" w:themeColor="text1"/>
                <w14:textFill>
                  <w14:solidFill>
                    <w14:schemeClr w14:val="tx1"/>
                  </w14:solidFill>
                </w14:textFill>
              </w:rPr>
            </w:pPr>
          </w:p>
        </w:tc>
        <w:tc>
          <w:tcPr>
            <w:tcW w:w="127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类别因素</w:t>
            </w:r>
          </w:p>
        </w:tc>
        <w:tc>
          <w:tcPr>
            <w:tcW w:w="84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土建</w:t>
            </w: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安装</w:t>
            </w:r>
          </w:p>
        </w:tc>
        <w:tc>
          <w:tcPr>
            <w:tcW w:w="892"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运输</w:t>
            </w: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噪声</w:t>
            </w:r>
          </w:p>
        </w:tc>
        <w:tc>
          <w:tcPr>
            <w:tcW w:w="830"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废水</w:t>
            </w:r>
          </w:p>
        </w:tc>
        <w:tc>
          <w:tcPr>
            <w:tcW w:w="89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废气</w:t>
            </w: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固废</w:t>
            </w: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噪声</w:t>
            </w: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运输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81" w:type="dxa"/>
            <w:vMerge w:val="restart"/>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自然生态环境</w:t>
            </w:r>
          </w:p>
        </w:tc>
        <w:tc>
          <w:tcPr>
            <w:tcW w:w="127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地表水</w:t>
            </w:r>
          </w:p>
        </w:tc>
        <w:tc>
          <w:tcPr>
            <w:tcW w:w="84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2" w:type="dxa"/>
            <w:tcBorders>
              <w:tl2br w:val="nil"/>
              <w:tr2bl w:val="nil"/>
            </w:tcBorders>
            <w:vAlign w:val="center"/>
          </w:tcPr>
          <w:p>
            <w:pPr>
              <w:pStyle w:val="38"/>
              <w:rPr>
                <w:rFonts w:hint="default"/>
                <w:color w:val="000000" w:themeColor="text1"/>
                <w14:textFill>
                  <w14:solidFill>
                    <w14:schemeClr w14:val="tx1"/>
                  </w14:solidFill>
                </w14:textFill>
              </w:rPr>
            </w:pP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30"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1LP</w:t>
            </w:r>
          </w:p>
        </w:tc>
        <w:tc>
          <w:tcPr>
            <w:tcW w:w="89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81" w:type="dxa"/>
            <w:vMerge w:val="continue"/>
            <w:tcBorders>
              <w:tl2br w:val="nil"/>
              <w:tr2bl w:val="nil"/>
            </w:tcBorders>
            <w:vAlign w:val="center"/>
          </w:tcPr>
          <w:p>
            <w:pPr>
              <w:pStyle w:val="38"/>
              <w:rPr>
                <w:rFonts w:hint="default"/>
                <w:color w:val="000000" w:themeColor="text1"/>
                <w14:textFill>
                  <w14:solidFill>
                    <w14:schemeClr w14:val="tx1"/>
                  </w14:solidFill>
                </w14:textFill>
              </w:rPr>
            </w:pPr>
          </w:p>
        </w:tc>
        <w:tc>
          <w:tcPr>
            <w:tcW w:w="127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地下水</w:t>
            </w:r>
          </w:p>
        </w:tc>
        <w:tc>
          <w:tcPr>
            <w:tcW w:w="84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2" w:type="dxa"/>
            <w:tcBorders>
              <w:tl2br w:val="nil"/>
              <w:tr2bl w:val="nil"/>
            </w:tcBorders>
            <w:vAlign w:val="center"/>
          </w:tcPr>
          <w:p>
            <w:pPr>
              <w:pStyle w:val="38"/>
              <w:rPr>
                <w:rFonts w:hint="default"/>
                <w:color w:val="000000" w:themeColor="text1"/>
                <w14:textFill>
                  <w14:solidFill>
                    <w14:schemeClr w14:val="tx1"/>
                  </w14:solidFill>
                </w14:textFill>
              </w:rPr>
            </w:pP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30"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1LP</w:t>
            </w:r>
          </w:p>
        </w:tc>
        <w:tc>
          <w:tcPr>
            <w:tcW w:w="89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1LP</w:t>
            </w: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81" w:type="dxa"/>
            <w:vMerge w:val="continue"/>
            <w:tcBorders>
              <w:tl2br w:val="nil"/>
              <w:tr2bl w:val="nil"/>
            </w:tcBorders>
            <w:vAlign w:val="center"/>
          </w:tcPr>
          <w:p>
            <w:pPr>
              <w:pStyle w:val="38"/>
              <w:rPr>
                <w:rFonts w:hint="default"/>
                <w:color w:val="000000" w:themeColor="text1"/>
                <w14:textFill>
                  <w14:solidFill>
                    <w14:schemeClr w14:val="tx1"/>
                  </w14:solidFill>
                </w14:textFill>
              </w:rPr>
            </w:pPr>
          </w:p>
        </w:tc>
        <w:tc>
          <w:tcPr>
            <w:tcW w:w="127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大气环境</w:t>
            </w:r>
          </w:p>
        </w:tc>
        <w:tc>
          <w:tcPr>
            <w:tcW w:w="84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1SP</w:t>
            </w: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2"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1SP</w:t>
            </w: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30"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1LP</w:t>
            </w: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1LP</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81" w:type="dxa"/>
            <w:vMerge w:val="continue"/>
            <w:tcBorders>
              <w:tl2br w:val="nil"/>
              <w:tr2bl w:val="nil"/>
            </w:tcBorders>
            <w:vAlign w:val="center"/>
          </w:tcPr>
          <w:p>
            <w:pPr>
              <w:pStyle w:val="38"/>
              <w:rPr>
                <w:rFonts w:hint="default"/>
                <w:color w:val="000000" w:themeColor="text1"/>
                <w14:textFill>
                  <w14:solidFill>
                    <w14:schemeClr w14:val="tx1"/>
                  </w14:solidFill>
                </w14:textFill>
              </w:rPr>
            </w:pPr>
          </w:p>
        </w:tc>
        <w:tc>
          <w:tcPr>
            <w:tcW w:w="127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声环境</w:t>
            </w:r>
          </w:p>
        </w:tc>
        <w:tc>
          <w:tcPr>
            <w:tcW w:w="84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2SP</w:t>
            </w: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1SP</w:t>
            </w:r>
          </w:p>
        </w:tc>
        <w:tc>
          <w:tcPr>
            <w:tcW w:w="892"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1SP</w:t>
            </w: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1SP</w:t>
            </w:r>
          </w:p>
        </w:tc>
        <w:tc>
          <w:tcPr>
            <w:tcW w:w="830"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1LP</w:t>
            </w: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81" w:type="dxa"/>
            <w:vMerge w:val="continue"/>
            <w:tcBorders>
              <w:tl2br w:val="nil"/>
              <w:tr2bl w:val="nil"/>
            </w:tcBorders>
            <w:vAlign w:val="center"/>
          </w:tcPr>
          <w:p>
            <w:pPr>
              <w:pStyle w:val="38"/>
              <w:rPr>
                <w:rFonts w:hint="default"/>
                <w:color w:val="000000" w:themeColor="text1"/>
                <w14:textFill>
                  <w14:solidFill>
                    <w14:schemeClr w14:val="tx1"/>
                  </w14:solidFill>
                </w14:textFill>
              </w:rPr>
            </w:pPr>
          </w:p>
        </w:tc>
        <w:tc>
          <w:tcPr>
            <w:tcW w:w="127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土壤</w:t>
            </w:r>
          </w:p>
        </w:tc>
        <w:tc>
          <w:tcPr>
            <w:tcW w:w="84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2" w:type="dxa"/>
            <w:tcBorders>
              <w:tl2br w:val="nil"/>
              <w:tr2bl w:val="nil"/>
            </w:tcBorders>
            <w:vAlign w:val="center"/>
          </w:tcPr>
          <w:p>
            <w:pPr>
              <w:pStyle w:val="38"/>
              <w:rPr>
                <w:rFonts w:hint="default"/>
                <w:color w:val="000000" w:themeColor="text1"/>
                <w14:textFill>
                  <w14:solidFill>
                    <w14:schemeClr w14:val="tx1"/>
                  </w14:solidFill>
                </w14:textFill>
              </w:rPr>
            </w:pP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30"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1LP</w:t>
            </w:r>
          </w:p>
        </w:tc>
        <w:tc>
          <w:tcPr>
            <w:tcW w:w="89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1LP</w:t>
            </w: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81" w:type="dxa"/>
            <w:vMerge w:val="continue"/>
            <w:tcBorders>
              <w:tl2br w:val="nil"/>
              <w:tr2bl w:val="nil"/>
            </w:tcBorders>
            <w:vAlign w:val="center"/>
          </w:tcPr>
          <w:p>
            <w:pPr>
              <w:pStyle w:val="38"/>
              <w:rPr>
                <w:rFonts w:hint="default"/>
                <w:color w:val="000000" w:themeColor="text1"/>
                <w14:textFill>
                  <w14:solidFill>
                    <w14:schemeClr w14:val="tx1"/>
                  </w14:solidFill>
                </w14:textFill>
              </w:rPr>
            </w:pPr>
          </w:p>
        </w:tc>
        <w:tc>
          <w:tcPr>
            <w:tcW w:w="127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植被</w:t>
            </w:r>
          </w:p>
        </w:tc>
        <w:tc>
          <w:tcPr>
            <w:tcW w:w="84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1SP</w:t>
            </w: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2" w:type="dxa"/>
            <w:tcBorders>
              <w:tl2br w:val="nil"/>
              <w:tr2bl w:val="nil"/>
            </w:tcBorders>
            <w:vAlign w:val="center"/>
          </w:tcPr>
          <w:p>
            <w:pPr>
              <w:pStyle w:val="38"/>
              <w:rPr>
                <w:rFonts w:hint="default"/>
                <w:color w:val="000000" w:themeColor="text1"/>
                <w14:textFill>
                  <w14:solidFill>
                    <w14:schemeClr w14:val="tx1"/>
                  </w14:solidFill>
                </w14:textFill>
              </w:rPr>
            </w:pP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30"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81" w:type="dxa"/>
            <w:vMerge w:val="continue"/>
            <w:tcBorders>
              <w:tl2br w:val="nil"/>
              <w:tr2bl w:val="nil"/>
            </w:tcBorders>
            <w:vAlign w:val="center"/>
          </w:tcPr>
          <w:p>
            <w:pPr>
              <w:pStyle w:val="38"/>
              <w:rPr>
                <w:rFonts w:hint="default"/>
                <w:color w:val="000000" w:themeColor="text1"/>
                <w14:textFill>
                  <w14:solidFill>
                    <w14:schemeClr w14:val="tx1"/>
                  </w14:solidFill>
                </w14:textFill>
              </w:rPr>
            </w:pPr>
          </w:p>
        </w:tc>
        <w:tc>
          <w:tcPr>
            <w:tcW w:w="1274" w:type="dxa"/>
            <w:tcBorders>
              <w:tl2br w:val="nil"/>
              <w:tr2bl w:val="nil"/>
            </w:tcBorders>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气候</w:t>
            </w:r>
          </w:p>
        </w:tc>
        <w:tc>
          <w:tcPr>
            <w:tcW w:w="84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2" w:type="dxa"/>
            <w:tcBorders>
              <w:tl2br w:val="nil"/>
              <w:tr2bl w:val="nil"/>
            </w:tcBorders>
            <w:vAlign w:val="center"/>
          </w:tcPr>
          <w:p>
            <w:pPr>
              <w:pStyle w:val="38"/>
              <w:rPr>
                <w:rFonts w:hint="default"/>
                <w:color w:val="000000" w:themeColor="text1"/>
                <w14:textFill>
                  <w14:solidFill>
                    <w14:schemeClr w14:val="tx1"/>
                  </w14:solidFill>
                </w14:textFill>
              </w:rPr>
            </w:pPr>
          </w:p>
        </w:tc>
        <w:tc>
          <w:tcPr>
            <w:tcW w:w="87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30"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4"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c>
          <w:tcPr>
            <w:tcW w:w="897" w:type="dxa"/>
            <w:tcBorders>
              <w:tl2br w:val="nil"/>
              <w:tr2bl w:val="nil"/>
            </w:tcBorders>
            <w:vAlign w:val="center"/>
          </w:tcPr>
          <w:p>
            <w:pPr>
              <w:pStyle w:val="38"/>
              <w:rPr>
                <w:rFonts w:hint="default"/>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860" w:type="dxa"/>
            <w:gridSpan w:val="11"/>
            <w:tcBorders>
              <w:tl2br w:val="nil"/>
              <w:tr2bl w:val="nil"/>
            </w:tcBorders>
            <w:vAlign w:val="center"/>
          </w:tcPr>
          <w:p>
            <w:pPr>
              <w:pStyle w:val="38"/>
              <w:jc w:val="left"/>
              <w:rPr>
                <w:rFonts w:hint="default"/>
                <w:color w:val="000000" w:themeColor="text1"/>
                <w14:textFill>
                  <w14:solidFill>
                    <w14:schemeClr w14:val="tx1"/>
                  </w14:solidFill>
                </w14:textFill>
              </w:rPr>
            </w:pPr>
            <w:r>
              <w:rPr>
                <w:color w:val="000000" w:themeColor="text1"/>
                <w14:textFill>
                  <w14:solidFill>
                    <w14:schemeClr w14:val="tx1"/>
                  </w14:solidFill>
                </w14:textFill>
              </w:rPr>
              <w:t>备注：影响程度：1-轻微；2-一般；3-显著。影响时段：S-短期；L-长期。</w:t>
            </w:r>
          </w:p>
          <w:p>
            <w:pPr>
              <w:pStyle w:val="38"/>
              <w:jc w:val="left"/>
              <w:rPr>
                <w:rFonts w:hint="default"/>
                <w:color w:val="000000" w:themeColor="text1"/>
                <w14:textFill>
                  <w14:solidFill>
                    <w14:schemeClr w14:val="tx1"/>
                  </w14:solidFill>
                </w14:textFill>
              </w:rPr>
            </w:pPr>
            <w:r>
              <w:rPr>
                <w:color w:val="000000" w:themeColor="text1"/>
                <w14:textFill>
                  <w14:solidFill>
                    <w14:schemeClr w14:val="tx1"/>
                  </w14:solidFill>
                </w14:textFill>
              </w:rPr>
              <w:t>影响范围：P-局部；W-大范围</w:t>
            </w:r>
          </w:p>
        </w:tc>
      </w:tr>
    </w:tbl>
    <w:p>
      <w:pPr>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由表</w:t>
      </w:r>
      <w:r>
        <w:rPr>
          <w:color w:val="000000" w:themeColor="text1"/>
          <w14:textFill>
            <w14:solidFill>
              <w14:schemeClr w14:val="tx1"/>
            </w14:solidFill>
          </w14:textFill>
        </w:rPr>
        <w:t>2.3-1</w:t>
      </w:r>
      <w:r>
        <w:rPr>
          <w:rFonts w:hint="eastAsia"/>
          <w:color w:val="000000" w:themeColor="text1"/>
          <w14:textFill>
            <w14:solidFill>
              <w14:schemeClr w14:val="tx1"/>
            </w14:solidFill>
          </w14:textFill>
        </w:rPr>
        <w:t>可知，本项目在施工期对周围自然环境的影响是轻微、短期和局部的；运行期产生的废水、废气、噪声和固体废物对周围自然环境会造成一定的不利影响。</w:t>
      </w:r>
    </w:p>
    <w:p>
      <w:pPr>
        <w:pStyle w:val="7"/>
        <w:ind w:firstLine="562"/>
      </w:pPr>
      <w:r>
        <w:t>2.3.2 评价因子筛选</w:t>
      </w:r>
    </w:p>
    <w:p>
      <w:pPr>
        <w:ind w:firstLine="480"/>
      </w:pPr>
      <w:r>
        <w:rPr>
          <w:rFonts w:hint="eastAsia"/>
        </w:rPr>
        <w:t>根据工程污染物排放特征和区域环境状况、环境影响因素等，确定本项目的评价因子。</w:t>
      </w:r>
    </w:p>
    <w:p>
      <w:pPr>
        <w:ind w:firstLine="0" w:firstLineChars="0"/>
        <w:jc w:val="center"/>
        <w:rPr>
          <w:b/>
          <w:bCs/>
        </w:rPr>
      </w:pPr>
      <w:r>
        <w:rPr>
          <w:rFonts w:hint="eastAsia"/>
          <w:b/>
          <w:bCs/>
        </w:rPr>
        <w:t>表</w:t>
      </w:r>
      <w:r>
        <w:rPr>
          <w:b/>
          <w:bCs/>
        </w:rPr>
        <w:t>2.3-2</w:t>
      </w:r>
      <w:r>
        <w:rPr>
          <w:rFonts w:hint="eastAsia"/>
          <w:b/>
          <w:bCs/>
        </w:rPr>
        <w:t xml:space="preserve">  本项目评价因子一览表</w:t>
      </w:r>
    </w:p>
    <w:tbl>
      <w:tblPr>
        <w:tblStyle w:val="28"/>
        <w:tblW w:w="5042"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2"/>
        <w:gridCol w:w="1481"/>
        <w:gridCol w:w="671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要素</w:t>
            </w: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项目</w:t>
            </w:r>
          </w:p>
        </w:tc>
        <w:tc>
          <w:tcPr>
            <w:tcW w:w="6708"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评价因子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restart"/>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环境空气</w:t>
            </w: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现状评价</w:t>
            </w:r>
          </w:p>
        </w:tc>
        <w:tc>
          <w:tcPr>
            <w:tcW w:w="6708" w:type="dxa"/>
            <w:tcBorders>
              <w:tl2br w:val="nil"/>
              <w:tr2bl w:val="nil"/>
            </w:tcBorders>
            <w:vAlign w:val="center"/>
          </w:tcPr>
          <w:p>
            <w:pPr>
              <w:pStyle w:val="39"/>
              <w:autoSpaceDE w:val="0"/>
              <w:autoSpaceDN w:val="0"/>
              <w:spacing w:line="240" w:lineRule="auto"/>
              <w:ind w:firstLine="0" w:firstLineChars="0"/>
              <w:rPr>
                <w:kern w:val="21"/>
                <w:sz w:val="21"/>
                <w:szCs w:val="21"/>
              </w:rPr>
            </w:pPr>
            <w:r>
              <w:rPr>
                <w:rFonts w:ascii="Times New Roman" w:eastAsia="Times New Roman"/>
                <w:kern w:val="21"/>
                <w:sz w:val="21"/>
                <w:szCs w:val="21"/>
              </w:rPr>
              <w:t>PM</w:t>
            </w:r>
            <w:r>
              <w:rPr>
                <w:rFonts w:ascii="Times New Roman" w:eastAsia="Times New Roman"/>
                <w:kern w:val="21"/>
                <w:sz w:val="21"/>
                <w:szCs w:val="21"/>
                <w:vertAlign w:val="subscript"/>
              </w:rPr>
              <w:t>10</w:t>
            </w:r>
            <w:r>
              <w:rPr>
                <w:kern w:val="21"/>
                <w:sz w:val="21"/>
                <w:szCs w:val="21"/>
              </w:rPr>
              <w:t>、</w:t>
            </w:r>
            <w:r>
              <w:rPr>
                <w:rFonts w:ascii="Times New Roman" w:eastAsia="Times New Roman"/>
                <w:kern w:val="21"/>
                <w:sz w:val="21"/>
                <w:szCs w:val="21"/>
              </w:rPr>
              <w:t>PM</w:t>
            </w:r>
            <w:r>
              <w:rPr>
                <w:rFonts w:ascii="Times New Roman" w:eastAsia="Times New Roman"/>
                <w:kern w:val="21"/>
                <w:sz w:val="21"/>
                <w:szCs w:val="21"/>
                <w:vertAlign w:val="subscript"/>
              </w:rPr>
              <w:t>2.5</w:t>
            </w:r>
            <w:r>
              <w:rPr>
                <w:kern w:val="21"/>
                <w:sz w:val="21"/>
                <w:szCs w:val="21"/>
              </w:rPr>
              <w:t>、</w:t>
            </w:r>
            <w:r>
              <w:rPr>
                <w:rFonts w:ascii="Times New Roman" w:eastAsia="Times New Roman"/>
                <w:kern w:val="21"/>
                <w:sz w:val="21"/>
                <w:szCs w:val="21"/>
              </w:rPr>
              <w:t>SO</w:t>
            </w:r>
            <w:r>
              <w:rPr>
                <w:rFonts w:ascii="Times New Roman" w:eastAsia="Times New Roman"/>
                <w:kern w:val="21"/>
                <w:sz w:val="21"/>
                <w:szCs w:val="21"/>
                <w:vertAlign w:val="subscript"/>
              </w:rPr>
              <w:t>2</w:t>
            </w:r>
            <w:r>
              <w:rPr>
                <w:kern w:val="21"/>
                <w:sz w:val="21"/>
                <w:szCs w:val="21"/>
              </w:rPr>
              <w:t>、</w:t>
            </w:r>
            <w:r>
              <w:rPr>
                <w:rFonts w:ascii="Times New Roman" w:eastAsia="Times New Roman"/>
                <w:kern w:val="21"/>
                <w:sz w:val="21"/>
                <w:szCs w:val="21"/>
              </w:rPr>
              <w:t>NO</w:t>
            </w:r>
            <w:r>
              <w:rPr>
                <w:rFonts w:ascii="Times New Roman" w:eastAsia="Times New Roman"/>
                <w:kern w:val="21"/>
                <w:sz w:val="21"/>
                <w:szCs w:val="21"/>
                <w:vertAlign w:val="subscript"/>
              </w:rPr>
              <w:t>2</w:t>
            </w:r>
            <w:r>
              <w:rPr>
                <w:kern w:val="21"/>
                <w:sz w:val="21"/>
                <w:szCs w:val="21"/>
              </w:rPr>
              <w:t>、</w:t>
            </w:r>
            <w:r>
              <w:rPr>
                <w:rFonts w:ascii="Times New Roman" w:eastAsia="Times New Roman"/>
                <w:kern w:val="21"/>
                <w:sz w:val="21"/>
                <w:szCs w:val="21"/>
              </w:rPr>
              <w:t>CO</w:t>
            </w:r>
            <w:r>
              <w:rPr>
                <w:kern w:val="21"/>
                <w:sz w:val="21"/>
                <w:szCs w:val="21"/>
              </w:rPr>
              <w:t>、</w:t>
            </w:r>
            <w:r>
              <w:rPr>
                <w:rFonts w:ascii="Times New Roman" w:eastAsia="Times New Roman"/>
                <w:kern w:val="21"/>
                <w:sz w:val="21"/>
                <w:szCs w:val="21"/>
              </w:rPr>
              <w:t>O</w:t>
            </w:r>
            <w:r>
              <w:rPr>
                <w:rFonts w:ascii="Times New Roman" w:eastAsia="Times New Roman"/>
                <w:kern w:val="21"/>
                <w:sz w:val="21"/>
                <w:szCs w:val="21"/>
                <w:vertAlign w:val="subscript"/>
              </w:rPr>
              <w:t>3</w:t>
            </w:r>
            <w:r>
              <w:rPr>
                <w:rFonts w:hint="eastAsia" w:ascii="Times New Roman"/>
                <w:kern w:val="21"/>
                <w:sz w:val="21"/>
                <w:szCs w:val="21"/>
              </w:rPr>
              <w:t>、</w:t>
            </w:r>
            <w:r>
              <w:rPr>
                <w:rFonts w:hint="eastAsia" w:ascii="Times New Roman" w:eastAsia="Times New Roman"/>
                <w:kern w:val="21"/>
                <w:sz w:val="21"/>
                <w:szCs w:val="21"/>
                <w:lang w:val="en-US"/>
              </w:rPr>
              <w:t>非甲烷总烃、</w:t>
            </w:r>
            <w:r>
              <w:rPr>
                <w:rFonts w:hint="eastAsia" w:ascii="Times New Roman" w:eastAsia="宋体"/>
                <w:kern w:val="21"/>
                <w:sz w:val="21"/>
                <w:szCs w:val="21"/>
                <w:lang w:val="en-US" w:eastAsia="zh-CN"/>
              </w:rPr>
              <w:t>氨、</w:t>
            </w:r>
            <w:r>
              <w:rPr>
                <w:rFonts w:hint="eastAsia" w:ascii="Times New Roman" w:eastAsia="Times New Roman"/>
                <w:kern w:val="21"/>
                <w:sz w:val="21"/>
                <w:szCs w:val="21"/>
                <w:lang w:val="en-US"/>
              </w:rPr>
              <w:t>硫化氢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污染源</w:t>
            </w:r>
          </w:p>
        </w:tc>
        <w:tc>
          <w:tcPr>
            <w:tcW w:w="6708" w:type="dxa"/>
            <w:tcBorders>
              <w:tl2br w:val="nil"/>
              <w:tr2bl w:val="nil"/>
            </w:tcBorders>
            <w:vAlign w:val="center"/>
          </w:tcPr>
          <w:p>
            <w:pPr>
              <w:pStyle w:val="39"/>
              <w:autoSpaceDE w:val="0"/>
              <w:autoSpaceDN w:val="0"/>
              <w:spacing w:line="240" w:lineRule="auto"/>
              <w:ind w:firstLine="0" w:firstLineChars="0"/>
              <w:rPr>
                <w:rFonts w:ascii="Times New Roman" w:eastAsia="Times New Roman"/>
                <w:kern w:val="21"/>
                <w:sz w:val="21"/>
                <w:szCs w:val="21"/>
              </w:rPr>
            </w:pPr>
            <w:r>
              <w:rPr>
                <w:rFonts w:hint="eastAsia" w:ascii="Times New Roman" w:eastAsia="宋体"/>
                <w:kern w:val="21"/>
                <w:sz w:val="21"/>
                <w:szCs w:val="21"/>
                <w:lang w:val="en-US" w:eastAsia="zh-CN"/>
              </w:rPr>
              <w:t>颗粒物、</w:t>
            </w:r>
            <w:r>
              <w:rPr>
                <w:rFonts w:hint="eastAsia" w:ascii="Times New Roman" w:eastAsia="Times New Roman"/>
                <w:kern w:val="21"/>
                <w:sz w:val="21"/>
                <w:szCs w:val="21"/>
                <w:lang w:val="en-US"/>
              </w:rPr>
              <w:t>非甲烷总烃、</w:t>
            </w:r>
            <w:r>
              <w:rPr>
                <w:rFonts w:hint="eastAsia" w:ascii="Times New Roman" w:eastAsia="宋体"/>
                <w:kern w:val="21"/>
                <w:sz w:val="21"/>
                <w:szCs w:val="21"/>
                <w:lang w:val="en-US" w:eastAsia="zh-CN"/>
              </w:rPr>
              <w:t>氨、</w:t>
            </w:r>
            <w:r>
              <w:rPr>
                <w:rFonts w:hint="eastAsia" w:ascii="Times New Roman" w:eastAsia="Times New Roman"/>
                <w:kern w:val="21"/>
                <w:sz w:val="21"/>
                <w:szCs w:val="21"/>
                <w:lang w:val="en-US"/>
              </w:rPr>
              <w:t>硫化氢、丙烯酸、甲基丙烯酸</w:t>
            </w:r>
            <w:r>
              <w:rPr>
                <w:rFonts w:hint="eastAsia" w:ascii="Times New Roman" w:eastAsia="宋体"/>
                <w:kern w:val="21"/>
                <w:sz w:val="21"/>
                <w:szCs w:val="21"/>
                <w:lang w:val="en-US" w:eastAsia="zh-CN"/>
              </w:rPr>
              <w:t>甲</w:t>
            </w:r>
            <w:r>
              <w:rPr>
                <w:rFonts w:hint="eastAsia" w:ascii="Times New Roman" w:eastAsia="Times New Roman"/>
                <w:kern w:val="21"/>
                <w:sz w:val="21"/>
                <w:szCs w:val="21"/>
                <w:lang w:val="en-US"/>
              </w:rPr>
              <w:t>酯、丙烯酸丁酯、油烟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rFonts w:hint="eastAsia"/>
                <w:kern w:val="21"/>
                <w:sz w:val="21"/>
                <w:szCs w:val="21"/>
              </w:rPr>
              <w:t>总量控制因子</w:t>
            </w:r>
          </w:p>
        </w:tc>
        <w:tc>
          <w:tcPr>
            <w:tcW w:w="6708" w:type="dxa"/>
            <w:tcBorders>
              <w:tl2br w:val="nil"/>
              <w:tr2bl w:val="nil"/>
            </w:tcBorders>
            <w:vAlign w:val="center"/>
          </w:tcPr>
          <w:p>
            <w:pPr>
              <w:pStyle w:val="39"/>
              <w:autoSpaceDE w:val="0"/>
              <w:autoSpaceDN w:val="0"/>
              <w:spacing w:line="240" w:lineRule="auto"/>
              <w:ind w:firstLine="0" w:firstLineChars="0"/>
              <w:rPr>
                <w:rFonts w:ascii="Times New Roman" w:eastAsia="Times New Roman"/>
                <w:kern w:val="21"/>
                <w:sz w:val="21"/>
                <w:szCs w:val="21"/>
              </w:rPr>
            </w:pPr>
            <w:r>
              <w:rPr>
                <w:rFonts w:hint="eastAsia" w:ascii="Times New Roman" w:eastAsia="Times New Roman"/>
                <w:kern w:val="21"/>
                <w:sz w:val="21"/>
                <w:szCs w:val="21"/>
                <w:lang w:val="en-US"/>
              </w:rPr>
              <w:t>非甲烷总烃、</w:t>
            </w:r>
            <w:r>
              <w:rPr>
                <w:rFonts w:hint="eastAsia" w:ascii="Times New Roman"/>
                <w:kern w:val="21"/>
                <w:sz w:val="21"/>
                <w:szCs w:val="21"/>
                <w:lang w:val="en-US" w:eastAsia="zh-CN"/>
              </w:rPr>
              <w:t>颗粒物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961" w:type="dxa"/>
            <w:vMerge w:val="restart"/>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地表水环境</w:t>
            </w: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现状评价</w:t>
            </w:r>
          </w:p>
        </w:tc>
        <w:tc>
          <w:tcPr>
            <w:tcW w:w="670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kern w:val="21"/>
                <w:sz w:val="21"/>
                <w:szCs w:val="21"/>
              </w:rPr>
            </w:pPr>
            <w:r>
              <w:rPr>
                <w:rFonts w:hint="default" w:ascii="Times New Roman" w:hAnsi="Times New Roman" w:cs="Times New Roman"/>
                <w:color w:val="auto"/>
                <w:sz w:val="21"/>
                <w:szCs w:val="21"/>
              </w:rPr>
              <w:t>pH、高锰酸盐指数、COD、BOD</w:t>
            </w:r>
            <w:r>
              <w:rPr>
                <w:rFonts w:hint="default" w:ascii="Times New Roman" w:hAnsi="Times New Roman" w:cs="Times New Roman"/>
                <w:color w:val="auto"/>
                <w:sz w:val="21"/>
                <w:szCs w:val="21"/>
                <w:vertAlign w:val="subscript"/>
              </w:rPr>
              <w:t>5</w:t>
            </w:r>
            <w:r>
              <w:rPr>
                <w:rFonts w:hint="default" w:ascii="Times New Roman" w:hAnsi="Times New Roman" w:cs="Times New Roman"/>
                <w:color w:val="auto"/>
                <w:sz w:val="21"/>
                <w:szCs w:val="21"/>
              </w:rPr>
              <w:t>、氨氮、总磷、铜、锌、氟化物、硒、砷、汞、镉、铅、六价铬、氰化物、挥发酚、石油类、阴离子表面活性剂、硫化物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污染源</w:t>
            </w:r>
          </w:p>
        </w:tc>
        <w:tc>
          <w:tcPr>
            <w:tcW w:w="670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kern w:val="21"/>
                <w:sz w:val="21"/>
                <w:szCs w:val="21"/>
                <w:lang w:val="en-US" w:eastAsia="zh-CN"/>
              </w:rPr>
            </w:pPr>
            <w:r>
              <w:rPr>
                <w:rFonts w:hint="default" w:ascii="Times New Roman" w:hAnsi="Times New Roman" w:cs="Times New Roman"/>
                <w:color w:val="auto"/>
                <w:sz w:val="21"/>
                <w:szCs w:val="21"/>
              </w:rPr>
              <w:t>pH、COD、BOD</w:t>
            </w:r>
            <w:r>
              <w:rPr>
                <w:rFonts w:hint="default" w:ascii="Times New Roman" w:hAnsi="Times New Roman" w:cs="Times New Roman"/>
                <w:color w:val="auto"/>
                <w:sz w:val="21"/>
                <w:szCs w:val="21"/>
                <w:vertAlign w:val="subscript"/>
              </w:rPr>
              <w:t>5</w:t>
            </w:r>
            <w:r>
              <w:rPr>
                <w:rFonts w:hint="default" w:ascii="Times New Roman" w:hAnsi="Times New Roman" w:cs="Times New Roman"/>
                <w:color w:val="auto"/>
                <w:sz w:val="21"/>
                <w:szCs w:val="21"/>
              </w:rPr>
              <w:t>、SS、NH</w:t>
            </w:r>
            <w:r>
              <w:rPr>
                <w:rFonts w:hint="default" w:ascii="Times New Roman" w:hAnsi="Times New Roman" w:cs="Times New Roman"/>
                <w:color w:val="auto"/>
                <w:sz w:val="21"/>
                <w:szCs w:val="21"/>
                <w:vertAlign w:val="subscript"/>
              </w:rPr>
              <w:t>3</w:t>
            </w:r>
            <w:r>
              <w:rPr>
                <w:rFonts w:hint="default" w:ascii="Times New Roman" w:hAnsi="Times New Roman" w:cs="Times New Roman"/>
                <w:color w:val="auto"/>
                <w:sz w:val="21"/>
                <w:szCs w:val="21"/>
              </w:rPr>
              <w:t>-N</w:t>
            </w:r>
            <w:r>
              <w:rPr>
                <w:rFonts w:hint="eastAsia" w:ascii="Times New Roman" w:hAnsi="Times New Roman" w:cs="Times New Roman"/>
                <w:color w:val="auto"/>
                <w:sz w:val="21"/>
                <w:szCs w:val="21"/>
                <w:lang w:eastAsia="zh-CN"/>
              </w:rPr>
              <w:t>、</w:t>
            </w:r>
            <w:r>
              <w:rPr>
                <w:rFonts w:hint="eastAsia" w:cs="Times New Roman"/>
                <w:color w:val="auto"/>
                <w:sz w:val="21"/>
                <w:szCs w:val="21"/>
                <w:lang w:eastAsia="zh-CN"/>
              </w:rPr>
              <w:t>动植物油、</w:t>
            </w:r>
            <w:r>
              <w:rPr>
                <w:rFonts w:hint="eastAsia" w:cs="Times New Roman"/>
                <w:color w:val="auto"/>
                <w:sz w:val="21"/>
                <w:szCs w:val="21"/>
                <w:lang w:val="en-US" w:eastAsia="zh-CN"/>
              </w:rPr>
              <w:t>TN、TP</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rFonts w:hint="eastAsia" w:eastAsia="宋体"/>
                <w:kern w:val="21"/>
                <w:sz w:val="21"/>
                <w:szCs w:val="21"/>
                <w:lang w:eastAsia="zh-CN"/>
              </w:rPr>
            </w:pPr>
            <w:r>
              <w:rPr>
                <w:rFonts w:hint="eastAsia"/>
                <w:kern w:val="21"/>
                <w:sz w:val="21"/>
                <w:szCs w:val="21"/>
                <w:lang w:eastAsia="zh-CN"/>
              </w:rPr>
              <w:t>总量控制因子</w:t>
            </w:r>
          </w:p>
        </w:tc>
        <w:tc>
          <w:tcPr>
            <w:tcW w:w="670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eastAsiaTheme="minorEastAsia"/>
                <w:kern w:val="21"/>
                <w:sz w:val="21"/>
                <w:szCs w:val="21"/>
              </w:rPr>
            </w:pPr>
            <w:r>
              <w:rPr>
                <w:rFonts w:hint="default" w:ascii="Times New Roman" w:hAnsi="Times New Roman" w:cs="Times New Roman"/>
                <w:color w:val="auto"/>
                <w:sz w:val="21"/>
                <w:szCs w:val="21"/>
              </w:rPr>
              <w:t>COD、NH</w:t>
            </w:r>
            <w:r>
              <w:rPr>
                <w:rFonts w:hint="default" w:ascii="Times New Roman" w:hAnsi="Times New Roman" w:cs="Times New Roman"/>
                <w:color w:val="auto"/>
                <w:sz w:val="21"/>
                <w:szCs w:val="21"/>
                <w:vertAlign w:val="subscript"/>
              </w:rPr>
              <w:t>3</w:t>
            </w:r>
            <w:r>
              <w:rPr>
                <w:rFonts w:hint="default" w:ascii="Times New Roman" w:hAnsi="Times New Roman" w:cs="Times New Roman"/>
                <w:color w:val="auto"/>
                <w:sz w:val="21"/>
                <w:szCs w:val="21"/>
              </w:rPr>
              <w:t>-N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restart"/>
            <w:tcBorders>
              <w:tl2br w:val="nil"/>
              <w:tr2bl w:val="nil"/>
            </w:tcBorders>
            <w:vAlign w:val="center"/>
          </w:tcPr>
          <w:p>
            <w:pPr>
              <w:autoSpaceDE w:val="0"/>
              <w:autoSpaceDN w:val="0"/>
              <w:spacing w:line="240" w:lineRule="auto"/>
              <w:ind w:firstLine="0" w:firstLineChars="0"/>
              <w:jc w:val="center"/>
              <w:rPr>
                <w:kern w:val="21"/>
                <w:sz w:val="21"/>
                <w:szCs w:val="21"/>
              </w:rPr>
            </w:pPr>
            <w:r>
              <w:rPr>
                <w:kern w:val="21"/>
                <w:sz w:val="21"/>
                <w:szCs w:val="21"/>
              </w:rPr>
              <w:t>地下水环境</w:t>
            </w: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现状评价</w:t>
            </w:r>
          </w:p>
        </w:tc>
        <w:tc>
          <w:tcPr>
            <w:tcW w:w="6708" w:type="dxa"/>
            <w:tcBorders>
              <w:tl2br w:val="nil"/>
              <w:tr2bl w:val="nil"/>
            </w:tcBorders>
            <w:vAlign w:val="center"/>
          </w:tcPr>
          <w:p>
            <w:pPr>
              <w:widowControl/>
              <w:autoSpaceDE w:val="0"/>
              <w:autoSpaceDN w:val="0"/>
              <w:spacing w:line="240" w:lineRule="auto"/>
              <w:ind w:firstLine="0" w:firstLineChars="0"/>
              <w:jc w:val="center"/>
              <w:rPr>
                <w:rFonts w:cs="Times New Roman"/>
                <w:color w:val="000000"/>
                <w:kern w:val="21"/>
                <w:sz w:val="21"/>
                <w:szCs w:val="21"/>
                <w:lang w:bidi="ar"/>
              </w:rPr>
            </w:pPr>
            <w:r>
              <w:rPr>
                <w:rFonts w:cs="Times New Roman"/>
                <w:color w:val="000000"/>
                <w:kern w:val="21"/>
                <w:sz w:val="21"/>
                <w:szCs w:val="21"/>
                <w:lang w:bidi="ar"/>
              </w:rPr>
              <w:t>pH、</w:t>
            </w:r>
            <w:r>
              <w:rPr>
                <w:rFonts w:hint="eastAsia" w:cs="Times New Roman"/>
                <w:color w:val="000000"/>
                <w:kern w:val="21"/>
                <w:sz w:val="21"/>
                <w:szCs w:val="21"/>
                <w:lang w:bidi="ar"/>
              </w:rPr>
              <w:t>耗氧量</w:t>
            </w:r>
            <w:r>
              <w:rPr>
                <w:rFonts w:cs="Times New Roman"/>
                <w:color w:val="000000"/>
                <w:kern w:val="21"/>
                <w:sz w:val="21"/>
                <w:szCs w:val="21"/>
                <w:lang w:bidi="ar"/>
              </w:rPr>
              <w:t>、溶解性总固体、总硬度、硝酸盐、亚硝酸盐、氨氮、挥发性酚类、氰化物、氟化物、砷、铅、汞、</w:t>
            </w:r>
            <w:r>
              <w:rPr>
                <w:rFonts w:hint="eastAsia" w:cs="Times New Roman"/>
                <w:color w:val="000000"/>
                <w:kern w:val="21"/>
                <w:sz w:val="21"/>
                <w:szCs w:val="21"/>
                <w:lang w:bidi="ar"/>
              </w:rPr>
              <w:t>六价铬</w:t>
            </w:r>
            <w:r>
              <w:rPr>
                <w:rFonts w:cs="Times New Roman"/>
                <w:color w:val="000000"/>
                <w:kern w:val="21"/>
                <w:sz w:val="21"/>
                <w:szCs w:val="21"/>
                <w:lang w:bidi="ar"/>
              </w:rPr>
              <w:t>、镉、铁、锰、</w:t>
            </w:r>
            <w:r>
              <w:rPr>
                <w:rFonts w:hint="eastAsia" w:cs="Times New Roman"/>
                <w:color w:val="000000"/>
                <w:kern w:val="21"/>
                <w:sz w:val="21"/>
                <w:szCs w:val="21"/>
                <w:lang w:bidi="ar"/>
              </w:rPr>
              <w:t>锌、</w:t>
            </w:r>
            <w:r>
              <w:rPr>
                <w:rFonts w:cs="Times New Roman"/>
                <w:color w:val="000000"/>
                <w:kern w:val="21"/>
                <w:sz w:val="21"/>
                <w:szCs w:val="21"/>
                <w:lang w:bidi="ar"/>
              </w:rPr>
              <w:t>总大肠菌群、硫酸盐、氯化物、菌落总数等共2</w:t>
            </w:r>
            <w:r>
              <w:rPr>
                <w:rFonts w:hint="eastAsia" w:cs="Times New Roman"/>
                <w:color w:val="000000"/>
                <w:kern w:val="21"/>
                <w:sz w:val="21"/>
                <w:szCs w:val="21"/>
                <w:lang w:bidi="ar"/>
              </w:rPr>
              <w:t>2</w:t>
            </w:r>
            <w:r>
              <w:rPr>
                <w:rFonts w:cs="Times New Roman"/>
                <w:color w:val="000000"/>
                <w:kern w:val="21"/>
                <w:sz w:val="21"/>
                <w:szCs w:val="21"/>
                <w:lang w:bidi="ar"/>
              </w:rPr>
              <w:t>项</w:t>
            </w:r>
            <w:r>
              <w:rPr>
                <w:rFonts w:hint="eastAsia" w:cs="Times New Roman"/>
                <w:color w:val="000000"/>
                <w:kern w:val="21"/>
                <w:sz w:val="21"/>
                <w:szCs w:val="21"/>
                <w:lang w:bidi="ar"/>
              </w:rPr>
              <w:t>、井深、水位和水温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污染源</w:t>
            </w:r>
          </w:p>
        </w:tc>
        <w:tc>
          <w:tcPr>
            <w:tcW w:w="6708" w:type="dxa"/>
            <w:tcBorders>
              <w:tl2br w:val="nil"/>
              <w:tr2bl w:val="nil"/>
            </w:tcBorders>
            <w:vAlign w:val="center"/>
          </w:tcPr>
          <w:p>
            <w:pPr>
              <w:widowControl/>
              <w:autoSpaceDE w:val="0"/>
              <w:autoSpaceDN w:val="0"/>
              <w:spacing w:line="240" w:lineRule="auto"/>
              <w:ind w:firstLine="0" w:firstLineChars="0"/>
              <w:jc w:val="center"/>
              <w:rPr>
                <w:rFonts w:cs="Times New Roman"/>
                <w:color w:val="000000"/>
                <w:kern w:val="21"/>
                <w:sz w:val="21"/>
                <w:szCs w:val="21"/>
                <w:lang w:bidi="ar"/>
              </w:rPr>
            </w:pPr>
            <w:r>
              <w:rPr>
                <w:rFonts w:hint="eastAsia" w:cs="Times New Roman"/>
                <w:color w:val="000000"/>
                <w:kern w:val="21"/>
                <w:sz w:val="21"/>
                <w:szCs w:val="21"/>
                <w:lang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影响评价</w:t>
            </w:r>
          </w:p>
        </w:tc>
        <w:tc>
          <w:tcPr>
            <w:tcW w:w="6708" w:type="dxa"/>
            <w:tcBorders>
              <w:tl2br w:val="nil"/>
              <w:tr2bl w:val="nil"/>
            </w:tcBorders>
            <w:vAlign w:val="center"/>
          </w:tcPr>
          <w:p>
            <w:pPr>
              <w:widowControl/>
              <w:autoSpaceDE w:val="0"/>
              <w:autoSpaceDN w:val="0"/>
              <w:spacing w:line="240" w:lineRule="auto"/>
              <w:ind w:firstLine="0" w:firstLineChars="0"/>
              <w:jc w:val="center"/>
              <w:rPr>
                <w:rFonts w:hint="eastAsia" w:eastAsia="宋体" w:cs="Times New Roman"/>
                <w:color w:val="000000"/>
                <w:kern w:val="21"/>
                <w:sz w:val="21"/>
                <w:szCs w:val="21"/>
                <w:lang w:eastAsia="zh-CN" w:bidi="ar"/>
              </w:rPr>
            </w:pPr>
            <w:r>
              <w:rPr>
                <w:rFonts w:hint="eastAsia" w:cs="Times New Roman"/>
                <w:color w:val="000000"/>
                <w:kern w:val="21"/>
                <w:sz w:val="21"/>
                <w:szCs w:val="21"/>
                <w:lang w:bidi="ar"/>
              </w:rPr>
              <w:t>耗氧量</w:t>
            </w:r>
            <w:r>
              <w:rPr>
                <w:rFonts w:cs="Times New Roman"/>
                <w:color w:val="000000"/>
                <w:kern w:val="21"/>
                <w:sz w:val="21"/>
                <w:szCs w:val="21"/>
                <w:lang w:bidi="ar"/>
              </w:rPr>
              <w:t>、氨氮</w:t>
            </w:r>
            <w:r>
              <w:rPr>
                <w:rFonts w:hint="eastAsia" w:cs="Times New Roman"/>
                <w:color w:val="000000"/>
                <w:kern w:val="21"/>
                <w:sz w:val="21"/>
                <w:szCs w:val="21"/>
                <w:lang w:eastAsia="zh-CN" w:bidi="ar"/>
              </w:rPr>
              <w:t>、总氮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restart"/>
            <w:tcBorders>
              <w:tl2br w:val="nil"/>
              <w:tr2bl w:val="nil"/>
            </w:tcBorders>
            <w:vAlign w:val="center"/>
          </w:tcPr>
          <w:p>
            <w:pPr>
              <w:autoSpaceDE w:val="0"/>
              <w:autoSpaceDN w:val="0"/>
              <w:spacing w:line="240" w:lineRule="auto"/>
              <w:ind w:firstLine="0" w:firstLineChars="0"/>
              <w:jc w:val="center"/>
              <w:rPr>
                <w:kern w:val="21"/>
                <w:sz w:val="21"/>
                <w:szCs w:val="21"/>
              </w:rPr>
            </w:pPr>
            <w:r>
              <w:rPr>
                <w:kern w:val="21"/>
                <w:sz w:val="21"/>
                <w:szCs w:val="21"/>
              </w:rPr>
              <w:t>土壤环境</w:t>
            </w: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现状评价</w:t>
            </w:r>
          </w:p>
        </w:tc>
        <w:tc>
          <w:tcPr>
            <w:tcW w:w="6708" w:type="dxa"/>
            <w:tcBorders>
              <w:tl2br w:val="nil"/>
              <w:tr2bl w:val="nil"/>
            </w:tcBorders>
            <w:vAlign w:val="center"/>
          </w:tcPr>
          <w:p>
            <w:pPr>
              <w:widowControl/>
              <w:autoSpaceDE w:val="0"/>
              <w:autoSpaceDN w:val="0"/>
              <w:spacing w:line="240" w:lineRule="auto"/>
              <w:ind w:firstLine="0" w:firstLineChars="0"/>
              <w:jc w:val="center"/>
              <w:rPr>
                <w:rFonts w:cs="Times New Roman"/>
                <w:color w:val="000000"/>
                <w:kern w:val="21"/>
                <w:sz w:val="21"/>
                <w:szCs w:val="21"/>
                <w:lang w:bidi="ar"/>
              </w:rPr>
            </w:pPr>
            <w:r>
              <w:rPr>
                <w:rFonts w:cs="Times New Roman"/>
                <w:color w:val="000000"/>
                <w:kern w:val="21"/>
                <w:sz w:val="21"/>
                <w:szCs w:val="21"/>
                <w:lang w:bidi="ar"/>
              </w:rPr>
              <w:t>pH</w:t>
            </w:r>
            <w:r>
              <w:rPr>
                <w:rFonts w:hint="eastAsia" w:cs="Times New Roman"/>
                <w:color w:val="000000"/>
                <w:kern w:val="21"/>
                <w:sz w:val="21"/>
                <w:szCs w:val="21"/>
                <w:lang w:bidi="ar"/>
              </w:rPr>
              <w:t>、锌、砷、镉、铬（六价）、铜、铅、汞、镍、四氯化碳、氯仿、氯甲烷、</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1-</w:t>
            </w:r>
            <w:r>
              <w:rPr>
                <w:rFonts w:hint="eastAsia" w:cs="Times New Roman"/>
                <w:color w:val="000000"/>
                <w:kern w:val="21"/>
                <w:sz w:val="21"/>
                <w:szCs w:val="21"/>
                <w:lang w:bidi="ar"/>
              </w:rPr>
              <w:t>二氯乙烷、</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二氯乙烷、</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1-</w:t>
            </w:r>
            <w:r>
              <w:rPr>
                <w:rFonts w:hint="eastAsia" w:cs="Times New Roman"/>
                <w:color w:val="000000"/>
                <w:kern w:val="21"/>
                <w:sz w:val="21"/>
                <w:szCs w:val="21"/>
                <w:lang w:bidi="ar"/>
              </w:rPr>
              <w:t>二氯乙烯、顺</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二氯乙烯、反</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二氯乙烯、二氯甲烷、</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二氯丙烷、</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四氯乙烷、</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四氯乙烷、四氯乙烯、</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1-</w:t>
            </w:r>
            <w:r>
              <w:rPr>
                <w:rFonts w:hint="eastAsia" w:cs="Times New Roman"/>
                <w:color w:val="000000"/>
                <w:kern w:val="21"/>
                <w:sz w:val="21"/>
                <w:szCs w:val="21"/>
                <w:lang w:bidi="ar"/>
              </w:rPr>
              <w:t>三氯乙烷、</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三氯乙烷、三氯乙烯、</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w:t>
            </w:r>
            <w:r>
              <w:rPr>
                <w:rFonts w:cs="Times New Roman"/>
                <w:color w:val="000000"/>
                <w:kern w:val="21"/>
                <w:sz w:val="21"/>
                <w:szCs w:val="21"/>
                <w:lang w:bidi="ar"/>
              </w:rPr>
              <w:t>3-</w:t>
            </w:r>
            <w:r>
              <w:rPr>
                <w:rFonts w:hint="eastAsia" w:cs="Times New Roman"/>
                <w:color w:val="000000"/>
                <w:kern w:val="21"/>
                <w:sz w:val="21"/>
                <w:szCs w:val="21"/>
                <w:lang w:bidi="ar"/>
              </w:rPr>
              <w:t>三氯丙烷、氯乙烯、苯、氯苯、</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二氯苯、</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4-</w:t>
            </w:r>
            <w:r>
              <w:rPr>
                <w:rFonts w:hint="eastAsia" w:cs="Times New Roman"/>
                <w:color w:val="000000"/>
                <w:kern w:val="21"/>
                <w:sz w:val="21"/>
                <w:szCs w:val="21"/>
                <w:lang w:bidi="ar"/>
              </w:rPr>
              <w:t>二氯苯、乙苯、苯乙烯、</w:t>
            </w:r>
            <w:r>
              <w:rPr>
                <w:rFonts w:hint="eastAsia" w:cs="Times New Roman"/>
                <w:color w:val="000000"/>
                <w:kern w:val="21"/>
                <w:sz w:val="21"/>
                <w:szCs w:val="21"/>
                <w:lang w:eastAsia="zh-CN" w:bidi="ar"/>
              </w:rPr>
              <w:t>甲苯</w:t>
            </w:r>
            <w:r>
              <w:rPr>
                <w:rFonts w:hint="eastAsia" w:cs="Times New Roman"/>
                <w:color w:val="000000"/>
                <w:kern w:val="21"/>
                <w:sz w:val="21"/>
                <w:szCs w:val="21"/>
                <w:lang w:bidi="ar"/>
              </w:rPr>
              <w:t>、间二</w:t>
            </w:r>
            <w:r>
              <w:rPr>
                <w:rFonts w:hint="eastAsia" w:cs="Times New Roman"/>
                <w:color w:val="000000"/>
                <w:kern w:val="21"/>
                <w:sz w:val="21"/>
                <w:szCs w:val="21"/>
                <w:lang w:eastAsia="zh-CN" w:bidi="ar"/>
              </w:rPr>
              <w:t>甲苯</w:t>
            </w:r>
            <w:r>
              <w:rPr>
                <w:rFonts w:cs="Times New Roman"/>
                <w:color w:val="000000"/>
                <w:kern w:val="21"/>
                <w:sz w:val="21"/>
                <w:szCs w:val="21"/>
                <w:lang w:bidi="ar"/>
              </w:rPr>
              <w:t>+</w:t>
            </w:r>
            <w:r>
              <w:rPr>
                <w:rFonts w:hint="eastAsia" w:cs="Times New Roman"/>
                <w:color w:val="000000"/>
                <w:kern w:val="21"/>
                <w:sz w:val="21"/>
                <w:szCs w:val="21"/>
                <w:lang w:bidi="ar"/>
              </w:rPr>
              <w:t>对二</w:t>
            </w:r>
            <w:r>
              <w:rPr>
                <w:rFonts w:hint="eastAsia" w:cs="Times New Roman"/>
                <w:color w:val="000000"/>
                <w:kern w:val="21"/>
                <w:sz w:val="21"/>
                <w:szCs w:val="21"/>
                <w:lang w:eastAsia="zh-CN" w:bidi="ar"/>
              </w:rPr>
              <w:t>甲苯</w:t>
            </w:r>
            <w:r>
              <w:rPr>
                <w:rFonts w:hint="eastAsia" w:cs="Times New Roman"/>
                <w:color w:val="000000"/>
                <w:kern w:val="21"/>
                <w:sz w:val="21"/>
                <w:szCs w:val="21"/>
                <w:lang w:bidi="ar"/>
              </w:rPr>
              <w:t>、邻二</w:t>
            </w:r>
            <w:r>
              <w:rPr>
                <w:rFonts w:hint="eastAsia" w:cs="Times New Roman"/>
                <w:color w:val="000000"/>
                <w:kern w:val="21"/>
                <w:sz w:val="21"/>
                <w:szCs w:val="21"/>
                <w:lang w:eastAsia="zh-CN" w:bidi="ar"/>
              </w:rPr>
              <w:t>甲苯</w:t>
            </w:r>
            <w:r>
              <w:rPr>
                <w:rFonts w:hint="eastAsia" w:cs="Times New Roman"/>
                <w:color w:val="000000"/>
                <w:kern w:val="21"/>
                <w:sz w:val="21"/>
                <w:szCs w:val="21"/>
                <w:lang w:bidi="ar"/>
              </w:rPr>
              <w:t>、硝基苯、苯胺、</w:t>
            </w:r>
            <w:r>
              <w:rPr>
                <w:rFonts w:cs="Times New Roman"/>
                <w:color w:val="000000"/>
                <w:kern w:val="21"/>
                <w:sz w:val="21"/>
                <w:szCs w:val="21"/>
                <w:lang w:bidi="ar"/>
              </w:rPr>
              <w:t>2-</w:t>
            </w:r>
            <w:r>
              <w:rPr>
                <w:rFonts w:hint="eastAsia" w:cs="Times New Roman"/>
                <w:color w:val="000000"/>
                <w:kern w:val="21"/>
                <w:sz w:val="21"/>
                <w:szCs w:val="21"/>
                <w:lang w:bidi="ar"/>
              </w:rPr>
              <w:t>氯酚、苯并〔</w:t>
            </w:r>
            <w:r>
              <w:rPr>
                <w:rFonts w:cs="Times New Roman"/>
                <w:color w:val="000000"/>
                <w:kern w:val="21"/>
                <w:sz w:val="21"/>
                <w:szCs w:val="21"/>
                <w:lang w:bidi="ar"/>
              </w:rPr>
              <w:t>a</w:t>
            </w:r>
            <w:r>
              <w:rPr>
                <w:rFonts w:hint="eastAsia" w:cs="Times New Roman"/>
                <w:color w:val="000000"/>
                <w:kern w:val="21"/>
                <w:sz w:val="21"/>
                <w:szCs w:val="21"/>
                <w:lang w:bidi="ar"/>
              </w:rPr>
              <w:t>〕蔥、苯并〔</w:t>
            </w:r>
            <w:r>
              <w:rPr>
                <w:rFonts w:cs="Times New Roman"/>
                <w:color w:val="000000"/>
                <w:kern w:val="21"/>
                <w:sz w:val="21"/>
                <w:szCs w:val="21"/>
                <w:lang w:bidi="ar"/>
              </w:rPr>
              <w:t>a</w:t>
            </w:r>
            <w:r>
              <w:rPr>
                <w:rFonts w:hint="eastAsia" w:cs="Times New Roman"/>
                <w:color w:val="000000"/>
                <w:kern w:val="21"/>
                <w:sz w:val="21"/>
                <w:szCs w:val="21"/>
                <w:lang w:bidi="ar"/>
              </w:rPr>
              <w:t>〕芘、苯并〔</w:t>
            </w:r>
            <w:r>
              <w:rPr>
                <w:rFonts w:cs="Times New Roman"/>
                <w:color w:val="000000"/>
                <w:kern w:val="21"/>
                <w:sz w:val="21"/>
                <w:szCs w:val="21"/>
                <w:lang w:bidi="ar"/>
              </w:rPr>
              <w:t>b</w:t>
            </w:r>
            <w:r>
              <w:rPr>
                <w:rFonts w:hint="eastAsia" w:cs="Times New Roman"/>
                <w:color w:val="000000"/>
                <w:kern w:val="21"/>
                <w:sz w:val="21"/>
                <w:szCs w:val="21"/>
                <w:lang w:bidi="ar"/>
              </w:rPr>
              <w:t>〕荧蔥、苯并〔</w:t>
            </w:r>
            <w:r>
              <w:rPr>
                <w:rFonts w:cs="Times New Roman"/>
                <w:color w:val="000000"/>
                <w:kern w:val="21"/>
                <w:sz w:val="21"/>
                <w:szCs w:val="21"/>
                <w:lang w:bidi="ar"/>
              </w:rPr>
              <w:t>k</w:t>
            </w:r>
            <w:r>
              <w:rPr>
                <w:rFonts w:hint="eastAsia" w:cs="Times New Roman"/>
                <w:color w:val="000000"/>
                <w:kern w:val="21"/>
                <w:sz w:val="21"/>
                <w:szCs w:val="21"/>
                <w:lang w:bidi="ar"/>
              </w:rPr>
              <w:t>〕荧蔥、䓛、二苯并〔</w:t>
            </w:r>
            <w:r>
              <w:rPr>
                <w:rFonts w:cs="Times New Roman"/>
                <w:color w:val="000000"/>
                <w:kern w:val="21"/>
                <w:sz w:val="21"/>
                <w:szCs w:val="21"/>
                <w:lang w:bidi="ar"/>
              </w:rPr>
              <w:t>a</w:t>
            </w:r>
            <w:r>
              <w:rPr>
                <w:rFonts w:hint="eastAsia" w:cs="Times New Roman"/>
                <w:color w:val="000000"/>
                <w:kern w:val="21"/>
                <w:sz w:val="21"/>
                <w:szCs w:val="21"/>
                <w:lang w:bidi="ar"/>
              </w:rPr>
              <w:t>，</w:t>
            </w:r>
            <w:r>
              <w:rPr>
                <w:rFonts w:cs="Times New Roman"/>
                <w:color w:val="000000"/>
                <w:kern w:val="21"/>
                <w:sz w:val="21"/>
                <w:szCs w:val="21"/>
                <w:lang w:bidi="ar"/>
              </w:rPr>
              <w:t>h</w:t>
            </w:r>
            <w:r>
              <w:rPr>
                <w:rFonts w:hint="eastAsia" w:cs="Times New Roman"/>
                <w:color w:val="000000"/>
                <w:kern w:val="21"/>
                <w:sz w:val="21"/>
                <w:szCs w:val="21"/>
                <w:lang w:bidi="ar"/>
              </w:rPr>
              <w:t>〕蔥、茚并〔</w:t>
            </w:r>
            <w:r>
              <w:rPr>
                <w:rFonts w:cs="Times New Roman"/>
                <w:color w:val="000000"/>
                <w:kern w:val="21"/>
                <w:sz w:val="21"/>
                <w:szCs w:val="21"/>
                <w:lang w:bidi="ar"/>
              </w:rPr>
              <w:t>1</w:t>
            </w:r>
            <w:r>
              <w:rPr>
                <w:rFonts w:hint="eastAsia" w:cs="Times New Roman"/>
                <w:color w:val="000000"/>
                <w:kern w:val="21"/>
                <w:sz w:val="21"/>
                <w:szCs w:val="21"/>
                <w:lang w:bidi="ar"/>
              </w:rPr>
              <w:t>，</w:t>
            </w:r>
            <w:r>
              <w:rPr>
                <w:rFonts w:cs="Times New Roman"/>
                <w:color w:val="000000"/>
                <w:kern w:val="21"/>
                <w:sz w:val="21"/>
                <w:szCs w:val="21"/>
                <w:lang w:bidi="ar"/>
              </w:rPr>
              <w:t>2</w:t>
            </w:r>
            <w:r>
              <w:rPr>
                <w:rFonts w:hint="eastAsia" w:cs="Times New Roman"/>
                <w:color w:val="000000"/>
                <w:kern w:val="21"/>
                <w:sz w:val="21"/>
                <w:szCs w:val="21"/>
                <w:lang w:bidi="ar"/>
              </w:rPr>
              <w:t>，</w:t>
            </w:r>
            <w:r>
              <w:rPr>
                <w:rFonts w:cs="Times New Roman"/>
                <w:color w:val="000000"/>
                <w:kern w:val="21"/>
                <w:sz w:val="21"/>
                <w:szCs w:val="21"/>
                <w:lang w:bidi="ar"/>
              </w:rPr>
              <w:t>3-cd</w:t>
            </w:r>
            <w:r>
              <w:rPr>
                <w:rFonts w:hint="eastAsia" w:cs="Times New Roman"/>
                <w:color w:val="000000"/>
                <w:kern w:val="21"/>
                <w:sz w:val="21"/>
                <w:szCs w:val="21"/>
                <w:lang w:bidi="ar"/>
              </w:rPr>
              <w:t>〕芘、萘</w:t>
            </w:r>
            <w:r>
              <w:rPr>
                <w:rFonts w:cs="Times New Roman"/>
                <w:color w:val="000000"/>
                <w:kern w:val="21"/>
                <w:sz w:val="21"/>
                <w:szCs w:val="21"/>
                <w:lang w:bidi="ar"/>
              </w:rPr>
              <w:t>共</w:t>
            </w:r>
            <w:r>
              <w:rPr>
                <w:rFonts w:hint="eastAsia" w:cs="Times New Roman"/>
                <w:color w:val="000000"/>
                <w:kern w:val="21"/>
                <w:sz w:val="21"/>
                <w:szCs w:val="21"/>
                <w:lang w:bidi="ar"/>
              </w:rPr>
              <w:t>47</w:t>
            </w:r>
            <w:r>
              <w:rPr>
                <w:rFonts w:cs="Times New Roman"/>
                <w:color w:val="000000"/>
                <w:kern w:val="21"/>
                <w:sz w:val="21"/>
                <w:szCs w:val="21"/>
                <w:lang w:bidi="ar"/>
              </w:rPr>
              <w:t>项</w:t>
            </w:r>
            <w:r>
              <w:rPr>
                <w:rFonts w:hint="eastAsia" w:cs="Times New Roman"/>
                <w:color w:val="000000"/>
                <w:kern w:val="21"/>
                <w:sz w:val="21"/>
                <w:szCs w:val="21"/>
                <w:lang w:bidi="ar"/>
              </w:rPr>
              <w:t>因子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污染源</w:t>
            </w:r>
          </w:p>
        </w:tc>
        <w:tc>
          <w:tcPr>
            <w:tcW w:w="6708" w:type="dxa"/>
            <w:tcBorders>
              <w:tl2br w:val="nil"/>
              <w:tr2bl w:val="nil"/>
            </w:tcBorders>
            <w:vAlign w:val="center"/>
          </w:tcPr>
          <w:p>
            <w:pPr>
              <w:widowControl/>
              <w:autoSpaceDE w:val="0"/>
              <w:autoSpaceDN w:val="0"/>
              <w:spacing w:line="240" w:lineRule="auto"/>
              <w:ind w:firstLine="0" w:firstLineChars="0"/>
              <w:jc w:val="center"/>
              <w:rPr>
                <w:rFonts w:cs="Times New Roman"/>
                <w:color w:val="000000"/>
                <w:kern w:val="21"/>
                <w:sz w:val="21"/>
                <w:szCs w:val="21"/>
                <w:lang w:bidi="ar"/>
              </w:rPr>
            </w:pPr>
            <w:r>
              <w:rPr>
                <w:rFonts w:hint="eastAsia" w:cs="Times New Roman"/>
                <w:color w:val="000000"/>
                <w:kern w:val="21"/>
                <w:sz w:val="21"/>
                <w:szCs w:val="21"/>
                <w:lang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影响评价</w:t>
            </w:r>
          </w:p>
        </w:tc>
        <w:tc>
          <w:tcPr>
            <w:tcW w:w="6708" w:type="dxa"/>
            <w:tcBorders>
              <w:tl2br w:val="nil"/>
              <w:tr2bl w:val="nil"/>
            </w:tcBorders>
            <w:vAlign w:val="center"/>
          </w:tcPr>
          <w:p>
            <w:pPr>
              <w:widowControl/>
              <w:autoSpaceDE w:val="0"/>
              <w:autoSpaceDN w:val="0"/>
              <w:spacing w:line="240" w:lineRule="auto"/>
              <w:ind w:firstLine="0" w:firstLineChars="0"/>
              <w:jc w:val="center"/>
              <w:rPr>
                <w:rFonts w:cs="Times New Roman"/>
                <w:color w:val="000000"/>
                <w:kern w:val="21"/>
                <w:sz w:val="21"/>
                <w:szCs w:val="21"/>
                <w:lang w:bidi="ar"/>
              </w:rPr>
            </w:pPr>
            <w:r>
              <w:rPr>
                <w:rFonts w:hint="eastAsia" w:cs="Times New Roman"/>
                <w:color w:val="000000"/>
                <w:kern w:val="21"/>
                <w:sz w:val="21"/>
                <w:szCs w:val="21"/>
                <w:lang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restart"/>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声环境</w:t>
            </w: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现状评价</w:t>
            </w:r>
          </w:p>
        </w:tc>
        <w:tc>
          <w:tcPr>
            <w:tcW w:w="6708" w:type="dxa"/>
            <w:tcBorders>
              <w:tl2br w:val="nil"/>
              <w:tr2bl w:val="nil"/>
            </w:tcBorders>
            <w:vAlign w:val="center"/>
          </w:tcPr>
          <w:p>
            <w:pPr>
              <w:widowControl/>
              <w:autoSpaceDE w:val="0"/>
              <w:autoSpaceDN w:val="0"/>
              <w:spacing w:line="240" w:lineRule="auto"/>
              <w:ind w:firstLine="0" w:firstLineChars="0"/>
              <w:jc w:val="center"/>
              <w:rPr>
                <w:rFonts w:cs="Times New Roman"/>
                <w:color w:val="000000"/>
                <w:kern w:val="21"/>
                <w:sz w:val="21"/>
                <w:szCs w:val="21"/>
                <w:lang w:bidi="ar"/>
              </w:rPr>
            </w:pPr>
            <w:r>
              <w:rPr>
                <w:rFonts w:hint="eastAsia" w:cs="Times New Roman"/>
                <w:color w:val="000000"/>
                <w:kern w:val="21"/>
                <w:sz w:val="21"/>
                <w:szCs w:val="21"/>
                <w:lang w:bidi="ar"/>
              </w:rPr>
              <w:t>Leq</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污染源</w:t>
            </w:r>
          </w:p>
        </w:tc>
        <w:tc>
          <w:tcPr>
            <w:tcW w:w="6708" w:type="dxa"/>
            <w:tcBorders>
              <w:tl2br w:val="nil"/>
              <w:tr2bl w:val="nil"/>
            </w:tcBorders>
            <w:vAlign w:val="center"/>
          </w:tcPr>
          <w:p>
            <w:pPr>
              <w:widowControl/>
              <w:autoSpaceDE w:val="0"/>
              <w:autoSpaceDN w:val="0"/>
              <w:spacing w:line="240" w:lineRule="auto"/>
              <w:ind w:firstLine="0" w:firstLineChars="0"/>
              <w:jc w:val="center"/>
              <w:rPr>
                <w:rFonts w:cs="Times New Roman"/>
                <w:color w:val="000000"/>
                <w:kern w:val="21"/>
                <w:sz w:val="21"/>
                <w:szCs w:val="21"/>
                <w:lang w:bidi="ar"/>
              </w:rPr>
            </w:pPr>
            <w:r>
              <w:rPr>
                <w:rFonts w:hint="eastAsia" w:cs="Times New Roman"/>
                <w:color w:val="000000"/>
                <w:kern w:val="21"/>
                <w:sz w:val="21"/>
                <w:szCs w:val="21"/>
                <w:lang w:bidi="ar"/>
              </w:rPr>
              <w:t>LA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影响评价</w:t>
            </w:r>
          </w:p>
        </w:tc>
        <w:tc>
          <w:tcPr>
            <w:tcW w:w="6708" w:type="dxa"/>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21"/>
                <w:sz w:val="21"/>
                <w:szCs w:val="21"/>
                <w:lang w:val="en-US" w:bidi="ar"/>
              </w:rPr>
            </w:pPr>
            <w:r>
              <w:rPr>
                <w:rFonts w:ascii="Times New Roman"/>
                <w:kern w:val="21"/>
                <w:sz w:val="21"/>
                <w:szCs w:val="21"/>
              </w:rPr>
              <w:t>Leq</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restart"/>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固体废物</w:t>
            </w:r>
          </w:p>
        </w:tc>
        <w:tc>
          <w:tcPr>
            <w:tcW w:w="1480" w:type="dxa"/>
            <w:tcBorders>
              <w:tl2br w:val="nil"/>
              <w:tr2bl w:val="nil"/>
            </w:tcBorders>
            <w:vAlign w:val="center"/>
          </w:tcPr>
          <w:p>
            <w:pPr>
              <w:pStyle w:val="39"/>
              <w:autoSpaceDE w:val="0"/>
              <w:autoSpaceDN w:val="0"/>
              <w:spacing w:line="240" w:lineRule="auto"/>
              <w:ind w:firstLine="0" w:firstLineChars="0"/>
              <w:rPr>
                <w:color w:val="000000" w:themeColor="text1"/>
                <w:kern w:val="21"/>
                <w:sz w:val="21"/>
                <w:szCs w:val="21"/>
                <w14:textFill>
                  <w14:solidFill>
                    <w14:schemeClr w14:val="tx1"/>
                  </w14:solidFill>
                </w14:textFill>
              </w:rPr>
            </w:pPr>
            <w:r>
              <w:rPr>
                <w:color w:val="000000" w:themeColor="text1"/>
                <w:kern w:val="21"/>
                <w:sz w:val="21"/>
                <w:szCs w:val="21"/>
                <w14:textFill>
                  <w14:solidFill>
                    <w14:schemeClr w14:val="tx1"/>
                  </w14:solidFill>
                </w14:textFill>
              </w:rPr>
              <w:t>污染因子</w:t>
            </w:r>
          </w:p>
        </w:tc>
        <w:tc>
          <w:tcPr>
            <w:tcW w:w="6708" w:type="dxa"/>
            <w:vMerge w:val="restart"/>
            <w:tcBorders>
              <w:tl2br w:val="nil"/>
              <w:tr2bl w:val="nil"/>
            </w:tcBorders>
            <w:vAlign w:val="center"/>
          </w:tcPr>
          <w:p>
            <w:pPr>
              <w:widowControl/>
              <w:autoSpaceDE w:val="0"/>
              <w:autoSpaceDN w:val="0"/>
              <w:spacing w:line="240" w:lineRule="auto"/>
              <w:ind w:firstLine="0" w:firstLineChars="0"/>
              <w:jc w:val="center"/>
              <w:rPr>
                <w:color w:val="000000" w:themeColor="text1"/>
                <w:kern w:val="21"/>
                <w:sz w:val="21"/>
                <w:szCs w:val="21"/>
                <w14:textFill>
                  <w14:solidFill>
                    <w14:schemeClr w14:val="tx1"/>
                  </w14:solidFill>
                </w14:textFill>
              </w:rPr>
            </w:pPr>
            <w:r>
              <w:rPr>
                <w:rFonts w:hint="eastAsia"/>
                <w:color w:val="000000" w:themeColor="text1"/>
                <w:kern w:val="21"/>
                <w:sz w:val="21"/>
                <w:szCs w:val="21"/>
                <w14:textFill>
                  <w14:solidFill>
                    <w14:schemeClr w14:val="tx1"/>
                  </w14:solidFill>
                </w14:textFill>
              </w:rPr>
              <w:t>滤渣、废包装袋及包装桶、废活性炭、收集粉尘、</w:t>
            </w:r>
            <w:r>
              <w:rPr>
                <w:rFonts w:hint="eastAsia"/>
                <w:color w:val="000000" w:themeColor="text1"/>
                <w:kern w:val="21"/>
                <w:sz w:val="21"/>
                <w:szCs w:val="21"/>
                <w:lang w:eastAsia="zh-CN"/>
                <w14:textFill>
                  <w14:solidFill>
                    <w14:schemeClr w14:val="tx1"/>
                  </w14:solidFill>
                </w14:textFill>
              </w:rPr>
              <w:t>废机油、</w:t>
            </w:r>
            <w:r>
              <w:rPr>
                <w:rFonts w:hint="eastAsia"/>
                <w:color w:val="000000" w:themeColor="text1"/>
                <w:kern w:val="21"/>
                <w:sz w:val="21"/>
                <w:szCs w:val="21"/>
                <w14:textFill>
                  <w14:solidFill>
                    <w14:schemeClr w14:val="tx1"/>
                  </w14:solidFill>
                </w14:textFill>
              </w:rPr>
              <w:t>废弃边角料、污泥、生活垃圾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961" w:type="dxa"/>
            <w:vMerge w:val="continue"/>
            <w:tcBorders>
              <w:tl2br w:val="nil"/>
              <w:tr2bl w:val="nil"/>
            </w:tcBorders>
            <w:vAlign w:val="center"/>
          </w:tcPr>
          <w:p>
            <w:pPr>
              <w:autoSpaceDE w:val="0"/>
              <w:autoSpaceDN w:val="0"/>
              <w:spacing w:line="240" w:lineRule="auto"/>
              <w:ind w:firstLine="0" w:firstLineChars="0"/>
              <w:jc w:val="center"/>
              <w:rPr>
                <w:kern w:val="21"/>
                <w:sz w:val="21"/>
                <w:szCs w:val="21"/>
              </w:rPr>
            </w:pPr>
          </w:p>
        </w:tc>
        <w:tc>
          <w:tcPr>
            <w:tcW w:w="1480" w:type="dxa"/>
            <w:tcBorders>
              <w:tl2br w:val="nil"/>
              <w:tr2bl w:val="nil"/>
            </w:tcBorders>
            <w:vAlign w:val="center"/>
          </w:tcPr>
          <w:p>
            <w:pPr>
              <w:pStyle w:val="39"/>
              <w:autoSpaceDE w:val="0"/>
              <w:autoSpaceDN w:val="0"/>
              <w:spacing w:line="240" w:lineRule="auto"/>
              <w:ind w:firstLine="0" w:firstLineChars="0"/>
              <w:rPr>
                <w:kern w:val="21"/>
                <w:sz w:val="21"/>
                <w:szCs w:val="21"/>
              </w:rPr>
            </w:pPr>
            <w:r>
              <w:rPr>
                <w:kern w:val="21"/>
                <w:sz w:val="21"/>
                <w:szCs w:val="21"/>
              </w:rPr>
              <w:t>影响分析</w:t>
            </w:r>
          </w:p>
        </w:tc>
        <w:tc>
          <w:tcPr>
            <w:tcW w:w="6708" w:type="dxa"/>
            <w:vMerge w:val="continue"/>
            <w:tcBorders>
              <w:tl2br w:val="nil"/>
              <w:tr2bl w:val="nil"/>
            </w:tcBorders>
            <w:vAlign w:val="center"/>
          </w:tcPr>
          <w:p>
            <w:pPr>
              <w:pStyle w:val="39"/>
              <w:autoSpaceDE w:val="0"/>
              <w:autoSpaceDN w:val="0"/>
              <w:spacing w:line="240" w:lineRule="auto"/>
              <w:ind w:firstLine="0" w:firstLineChars="0"/>
              <w:rPr>
                <w:rFonts w:ascii="Times New Roman"/>
                <w:kern w:val="21"/>
                <w:sz w:val="21"/>
                <w:szCs w:val="21"/>
              </w:rPr>
            </w:pPr>
          </w:p>
        </w:tc>
      </w:tr>
    </w:tbl>
    <w:p>
      <w:pPr>
        <w:pStyle w:val="6"/>
        <w:ind w:firstLine="0" w:firstLineChars="0"/>
        <w:rPr>
          <w:lang w:val="en-US"/>
        </w:rPr>
      </w:pPr>
      <w:bookmarkStart w:id="38" w:name="_Toc31068"/>
      <w:bookmarkStart w:id="39" w:name="_Toc8011"/>
      <w:bookmarkStart w:id="40" w:name="_Toc4955"/>
      <w:r>
        <w:rPr>
          <w:lang w:val="en-US"/>
        </w:rPr>
        <w:t>2.4 环境功能区划及评价标准</w:t>
      </w:r>
      <w:bookmarkEnd w:id="38"/>
      <w:bookmarkEnd w:id="39"/>
      <w:bookmarkEnd w:id="40"/>
    </w:p>
    <w:p>
      <w:pPr>
        <w:pStyle w:val="7"/>
        <w:ind w:firstLine="562"/>
      </w:pPr>
      <w:r>
        <w:t>2.4.1 环境功能区划</w:t>
      </w:r>
    </w:p>
    <w:p>
      <w:pPr>
        <w:ind w:firstLine="480"/>
      </w:pPr>
      <w:r>
        <w:rPr>
          <w:rFonts w:hint="eastAsia"/>
        </w:rPr>
        <w:t>（</w:t>
      </w:r>
      <w:r>
        <w:t>1</w:t>
      </w:r>
      <w:r>
        <w:rPr>
          <w:rFonts w:hint="eastAsia"/>
        </w:rPr>
        <w:t>）环境空气功能区划</w:t>
      </w:r>
    </w:p>
    <w:p>
      <w:pPr>
        <w:ind w:firstLine="480"/>
        <w:rPr>
          <w:u w:val="single"/>
        </w:rPr>
      </w:pPr>
      <w:r>
        <w:rPr>
          <w:rFonts w:hint="eastAsia"/>
        </w:rPr>
        <w:t>项目选址区域环境空气功能区划为二类保护区，应执行</w:t>
      </w:r>
      <w:r>
        <w:rPr>
          <w:rFonts w:hint="eastAsia"/>
          <w:u w:val="single"/>
        </w:rPr>
        <w:t>《环境空气质量标准》（</w:t>
      </w:r>
      <w:r>
        <w:rPr>
          <w:u w:val="single"/>
        </w:rPr>
        <w:t>GB3095-2012</w:t>
      </w:r>
      <w:r>
        <w:rPr>
          <w:rFonts w:hint="eastAsia"/>
          <w:u w:val="single"/>
        </w:rPr>
        <w:t>）</w:t>
      </w:r>
      <w:r>
        <w:rPr>
          <w:rFonts w:hint="eastAsia"/>
          <w:u w:val="single"/>
          <w:lang w:eastAsia="zh-CN"/>
        </w:rPr>
        <w:t>及修改单</w:t>
      </w:r>
      <w:r>
        <w:rPr>
          <w:rFonts w:hint="eastAsia"/>
          <w:u w:val="single"/>
        </w:rPr>
        <w:t>中的二级标准。</w:t>
      </w:r>
    </w:p>
    <w:p>
      <w:pPr>
        <w:ind w:firstLine="480"/>
      </w:pPr>
      <w:r>
        <w:rPr>
          <w:rFonts w:hint="eastAsia"/>
        </w:rPr>
        <w:t>（</w:t>
      </w:r>
      <w:r>
        <w:t>2</w:t>
      </w:r>
      <w:r>
        <w:rPr>
          <w:rFonts w:hint="eastAsia"/>
        </w:rPr>
        <w:t>）水环境功能区划</w:t>
      </w:r>
    </w:p>
    <w:p>
      <w:pPr>
        <w:ind w:firstLine="480"/>
        <w:rPr>
          <w:u w:val="single"/>
        </w:rPr>
      </w:pPr>
      <w:r>
        <w:rPr>
          <w:rFonts w:hint="eastAsia"/>
          <w:u w:val="single"/>
        </w:rPr>
        <w:t>本项目区域地表水体主要为灰河</w:t>
      </w:r>
      <w:r>
        <w:rPr>
          <w:rFonts w:hint="eastAsia"/>
          <w:u w:val="single"/>
          <w:lang w:eastAsia="zh-CN"/>
        </w:rPr>
        <w:t>和沙河</w:t>
      </w:r>
      <w:r>
        <w:rPr>
          <w:rFonts w:hint="eastAsia"/>
          <w:u w:val="single"/>
        </w:rPr>
        <w:t>，</w:t>
      </w:r>
      <w:r>
        <w:rPr>
          <w:rFonts w:hint="eastAsia"/>
          <w:u w:val="single"/>
          <w:lang w:eastAsia="zh-CN"/>
        </w:rPr>
        <w:t>其中灰河</w:t>
      </w:r>
      <w:r>
        <w:rPr>
          <w:rFonts w:hint="eastAsia"/>
          <w:u w:val="single"/>
        </w:rPr>
        <w:t>属于沙河支流，根据河南省生态环境厅关于印发《</w:t>
      </w:r>
      <w:r>
        <w:rPr>
          <w:rFonts w:hint="eastAsia"/>
          <w:u w:val="single"/>
          <w:lang w:eastAsia="zh-CN"/>
        </w:rPr>
        <w:t>“</w:t>
      </w:r>
      <w:r>
        <w:rPr>
          <w:rFonts w:hint="eastAsia"/>
          <w:u w:val="single"/>
        </w:rPr>
        <w:t>十四五</w:t>
      </w:r>
      <w:r>
        <w:rPr>
          <w:rFonts w:hint="eastAsia"/>
          <w:u w:val="single"/>
          <w:lang w:eastAsia="zh-CN"/>
        </w:rPr>
        <w:t>”</w:t>
      </w:r>
      <w:r>
        <w:rPr>
          <w:rFonts w:hint="eastAsia"/>
          <w:u w:val="single"/>
        </w:rPr>
        <w:t>及2021年地表水环境质量目标的函》（豫环函〔2021〕154号）、平顶山市</w:t>
      </w:r>
      <w:r>
        <w:rPr>
          <w:rFonts w:hint="eastAsia"/>
          <w:u w:val="single"/>
          <w:lang w:eastAsia="zh-CN"/>
        </w:rPr>
        <w:t>“</w:t>
      </w:r>
      <w:r>
        <w:rPr>
          <w:rFonts w:hint="eastAsia"/>
          <w:u w:val="single"/>
        </w:rPr>
        <w:t>十四五</w:t>
      </w:r>
      <w:r>
        <w:rPr>
          <w:rFonts w:hint="eastAsia"/>
          <w:u w:val="single"/>
          <w:lang w:eastAsia="zh-CN"/>
        </w:rPr>
        <w:t>”</w:t>
      </w:r>
      <w:r>
        <w:rPr>
          <w:rFonts w:hint="eastAsia"/>
          <w:u w:val="single"/>
        </w:rPr>
        <w:t>及2021年地表水环境质量目标，灰河水寨乡屈庄断面</w:t>
      </w:r>
      <w:r>
        <w:rPr>
          <w:rFonts w:hint="eastAsia"/>
          <w:u w:val="single"/>
          <w:lang w:eastAsia="zh-CN"/>
        </w:rPr>
        <w:t>“</w:t>
      </w:r>
      <w:r>
        <w:rPr>
          <w:rFonts w:hint="eastAsia"/>
          <w:u w:val="single"/>
        </w:rPr>
        <w:t>十四五</w:t>
      </w:r>
      <w:r>
        <w:rPr>
          <w:rFonts w:hint="eastAsia"/>
          <w:u w:val="single"/>
          <w:lang w:eastAsia="zh-CN"/>
        </w:rPr>
        <w:t>”</w:t>
      </w:r>
      <w:r>
        <w:rPr>
          <w:rFonts w:hint="eastAsia"/>
          <w:u w:val="single"/>
        </w:rPr>
        <w:t>目标为Ⅳ类</w:t>
      </w:r>
      <w:r>
        <w:rPr>
          <w:rFonts w:hint="eastAsia"/>
          <w:u w:val="single"/>
          <w:lang w:eastAsia="zh-CN"/>
        </w:rPr>
        <w:t>，沙河舞阳马湾断面目标为</w:t>
      </w:r>
      <w:r>
        <w:rPr>
          <w:rFonts w:hint="eastAsia" w:ascii="宋体" w:hAnsi="宋体" w:eastAsia="宋体" w:cs="宋体"/>
          <w:u w:val="single"/>
        </w:rPr>
        <w:t>Ⅲ</w:t>
      </w:r>
      <w:r>
        <w:rPr>
          <w:rFonts w:hint="eastAsia"/>
          <w:u w:val="single"/>
        </w:rPr>
        <w:t>类。区域地下水执行《地下水质量标准》（</w:t>
      </w:r>
      <w:r>
        <w:rPr>
          <w:u w:val="single"/>
        </w:rPr>
        <w:t>GB/T14848-2017</w:t>
      </w:r>
      <w:r>
        <w:rPr>
          <w:rFonts w:hint="eastAsia"/>
          <w:u w:val="single"/>
        </w:rPr>
        <w:t>）中Ⅲ类标准的有关规定。</w:t>
      </w:r>
    </w:p>
    <w:p>
      <w:pPr>
        <w:widowControl/>
        <w:ind w:firstLine="480"/>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）声功能区划</w:t>
      </w:r>
    </w:p>
    <w:p>
      <w:pPr>
        <w:ind w:firstLine="480"/>
      </w:pPr>
      <w:r>
        <w:rPr>
          <w:rFonts w:hint="eastAsia"/>
        </w:rPr>
        <w:t>本项目位于产业聚集区，属于3类声环境功能区，项目区声环境执行《声环境质量标准》（</w:t>
      </w:r>
      <w:r>
        <w:t>GB3096-2008</w:t>
      </w:r>
      <w:r>
        <w:rPr>
          <w:rFonts w:hint="eastAsia"/>
        </w:rPr>
        <w:t>）3类标准。</w:t>
      </w:r>
    </w:p>
    <w:p>
      <w:pPr>
        <w:pStyle w:val="7"/>
        <w:ind w:firstLine="562"/>
      </w:pPr>
      <w:r>
        <w:t>2.4.2 环境质量标准</w:t>
      </w:r>
    </w:p>
    <w:p>
      <w:pPr>
        <w:widowControl/>
        <w:ind w:firstLine="480"/>
        <w:jc w:val="left"/>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）环境空气质量标准</w:t>
      </w:r>
    </w:p>
    <w:p>
      <w:pPr>
        <w:widowControl/>
        <w:ind w:firstLine="480"/>
        <w:jc w:val="both"/>
      </w:pPr>
      <w:r>
        <w:rPr>
          <w:rFonts w:hint="eastAsia" w:ascii="宋体" w:hAnsi="宋体" w:cs="宋体"/>
          <w:color w:val="000000"/>
          <w:kern w:val="0"/>
          <w:lang w:bidi="ar"/>
        </w:rPr>
        <w:t>项目常规大气污染物执行《环境空气质量标准》（</w:t>
      </w:r>
      <w:r>
        <w:rPr>
          <w:rFonts w:cs="Times New Roman"/>
          <w:color w:val="000000"/>
          <w:kern w:val="0"/>
          <w:lang w:bidi="ar"/>
        </w:rPr>
        <w:t>GB3095-2012</w:t>
      </w:r>
      <w:r>
        <w:rPr>
          <w:rFonts w:hint="eastAsia" w:ascii="宋体" w:hAnsi="宋体" w:cs="宋体"/>
          <w:color w:val="000000"/>
          <w:kern w:val="0"/>
          <w:lang w:bidi="ar"/>
        </w:rPr>
        <w:t>）</w:t>
      </w:r>
      <w:r>
        <w:rPr>
          <w:rFonts w:hint="eastAsia"/>
          <w:u w:val="single"/>
          <w:lang w:eastAsia="zh-CN"/>
        </w:rPr>
        <w:t>及修改单</w:t>
      </w:r>
      <w:r>
        <w:rPr>
          <w:rFonts w:hint="eastAsia" w:ascii="宋体" w:hAnsi="宋体" w:cs="宋体"/>
          <w:color w:val="000000"/>
          <w:kern w:val="0"/>
          <w:lang w:bidi="ar"/>
        </w:rPr>
        <w:t>二级标准；非甲烷总烃执行《大气污染物综合排放标准详解》中非甲烷总烃排放限值；氨、硫化氢执</w:t>
      </w:r>
      <w:r>
        <w:rPr>
          <w:rFonts w:cs="Times New Roman"/>
          <w:color w:val="000000"/>
          <w:kern w:val="0"/>
          <w:lang w:bidi="ar"/>
        </w:rPr>
        <w:t>行《环境影响评价技术导则  大气环境》（HJ2.2-2018）附录D</w:t>
      </w:r>
      <w:r>
        <w:rPr>
          <w:rFonts w:hint="eastAsia" w:cs="Times New Roman"/>
          <w:color w:val="000000"/>
          <w:kern w:val="0"/>
          <w:lang w:bidi="ar"/>
        </w:rPr>
        <w:t>；丙烯酸、甲基丙烯酸甲酯、丙烯酸丁酯国内未有环境空气质量标准，以非甲烷总烃计。</w:t>
      </w:r>
    </w:p>
    <w:p>
      <w:pPr>
        <w:widowControl/>
        <w:ind w:firstLine="480"/>
        <w:jc w:val="both"/>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）声环境质量评价标准采用《声环境质量标准》（</w:t>
      </w:r>
      <w:r>
        <w:rPr>
          <w:rFonts w:cs="Times New Roman"/>
          <w:color w:val="000000"/>
          <w:kern w:val="0"/>
          <w:lang w:bidi="ar"/>
        </w:rPr>
        <w:t>GB3096-2008</w:t>
      </w:r>
      <w:r>
        <w:rPr>
          <w:rFonts w:hint="eastAsia" w:ascii="宋体" w:hAnsi="宋体" w:cs="宋体"/>
          <w:color w:val="000000"/>
          <w:kern w:val="0"/>
          <w:lang w:bidi="ar"/>
        </w:rPr>
        <w:t>）</w:t>
      </w:r>
      <w:r>
        <w:rPr>
          <w:rFonts w:hint="eastAsia" w:cs="Times New Roman"/>
          <w:color w:val="000000"/>
          <w:kern w:val="0"/>
          <w:lang w:bidi="ar"/>
        </w:rPr>
        <w:t>3</w:t>
      </w:r>
      <w:r>
        <w:rPr>
          <w:rFonts w:hint="eastAsia" w:ascii="宋体" w:hAnsi="宋体" w:cs="宋体"/>
          <w:color w:val="000000"/>
          <w:kern w:val="0"/>
          <w:lang w:bidi="ar"/>
        </w:rPr>
        <w:t>类；</w:t>
      </w:r>
    </w:p>
    <w:p>
      <w:pPr>
        <w:widowControl/>
        <w:ind w:firstLine="480"/>
        <w:jc w:val="both"/>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）地表水环境评价标准采用《地表水环境质量标准》（</w:t>
      </w:r>
      <w:r>
        <w:rPr>
          <w:rFonts w:cs="Times New Roman"/>
          <w:color w:val="000000"/>
          <w:kern w:val="0"/>
          <w:lang w:bidi="ar"/>
        </w:rPr>
        <w:t>GB3838-2002</w:t>
      </w:r>
      <w:r>
        <w:rPr>
          <w:rFonts w:hint="eastAsia" w:ascii="宋体" w:hAnsi="宋体" w:cs="宋体"/>
          <w:color w:val="000000"/>
          <w:kern w:val="0"/>
          <w:lang w:bidi="ar"/>
        </w:rPr>
        <w:t>）Ⅲ</w:t>
      </w:r>
      <w:r>
        <w:rPr>
          <w:rFonts w:hint="eastAsia" w:ascii="宋体" w:hAnsi="宋体" w:cs="宋体"/>
          <w:color w:val="000000"/>
          <w:kern w:val="0"/>
          <w:lang w:eastAsia="zh-CN" w:bidi="ar"/>
        </w:rPr>
        <w:t>、</w:t>
      </w:r>
      <w:r>
        <w:rPr>
          <w:rFonts w:hint="eastAsia" w:ascii="宋体" w:hAnsi="宋体" w:cs="宋体"/>
          <w:color w:val="000000"/>
          <w:kern w:val="0"/>
          <w:lang w:bidi="ar"/>
        </w:rPr>
        <w:t>Ⅳ类标准；</w:t>
      </w:r>
    </w:p>
    <w:p>
      <w:pPr>
        <w:widowControl/>
        <w:ind w:firstLine="480"/>
        <w:jc w:val="both"/>
      </w:pPr>
      <w:r>
        <w:rPr>
          <w:rFonts w:hint="eastAsia" w:ascii="宋体" w:hAnsi="宋体" w:cs="宋体"/>
          <w:color w:val="000000"/>
          <w:kern w:val="0"/>
          <w:lang w:bidi="ar"/>
        </w:rPr>
        <w:t>（</w:t>
      </w:r>
      <w:r>
        <w:rPr>
          <w:rFonts w:cs="Times New Roman"/>
          <w:color w:val="000000"/>
          <w:kern w:val="0"/>
          <w:lang w:bidi="ar"/>
        </w:rPr>
        <w:t>4</w:t>
      </w:r>
      <w:r>
        <w:rPr>
          <w:rFonts w:hint="eastAsia" w:ascii="宋体" w:hAnsi="宋体" w:cs="宋体"/>
          <w:color w:val="000000"/>
          <w:kern w:val="0"/>
          <w:lang w:bidi="ar"/>
        </w:rPr>
        <w:t>）地下水质量执行《地下水质量标准》（</w:t>
      </w:r>
      <w:r>
        <w:rPr>
          <w:rFonts w:cs="Times New Roman"/>
          <w:color w:val="000000"/>
          <w:kern w:val="0"/>
          <w:lang w:bidi="ar"/>
        </w:rPr>
        <w:t>GB/T14848-2017</w:t>
      </w:r>
      <w:r>
        <w:rPr>
          <w:rFonts w:hint="eastAsia" w:ascii="宋体" w:hAnsi="宋体" w:cs="宋体"/>
          <w:color w:val="000000"/>
          <w:kern w:val="0"/>
          <w:lang w:bidi="ar"/>
        </w:rPr>
        <w:t>）Ⅲ类标准；</w:t>
      </w:r>
    </w:p>
    <w:p>
      <w:pPr>
        <w:widowControl/>
        <w:ind w:firstLine="480"/>
        <w:jc w:val="both"/>
      </w:pPr>
      <w:r>
        <w:rPr>
          <w:rFonts w:hint="eastAsia" w:ascii="宋体" w:hAnsi="宋体" w:cs="宋体"/>
          <w:color w:val="000000"/>
          <w:kern w:val="0"/>
          <w:lang w:bidi="ar"/>
        </w:rPr>
        <w:t>（</w:t>
      </w:r>
      <w:r>
        <w:rPr>
          <w:rFonts w:cs="Times New Roman"/>
          <w:color w:val="000000"/>
          <w:kern w:val="0"/>
          <w:lang w:bidi="ar"/>
        </w:rPr>
        <w:t>5</w:t>
      </w:r>
      <w:r>
        <w:rPr>
          <w:rFonts w:hint="eastAsia" w:ascii="宋体" w:hAnsi="宋体" w:cs="宋体"/>
          <w:color w:val="000000"/>
          <w:kern w:val="0"/>
          <w:lang w:bidi="ar"/>
        </w:rPr>
        <w:t>）建设用地土壤环境质量执行《土壤环境质量 建设用地土壤污染风险监控标准（试行）》（</w:t>
      </w:r>
      <w:r>
        <w:rPr>
          <w:rFonts w:cs="Times New Roman"/>
          <w:color w:val="000000"/>
          <w:kern w:val="0"/>
          <w:lang w:bidi="ar"/>
        </w:rPr>
        <w:t>GB36600-2018</w:t>
      </w:r>
      <w:r>
        <w:rPr>
          <w:rFonts w:hint="eastAsia" w:ascii="宋体" w:hAnsi="宋体" w:cs="宋体"/>
          <w:color w:val="000000"/>
          <w:kern w:val="0"/>
          <w:lang w:bidi="ar"/>
        </w:rPr>
        <w:t>）表</w:t>
      </w:r>
      <w:r>
        <w:rPr>
          <w:rFonts w:cs="Times New Roman"/>
          <w:color w:val="000000"/>
          <w:kern w:val="0"/>
          <w:lang w:bidi="ar"/>
        </w:rPr>
        <w:t>1</w:t>
      </w:r>
      <w:r>
        <w:rPr>
          <w:rFonts w:hint="eastAsia" w:ascii="宋体" w:hAnsi="宋体" w:cs="宋体"/>
          <w:color w:val="000000"/>
          <w:kern w:val="0"/>
          <w:lang w:bidi="ar"/>
        </w:rPr>
        <w:t>第二类用地筛选值；</w:t>
      </w:r>
    </w:p>
    <w:p>
      <w:pPr>
        <w:widowControl/>
        <w:ind w:firstLine="480"/>
        <w:jc w:val="both"/>
      </w:pPr>
      <w:r>
        <w:rPr>
          <w:rFonts w:hint="eastAsia" w:ascii="宋体" w:hAnsi="宋体" w:cs="宋体"/>
          <w:color w:val="000000"/>
          <w:kern w:val="0"/>
          <w:lang w:bidi="ar"/>
        </w:rPr>
        <w:t>各环境质量标准限值见表</w:t>
      </w:r>
      <w:r>
        <w:rPr>
          <w:rFonts w:cs="Times New Roman"/>
          <w:color w:val="000000"/>
          <w:kern w:val="0"/>
          <w:lang w:bidi="ar"/>
        </w:rPr>
        <w:t>2.4-1~2.4-</w:t>
      </w:r>
      <w:r>
        <w:rPr>
          <w:rFonts w:hint="eastAsia" w:cs="Times New Roman"/>
          <w:color w:val="000000"/>
          <w:kern w:val="0"/>
          <w:lang w:bidi="ar"/>
        </w:rPr>
        <w:t>6</w:t>
      </w:r>
      <w:r>
        <w:rPr>
          <w:rFonts w:hint="eastAsia" w:ascii="宋体" w:hAnsi="宋体" w:cs="宋体"/>
          <w:color w:val="000000"/>
          <w:kern w:val="0"/>
          <w:lang w:bidi="ar"/>
        </w:rPr>
        <w:t>。</w:t>
      </w:r>
    </w:p>
    <w:p>
      <w:pPr>
        <w:ind w:firstLine="0" w:firstLineChars="0"/>
        <w:jc w:val="center"/>
        <w:rPr>
          <w:b/>
          <w:bCs/>
        </w:rPr>
      </w:pPr>
      <w:r>
        <w:rPr>
          <w:rFonts w:hint="eastAsia"/>
          <w:b/>
          <w:bCs/>
        </w:rPr>
        <w:t>表2.4-1  环境空气质量标准</w:t>
      </w:r>
    </w:p>
    <w:tbl>
      <w:tblPr>
        <w:tblStyle w:val="28"/>
        <w:tblW w:w="50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513"/>
        <w:gridCol w:w="1895"/>
        <w:gridCol w:w="2079"/>
        <w:gridCol w:w="3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tcBorders>
              <w:tl2br w:val="nil"/>
              <w:tr2bl w:val="nil"/>
            </w:tcBorders>
            <w:vAlign w:val="center"/>
          </w:tcPr>
          <w:p>
            <w:pPr>
              <w:pStyle w:val="39"/>
              <w:autoSpaceDE w:val="0"/>
              <w:autoSpaceDN w:val="0"/>
              <w:spacing w:line="240" w:lineRule="auto"/>
              <w:ind w:firstLine="0" w:firstLineChars="0"/>
              <w:rPr>
                <w:sz w:val="21"/>
              </w:rPr>
            </w:pPr>
            <w:r>
              <w:rPr>
                <w:sz w:val="21"/>
              </w:rPr>
              <w:t>污染物名称</w:t>
            </w:r>
          </w:p>
        </w:tc>
        <w:tc>
          <w:tcPr>
            <w:tcW w:w="1039" w:type="pct"/>
            <w:tcBorders>
              <w:tl2br w:val="nil"/>
              <w:tr2bl w:val="nil"/>
            </w:tcBorders>
            <w:vAlign w:val="center"/>
          </w:tcPr>
          <w:p>
            <w:pPr>
              <w:pStyle w:val="39"/>
              <w:autoSpaceDE w:val="0"/>
              <w:autoSpaceDN w:val="0"/>
              <w:spacing w:line="240" w:lineRule="auto"/>
              <w:ind w:firstLine="0" w:firstLineChars="0"/>
              <w:rPr>
                <w:sz w:val="21"/>
              </w:rPr>
            </w:pPr>
            <w:r>
              <w:rPr>
                <w:sz w:val="21"/>
              </w:rPr>
              <w:t>取值时间</w:t>
            </w:r>
          </w:p>
        </w:tc>
        <w:tc>
          <w:tcPr>
            <w:tcW w:w="1140" w:type="pct"/>
            <w:tcBorders>
              <w:tl2br w:val="nil"/>
              <w:tr2bl w:val="nil"/>
            </w:tcBorders>
            <w:vAlign w:val="center"/>
          </w:tcPr>
          <w:p>
            <w:pPr>
              <w:pStyle w:val="39"/>
              <w:autoSpaceDE w:val="0"/>
              <w:autoSpaceDN w:val="0"/>
              <w:spacing w:line="240" w:lineRule="auto"/>
              <w:ind w:firstLine="0" w:firstLineChars="0"/>
              <w:rPr>
                <w:sz w:val="21"/>
              </w:rPr>
            </w:pPr>
            <w:r>
              <w:rPr>
                <w:sz w:val="21"/>
              </w:rPr>
              <w:t>浓度限值</w:t>
            </w:r>
          </w:p>
        </w:tc>
        <w:tc>
          <w:tcPr>
            <w:tcW w:w="1989" w:type="pct"/>
            <w:tcBorders>
              <w:tl2br w:val="nil"/>
              <w:tr2bl w:val="nil"/>
            </w:tcBorders>
            <w:vAlign w:val="center"/>
          </w:tcPr>
          <w:p>
            <w:pPr>
              <w:pStyle w:val="39"/>
              <w:autoSpaceDE w:val="0"/>
              <w:autoSpaceDN w:val="0"/>
              <w:spacing w:line="240" w:lineRule="auto"/>
              <w:ind w:firstLine="0" w:firstLineChars="0"/>
              <w:rPr>
                <w:sz w:val="21"/>
              </w:rPr>
            </w:pPr>
            <w:r>
              <w:rPr>
                <w:sz w:val="21"/>
              </w:rPr>
              <w:t>标准来源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restart"/>
            <w:tcBorders>
              <w:tl2br w:val="nil"/>
              <w:tr2bl w:val="nil"/>
            </w:tcBorders>
            <w:vAlign w:val="center"/>
          </w:tcPr>
          <w:p>
            <w:pPr>
              <w:pStyle w:val="39"/>
              <w:autoSpaceDE w:val="0"/>
              <w:autoSpaceDN w:val="0"/>
              <w:spacing w:line="240" w:lineRule="auto"/>
              <w:ind w:firstLine="0" w:firstLineChars="0"/>
              <w:rPr>
                <w:rFonts w:ascii="Times New Roman"/>
                <w:sz w:val="14"/>
              </w:rPr>
            </w:pPr>
            <w:r>
              <w:rPr>
                <w:rFonts w:ascii="Times New Roman"/>
                <w:position w:val="2"/>
                <w:sz w:val="21"/>
              </w:rPr>
              <w:t>SO</w:t>
            </w:r>
            <w:r>
              <w:rPr>
                <w:rFonts w:ascii="Times New Roman"/>
                <w:sz w:val="14"/>
              </w:rPr>
              <w:t>2</w:t>
            </w:r>
          </w:p>
        </w:tc>
        <w:tc>
          <w:tcPr>
            <w:tcW w:w="1039" w:type="pct"/>
            <w:tcBorders>
              <w:tl2br w:val="nil"/>
              <w:tr2bl w:val="nil"/>
            </w:tcBorders>
            <w:vAlign w:val="center"/>
          </w:tcPr>
          <w:p>
            <w:pPr>
              <w:pStyle w:val="39"/>
              <w:autoSpaceDE w:val="0"/>
              <w:autoSpaceDN w:val="0"/>
              <w:spacing w:line="240" w:lineRule="auto"/>
              <w:ind w:firstLine="0" w:firstLineChars="0"/>
              <w:rPr>
                <w:sz w:val="21"/>
              </w:rPr>
            </w:pPr>
            <w:r>
              <w:rPr>
                <w:sz w:val="21"/>
              </w:rPr>
              <w:t>年平均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14"/>
              </w:rPr>
            </w:pPr>
            <w:r>
              <w:rPr>
                <w:rFonts w:ascii="Times New Roman" w:hAnsi="Times New Roman"/>
                <w:sz w:val="21"/>
              </w:rPr>
              <w:t>60μg/m</w:t>
            </w:r>
            <w:r>
              <w:rPr>
                <w:rFonts w:ascii="Times New Roman" w:hAnsi="Times New Roman"/>
                <w:position w:val="7"/>
                <w:sz w:val="14"/>
              </w:rPr>
              <w:t>3</w:t>
            </w:r>
          </w:p>
        </w:tc>
        <w:tc>
          <w:tcPr>
            <w:tcW w:w="1989" w:type="pct"/>
            <w:vMerge w:val="restart"/>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r>
              <w:rPr>
                <w:rFonts w:ascii="Times New Roman" w:eastAsia="Times New Roman"/>
                <w:sz w:val="21"/>
              </w:rPr>
              <w:t>《环境空气质量标准》</w:t>
            </w:r>
          </w:p>
          <w:p>
            <w:pPr>
              <w:pStyle w:val="39"/>
              <w:autoSpaceDE w:val="0"/>
              <w:autoSpaceDN w:val="0"/>
              <w:spacing w:line="240" w:lineRule="auto"/>
              <w:ind w:firstLine="0" w:firstLineChars="0"/>
              <w:rPr>
                <w:rFonts w:ascii="Times New Roman" w:eastAsia="Times New Roman"/>
                <w:sz w:val="21"/>
              </w:rPr>
            </w:pPr>
            <w:r>
              <w:rPr>
                <w:rFonts w:ascii="Times New Roman" w:eastAsia="Times New Roman"/>
                <w:sz w:val="21"/>
              </w:rPr>
              <w:t>（GB3095-2012）二级标准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continue"/>
            <w:tcBorders>
              <w:tl2br w:val="nil"/>
              <w:tr2bl w:val="nil"/>
            </w:tcBorders>
            <w:vAlign w:val="center"/>
          </w:tcPr>
          <w:p>
            <w:pPr>
              <w:autoSpaceDE w:val="0"/>
              <w:autoSpaceDN w:val="0"/>
              <w:spacing w:line="240" w:lineRule="auto"/>
              <w:ind w:firstLine="0" w:firstLineChars="0"/>
              <w:jc w:val="center"/>
              <w:rPr>
                <w:sz w:val="2"/>
                <w:szCs w:val="2"/>
              </w:rPr>
            </w:pPr>
          </w:p>
        </w:tc>
        <w:tc>
          <w:tcPr>
            <w:tcW w:w="1039" w:type="pct"/>
            <w:tcBorders>
              <w:tl2br w:val="nil"/>
              <w:tr2bl w:val="nil"/>
            </w:tcBorders>
            <w:vAlign w:val="center"/>
          </w:tcPr>
          <w:p>
            <w:pPr>
              <w:pStyle w:val="39"/>
              <w:autoSpaceDE w:val="0"/>
              <w:autoSpaceDN w:val="0"/>
              <w:spacing w:line="240" w:lineRule="auto"/>
              <w:ind w:firstLine="0" w:firstLineChars="0"/>
              <w:rPr>
                <w:sz w:val="21"/>
              </w:rPr>
            </w:pPr>
            <w:r>
              <w:rPr>
                <w:rFonts w:ascii="Times New Roman" w:eastAsia="Times New Roman"/>
                <w:sz w:val="21"/>
              </w:rPr>
              <w:t>24</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14"/>
              </w:rPr>
            </w:pPr>
            <w:r>
              <w:rPr>
                <w:rFonts w:ascii="Times New Roman" w:hAnsi="Times New Roman"/>
                <w:sz w:val="21"/>
              </w:rPr>
              <w:t>150μg/m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continue"/>
            <w:tcBorders>
              <w:tl2br w:val="nil"/>
              <w:tr2bl w:val="nil"/>
            </w:tcBorders>
            <w:vAlign w:val="center"/>
          </w:tcPr>
          <w:p>
            <w:pPr>
              <w:autoSpaceDE w:val="0"/>
              <w:autoSpaceDN w:val="0"/>
              <w:spacing w:line="240" w:lineRule="auto"/>
              <w:ind w:firstLine="0" w:firstLineChars="0"/>
              <w:jc w:val="center"/>
              <w:rPr>
                <w:sz w:val="2"/>
                <w:szCs w:val="2"/>
              </w:rPr>
            </w:pPr>
          </w:p>
        </w:tc>
        <w:tc>
          <w:tcPr>
            <w:tcW w:w="1039" w:type="pct"/>
            <w:tcBorders>
              <w:tl2br w:val="nil"/>
              <w:tr2bl w:val="nil"/>
            </w:tcBorders>
            <w:vAlign w:val="center"/>
          </w:tcPr>
          <w:p>
            <w:pPr>
              <w:pStyle w:val="39"/>
              <w:autoSpaceDE w:val="0"/>
              <w:autoSpaceDN w:val="0"/>
              <w:spacing w:line="240" w:lineRule="auto"/>
              <w:ind w:firstLine="0" w:firstLineChars="0"/>
              <w:rPr>
                <w:sz w:val="21"/>
              </w:rPr>
            </w:pPr>
            <w:r>
              <w:rPr>
                <w:rFonts w:ascii="Times New Roman" w:eastAsia="Times New Roman"/>
                <w:sz w:val="21"/>
              </w:rPr>
              <w:t>1</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14"/>
              </w:rPr>
            </w:pPr>
            <w:r>
              <w:rPr>
                <w:rFonts w:ascii="Times New Roman" w:hAnsi="Times New Roman"/>
                <w:sz w:val="21"/>
              </w:rPr>
              <w:t>500μg/m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restart"/>
            <w:tcBorders>
              <w:tl2br w:val="nil"/>
              <w:tr2bl w:val="nil"/>
            </w:tcBorders>
            <w:vAlign w:val="center"/>
          </w:tcPr>
          <w:p>
            <w:pPr>
              <w:pStyle w:val="39"/>
              <w:autoSpaceDE w:val="0"/>
              <w:autoSpaceDN w:val="0"/>
              <w:spacing w:line="240" w:lineRule="auto"/>
              <w:ind w:firstLine="0" w:firstLineChars="0"/>
              <w:rPr>
                <w:rFonts w:ascii="Times New Roman"/>
                <w:sz w:val="14"/>
              </w:rPr>
            </w:pPr>
            <w:r>
              <w:rPr>
                <w:rFonts w:ascii="Times New Roman"/>
                <w:position w:val="2"/>
                <w:sz w:val="21"/>
              </w:rPr>
              <w:t>NO</w:t>
            </w:r>
            <w:r>
              <w:rPr>
                <w:rFonts w:ascii="Times New Roman"/>
                <w:sz w:val="14"/>
              </w:rPr>
              <w:t>2</w:t>
            </w:r>
          </w:p>
        </w:tc>
        <w:tc>
          <w:tcPr>
            <w:tcW w:w="1039" w:type="pct"/>
            <w:tcBorders>
              <w:tl2br w:val="nil"/>
              <w:tr2bl w:val="nil"/>
            </w:tcBorders>
            <w:vAlign w:val="center"/>
          </w:tcPr>
          <w:p>
            <w:pPr>
              <w:pStyle w:val="39"/>
              <w:autoSpaceDE w:val="0"/>
              <w:autoSpaceDN w:val="0"/>
              <w:spacing w:line="240" w:lineRule="auto"/>
              <w:ind w:firstLine="0" w:firstLineChars="0"/>
              <w:rPr>
                <w:sz w:val="21"/>
              </w:rPr>
            </w:pPr>
            <w:r>
              <w:rPr>
                <w:sz w:val="21"/>
              </w:rPr>
              <w:t>年平均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14"/>
              </w:rPr>
            </w:pPr>
            <w:r>
              <w:rPr>
                <w:rFonts w:ascii="Times New Roman" w:hAnsi="Times New Roman"/>
                <w:sz w:val="21"/>
              </w:rPr>
              <w:t>40μg/m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continue"/>
            <w:tcBorders>
              <w:tl2br w:val="nil"/>
              <w:tr2bl w:val="nil"/>
            </w:tcBorders>
            <w:vAlign w:val="center"/>
          </w:tcPr>
          <w:p>
            <w:pPr>
              <w:pStyle w:val="39"/>
              <w:autoSpaceDE w:val="0"/>
              <w:autoSpaceDN w:val="0"/>
              <w:spacing w:line="240" w:lineRule="auto"/>
              <w:ind w:firstLine="0" w:firstLineChars="0"/>
              <w:rPr>
                <w:rFonts w:ascii="Times New Roman"/>
                <w:position w:val="2"/>
                <w:sz w:val="21"/>
              </w:rPr>
            </w:pPr>
          </w:p>
        </w:tc>
        <w:tc>
          <w:tcPr>
            <w:tcW w:w="1039" w:type="pct"/>
            <w:tcBorders>
              <w:tl2br w:val="nil"/>
              <w:tr2bl w:val="nil"/>
            </w:tcBorders>
            <w:vAlign w:val="center"/>
          </w:tcPr>
          <w:p>
            <w:pPr>
              <w:pStyle w:val="39"/>
              <w:autoSpaceDE w:val="0"/>
              <w:autoSpaceDN w:val="0"/>
              <w:spacing w:line="240" w:lineRule="auto"/>
              <w:ind w:firstLine="0" w:firstLineChars="0"/>
              <w:rPr>
                <w:sz w:val="21"/>
              </w:rPr>
            </w:pPr>
            <w:r>
              <w:rPr>
                <w:rFonts w:ascii="Times New Roman" w:eastAsia="Times New Roman"/>
                <w:sz w:val="21"/>
              </w:rPr>
              <w:t>24</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80</w:t>
            </w:r>
            <w:r>
              <w:rPr>
                <w:rFonts w:ascii="Times New Roman" w:hAnsi="Times New Roman"/>
                <w:sz w:val="21"/>
              </w:rPr>
              <w:t>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continue"/>
            <w:tcBorders>
              <w:tl2br w:val="nil"/>
              <w:tr2bl w:val="nil"/>
            </w:tcBorders>
            <w:vAlign w:val="center"/>
          </w:tcPr>
          <w:p>
            <w:pPr>
              <w:pStyle w:val="39"/>
              <w:autoSpaceDE w:val="0"/>
              <w:autoSpaceDN w:val="0"/>
              <w:spacing w:line="240" w:lineRule="auto"/>
              <w:ind w:firstLine="0" w:firstLineChars="0"/>
              <w:rPr>
                <w:rFonts w:ascii="Times New Roman"/>
                <w:position w:val="2"/>
                <w:sz w:val="21"/>
              </w:rPr>
            </w:pPr>
          </w:p>
        </w:tc>
        <w:tc>
          <w:tcPr>
            <w:tcW w:w="1039" w:type="pct"/>
            <w:tcBorders>
              <w:tl2br w:val="nil"/>
              <w:tr2bl w:val="nil"/>
            </w:tcBorders>
            <w:vAlign w:val="center"/>
          </w:tcPr>
          <w:p>
            <w:pPr>
              <w:pStyle w:val="39"/>
              <w:autoSpaceDE w:val="0"/>
              <w:autoSpaceDN w:val="0"/>
              <w:spacing w:line="240" w:lineRule="auto"/>
              <w:ind w:firstLine="0" w:firstLineChars="0"/>
              <w:rPr>
                <w:sz w:val="21"/>
              </w:rPr>
            </w:pPr>
            <w:r>
              <w:rPr>
                <w:rFonts w:ascii="Times New Roman" w:eastAsia="Times New Roman"/>
                <w:sz w:val="21"/>
              </w:rPr>
              <w:t>1</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200</w:t>
            </w:r>
            <w:r>
              <w:rPr>
                <w:rFonts w:ascii="Times New Roman" w:hAnsi="Times New Roman"/>
                <w:sz w:val="21"/>
              </w:rPr>
              <w:t>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restart"/>
            <w:tcBorders>
              <w:tl2br w:val="nil"/>
              <w:tr2bl w:val="nil"/>
            </w:tcBorders>
            <w:vAlign w:val="center"/>
          </w:tcPr>
          <w:p>
            <w:pPr>
              <w:widowControl/>
              <w:autoSpaceDE w:val="0"/>
              <w:autoSpaceDN w:val="0"/>
              <w:spacing w:line="240" w:lineRule="auto"/>
              <w:ind w:firstLine="0" w:firstLineChars="0"/>
              <w:jc w:val="center"/>
              <w:rPr>
                <w:position w:val="2"/>
                <w:sz w:val="21"/>
              </w:rPr>
            </w:pPr>
            <w:r>
              <w:rPr>
                <w:rFonts w:cs="Times New Roman"/>
                <w:color w:val="000000"/>
                <w:kern w:val="0"/>
                <w:sz w:val="21"/>
                <w:szCs w:val="21"/>
                <w:lang w:bidi="ar"/>
              </w:rPr>
              <w:t>PM</w:t>
            </w:r>
            <w:r>
              <w:rPr>
                <w:rFonts w:hint="eastAsia" w:cs="Times New Roman"/>
                <w:color w:val="000000"/>
                <w:kern w:val="0"/>
                <w:sz w:val="13"/>
                <w:szCs w:val="13"/>
                <w:lang w:bidi="ar"/>
              </w:rPr>
              <w:t>2.5</w:t>
            </w:r>
          </w:p>
        </w:tc>
        <w:tc>
          <w:tcPr>
            <w:tcW w:w="1039" w:type="pct"/>
            <w:tcBorders>
              <w:tl2br w:val="nil"/>
              <w:tr2bl w:val="nil"/>
            </w:tcBorders>
            <w:vAlign w:val="center"/>
          </w:tcPr>
          <w:p>
            <w:pPr>
              <w:pStyle w:val="39"/>
              <w:autoSpaceDE w:val="0"/>
              <w:autoSpaceDN w:val="0"/>
              <w:spacing w:line="240" w:lineRule="auto"/>
              <w:ind w:firstLine="0" w:firstLineChars="0"/>
              <w:rPr>
                <w:sz w:val="21"/>
              </w:rPr>
            </w:pPr>
            <w:r>
              <w:rPr>
                <w:sz w:val="21"/>
              </w:rPr>
              <w:t>年平均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35</w:t>
            </w:r>
            <w:r>
              <w:rPr>
                <w:rFonts w:ascii="Times New Roman" w:hAnsi="Times New Roman"/>
                <w:sz w:val="21"/>
              </w:rPr>
              <w:t>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continue"/>
            <w:tcBorders>
              <w:tl2br w:val="nil"/>
              <w:tr2bl w:val="nil"/>
            </w:tcBorders>
            <w:vAlign w:val="center"/>
          </w:tcPr>
          <w:p>
            <w:pPr>
              <w:pStyle w:val="39"/>
              <w:autoSpaceDE w:val="0"/>
              <w:autoSpaceDN w:val="0"/>
              <w:spacing w:line="240" w:lineRule="auto"/>
              <w:ind w:firstLine="0" w:firstLineChars="0"/>
              <w:rPr>
                <w:rFonts w:ascii="Times New Roman"/>
                <w:position w:val="2"/>
                <w:sz w:val="21"/>
              </w:rPr>
            </w:pPr>
          </w:p>
        </w:tc>
        <w:tc>
          <w:tcPr>
            <w:tcW w:w="1039" w:type="pct"/>
            <w:tcBorders>
              <w:tl2br w:val="nil"/>
              <w:tr2bl w:val="nil"/>
            </w:tcBorders>
            <w:vAlign w:val="center"/>
          </w:tcPr>
          <w:p>
            <w:pPr>
              <w:pStyle w:val="39"/>
              <w:autoSpaceDE w:val="0"/>
              <w:autoSpaceDN w:val="0"/>
              <w:spacing w:line="240" w:lineRule="auto"/>
              <w:ind w:firstLine="0" w:firstLineChars="0"/>
              <w:rPr>
                <w:sz w:val="21"/>
              </w:rPr>
            </w:pPr>
            <w:r>
              <w:rPr>
                <w:rFonts w:ascii="Times New Roman" w:eastAsia="Times New Roman"/>
                <w:sz w:val="21"/>
              </w:rPr>
              <w:t>24</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75</w:t>
            </w:r>
            <w:r>
              <w:rPr>
                <w:rFonts w:ascii="Times New Roman" w:hAnsi="Times New Roman"/>
                <w:sz w:val="21"/>
              </w:rPr>
              <w:t>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restart"/>
            <w:tcBorders>
              <w:tl2br w:val="nil"/>
              <w:tr2bl w:val="nil"/>
            </w:tcBorders>
            <w:vAlign w:val="center"/>
          </w:tcPr>
          <w:p>
            <w:pPr>
              <w:pStyle w:val="39"/>
              <w:autoSpaceDE w:val="0"/>
              <w:autoSpaceDN w:val="0"/>
              <w:spacing w:line="240" w:lineRule="auto"/>
              <w:ind w:firstLine="0" w:firstLineChars="0"/>
              <w:rPr>
                <w:rFonts w:ascii="Times New Roman"/>
                <w:position w:val="2"/>
                <w:sz w:val="21"/>
                <w:lang w:val="en-US"/>
              </w:rPr>
            </w:pPr>
            <w:r>
              <w:rPr>
                <w:rFonts w:ascii="Times New Roman" w:hAnsi="Times New Roman" w:cs="Times New Roman"/>
                <w:color w:val="000000"/>
                <w:kern w:val="0"/>
                <w:sz w:val="21"/>
                <w:szCs w:val="21"/>
                <w:lang w:val="en-US" w:bidi="ar"/>
              </w:rPr>
              <w:t>PM</w:t>
            </w:r>
            <w:r>
              <w:rPr>
                <w:rFonts w:hint="eastAsia" w:ascii="Times New Roman" w:hAnsi="Times New Roman" w:cs="Times New Roman"/>
                <w:color w:val="000000"/>
                <w:kern w:val="0"/>
                <w:sz w:val="13"/>
                <w:szCs w:val="13"/>
                <w:lang w:val="en-US" w:bidi="ar"/>
              </w:rPr>
              <w:t>10</w:t>
            </w:r>
          </w:p>
        </w:tc>
        <w:tc>
          <w:tcPr>
            <w:tcW w:w="1039" w:type="pct"/>
            <w:tcBorders>
              <w:tl2br w:val="nil"/>
              <w:tr2bl w:val="nil"/>
            </w:tcBorders>
            <w:vAlign w:val="center"/>
          </w:tcPr>
          <w:p>
            <w:pPr>
              <w:pStyle w:val="39"/>
              <w:autoSpaceDE w:val="0"/>
              <w:autoSpaceDN w:val="0"/>
              <w:spacing w:line="240" w:lineRule="auto"/>
              <w:ind w:firstLine="0" w:firstLineChars="0"/>
              <w:rPr>
                <w:sz w:val="21"/>
              </w:rPr>
            </w:pPr>
            <w:r>
              <w:rPr>
                <w:sz w:val="21"/>
              </w:rPr>
              <w:t>年平均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70</w:t>
            </w:r>
            <w:r>
              <w:rPr>
                <w:rFonts w:ascii="Times New Roman" w:hAnsi="Times New Roman"/>
                <w:sz w:val="21"/>
              </w:rPr>
              <w:t>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continue"/>
            <w:tcBorders>
              <w:tl2br w:val="nil"/>
              <w:tr2bl w:val="nil"/>
            </w:tcBorders>
            <w:vAlign w:val="center"/>
          </w:tcPr>
          <w:p>
            <w:pPr>
              <w:pStyle w:val="39"/>
              <w:autoSpaceDE w:val="0"/>
              <w:autoSpaceDN w:val="0"/>
              <w:spacing w:line="240" w:lineRule="auto"/>
              <w:ind w:firstLine="0" w:firstLineChars="0"/>
              <w:rPr>
                <w:rFonts w:ascii="Times New Roman"/>
                <w:position w:val="2"/>
                <w:sz w:val="21"/>
              </w:rPr>
            </w:pPr>
          </w:p>
        </w:tc>
        <w:tc>
          <w:tcPr>
            <w:tcW w:w="1039" w:type="pct"/>
            <w:tcBorders>
              <w:tl2br w:val="nil"/>
              <w:tr2bl w:val="nil"/>
            </w:tcBorders>
            <w:vAlign w:val="center"/>
          </w:tcPr>
          <w:p>
            <w:pPr>
              <w:pStyle w:val="39"/>
              <w:autoSpaceDE w:val="0"/>
              <w:autoSpaceDN w:val="0"/>
              <w:spacing w:line="240" w:lineRule="auto"/>
              <w:ind w:firstLine="0" w:firstLineChars="0"/>
              <w:rPr>
                <w:sz w:val="21"/>
              </w:rPr>
            </w:pPr>
            <w:r>
              <w:rPr>
                <w:rFonts w:ascii="Times New Roman" w:eastAsia="Times New Roman"/>
                <w:sz w:val="21"/>
              </w:rPr>
              <w:t>24</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150</w:t>
            </w:r>
            <w:r>
              <w:rPr>
                <w:rFonts w:ascii="Times New Roman" w:hAnsi="Times New Roman"/>
                <w:sz w:val="21"/>
              </w:rPr>
              <w:t>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restart"/>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ascii="Times New Roman" w:hAnsi="Times New Roman" w:cs="Times New Roman"/>
                <w:color w:val="000000"/>
                <w:kern w:val="0"/>
                <w:sz w:val="21"/>
                <w:szCs w:val="21"/>
                <w:lang w:val="en-US" w:bidi="ar"/>
              </w:rPr>
              <w:t>CO</w:t>
            </w:r>
          </w:p>
        </w:tc>
        <w:tc>
          <w:tcPr>
            <w:tcW w:w="1039" w:type="pct"/>
            <w:tcBorders>
              <w:tl2br w:val="nil"/>
              <w:tr2bl w:val="nil"/>
            </w:tcBorders>
            <w:vAlign w:val="center"/>
          </w:tcPr>
          <w:p>
            <w:pPr>
              <w:pStyle w:val="39"/>
              <w:autoSpaceDE w:val="0"/>
              <w:autoSpaceDN w:val="0"/>
              <w:spacing w:line="240" w:lineRule="auto"/>
              <w:ind w:firstLine="0" w:firstLineChars="0"/>
              <w:rPr>
                <w:sz w:val="21"/>
              </w:rPr>
            </w:pPr>
            <w:r>
              <w:rPr>
                <w:sz w:val="21"/>
              </w:rPr>
              <w:t>年平均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4m</w:t>
            </w:r>
            <w:r>
              <w:rPr>
                <w:rFonts w:ascii="Times New Roman" w:hAnsi="Times New Roman"/>
                <w:sz w:val="21"/>
              </w:rPr>
              <w:t>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continue"/>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p>
        </w:tc>
        <w:tc>
          <w:tcPr>
            <w:tcW w:w="1039" w:type="pct"/>
            <w:tcBorders>
              <w:tl2br w:val="nil"/>
              <w:tr2bl w:val="nil"/>
            </w:tcBorders>
            <w:vAlign w:val="center"/>
          </w:tcPr>
          <w:p>
            <w:pPr>
              <w:pStyle w:val="39"/>
              <w:autoSpaceDE w:val="0"/>
              <w:autoSpaceDN w:val="0"/>
              <w:spacing w:line="240" w:lineRule="auto"/>
              <w:ind w:firstLine="0" w:firstLineChars="0"/>
              <w:rPr>
                <w:sz w:val="21"/>
              </w:rPr>
            </w:pPr>
            <w:r>
              <w:rPr>
                <w:rFonts w:ascii="Times New Roman" w:eastAsia="Times New Roman"/>
                <w:sz w:val="21"/>
              </w:rPr>
              <w:t>24</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10m</w:t>
            </w:r>
            <w:r>
              <w:rPr>
                <w:rFonts w:ascii="Times New Roman" w:hAnsi="Times New Roman"/>
                <w:sz w:val="21"/>
              </w:rPr>
              <w:t>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30" w:type="pct"/>
            <w:vMerge w:val="restart"/>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ascii="Times New Roman" w:hAnsi="Times New Roman" w:cs="Times New Roman"/>
                <w:color w:val="000000"/>
                <w:kern w:val="0"/>
                <w:sz w:val="21"/>
                <w:szCs w:val="21"/>
                <w:lang w:val="en-US" w:bidi="ar"/>
              </w:rPr>
              <w:t>O</w:t>
            </w:r>
            <w:r>
              <w:rPr>
                <w:rFonts w:ascii="Times New Roman" w:hAnsi="Times New Roman" w:cs="Times New Roman"/>
                <w:color w:val="000000"/>
                <w:kern w:val="0"/>
                <w:sz w:val="21"/>
                <w:szCs w:val="21"/>
                <w:vertAlign w:val="subscript"/>
                <w:lang w:val="en-US" w:bidi="ar"/>
              </w:rPr>
              <w:t>3</w:t>
            </w:r>
          </w:p>
        </w:tc>
        <w:tc>
          <w:tcPr>
            <w:tcW w:w="1039" w:type="pct"/>
            <w:tcBorders>
              <w:tl2br w:val="nil"/>
              <w:tr2bl w:val="nil"/>
            </w:tcBorders>
            <w:vAlign w:val="center"/>
          </w:tcPr>
          <w:p>
            <w:pPr>
              <w:pStyle w:val="39"/>
              <w:autoSpaceDE w:val="0"/>
              <w:autoSpaceDN w:val="0"/>
              <w:spacing w:line="240" w:lineRule="auto"/>
              <w:ind w:firstLine="0" w:firstLineChars="0"/>
              <w:rPr>
                <w:sz w:val="21"/>
              </w:rPr>
            </w:pPr>
            <w:r>
              <w:rPr>
                <w:rFonts w:hint="eastAsia" w:ascii="Times New Roman"/>
                <w:sz w:val="21"/>
              </w:rPr>
              <w:t>日最大</w:t>
            </w:r>
            <w:r>
              <w:rPr>
                <w:rFonts w:hint="eastAsia" w:ascii="Times New Roman"/>
                <w:sz w:val="21"/>
                <w:lang w:val="en-US"/>
              </w:rPr>
              <w:t>8小时</w:t>
            </w:r>
            <w:r>
              <w:rPr>
                <w:sz w:val="21"/>
              </w:rPr>
              <w:t>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160</w:t>
            </w:r>
            <w:r>
              <w:rPr>
                <w:rFonts w:ascii="Times New Roman" w:hAnsi="Times New Roman"/>
                <w:sz w:val="21"/>
              </w:rPr>
              <w:t>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9" w:hRule="atLeast"/>
          <w:jc w:val="center"/>
        </w:trPr>
        <w:tc>
          <w:tcPr>
            <w:tcW w:w="830" w:type="pct"/>
            <w:vMerge w:val="continue"/>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p>
        </w:tc>
        <w:tc>
          <w:tcPr>
            <w:tcW w:w="1039" w:type="pct"/>
            <w:tcBorders>
              <w:tl2br w:val="nil"/>
              <w:tr2bl w:val="nil"/>
            </w:tcBorders>
            <w:vAlign w:val="center"/>
          </w:tcPr>
          <w:p>
            <w:pPr>
              <w:pStyle w:val="39"/>
              <w:autoSpaceDE w:val="0"/>
              <w:autoSpaceDN w:val="0"/>
              <w:spacing w:line="240" w:lineRule="auto"/>
              <w:ind w:firstLine="0" w:firstLineChars="0"/>
              <w:rPr>
                <w:sz w:val="21"/>
              </w:rPr>
            </w:pPr>
            <w:r>
              <w:rPr>
                <w:rFonts w:ascii="Times New Roman" w:eastAsia="Times New Roman"/>
                <w:sz w:val="21"/>
              </w:rPr>
              <w:t>1</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200</w:t>
            </w:r>
            <w:r>
              <w:rPr>
                <w:rFonts w:ascii="Times New Roman" w:hAnsi="Times New Roman"/>
                <w:sz w:val="21"/>
              </w:rPr>
              <w:t>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830" w:type="pct"/>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hint="eastAsia" w:ascii="Times New Roman" w:hAnsi="Times New Roman" w:cs="Times New Roman"/>
                <w:color w:val="000000"/>
                <w:kern w:val="0"/>
                <w:sz w:val="21"/>
                <w:szCs w:val="21"/>
                <w:lang w:val="en-US" w:bidi="ar"/>
              </w:rPr>
              <w:t>硫化氢</w:t>
            </w:r>
          </w:p>
        </w:tc>
        <w:tc>
          <w:tcPr>
            <w:tcW w:w="1039" w:type="pct"/>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r>
              <w:rPr>
                <w:rFonts w:ascii="Times New Roman" w:eastAsia="Times New Roman"/>
                <w:sz w:val="21"/>
              </w:rPr>
              <w:t>1</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10</w:t>
            </w:r>
            <w:r>
              <w:rPr>
                <w:rFonts w:ascii="Times New Roman" w:hAnsi="Times New Roman"/>
                <w:sz w:val="21"/>
              </w:rPr>
              <w:t>μg/m</w:t>
            </w:r>
            <w:r>
              <w:rPr>
                <w:rFonts w:ascii="Times New Roman" w:hAnsi="Times New Roman"/>
                <w:position w:val="7"/>
                <w:sz w:val="14"/>
              </w:rPr>
              <w:t>3</w:t>
            </w:r>
          </w:p>
        </w:tc>
        <w:tc>
          <w:tcPr>
            <w:tcW w:w="1989" w:type="pct"/>
            <w:vMerge w:val="restart"/>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r>
              <w:rPr>
                <w:rFonts w:ascii="Times New Roman" w:eastAsia="Times New Roman"/>
                <w:sz w:val="21"/>
                <w:lang w:val="en-US"/>
              </w:rPr>
              <w:t>《环境影响评价技术导则  大气环境》（HJ2.2-2018）附录D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9" w:hRule="atLeast"/>
          <w:jc w:val="center"/>
        </w:trPr>
        <w:tc>
          <w:tcPr>
            <w:tcW w:w="830" w:type="pct"/>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hint="eastAsia" w:ascii="Times New Roman" w:hAnsi="Times New Roman" w:cs="Times New Roman"/>
                <w:color w:val="000000"/>
                <w:kern w:val="0"/>
                <w:sz w:val="21"/>
                <w:szCs w:val="21"/>
                <w:lang w:val="en-US" w:bidi="ar"/>
              </w:rPr>
              <w:t>氨</w:t>
            </w:r>
          </w:p>
        </w:tc>
        <w:tc>
          <w:tcPr>
            <w:tcW w:w="1039" w:type="pct"/>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r>
              <w:rPr>
                <w:rFonts w:ascii="Times New Roman" w:eastAsia="Times New Roman"/>
                <w:sz w:val="21"/>
              </w:rPr>
              <w:t>1</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sz w:val="21"/>
                <w:lang w:val="en-US"/>
              </w:rPr>
            </w:pPr>
            <w:r>
              <w:rPr>
                <w:rFonts w:hint="eastAsia" w:ascii="Times New Roman" w:hAnsi="Times New Roman"/>
                <w:sz w:val="21"/>
                <w:lang w:val="en-US"/>
              </w:rPr>
              <w:t>200</w:t>
            </w:r>
            <w:r>
              <w:rPr>
                <w:rFonts w:ascii="Times New Roman" w:hAnsi="Times New Roman"/>
                <w:sz w:val="21"/>
              </w:rPr>
              <w:t>μg/m</w:t>
            </w:r>
            <w:r>
              <w:rPr>
                <w:rFonts w:ascii="Times New Roman" w:hAnsi="Times New Roman"/>
                <w:position w:val="7"/>
                <w:sz w:val="14"/>
              </w:rPr>
              <w:t>3</w:t>
            </w:r>
          </w:p>
        </w:tc>
        <w:tc>
          <w:tcPr>
            <w:tcW w:w="1989" w:type="pct"/>
            <w:vMerge w:val="continue"/>
            <w:tcBorders>
              <w:tl2br w:val="nil"/>
              <w:tr2bl w:val="nil"/>
            </w:tcBorders>
            <w:vAlign w:val="center"/>
          </w:tcPr>
          <w:p>
            <w:pPr>
              <w:pStyle w:val="39"/>
              <w:autoSpaceDE w:val="0"/>
              <w:autoSpaceDN w:val="0"/>
              <w:spacing w:line="240" w:lineRule="auto"/>
              <w:ind w:firstLine="0" w:firstLineChars="0"/>
              <w:rPr>
                <w:rFonts w:ascii="Times New Roman" w:eastAsia="Times New Roman"/>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830" w:type="pct"/>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hint="eastAsia" w:ascii="Times New Roman" w:hAnsi="Times New Roman" w:cs="Times New Roman"/>
                <w:color w:val="000000"/>
                <w:kern w:val="0"/>
                <w:sz w:val="21"/>
                <w:szCs w:val="21"/>
                <w:lang w:val="en-US" w:bidi="ar"/>
              </w:rPr>
              <w:t>非甲烷总烃</w:t>
            </w:r>
          </w:p>
        </w:tc>
        <w:tc>
          <w:tcPr>
            <w:tcW w:w="1039" w:type="pct"/>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ascii="Times New Roman" w:eastAsia="Times New Roman"/>
                <w:sz w:val="21"/>
              </w:rPr>
              <w:t>1</w:t>
            </w:r>
            <w:r>
              <w:rPr>
                <w:sz w:val="21"/>
              </w:rPr>
              <w:t>小时平均</w:t>
            </w:r>
          </w:p>
        </w:tc>
        <w:tc>
          <w:tcPr>
            <w:tcW w:w="1140" w:type="pct"/>
            <w:tcBorders>
              <w:tl2br w:val="nil"/>
              <w:tr2bl w:val="nil"/>
            </w:tcBorders>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hint="eastAsia" w:ascii="Times New Roman" w:hAnsi="Times New Roman" w:cs="Times New Roman"/>
                <w:color w:val="000000"/>
                <w:kern w:val="0"/>
                <w:sz w:val="21"/>
                <w:szCs w:val="21"/>
                <w:lang w:val="en-US" w:bidi="ar"/>
              </w:rPr>
              <w:t>2.0m</w:t>
            </w:r>
            <w:r>
              <w:rPr>
                <w:rFonts w:ascii="Times New Roman" w:hAnsi="Times New Roman"/>
                <w:sz w:val="21"/>
              </w:rPr>
              <w:t>g/m</w:t>
            </w:r>
            <w:r>
              <w:rPr>
                <w:rFonts w:ascii="Times New Roman" w:hAnsi="Times New Roman"/>
                <w:position w:val="7"/>
                <w:sz w:val="14"/>
              </w:rPr>
              <w:t>3</w:t>
            </w:r>
          </w:p>
        </w:tc>
        <w:tc>
          <w:tcPr>
            <w:tcW w:w="1989" w:type="pct"/>
            <w:tcBorders>
              <w:tl2br w:val="nil"/>
              <w:tr2bl w:val="nil"/>
            </w:tcBorders>
            <w:vAlign w:val="center"/>
          </w:tcPr>
          <w:p>
            <w:pPr>
              <w:pStyle w:val="39"/>
              <w:autoSpaceDE w:val="0"/>
              <w:autoSpaceDN w:val="0"/>
              <w:spacing w:line="240" w:lineRule="auto"/>
              <w:ind w:firstLine="0" w:firstLineChars="0"/>
              <w:rPr>
                <w:rFonts w:ascii="Times New Roman" w:eastAsia="Times New Roman"/>
                <w:sz w:val="21"/>
                <w:lang w:val="en-US"/>
              </w:rPr>
            </w:pPr>
            <w:r>
              <w:rPr>
                <w:rFonts w:hint="eastAsia" w:ascii="Times New Roman" w:eastAsia="Times New Roman"/>
                <w:sz w:val="21"/>
                <w:lang w:val="en-US"/>
              </w:rPr>
              <w:t>《大气污染物综合排放标准详解》（中国环境科学出版社出版）</w:t>
            </w:r>
          </w:p>
        </w:tc>
      </w:tr>
    </w:tbl>
    <w:p>
      <w:pPr>
        <w:ind w:firstLine="0" w:firstLineChars="0"/>
        <w:jc w:val="center"/>
        <w:rPr>
          <w:b/>
          <w:bCs/>
        </w:rPr>
      </w:pPr>
      <w:r>
        <w:rPr>
          <w:rFonts w:hint="eastAsia"/>
          <w:b/>
          <w:bCs/>
        </w:rPr>
        <w:t>表2.4-2  声环境质量标准</w:t>
      </w:r>
    </w:p>
    <w:tbl>
      <w:tblPr>
        <w:tblStyle w:val="28"/>
        <w:tblW w:w="5010"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2130"/>
        <w:gridCol w:w="1520"/>
        <w:gridCol w:w="1261"/>
        <w:gridCol w:w="4189"/>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128" w:type="dxa"/>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sz w:val="21"/>
                <w:szCs w:val="21"/>
              </w:rPr>
            </w:pPr>
            <w:r>
              <w:rPr>
                <w:sz w:val="21"/>
                <w:szCs w:val="21"/>
              </w:rPr>
              <w:t>声环境功能区类别</w:t>
            </w:r>
          </w:p>
        </w:tc>
        <w:tc>
          <w:tcPr>
            <w:tcW w:w="1518" w:type="dxa"/>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szCs w:val="21"/>
              </w:rPr>
            </w:pPr>
            <w:r>
              <w:rPr>
                <w:sz w:val="21"/>
                <w:szCs w:val="21"/>
              </w:rPr>
              <w:t>昼间</w:t>
            </w:r>
            <w:r>
              <w:rPr>
                <w:rFonts w:ascii="Times New Roman" w:eastAsia="Times New Roman"/>
                <w:sz w:val="21"/>
                <w:szCs w:val="21"/>
              </w:rPr>
              <w:t>dB</w:t>
            </w:r>
            <w:r>
              <w:rPr>
                <w:rFonts w:hint="eastAsia" w:ascii="Times New Roman"/>
                <w:sz w:val="21"/>
                <w:szCs w:val="21"/>
              </w:rPr>
              <w:t>（</w:t>
            </w:r>
            <w:r>
              <w:rPr>
                <w:rFonts w:ascii="Times New Roman" w:eastAsia="Times New Roman"/>
                <w:sz w:val="21"/>
                <w:szCs w:val="21"/>
              </w:rPr>
              <w:t>A</w:t>
            </w:r>
            <w:r>
              <w:rPr>
                <w:rFonts w:hint="eastAsia" w:ascii="Times New Roman"/>
                <w:sz w:val="21"/>
                <w:szCs w:val="21"/>
              </w:rPr>
              <w:t>）</w:t>
            </w:r>
          </w:p>
        </w:tc>
        <w:tc>
          <w:tcPr>
            <w:tcW w:w="1260" w:type="dxa"/>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szCs w:val="21"/>
              </w:rPr>
            </w:pPr>
            <w:r>
              <w:rPr>
                <w:sz w:val="21"/>
                <w:szCs w:val="21"/>
              </w:rPr>
              <w:t>夜间</w:t>
            </w:r>
            <w:r>
              <w:rPr>
                <w:rFonts w:ascii="Times New Roman" w:eastAsia="Times New Roman"/>
                <w:sz w:val="21"/>
                <w:szCs w:val="21"/>
              </w:rPr>
              <w:t>dB</w:t>
            </w:r>
            <w:r>
              <w:rPr>
                <w:rFonts w:hint="eastAsia" w:ascii="Times New Roman"/>
                <w:sz w:val="21"/>
                <w:szCs w:val="21"/>
              </w:rPr>
              <w:t>（</w:t>
            </w:r>
            <w:r>
              <w:rPr>
                <w:rFonts w:ascii="Times New Roman" w:eastAsia="Times New Roman"/>
                <w:sz w:val="21"/>
                <w:szCs w:val="21"/>
              </w:rPr>
              <w:t>A</w:t>
            </w:r>
            <w:r>
              <w:rPr>
                <w:rFonts w:hint="eastAsia" w:ascii="Times New Roman"/>
                <w:sz w:val="21"/>
                <w:szCs w:val="21"/>
              </w:rPr>
              <w:t>）</w:t>
            </w:r>
          </w:p>
        </w:tc>
        <w:tc>
          <w:tcPr>
            <w:tcW w:w="4185" w:type="dxa"/>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sz w:val="21"/>
                <w:szCs w:val="21"/>
              </w:rPr>
            </w:pPr>
            <w:r>
              <w:rPr>
                <w:sz w:val="21"/>
                <w:szCs w:val="21"/>
              </w:rPr>
              <w:t>标准来源</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128" w:type="dxa"/>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sz w:val="21"/>
                <w:szCs w:val="21"/>
              </w:rPr>
            </w:pPr>
            <w:r>
              <w:rPr>
                <w:rFonts w:hint="eastAsia" w:ascii="Times New Roman"/>
                <w:sz w:val="21"/>
                <w:szCs w:val="21"/>
                <w:lang w:val="en-US"/>
              </w:rPr>
              <w:t>3</w:t>
            </w:r>
            <w:r>
              <w:rPr>
                <w:sz w:val="21"/>
                <w:szCs w:val="21"/>
              </w:rPr>
              <w:t>类</w:t>
            </w:r>
          </w:p>
        </w:tc>
        <w:tc>
          <w:tcPr>
            <w:tcW w:w="1518" w:type="dxa"/>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eastAsia="Times New Roman"/>
                <w:sz w:val="21"/>
                <w:szCs w:val="21"/>
                <w:lang w:val="en-US"/>
              </w:rPr>
            </w:pPr>
            <w:r>
              <w:rPr>
                <w:rFonts w:hint="eastAsia" w:ascii="Times New Roman"/>
                <w:sz w:val="21"/>
                <w:szCs w:val="21"/>
                <w:lang w:val="en-US"/>
              </w:rPr>
              <w:t>65</w:t>
            </w:r>
          </w:p>
        </w:tc>
        <w:tc>
          <w:tcPr>
            <w:tcW w:w="1260" w:type="dxa"/>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szCs w:val="21"/>
                <w:lang w:val="en-US"/>
              </w:rPr>
            </w:pPr>
            <w:r>
              <w:rPr>
                <w:rFonts w:hint="eastAsia" w:ascii="Times New Roman"/>
                <w:sz w:val="21"/>
                <w:szCs w:val="21"/>
                <w:lang w:val="en-US"/>
              </w:rPr>
              <w:t>55</w:t>
            </w:r>
          </w:p>
        </w:tc>
        <w:tc>
          <w:tcPr>
            <w:tcW w:w="4185" w:type="dxa"/>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szCs w:val="21"/>
              </w:rPr>
            </w:pPr>
            <w:r>
              <w:rPr>
                <w:sz w:val="21"/>
                <w:szCs w:val="21"/>
              </w:rPr>
              <w:t>《声环境质量标准》（</w:t>
            </w:r>
            <w:r>
              <w:rPr>
                <w:rFonts w:ascii="Times New Roman" w:eastAsia="Times New Roman"/>
                <w:sz w:val="21"/>
                <w:szCs w:val="21"/>
              </w:rPr>
              <w:t>GB3096-2008</w:t>
            </w:r>
            <w:r>
              <w:rPr>
                <w:sz w:val="21"/>
                <w:szCs w:val="21"/>
              </w:rPr>
              <w:t>）</w:t>
            </w:r>
            <w:r>
              <w:rPr>
                <w:rFonts w:hint="eastAsia" w:ascii="Times New Roman"/>
                <w:sz w:val="21"/>
                <w:szCs w:val="21"/>
                <w:lang w:val="en-US"/>
              </w:rPr>
              <w:t>3</w:t>
            </w:r>
            <w:r>
              <w:rPr>
                <w:sz w:val="21"/>
                <w:szCs w:val="21"/>
              </w:rPr>
              <w:t>类</w:t>
            </w:r>
          </w:p>
        </w:tc>
      </w:tr>
    </w:tbl>
    <w:p>
      <w:pPr>
        <w:ind w:firstLine="0" w:firstLineChars="0"/>
        <w:jc w:val="center"/>
        <w:rPr>
          <w:b/>
          <w:bCs/>
        </w:rPr>
      </w:pPr>
      <w:r>
        <w:rPr>
          <w:rFonts w:hint="eastAsia"/>
          <w:b/>
          <w:bCs/>
        </w:rPr>
        <w:t>表2.4-3  地表水环境质量标准</w:t>
      </w:r>
      <w:r>
        <w:rPr>
          <w:rFonts w:hint="eastAsia"/>
          <w:b/>
          <w:bCs/>
        </w:rPr>
        <w:tab/>
      </w:r>
      <w:r>
        <w:rPr>
          <w:rFonts w:hint="eastAsia"/>
          <w:b/>
          <w:bCs/>
        </w:rPr>
        <w:t>单位：mg/L（pH 无量纲）</w:t>
      </w:r>
    </w:p>
    <w:tbl>
      <w:tblPr>
        <w:tblStyle w:val="28"/>
        <w:tblW w:w="4998"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autofit"/>
        <w:tblCellMar>
          <w:top w:w="0" w:type="dxa"/>
          <w:left w:w="0" w:type="dxa"/>
          <w:bottom w:w="0" w:type="dxa"/>
          <w:right w:w="0" w:type="dxa"/>
        </w:tblCellMar>
      </w:tblPr>
      <w:tblGrid>
        <w:gridCol w:w="1162"/>
        <w:gridCol w:w="1317"/>
        <w:gridCol w:w="1133"/>
        <w:gridCol w:w="1164"/>
        <w:gridCol w:w="1333"/>
        <w:gridCol w:w="1395"/>
        <w:gridCol w:w="1574"/>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640"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sz w:val="21"/>
              </w:rPr>
            </w:pPr>
            <w:r>
              <w:rPr>
                <w:sz w:val="21"/>
              </w:rPr>
              <w:t>污染因子</w:t>
            </w:r>
          </w:p>
        </w:tc>
        <w:tc>
          <w:tcPr>
            <w:tcW w:w="725"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rPr>
            </w:pPr>
            <w:r>
              <w:rPr>
                <w:rFonts w:ascii="Times New Roman"/>
                <w:sz w:val="21"/>
              </w:rPr>
              <w:t>pH</w:t>
            </w:r>
          </w:p>
        </w:tc>
        <w:tc>
          <w:tcPr>
            <w:tcW w:w="624"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rPr>
            </w:pPr>
            <w:r>
              <w:rPr>
                <w:rFonts w:ascii="Times New Roman"/>
                <w:sz w:val="21"/>
              </w:rPr>
              <w:t>COD</w:t>
            </w:r>
          </w:p>
        </w:tc>
        <w:tc>
          <w:tcPr>
            <w:tcW w:w="641"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14"/>
              </w:rPr>
            </w:pPr>
            <w:r>
              <w:rPr>
                <w:rFonts w:ascii="Times New Roman"/>
                <w:position w:val="2"/>
                <w:sz w:val="21"/>
              </w:rPr>
              <w:t>BOD</w:t>
            </w:r>
            <w:r>
              <w:rPr>
                <w:rFonts w:ascii="Times New Roman"/>
                <w:sz w:val="14"/>
              </w:rPr>
              <w:t>5</w:t>
            </w:r>
          </w:p>
        </w:tc>
        <w:tc>
          <w:tcPr>
            <w:tcW w:w="734"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rPr>
            </w:pPr>
            <w:r>
              <w:rPr>
                <w:rFonts w:ascii="Times New Roman"/>
                <w:position w:val="2"/>
                <w:sz w:val="21"/>
              </w:rPr>
              <w:t>NH</w:t>
            </w:r>
            <w:r>
              <w:rPr>
                <w:rFonts w:ascii="Times New Roman"/>
                <w:sz w:val="14"/>
              </w:rPr>
              <w:t>3</w:t>
            </w:r>
            <w:r>
              <w:rPr>
                <w:rFonts w:ascii="Times New Roman"/>
                <w:position w:val="2"/>
                <w:sz w:val="21"/>
              </w:rPr>
              <w:t>-N</w:t>
            </w:r>
          </w:p>
        </w:tc>
        <w:tc>
          <w:tcPr>
            <w:tcW w:w="768"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sz w:val="21"/>
              </w:rPr>
            </w:pPr>
            <w:r>
              <w:rPr>
                <w:sz w:val="21"/>
              </w:rPr>
              <w:t>总磷</w:t>
            </w:r>
          </w:p>
        </w:tc>
        <w:tc>
          <w:tcPr>
            <w:tcW w:w="863"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sz w:val="21"/>
                <w:lang w:val="en-US"/>
              </w:rPr>
            </w:pPr>
            <w:r>
              <w:rPr>
                <w:rFonts w:hint="eastAsia"/>
                <w:sz w:val="21"/>
                <w:lang w:val="en-US"/>
              </w:rPr>
              <w:t>悬浮物</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640"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sz w:val="21"/>
              </w:rPr>
            </w:pPr>
            <w:r>
              <w:rPr>
                <w:sz w:val="21"/>
              </w:rPr>
              <w:t>标准值</w:t>
            </w:r>
          </w:p>
        </w:tc>
        <w:tc>
          <w:tcPr>
            <w:tcW w:w="725"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eastAsia="Times New Roman"/>
                <w:sz w:val="21"/>
              </w:rPr>
            </w:pPr>
            <w:r>
              <w:rPr>
                <w:rFonts w:ascii="Times New Roman" w:eastAsia="Times New Roman"/>
                <w:sz w:val="21"/>
              </w:rPr>
              <w:t>6</w:t>
            </w:r>
            <w:r>
              <w:rPr>
                <w:sz w:val="21"/>
              </w:rPr>
              <w:t>～</w:t>
            </w:r>
            <w:r>
              <w:rPr>
                <w:rFonts w:ascii="Times New Roman" w:eastAsia="Times New Roman"/>
                <w:sz w:val="21"/>
              </w:rPr>
              <w:t>9</w:t>
            </w:r>
          </w:p>
        </w:tc>
        <w:tc>
          <w:tcPr>
            <w:tcW w:w="624"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rPr>
            </w:pPr>
            <w:r>
              <w:rPr>
                <w:rFonts w:ascii="Times New Roman"/>
                <w:sz w:val="21"/>
              </w:rPr>
              <w:t>20</w:t>
            </w:r>
          </w:p>
        </w:tc>
        <w:tc>
          <w:tcPr>
            <w:tcW w:w="641"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rPr>
            </w:pPr>
            <w:r>
              <w:rPr>
                <w:rFonts w:ascii="Times New Roman"/>
                <w:sz w:val="21"/>
              </w:rPr>
              <w:t>4</w:t>
            </w:r>
          </w:p>
        </w:tc>
        <w:tc>
          <w:tcPr>
            <w:tcW w:w="734"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rPr>
            </w:pPr>
            <w:r>
              <w:rPr>
                <w:rFonts w:ascii="Times New Roman"/>
                <w:sz w:val="21"/>
              </w:rPr>
              <w:t>1.0</w:t>
            </w:r>
          </w:p>
        </w:tc>
        <w:tc>
          <w:tcPr>
            <w:tcW w:w="768"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rPr>
            </w:pPr>
            <w:r>
              <w:rPr>
                <w:rFonts w:ascii="Times New Roman"/>
                <w:sz w:val="21"/>
              </w:rPr>
              <w:t>0.2</w:t>
            </w:r>
          </w:p>
        </w:tc>
        <w:tc>
          <w:tcPr>
            <w:tcW w:w="863"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rFonts w:ascii="Times New Roman"/>
                <w:sz w:val="21"/>
                <w:lang w:val="en-US"/>
              </w:rPr>
            </w:pPr>
            <w:r>
              <w:rPr>
                <w:rFonts w:hint="eastAsia" w:ascii="Times New Roman"/>
                <w:sz w:val="21"/>
                <w:lang w:val="en-US"/>
              </w:rPr>
              <w:t>30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640" w:type="pct"/>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sz w:val="21"/>
              </w:rPr>
            </w:pPr>
            <w:r>
              <w:rPr>
                <w:sz w:val="21"/>
              </w:rPr>
              <w:t>标准来源</w:t>
            </w:r>
          </w:p>
        </w:tc>
        <w:tc>
          <w:tcPr>
            <w:tcW w:w="4359" w:type="pct"/>
            <w:gridSpan w:val="6"/>
            <w:tcBorders>
              <w:top w:val="single" w:color="000000" w:sz="4" w:space="0"/>
              <w:left w:val="single" w:color="000000" w:sz="4" w:space="0"/>
              <w:bottom w:val="single" w:color="000000" w:sz="4" w:space="0"/>
              <w:right w:val="single" w:color="000000" w:sz="4" w:space="0"/>
            </w:tcBorders>
            <w:vAlign w:val="center"/>
          </w:tcPr>
          <w:p>
            <w:pPr>
              <w:pStyle w:val="39"/>
              <w:autoSpaceDE w:val="0"/>
              <w:autoSpaceDN w:val="0"/>
              <w:spacing w:line="240" w:lineRule="auto"/>
              <w:ind w:firstLine="0" w:firstLineChars="0"/>
              <w:rPr>
                <w:sz w:val="21"/>
              </w:rPr>
            </w:pPr>
            <w:r>
              <w:rPr>
                <w:sz w:val="21"/>
              </w:rPr>
              <w:t>《地表水环境质量标准》（</w:t>
            </w:r>
            <w:r>
              <w:rPr>
                <w:rFonts w:ascii="Times New Roman" w:hAnsi="Times New Roman" w:eastAsia="Times New Roman"/>
                <w:sz w:val="21"/>
              </w:rPr>
              <w:t>GB3838-2002</w:t>
            </w:r>
            <w:r>
              <w:rPr>
                <w:sz w:val="21"/>
              </w:rPr>
              <w:t>）Ⅲ类标准</w:t>
            </w:r>
          </w:p>
        </w:tc>
      </w:tr>
    </w:tbl>
    <w:p>
      <w:pPr>
        <w:ind w:firstLine="0" w:firstLineChars="0"/>
        <w:jc w:val="center"/>
        <w:rPr>
          <w:b/>
          <w:bCs/>
        </w:rPr>
      </w:pPr>
      <w:r>
        <w:rPr>
          <w:rFonts w:hint="eastAsia"/>
          <w:b/>
          <w:bCs/>
        </w:rPr>
        <w:t>表2.4-4  地下水质量标准     单位：mg/L（pH 无量纲）</w:t>
      </w:r>
    </w:p>
    <w:tbl>
      <w:tblPr>
        <w:tblStyle w:val="28"/>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480"/>
        <w:gridCol w:w="3210"/>
        <w:gridCol w:w="239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评价因子</w:t>
            </w:r>
          </w:p>
        </w:tc>
        <w:tc>
          <w:tcPr>
            <w:tcW w:w="3503" w:type="dxa"/>
            <w:vAlign w:val="center"/>
          </w:tcPr>
          <w:p>
            <w:pPr>
              <w:pStyle w:val="38"/>
              <w:rPr>
                <w:rFonts w:hint="default"/>
              </w:rPr>
            </w:pPr>
            <w:r>
              <w:t>标准限值</w:t>
            </w:r>
          </w:p>
        </w:tc>
        <w:tc>
          <w:tcPr>
            <w:tcW w:w="2610" w:type="dxa"/>
          </w:tcPr>
          <w:p>
            <w:pPr>
              <w:pStyle w:val="38"/>
              <w:rPr>
                <w:rFonts w:hint="default"/>
              </w:rPr>
            </w:pPr>
            <w:r>
              <w:t>标准来源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3798" w:type="dxa"/>
            <w:vAlign w:val="center"/>
          </w:tcPr>
          <w:p>
            <w:pPr>
              <w:pStyle w:val="38"/>
              <w:rPr>
                <w:rFonts w:hint="default"/>
              </w:rPr>
            </w:pPr>
            <w:r>
              <w:t>pH</w:t>
            </w:r>
          </w:p>
        </w:tc>
        <w:tc>
          <w:tcPr>
            <w:tcW w:w="3503" w:type="dxa"/>
            <w:vAlign w:val="center"/>
          </w:tcPr>
          <w:p>
            <w:pPr>
              <w:pStyle w:val="38"/>
              <w:rPr>
                <w:rFonts w:hint="default"/>
              </w:rPr>
            </w:pPr>
            <w:r>
              <w:t>6.5～8.5</w:t>
            </w:r>
          </w:p>
        </w:tc>
        <w:tc>
          <w:tcPr>
            <w:tcW w:w="2610" w:type="dxa"/>
            <w:vMerge w:val="restart"/>
            <w:vAlign w:val="center"/>
          </w:tcPr>
          <w:p>
            <w:pPr>
              <w:pStyle w:val="38"/>
              <w:rPr>
                <w:rFonts w:hint="default"/>
              </w:rPr>
            </w:pPr>
            <w:r>
              <w:t>《地下水质量标准》</w:t>
            </w:r>
          </w:p>
          <w:p>
            <w:pPr>
              <w:pStyle w:val="38"/>
              <w:rPr>
                <w:rFonts w:hint="default"/>
              </w:rPr>
            </w:pPr>
            <w:r>
              <w:t>（GB/T14848-2017）Ⅲ</w:t>
            </w:r>
          </w:p>
          <w:p>
            <w:pPr>
              <w:pStyle w:val="38"/>
              <w:rPr>
                <w:rFonts w:hint="default"/>
              </w:rPr>
            </w:pPr>
            <w:r>
              <w:t>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氨氮</w:t>
            </w:r>
          </w:p>
        </w:tc>
        <w:tc>
          <w:tcPr>
            <w:tcW w:w="3503" w:type="dxa"/>
            <w:vAlign w:val="center"/>
          </w:tcPr>
          <w:p>
            <w:pPr>
              <w:pStyle w:val="38"/>
              <w:rPr>
                <w:rFonts w:hint="default"/>
              </w:rPr>
            </w:pPr>
            <w:r>
              <w:t>0.5mg/L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硝酸盐（以N计）</w:t>
            </w:r>
          </w:p>
        </w:tc>
        <w:tc>
          <w:tcPr>
            <w:tcW w:w="3503" w:type="dxa"/>
            <w:vAlign w:val="center"/>
          </w:tcPr>
          <w:p>
            <w:pPr>
              <w:pStyle w:val="38"/>
              <w:rPr>
                <w:rFonts w:hint="default"/>
              </w:rPr>
            </w:pPr>
            <w:r>
              <w:t>20mg/L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亚硝酸盐（以N计）</w:t>
            </w:r>
          </w:p>
        </w:tc>
        <w:tc>
          <w:tcPr>
            <w:tcW w:w="3503" w:type="dxa"/>
            <w:vAlign w:val="center"/>
          </w:tcPr>
          <w:p>
            <w:pPr>
              <w:pStyle w:val="38"/>
              <w:rPr>
                <w:rFonts w:hint="default"/>
              </w:rPr>
            </w:pPr>
            <w:r>
              <w:t>1.0mg/L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总硬度</w:t>
            </w:r>
          </w:p>
        </w:tc>
        <w:tc>
          <w:tcPr>
            <w:tcW w:w="3503" w:type="dxa"/>
            <w:vAlign w:val="center"/>
          </w:tcPr>
          <w:p>
            <w:pPr>
              <w:pStyle w:val="38"/>
              <w:rPr>
                <w:rFonts w:hint="default"/>
              </w:rPr>
            </w:pPr>
            <w:r>
              <w:t>450mg/L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溶解性总固体</w:t>
            </w:r>
          </w:p>
        </w:tc>
        <w:tc>
          <w:tcPr>
            <w:tcW w:w="3503" w:type="dxa"/>
            <w:vAlign w:val="center"/>
          </w:tcPr>
          <w:p>
            <w:pPr>
              <w:pStyle w:val="38"/>
              <w:rPr>
                <w:rFonts w:hint="default"/>
              </w:rPr>
            </w:pPr>
            <w:r>
              <w:t>1000mg/L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总大肠菌群</w:t>
            </w:r>
          </w:p>
        </w:tc>
        <w:tc>
          <w:tcPr>
            <w:tcW w:w="3503" w:type="dxa"/>
            <w:vAlign w:val="center"/>
          </w:tcPr>
          <w:p>
            <w:pPr>
              <w:pStyle w:val="38"/>
              <w:rPr>
                <w:rFonts w:hint="default"/>
              </w:rPr>
            </w:pPr>
            <w:r>
              <w:t>3.0MPN/100ml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菌落总数</w:t>
            </w:r>
          </w:p>
        </w:tc>
        <w:tc>
          <w:tcPr>
            <w:tcW w:w="3503" w:type="dxa"/>
            <w:vAlign w:val="center"/>
          </w:tcPr>
          <w:p>
            <w:pPr>
              <w:pStyle w:val="38"/>
              <w:rPr>
                <w:rFonts w:hint="default"/>
              </w:rPr>
            </w:pPr>
            <w:r>
              <w:t>100CFU/mL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氯化物</w:t>
            </w:r>
          </w:p>
        </w:tc>
        <w:tc>
          <w:tcPr>
            <w:tcW w:w="3503" w:type="dxa"/>
            <w:vAlign w:val="center"/>
          </w:tcPr>
          <w:p>
            <w:pPr>
              <w:pStyle w:val="38"/>
              <w:rPr>
                <w:rFonts w:hint="default"/>
              </w:rPr>
            </w:pPr>
            <w:r>
              <w:t>250mg/L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氟化物</w:t>
            </w:r>
          </w:p>
        </w:tc>
        <w:tc>
          <w:tcPr>
            <w:tcW w:w="3503" w:type="dxa"/>
            <w:vAlign w:val="center"/>
          </w:tcPr>
          <w:p>
            <w:pPr>
              <w:pStyle w:val="38"/>
              <w:rPr>
                <w:rFonts w:hint="default"/>
              </w:rPr>
            </w:pPr>
            <w:r>
              <w:t>1.0mg/L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氰化物</w:t>
            </w:r>
          </w:p>
        </w:tc>
        <w:tc>
          <w:tcPr>
            <w:tcW w:w="3503" w:type="dxa"/>
            <w:vAlign w:val="center"/>
          </w:tcPr>
          <w:p>
            <w:pPr>
              <w:pStyle w:val="38"/>
              <w:rPr>
                <w:rFonts w:hint="default"/>
              </w:rPr>
            </w:pPr>
            <w:r>
              <w:t>0.05mg/L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硫酸盐</w:t>
            </w:r>
          </w:p>
        </w:tc>
        <w:tc>
          <w:tcPr>
            <w:tcW w:w="3503" w:type="dxa"/>
            <w:vAlign w:val="center"/>
          </w:tcPr>
          <w:p>
            <w:pPr>
              <w:pStyle w:val="38"/>
              <w:rPr>
                <w:rFonts w:hint="default"/>
              </w:rPr>
            </w:pPr>
            <w:r>
              <w:t>250mg/L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砷</w:t>
            </w:r>
          </w:p>
        </w:tc>
        <w:tc>
          <w:tcPr>
            <w:tcW w:w="3503" w:type="dxa"/>
            <w:vAlign w:val="center"/>
          </w:tcPr>
          <w:p>
            <w:pPr>
              <w:pStyle w:val="38"/>
              <w:rPr>
                <w:rFonts w:hint="default"/>
              </w:rPr>
            </w:pPr>
            <w:r>
              <w:t>0.01mg/L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铅</w:t>
            </w:r>
          </w:p>
        </w:tc>
        <w:tc>
          <w:tcPr>
            <w:tcW w:w="3503" w:type="dxa"/>
            <w:vAlign w:val="center"/>
          </w:tcPr>
          <w:p>
            <w:pPr>
              <w:pStyle w:val="38"/>
              <w:rPr>
                <w:rFonts w:hint="default"/>
              </w:rPr>
            </w:pPr>
            <w:r>
              <w:t>0.01mg/L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汞</w:t>
            </w:r>
          </w:p>
        </w:tc>
        <w:tc>
          <w:tcPr>
            <w:tcW w:w="3503" w:type="dxa"/>
            <w:vAlign w:val="center"/>
          </w:tcPr>
          <w:p>
            <w:pPr>
              <w:pStyle w:val="38"/>
              <w:rPr>
                <w:rFonts w:hint="default"/>
              </w:rPr>
            </w:pPr>
            <w:r>
              <w:t>0.001mg/L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铬（六价）</w:t>
            </w:r>
          </w:p>
        </w:tc>
        <w:tc>
          <w:tcPr>
            <w:tcW w:w="3503" w:type="dxa"/>
            <w:vAlign w:val="center"/>
          </w:tcPr>
          <w:p>
            <w:pPr>
              <w:pStyle w:val="38"/>
              <w:rPr>
                <w:rFonts w:hint="default"/>
              </w:rPr>
            </w:pPr>
            <w:r>
              <w:t>0.05mg/L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镉</w:t>
            </w:r>
          </w:p>
        </w:tc>
        <w:tc>
          <w:tcPr>
            <w:tcW w:w="3503" w:type="dxa"/>
            <w:vAlign w:val="center"/>
          </w:tcPr>
          <w:p>
            <w:pPr>
              <w:pStyle w:val="38"/>
              <w:rPr>
                <w:rFonts w:hint="default"/>
              </w:rPr>
            </w:pPr>
            <w:r>
              <w:t>0.005mg/L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铁</w:t>
            </w:r>
          </w:p>
        </w:tc>
        <w:tc>
          <w:tcPr>
            <w:tcW w:w="3503" w:type="dxa"/>
            <w:vAlign w:val="center"/>
          </w:tcPr>
          <w:p>
            <w:pPr>
              <w:pStyle w:val="38"/>
              <w:rPr>
                <w:rFonts w:hint="default"/>
              </w:rPr>
            </w:pPr>
            <w:r>
              <w:t>0.3mg/L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锰</w:t>
            </w:r>
          </w:p>
        </w:tc>
        <w:tc>
          <w:tcPr>
            <w:tcW w:w="3503" w:type="dxa"/>
            <w:vAlign w:val="center"/>
          </w:tcPr>
          <w:p>
            <w:pPr>
              <w:pStyle w:val="38"/>
              <w:rPr>
                <w:rFonts w:hint="default"/>
              </w:rPr>
            </w:pPr>
            <w:r>
              <w:t>0.010mg/L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锌</w:t>
            </w:r>
          </w:p>
        </w:tc>
        <w:tc>
          <w:tcPr>
            <w:tcW w:w="3503" w:type="dxa"/>
            <w:vAlign w:val="center"/>
          </w:tcPr>
          <w:p>
            <w:pPr>
              <w:pStyle w:val="38"/>
              <w:rPr>
                <w:rFonts w:hint="default"/>
              </w:rPr>
            </w:pPr>
            <w:r>
              <w:t>1.00mg/L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挥发酚类</w:t>
            </w:r>
          </w:p>
        </w:tc>
        <w:tc>
          <w:tcPr>
            <w:tcW w:w="3503" w:type="dxa"/>
            <w:vAlign w:val="center"/>
          </w:tcPr>
          <w:p>
            <w:pPr>
              <w:pStyle w:val="38"/>
              <w:rPr>
                <w:rFonts w:hint="default"/>
              </w:rPr>
            </w:pPr>
            <w:r>
              <w:t>0.002mg/L</w:t>
            </w:r>
          </w:p>
        </w:tc>
        <w:tc>
          <w:tcPr>
            <w:tcW w:w="2610" w:type="dxa"/>
            <w:vMerge w:val="continue"/>
          </w:tcPr>
          <w:p>
            <w:pPr>
              <w:pStyle w:val="38"/>
              <w:rPr>
                <w:rFonts w:hint="default"/>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3798" w:type="dxa"/>
            <w:vAlign w:val="center"/>
          </w:tcPr>
          <w:p>
            <w:pPr>
              <w:pStyle w:val="38"/>
              <w:rPr>
                <w:rFonts w:hint="default"/>
              </w:rPr>
            </w:pPr>
            <w:r>
              <w:t>耗氧量（COD</w:t>
            </w:r>
            <w:r>
              <w:rPr>
                <w:vertAlign w:val="subscript"/>
              </w:rPr>
              <w:t>Mn</w:t>
            </w:r>
            <w:r>
              <w:t>法，以O</w:t>
            </w:r>
            <w:r>
              <w:rPr>
                <w:vertAlign w:val="subscript"/>
              </w:rPr>
              <w:t>2</w:t>
            </w:r>
            <w:r>
              <w:t>计）</w:t>
            </w:r>
          </w:p>
        </w:tc>
        <w:tc>
          <w:tcPr>
            <w:tcW w:w="3503" w:type="dxa"/>
            <w:vAlign w:val="center"/>
          </w:tcPr>
          <w:p>
            <w:pPr>
              <w:pStyle w:val="38"/>
              <w:rPr>
                <w:rFonts w:hint="default"/>
              </w:rPr>
            </w:pPr>
            <w:r>
              <w:t>3.0mg/L</w:t>
            </w:r>
          </w:p>
        </w:tc>
        <w:tc>
          <w:tcPr>
            <w:tcW w:w="2610" w:type="dxa"/>
            <w:vMerge w:val="continue"/>
          </w:tcPr>
          <w:p>
            <w:pPr>
              <w:pStyle w:val="38"/>
              <w:rPr>
                <w:rFonts w:hint="default"/>
              </w:rPr>
            </w:pPr>
          </w:p>
        </w:tc>
      </w:tr>
    </w:tbl>
    <w:p>
      <w:pPr>
        <w:ind w:firstLine="0" w:firstLineChars="0"/>
        <w:jc w:val="center"/>
        <w:rPr>
          <w:b/>
          <w:bCs/>
        </w:rPr>
      </w:pPr>
      <w:r>
        <w:rPr>
          <w:rFonts w:hint="eastAsia"/>
          <w:b/>
          <w:bCs/>
        </w:rPr>
        <w:t>表2.4-5  建设用地土壤环境质量标准</w:t>
      </w:r>
    </w:p>
    <w:tbl>
      <w:tblPr>
        <w:tblStyle w:val="28"/>
        <w:tblW w:w="5005"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867"/>
        <w:gridCol w:w="1130"/>
        <w:gridCol w:w="1556"/>
        <w:gridCol w:w="2112"/>
        <w:gridCol w:w="1130"/>
        <w:gridCol w:w="1296"/>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vMerge w:val="restart"/>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污染物</w:t>
            </w:r>
          </w:p>
        </w:tc>
        <w:tc>
          <w:tcPr>
            <w:tcW w:w="1225" w:type="dxa"/>
            <w:vMerge w:val="restart"/>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单位</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第二类用地</w:t>
            </w:r>
          </w:p>
        </w:tc>
        <w:tc>
          <w:tcPr>
            <w:tcW w:w="2292" w:type="dxa"/>
            <w:vMerge w:val="restart"/>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污染物</w:t>
            </w:r>
          </w:p>
        </w:tc>
        <w:tc>
          <w:tcPr>
            <w:tcW w:w="1225" w:type="dxa"/>
            <w:vMerge w:val="restart"/>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单位</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第二类用地</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vMerge w:val="continue"/>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p>
        </w:tc>
        <w:tc>
          <w:tcPr>
            <w:tcW w:w="1225" w:type="dxa"/>
            <w:vMerge w:val="continue"/>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筛选值</w:t>
            </w:r>
          </w:p>
        </w:tc>
        <w:tc>
          <w:tcPr>
            <w:tcW w:w="2292" w:type="dxa"/>
            <w:vMerge w:val="continue"/>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p>
        </w:tc>
        <w:tc>
          <w:tcPr>
            <w:tcW w:w="1225" w:type="dxa"/>
            <w:vMerge w:val="continue"/>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筛选值</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pPr>
            <w:r>
              <w:rPr>
                <w:rFonts w:cs="Times New Roman"/>
                <w:color w:val="000000"/>
                <w:kern w:val="0"/>
                <w:sz w:val="21"/>
                <w:szCs w:val="21"/>
                <w:lang w:bidi="ar"/>
              </w:rPr>
              <w:t>60</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1，2，3-三氯丙烷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rPr>
                <w:rFonts w:hint="default"/>
              </w:rPr>
              <w:t>0.05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镉</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pPr>
            <w:r>
              <w:rPr>
                <w:rFonts w:cs="Times New Roman"/>
                <w:color w:val="000000"/>
                <w:kern w:val="0"/>
                <w:sz w:val="21"/>
                <w:szCs w:val="21"/>
                <w:lang w:bidi="ar"/>
              </w:rPr>
              <w:t>65</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氯乙烯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0.43</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铬（六价）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pPr>
            <w:r>
              <w:rPr>
                <w:rFonts w:cs="Times New Roman"/>
                <w:color w:val="000000"/>
                <w:kern w:val="0"/>
                <w:sz w:val="21"/>
                <w:szCs w:val="21"/>
                <w:lang w:bidi="ar"/>
              </w:rPr>
              <w:t>5.7</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4</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铜</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pPr>
            <w:r>
              <w:rPr>
                <w:rFonts w:cs="Times New Roman"/>
                <w:color w:val="000000"/>
                <w:kern w:val="0"/>
                <w:sz w:val="21"/>
                <w:szCs w:val="21"/>
                <w:lang w:bidi="ar"/>
              </w:rPr>
              <w:t>18000</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氯苯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270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铅</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auto"/>
              <w:ind w:firstLine="0" w:firstLineChars="0"/>
              <w:jc w:val="center"/>
            </w:pPr>
            <w:r>
              <w:rPr>
                <w:rFonts w:cs="Times New Roman"/>
                <w:color w:val="000000"/>
                <w:kern w:val="0"/>
                <w:sz w:val="21"/>
                <w:szCs w:val="21"/>
                <w:lang w:bidi="ar"/>
              </w:rPr>
              <w:t>800</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1，2-二氯苯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rPr>
                <w:rFonts w:hint="default"/>
              </w:rPr>
              <w:t>560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汞</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8</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1，4-二氯苯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20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镍</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rPr>
                <w:kern w:val="0"/>
                <w:lang w:bidi="ar"/>
              </w:rPr>
              <w:t>900</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乙苯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28</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四氯化碳</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2.8</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苯乙烯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rPr>
                <w:rFonts w:hint="default"/>
              </w:rPr>
              <w:t>1290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氯仿</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0.9</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eastAsia" w:eastAsia="宋体"/>
                <w:lang w:eastAsia="zh-CN"/>
              </w:rPr>
            </w:pPr>
            <w:r>
              <w:rPr>
                <w:rFonts w:hint="eastAsia"/>
                <w:lang w:eastAsia="zh-CN"/>
              </w:rPr>
              <w:t>甲苯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rPr>
                <w:rFonts w:hint="default"/>
              </w:rPr>
              <w:t>1200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氯甲烷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37</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eastAsia" w:eastAsia="宋体"/>
                <w:lang w:eastAsia="zh-CN"/>
              </w:rPr>
            </w:pPr>
            <w:r>
              <w:t>间（对）二</w:t>
            </w:r>
            <w:r>
              <w:rPr>
                <w:rFonts w:hint="eastAsia"/>
                <w:lang w:eastAsia="zh-CN"/>
              </w:rPr>
              <w:t>甲苯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570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1，1-二氯乙烷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9</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eastAsia" w:eastAsia="宋体"/>
                <w:lang w:eastAsia="zh-CN"/>
              </w:rPr>
            </w:pPr>
            <w:r>
              <w:t>邻二</w:t>
            </w:r>
            <w:r>
              <w:rPr>
                <w:rFonts w:hint="eastAsia"/>
                <w:lang w:eastAsia="zh-CN"/>
              </w:rPr>
              <w:t>甲苯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640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1，2-二氯乙烷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5</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硝基苯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76</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1，1-二氯乙烯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66</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苯胺</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260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顺-1，2-二氯乙烯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596</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2-氯酚</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2256</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反-1，2-二氯乙烯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54</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苯并〔a〕蒽</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二氯甲烷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616</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苯并〔a〕芘</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1，2-二氯丙烷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5</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苯并〔b〕荧蒽</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1，1，1，2-四氯乙烷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10</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苯并〔k〕荧蒽</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151</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1，1，2，2-四氯乙烷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6.8</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䓛</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1293</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四氯乙烯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53</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二苯并〔a，h〕蒽</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1，1，1-三氯乙烷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840</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茚并〔1，2，3-cd〕芘</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15</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1，1，2-三氯乙烷</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2.8</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萘</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70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2026"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三氯乙烯</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mg/kg</w:t>
            </w:r>
          </w:p>
        </w:tc>
        <w:tc>
          <w:tcPr>
            <w:tcW w:w="1688"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2.8</w:t>
            </w:r>
          </w:p>
        </w:tc>
        <w:tc>
          <w:tcPr>
            <w:tcW w:w="2292"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w:t>
            </w:r>
          </w:p>
        </w:tc>
        <w:tc>
          <w:tcPr>
            <w:tcW w:w="122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w:t>
            </w:r>
          </w:p>
        </w:tc>
        <w:tc>
          <w:tcPr>
            <w:tcW w:w="140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w:t>
            </w:r>
          </w:p>
        </w:tc>
      </w:tr>
    </w:tbl>
    <w:p>
      <w:pPr>
        <w:pStyle w:val="7"/>
        <w:ind w:firstLine="562"/>
      </w:pPr>
      <w:r>
        <w:t>2.4.3 污染物排放标准</w:t>
      </w:r>
    </w:p>
    <w:p>
      <w:pPr>
        <w:widowControl/>
        <w:ind w:firstLine="480"/>
        <w:jc w:val="both"/>
        <w:rPr>
          <w:kern w:val="24"/>
          <w:u w:val="single"/>
        </w:rPr>
      </w:pPr>
      <w:r>
        <w:rPr>
          <w:rFonts w:hint="eastAsia" w:ascii="宋体" w:hAnsi="宋体" w:cs="宋体"/>
          <w:color w:val="000000"/>
          <w:kern w:val="24"/>
          <w:u w:val="single"/>
          <w:lang w:bidi="ar"/>
        </w:rPr>
        <w:t>（</w:t>
      </w:r>
      <w:r>
        <w:rPr>
          <w:rFonts w:cs="Times New Roman"/>
          <w:color w:val="000000"/>
          <w:kern w:val="24"/>
          <w:u w:val="single"/>
          <w:lang w:bidi="ar"/>
        </w:rPr>
        <w:t>1</w:t>
      </w:r>
      <w:r>
        <w:rPr>
          <w:rFonts w:hint="eastAsia" w:ascii="宋体" w:hAnsi="宋体" w:cs="宋体"/>
          <w:color w:val="000000"/>
          <w:kern w:val="24"/>
          <w:u w:val="single"/>
          <w:lang w:bidi="ar"/>
        </w:rPr>
        <w:t>）大气污染物排放标准</w:t>
      </w:r>
    </w:p>
    <w:p>
      <w:pPr>
        <w:widowControl/>
        <w:ind w:firstLine="480"/>
        <w:jc w:val="both"/>
        <w:rPr>
          <w:kern w:val="24"/>
          <w:u w:val="single"/>
        </w:rPr>
      </w:pPr>
      <w:r>
        <w:rPr>
          <w:rFonts w:hint="eastAsia"/>
          <w:kern w:val="24"/>
          <w:u w:val="single"/>
        </w:rPr>
        <w:t>粉尘排放执行《大气污染物综合排放标准》GB16297-1996表2中排放标准。</w:t>
      </w:r>
    </w:p>
    <w:p>
      <w:pPr>
        <w:widowControl/>
        <w:ind w:firstLine="480"/>
        <w:jc w:val="both"/>
        <w:rPr>
          <w:kern w:val="24"/>
          <w:u w:val="single"/>
        </w:rPr>
      </w:pPr>
      <w:r>
        <w:rPr>
          <w:rFonts w:hint="eastAsia"/>
          <w:kern w:val="24"/>
          <w:u w:val="single"/>
        </w:rPr>
        <w:t>EPDM</w:t>
      </w:r>
      <w:r>
        <w:rPr>
          <w:rFonts w:hint="eastAsia"/>
          <w:kern w:val="24"/>
          <w:u w:val="single"/>
          <w:lang w:eastAsia="zh-CN"/>
        </w:rPr>
        <w:t>颗粒</w:t>
      </w:r>
      <w:r>
        <w:rPr>
          <w:rFonts w:hint="eastAsia"/>
          <w:kern w:val="24"/>
          <w:u w:val="single"/>
        </w:rPr>
        <w:t>生产投料粉尘、密炼及硫化工序粉尘、非甲烷总烃排放执行《橡胶制品工业污染物排放标准》（GB27632-2011）表5、表6中排放标准以及《关于全省开展工业企业挥发性有机物专项治理工作中排放建议值的通知》（豫环攻坚办〔2017〕162号），硫化氢浓度执行《恶臭污染物排放标准》（GB14554-93）表1、表2标准。</w:t>
      </w:r>
    </w:p>
    <w:p>
      <w:pPr>
        <w:widowControl/>
        <w:ind w:firstLine="480"/>
        <w:rPr>
          <w:kern w:val="24"/>
          <w:u w:val="single"/>
        </w:rPr>
      </w:pPr>
      <w:r>
        <w:rPr>
          <w:rFonts w:hint="eastAsia"/>
          <w:kern w:val="24"/>
          <w:u w:val="single"/>
          <w:lang w:eastAsia="zh-CN"/>
        </w:rPr>
        <w:t>跑道</w:t>
      </w:r>
      <w:r>
        <w:rPr>
          <w:rFonts w:hint="eastAsia"/>
          <w:kern w:val="24"/>
          <w:u w:val="single"/>
        </w:rPr>
        <w:t>专用面漆和单组分胶水、双组份胶水、</w:t>
      </w:r>
      <w:r>
        <w:rPr>
          <w:rFonts w:hint="eastAsia"/>
          <w:kern w:val="24"/>
          <w:u w:val="single"/>
          <w:lang w:eastAsia="zh-CN"/>
        </w:rPr>
        <w:t>水性树脂</w:t>
      </w:r>
      <w:r>
        <w:rPr>
          <w:rFonts w:hint="eastAsia"/>
          <w:kern w:val="24"/>
          <w:u w:val="single"/>
        </w:rPr>
        <w:t>生产废气排放执行《涂料、油墨及胶粘剂工业大气污染物排放标准》（GB37824—2019）表</w:t>
      </w:r>
      <w:r>
        <w:rPr>
          <w:rFonts w:hint="eastAsia"/>
          <w:kern w:val="24"/>
          <w:u w:val="single"/>
          <w:lang w:val="en-US" w:eastAsia="zh-CN"/>
        </w:rPr>
        <w:t>2</w:t>
      </w:r>
      <w:r>
        <w:rPr>
          <w:rFonts w:hint="eastAsia"/>
          <w:kern w:val="24"/>
          <w:u w:val="single"/>
        </w:rPr>
        <w:t>中排放标准。</w:t>
      </w:r>
    </w:p>
    <w:p>
      <w:pPr>
        <w:widowControl/>
        <w:ind w:firstLine="480"/>
        <w:rPr>
          <w:kern w:val="24"/>
          <w:u w:val="single"/>
        </w:rPr>
      </w:pPr>
      <w:r>
        <w:rPr>
          <w:rFonts w:hint="eastAsia"/>
          <w:kern w:val="24"/>
          <w:u w:val="single"/>
        </w:rPr>
        <w:t>人造草坪</w:t>
      </w:r>
      <w:r>
        <w:rPr>
          <w:rFonts w:hint="eastAsia"/>
          <w:kern w:val="24"/>
          <w:u w:val="single"/>
          <w:lang w:eastAsia="zh-CN"/>
        </w:rPr>
        <w:t>、</w:t>
      </w:r>
      <w:r>
        <w:rPr>
          <w:rFonts w:hint="eastAsia"/>
          <w:kern w:val="24"/>
          <w:u w:val="single"/>
        </w:rPr>
        <w:t>硅PU生产过程会产生废气排放执行《合成树脂工业污染物排放标准》（GB31572-2015）表4、表9中排放标准、《恶臭污染物排放标准》（GB14554-93）表1、表2标准；</w:t>
      </w:r>
    </w:p>
    <w:p>
      <w:pPr>
        <w:widowControl/>
        <w:ind w:firstLine="480"/>
        <w:rPr>
          <w:kern w:val="24"/>
          <w:u w:val="single"/>
        </w:rPr>
      </w:pPr>
      <w:r>
        <w:rPr>
          <w:rFonts w:hint="eastAsia"/>
          <w:kern w:val="24"/>
          <w:u w:val="single"/>
        </w:rPr>
        <w:t>厂界无组织排放：厂界颗粒物及非甲烷总烃从严执行《橡胶制品工业污染物排放标准》（GB27632-2011）表6标准、《大气污染物综合排放标准》（GB16297-1996）表2、《合成树脂工业污染物排放标准》（GB31572-2015）表9中排放标准，则厂界颗粒物及非甲烷总烃执行《橡胶制品工业污染物排放标准》（GB27632-2011）表6标准（颗粒物1.0mg/m</w:t>
      </w:r>
      <w:r>
        <w:rPr>
          <w:rFonts w:hint="eastAsia"/>
          <w:kern w:val="24"/>
          <w:u w:val="single"/>
          <w:vertAlign w:val="superscript"/>
        </w:rPr>
        <w:t>3</w:t>
      </w:r>
      <w:r>
        <w:rPr>
          <w:rFonts w:hint="eastAsia"/>
          <w:kern w:val="24"/>
          <w:u w:val="single"/>
        </w:rPr>
        <w:t>，非甲烷总烃4.0mg/m</w:t>
      </w:r>
      <w:r>
        <w:rPr>
          <w:rFonts w:hint="eastAsia"/>
          <w:kern w:val="24"/>
          <w:u w:val="single"/>
          <w:vertAlign w:val="superscript"/>
        </w:rPr>
        <w:t>3</w:t>
      </w:r>
      <w:r>
        <w:rPr>
          <w:rFonts w:hint="eastAsia"/>
          <w:kern w:val="24"/>
          <w:u w:val="single"/>
        </w:rPr>
        <w:t>）以及《关于全省开展工业企业挥发性有机物专项治理工作中排放建议值的通知》（豫环攻坚办〔2017〕162号）（非甲烷总烃</w:t>
      </w:r>
      <w:r>
        <w:rPr>
          <w:rFonts w:hint="eastAsia"/>
          <w:kern w:val="24"/>
          <w:u w:val="single"/>
          <w:lang w:val="en-US" w:eastAsia="zh-CN"/>
        </w:rPr>
        <w:t>2</w:t>
      </w:r>
      <w:r>
        <w:rPr>
          <w:rFonts w:hint="eastAsia"/>
          <w:kern w:val="24"/>
          <w:u w:val="single"/>
        </w:rPr>
        <w:t>.0mg/m</w:t>
      </w:r>
      <w:r>
        <w:rPr>
          <w:rFonts w:hint="eastAsia"/>
          <w:kern w:val="24"/>
          <w:u w:val="single"/>
          <w:vertAlign w:val="superscript"/>
        </w:rPr>
        <w:t>3</w:t>
      </w:r>
      <w:r>
        <w:rPr>
          <w:rFonts w:hint="eastAsia"/>
          <w:kern w:val="24"/>
          <w:u w:val="single"/>
        </w:rPr>
        <w:t>）；硫化氢、氨度执行《恶臭污染物排放标准》（GB14554-93）表1二级新扩改建标准。</w:t>
      </w:r>
    </w:p>
    <w:p>
      <w:pPr>
        <w:keepNext w:val="0"/>
        <w:keepLines w:val="0"/>
        <w:pageBreakBefore w:val="0"/>
        <w:widowControl/>
        <w:kinsoku/>
        <w:wordWrap/>
        <w:overflowPunct/>
        <w:topLinePunct w:val="0"/>
        <w:autoSpaceDE/>
        <w:autoSpaceDN/>
        <w:bidi w:val="0"/>
        <w:adjustRightInd/>
        <w:snapToGrid/>
        <w:ind w:firstLine="480"/>
        <w:textAlignment w:val="auto"/>
        <w:rPr>
          <w:kern w:val="24"/>
          <w:u w:val="single"/>
        </w:rPr>
      </w:pPr>
      <w:r>
        <w:rPr>
          <w:rFonts w:hint="eastAsia"/>
          <w:kern w:val="24"/>
          <w:u w:val="single"/>
        </w:rPr>
        <w:t>非甲烷总烃厂内无组织排放还需执行《挥发性有机物无组织排放控制标准》（GB37822-2019）表A1标准中排放限值。</w:t>
      </w:r>
    </w:p>
    <w:p>
      <w:pPr>
        <w:pStyle w:val="27"/>
        <w:keepNext w:val="0"/>
        <w:keepLines w:val="0"/>
        <w:pageBreakBefore w:val="0"/>
        <w:kinsoku/>
        <w:wordWrap/>
        <w:overflowPunct/>
        <w:topLinePunct w:val="0"/>
        <w:autoSpaceDE/>
        <w:autoSpaceDN/>
        <w:bidi w:val="0"/>
        <w:adjustRightInd/>
        <w:snapToGrid/>
        <w:spacing w:after="0"/>
        <w:ind w:left="0" w:leftChars="0" w:firstLine="480"/>
        <w:textAlignment w:val="auto"/>
        <w:rPr>
          <w:rFonts w:hint="eastAsia" w:eastAsia="宋体"/>
          <w:u w:val="single"/>
          <w:lang w:eastAsia="zh-CN"/>
        </w:rPr>
      </w:pPr>
      <w:r>
        <w:rPr>
          <w:rFonts w:hint="eastAsia"/>
          <w:kern w:val="24"/>
          <w:u w:val="single"/>
        </w:rPr>
        <w:t>非甲烷总烃</w:t>
      </w:r>
      <w:r>
        <w:rPr>
          <w:rFonts w:hint="eastAsia"/>
          <w:kern w:val="24"/>
          <w:u w:val="single"/>
          <w:lang w:eastAsia="zh-CN"/>
        </w:rPr>
        <w:t>参考执行</w:t>
      </w:r>
      <w:r>
        <w:rPr>
          <w:rFonts w:hint="eastAsia"/>
          <w:kern w:val="24"/>
          <w:u w:val="single"/>
          <w:lang w:val="zh-CN" w:eastAsia="zh-CN"/>
        </w:rPr>
        <w:t>有机化工企业绩效分级指标</w:t>
      </w:r>
      <w:r>
        <w:rPr>
          <w:rFonts w:hint="eastAsia"/>
          <w:kern w:val="24"/>
          <w:u w:val="single"/>
          <w:lang w:eastAsia="zh-CN"/>
        </w:rPr>
        <w:t>A</w:t>
      </w:r>
      <w:r>
        <w:rPr>
          <w:rFonts w:hint="eastAsia"/>
          <w:kern w:val="24"/>
          <w:u w:val="single"/>
          <w:lang w:val="zh-CN" w:eastAsia="zh-CN"/>
        </w:rPr>
        <w:t>级企业、橡胶制品行业A级绩效分级指标企业、塑料制品企业A级指标限制值的要求。</w:t>
      </w:r>
    </w:p>
    <w:p>
      <w:pPr>
        <w:pStyle w:val="27"/>
        <w:keepNext w:val="0"/>
        <w:keepLines w:val="0"/>
        <w:pageBreakBefore w:val="0"/>
        <w:kinsoku/>
        <w:wordWrap/>
        <w:overflowPunct/>
        <w:topLinePunct w:val="0"/>
        <w:autoSpaceDE/>
        <w:autoSpaceDN/>
        <w:bidi w:val="0"/>
        <w:adjustRightInd/>
        <w:snapToGrid/>
        <w:spacing w:after="0"/>
        <w:ind w:left="0" w:leftChars="0" w:firstLine="480"/>
        <w:textAlignment w:val="auto"/>
        <w:rPr>
          <w:rFonts w:hint="eastAsia"/>
          <w:u w:val="single"/>
        </w:rPr>
      </w:pPr>
      <w:r>
        <w:rPr>
          <w:rFonts w:hint="eastAsia"/>
          <w:u w:val="single"/>
        </w:rPr>
        <w:t>饮食业油烟执行</w:t>
      </w:r>
      <w:r>
        <w:fldChar w:fldCharType="begin"/>
      </w:r>
      <w:r>
        <w:instrText xml:space="preserve"> HYPERLINK "http://www.gongyishi.gov.cn/zfxxgk/rootfiles/2020/06/01/1592341878786307-1592341879523427.pdf" \t "http://www.gongyishi.gov.cn/zfxxgk/zdly/hjbhxx/hjwrfzhbh/webinfo/2020/06/CMSFILEINCONTENT" </w:instrText>
      </w:r>
      <w:r>
        <w:fldChar w:fldCharType="separate"/>
      </w:r>
      <w:r>
        <w:rPr>
          <w:rFonts w:hint="eastAsia"/>
          <w:u w:val="single"/>
        </w:rPr>
        <w:t>《河南省餐饮业油烟污染物排放标准》</w:t>
      </w:r>
      <w:r>
        <w:rPr>
          <w:rFonts w:hint="eastAsia"/>
          <w:u w:val="single"/>
        </w:rPr>
        <w:fldChar w:fldCharType="end"/>
      </w:r>
      <w:r>
        <w:rPr>
          <w:rFonts w:hint="eastAsia"/>
          <w:u w:val="single"/>
        </w:rPr>
        <w:t>（</w:t>
      </w:r>
      <w:r>
        <w:rPr>
          <w:u w:val="single"/>
        </w:rPr>
        <w:t>GB</w:t>
      </w:r>
      <w:r>
        <w:rPr>
          <w:rFonts w:hint="eastAsia"/>
          <w:u w:val="single"/>
        </w:rPr>
        <w:t>41/1604</w:t>
      </w:r>
      <w:r>
        <w:rPr>
          <w:u w:val="single"/>
        </w:rPr>
        <w:t>-20</w:t>
      </w:r>
      <w:r>
        <w:rPr>
          <w:rFonts w:hint="eastAsia"/>
          <w:u w:val="single"/>
        </w:rPr>
        <w:t>18）表1中相关标准。</w:t>
      </w:r>
    </w:p>
    <w:p>
      <w:pPr>
        <w:rPr>
          <w:rFonts w:hint="default" w:eastAsia="宋体"/>
          <w:lang w:val="en-US" w:eastAsia="zh-CN"/>
        </w:rPr>
      </w:pPr>
      <w:r>
        <w:rPr>
          <w:rFonts w:hint="eastAsia"/>
          <w:u w:val="single"/>
          <w:lang w:eastAsia="zh-CN"/>
        </w:rPr>
        <w:t>综上所述，项目废气各因子执行标准选取最严格执行，见表</w:t>
      </w:r>
      <w:r>
        <w:rPr>
          <w:rFonts w:hint="eastAsia"/>
          <w:u w:val="single"/>
          <w:lang w:val="en-US" w:eastAsia="zh-CN"/>
        </w:rPr>
        <w:t>2.4-6。</w:t>
      </w:r>
    </w:p>
    <w:p>
      <w:pPr>
        <w:ind w:firstLine="0" w:firstLineChars="0"/>
        <w:jc w:val="center"/>
        <w:rPr>
          <w:b/>
          <w:bCs/>
        </w:rPr>
      </w:pPr>
      <w:r>
        <w:rPr>
          <w:rFonts w:hint="eastAsia"/>
          <w:b/>
          <w:bCs/>
        </w:rPr>
        <w:t>表2.4-</w:t>
      </w:r>
      <w:r>
        <w:rPr>
          <w:rFonts w:hint="eastAsia"/>
          <w:b/>
          <w:bCs/>
          <w:lang w:val="en-US" w:eastAsia="zh-CN"/>
        </w:rPr>
        <w:t>6</w:t>
      </w:r>
      <w:r>
        <w:rPr>
          <w:rFonts w:hint="eastAsia"/>
          <w:b/>
          <w:bCs/>
        </w:rPr>
        <w:t xml:space="preserve">  大气污染物排放标准限值</w:t>
      </w:r>
    </w:p>
    <w:tbl>
      <w:tblPr>
        <w:tblStyle w:val="2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2"/>
        <w:gridCol w:w="2640"/>
        <w:gridCol w:w="1201"/>
        <w:gridCol w:w="36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污染物因子</w:t>
            </w:r>
          </w:p>
        </w:tc>
        <w:tc>
          <w:tcPr>
            <w:tcW w:w="2069" w:type="pct"/>
            <w:gridSpan w:val="2"/>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标准值</w:t>
            </w:r>
          </w:p>
        </w:tc>
        <w:tc>
          <w:tcPr>
            <w:tcW w:w="1959" w:type="pct"/>
            <w:tcBorders>
              <w:tl2br w:val="nil"/>
              <w:tr2bl w:val="nil"/>
            </w:tcBorders>
            <w:vAlign w:val="center"/>
          </w:tcPr>
          <w:p>
            <w:pPr>
              <w:spacing w:line="240" w:lineRule="auto"/>
              <w:ind w:firstLine="0" w:firstLineChars="0"/>
              <w:jc w:val="center"/>
              <w:rPr>
                <w:rFonts w:hint="eastAsia" w:cs="Times New Roman"/>
                <w:color w:val="000000"/>
                <w:sz w:val="21"/>
                <w:szCs w:val="21"/>
                <w:lang w:eastAsia="zh-CN"/>
              </w:rPr>
            </w:pPr>
            <w:r>
              <w:rPr>
                <w:rFonts w:hint="eastAsia" w:cs="Times New Roman"/>
                <w:color w:val="000000"/>
                <w:sz w:val="21"/>
                <w:szCs w:val="21"/>
                <w:lang w:eastAsia="zh-CN"/>
              </w:rPr>
              <w:t>本项目执行标准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Merge w:val="restar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颗粒物</w:t>
            </w: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最高允许排放浓度</w:t>
            </w:r>
          </w:p>
        </w:tc>
        <w:tc>
          <w:tcPr>
            <w:tcW w:w="647"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12mg/m</w:t>
            </w:r>
            <w:r>
              <w:rPr>
                <w:rFonts w:cs="Times New Roman"/>
                <w:color w:val="000000"/>
                <w:sz w:val="21"/>
                <w:szCs w:val="21"/>
                <w:vertAlign w:val="superscript"/>
              </w:rPr>
              <w:t>3</w:t>
            </w:r>
          </w:p>
        </w:tc>
        <w:tc>
          <w:tcPr>
            <w:tcW w:w="1959" w:type="pct"/>
            <w:vMerge w:val="restart"/>
            <w:tcBorders>
              <w:tl2br w:val="nil"/>
              <w:tr2bl w:val="nil"/>
            </w:tcBorders>
            <w:vAlign w:val="center"/>
          </w:tcPr>
          <w:p>
            <w:pPr>
              <w:spacing w:line="240" w:lineRule="auto"/>
              <w:ind w:firstLine="0" w:firstLineChars="0"/>
              <w:jc w:val="center"/>
              <w:rPr>
                <w:rFonts w:hint="eastAsia" w:eastAsia="宋体" w:cs="Times New Roman"/>
                <w:color w:val="000000"/>
                <w:sz w:val="21"/>
                <w:szCs w:val="21"/>
                <w:lang w:eastAsia="zh-CN"/>
              </w:rPr>
            </w:pPr>
            <w:r>
              <w:rPr>
                <w:rFonts w:cs="Times New Roman"/>
                <w:color w:val="000000"/>
                <w:sz w:val="21"/>
                <w:szCs w:val="21"/>
              </w:rPr>
              <w:t>《橡胶制品工业污染物排放标准》（GB27632-2011）</w:t>
            </w:r>
            <w:r>
              <w:rPr>
                <w:rFonts w:hint="eastAsia" w:cs="Times New Roman"/>
                <w:color w:val="000000"/>
                <w:sz w:val="21"/>
                <w:szCs w:val="21"/>
                <w:lang w:eastAsia="zh-CN"/>
              </w:rPr>
              <w:t>、</w:t>
            </w:r>
            <w:r>
              <w:rPr>
                <w:rFonts w:cs="Times New Roman"/>
                <w:color w:val="000000"/>
                <w:sz w:val="21"/>
                <w:szCs w:val="21"/>
              </w:rPr>
              <w:t>《大气污染物综合排放标准》（GB16297-1996）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1" w:type="pct"/>
            <w:vMerge w:val="continue"/>
            <w:tcBorders>
              <w:tl2br w:val="nil"/>
              <w:tr2bl w:val="nil"/>
            </w:tcBorders>
            <w:vAlign w:val="center"/>
          </w:tcPr>
          <w:p>
            <w:pPr>
              <w:spacing w:line="240" w:lineRule="auto"/>
              <w:ind w:firstLine="0" w:firstLineChars="0"/>
              <w:jc w:val="center"/>
              <w:rPr>
                <w:rFonts w:cs="Times New Roman"/>
                <w:color w:val="000000"/>
                <w:sz w:val="21"/>
                <w:szCs w:val="21"/>
              </w:rPr>
            </w:pP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周界外浓度最高点</w:t>
            </w:r>
          </w:p>
        </w:tc>
        <w:tc>
          <w:tcPr>
            <w:tcW w:w="647"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1.0mg/m</w:t>
            </w:r>
            <w:r>
              <w:rPr>
                <w:rFonts w:cs="Times New Roman"/>
                <w:color w:val="000000"/>
                <w:sz w:val="21"/>
                <w:szCs w:val="21"/>
                <w:vertAlign w:val="superscript"/>
              </w:rPr>
              <w:t>3</w:t>
            </w:r>
          </w:p>
        </w:tc>
        <w:tc>
          <w:tcPr>
            <w:tcW w:w="1959" w:type="pct"/>
            <w:vMerge w:val="continue"/>
            <w:tcBorders>
              <w:tl2br w:val="nil"/>
              <w:tr2bl w:val="nil"/>
            </w:tcBorders>
            <w:vAlign w:val="center"/>
          </w:tcPr>
          <w:p>
            <w:pPr>
              <w:spacing w:line="240" w:lineRule="auto"/>
              <w:ind w:firstLine="0" w:firstLineChars="0"/>
              <w:jc w:val="center"/>
              <w:rPr>
                <w:rFonts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Merge w:val="restar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非甲烷总烃</w:t>
            </w: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最高允许排放浓度</w:t>
            </w:r>
          </w:p>
        </w:tc>
        <w:tc>
          <w:tcPr>
            <w:tcW w:w="647"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120mg/m</w:t>
            </w:r>
            <w:r>
              <w:rPr>
                <w:rFonts w:cs="Times New Roman"/>
                <w:color w:val="000000"/>
                <w:sz w:val="21"/>
                <w:szCs w:val="21"/>
                <w:vertAlign w:val="superscript"/>
              </w:rPr>
              <w:t>3</w:t>
            </w:r>
          </w:p>
        </w:tc>
        <w:tc>
          <w:tcPr>
            <w:tcW w:w="1959" w:type="pct"/>
            <w:vMerge w:val="restart"/>
            <w:tcBorders>
              <w:tl2br w:val="nil"/>
              <w:tr2bl w:val="nil"/>
            </w:tcBorders>
            <w:vAlign w:val="center"/>
          </w:tcPr>
          <w:p>
            <w:pPr>
              <w:spacing w:line="240" w:lineRule="auto"/>
              <w:ind w:firstLine="0" w:firstLineChars="0"/>
              <w:jc w:val="center"/>
              <w:rPr>
                <w:rFonts w:cs="Times New Roman"/>
                <w:color w:val="000000"/>
                <w:sz w:val="21"/>
                <w:szCs w:val="21"/>
              </w:rPr>
            </w:pPr>
            <w:r>
              <w:rPr>
                <w:rFonts w:hint="eastAsia" w:cs="Times New Roman"/>
                <w:color w:val="000000"/>
                <w:sz w:val="21"/>
                <w:szCs w:val="21"/>
                <w:lang w:val="en-US" w:eastAsia="zh-CN"/>
              </w:rPr>
              <w:t>《橡胶制品工业污染物排放标准》（GB27632-2011）、《关于全省开展工业企业挥发性有机物专项治理工作中排放建议值的通知》（豫环攻坚办〔2017〕162号）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Merge w:val="continue"/>
            <w:tcBorders>
              <w:tl2br w:val="nil"/>
              <w:tr2bl w:val="nil"/>
            </w:tcBorders>
            <w:vAlign w:val="center"/>
          </w:tcPr>
          <w:p>
            <w:pPr>
              <w:spacing w:line="240" w:lineRule="auto"/>
              <w:ind w:firstLine="0" w:firstLineChars="0"/>
              <w:jc w:val="center"/>
              <w:rPr>
                <w:rFonts w:cs="Times New Roman"/>
                <w:color w:val="000000"/>
                <w:sz w:val="21"/>
                <w:szCs w:val="21"/>
              </w:rPr>
            </w:pP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周界外浓度最高点</w:t>
            </w:r>
          </w:p>
        </w:tc>
        <w:tc>
          <w:tcPr>
            <w:tcW w:w="647" w:type="pct"/>
            <w:tcBorders>
              <w:tl2br w:val="nil"/>
              <w:tr2bl w:val="nil"/>
            </w:tcBorders>
            <w:vAlign w:val="center"/>
          </w:tcPr>
          <w:p>
            <w:pPr>
              <w:spacing w:line="240" w:lineRule="auto"/>
              <w:ind w:firstLine="0" w:firstLineChars="0"/>
              <w:jc w:val="center"/>
              <w:rPr>
                <w:rFonts w:cs="Times New Roman"/>
                <w:color w:val="000000"/>
                <w:sz w:val="21"/>
                <w:szCs w:val="21"/>
              </w:rPr>
            </w:pPr>
            <w:r>
              <w:rPr>
                <w:rFonts w:hint="eastAsia" w:cs="Times New Roman"/>
                <w:color w:val="000000"/>
                <w:sz w:val="21"/>
                <w:szCs w:val="21"/>
                <w:lang w:val="en-US" w:eastAsia="zh-CN"/>
              </w:rPr>
              <w:t>2</w:t>
            </w:r>
            <w:r>
              <w:rPr>
                <w:rFonts w:cs="Times New Roman"/>
                <w:color w:val="000000"/>
                <w:sz w:val="21"/>
                <w:szCs w:val="21"/>
              </w:rPr>
              <w:t>.0mg/m</w:t>
            </w:r>
            <w:r>
              <w:rPr>
                <w:rFonts w:cs="Times New Roman"/>
                <w:color w:val="000000"/>
                <w:sz w:val="21"/>
                <w:szCs w:val="21"/>
                <w:vertAlign w:val="superscript"/>
              </w:rPr>
              <w:t>3</w:t>
            </w:r>
          </w:p>
        </w:tc>
        <w:tc>
          <w:tcPr>
            <w:tcW w:w="1959" w:type="pct"/>
            <w:vMerge w:val="continue"/>
            <w:tcBorders>
              <w:tl2br w:val="nil"/>
              <w:tr2bl w:val="nil"/>
            </w:tcBorders>
            <w:vAlign w:val="center"/>
          </w:tcPr>
          <w:p>
            <w:pPr>
              <w:spacing w:line="240" w:lineRule="auto"/>
              <w:ind w:firstLine="0" w:firstLineChars="0"/>
              <w:jc w:val="center"/>
              <w:rPr>
                <w:rFonts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tcBorders>
              <w:tl2br w:val="nil"/>
              <w:tr2bl w:val="nil"/>
            </w:tcBorders>
            <w:vAlign w:val="center"/>
          </w:tcPr>
          <w:p>
            <w:pPr>
              <w:spacing w:line="240" w:lineRule="auto"/>
              <w:ind w:firstLine="0" w:firstLineChars="0"/>
              <w:jc w:val="center"/>
              <w:rPr>
                <w:rFonts w:cs="Times New Roman"/>
                <w:color w:val="000000"/>
                <w:sz w:val="21"/>
                <w:szCs w:val="21"/>
              </w:rPr>
            </w:pPr>
            <w:r>
              <w:rPr>
                <w:rFonts w:hint="eastAsia" w:cs="Times New Roman"/>
                <w:color w:val="000000"/>
                <w:sz w:val="21"/>
                <w:szCs w:val="21"/>
              </w:rPr>
              <w:t>丙烯酸</w:t>
            </w: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最高允许排放浓度</w:t>
            </w:r>
          </w:p>
        </w:tc>
        <w:tc>
          <w:tcPr>
            <w:tcW w:w="647" w:type="pct"/>
            <w:tcBorders>
              <w:tl2br w:val="nil"/>
              <w:tr2bl w:val="nil"/>
            </w:tcBorders>
            <w:vAlign w:val="center"/>
          </w:tcPr>
          <w:p>
            <w:pPr>
              <w:spacing w:line="240" w:lineRule="auto"/>
              <w:ind w:firstLine="0" w:firstLineChars="0"/>
              <w:jc w:val="center"/>
              <w:rPr>
                <w:rFonts w:cs="Times New Roman"/>
                <w:color w:val="000000"/>
                <w:sz w:val="21"/>
                <w:szCs w:val="21"/>
              </w:rPr>
            </w:pPr>
            <w:r>
              <w:rPr>
                <w:rFonts w:hint="eastAsia" w:cs="Times New Roman"/>
                <w:color w:val="000000"/>
                <w:sz w:val="21"/>
                <w:szCs w:val="21"/>
              </w:rPr>
              <w:t>10</w:t>
            </w:r>
            <w:r>
              <w:rPr>
                <w:rFonts w:cs="Times New Roman"/>
                <w:color w:val="000000"/>
                <w:sz w:val="21"/>
                <w:szCs w:val="21"/>
              </w:rPr>
              <w:t>mg/m</w:t>
            </w:r>
            <w:r>
              <w:rPr>
                <w:rFonts w:cs="Times New Roman"/>
                <w:color w:val="000000"/>
                <w:sz w:val="21"/>
                <w:szCs w:val="21"/>
                <w:vertAlign w:val="superscript"/>
              </w:rPr>
              <w:t>3</w:t>
            </w:r>
          </w:p>
        </w:tc>
        <w:tc>
          <w:tcPr>
            <w:tcW w:w="1959" w:type="pct"/>
            <w:vMerge w:val="restart"/>
            <w:tcBorders>
              <w:tl2br w:val="nil"/>
              <w:tr2bl w:val="nil"/>
            </w:tcBorders>
            <w:vAlign w:val="center"/>
          </w:tcPr>
          <w:p>
            <w:pPr>
              <w:spacing w:line="240" w:lineRule="auto"/>
              <w:ind w:firstLine="0" w:firstLineChars="0"/>
              <w:jc w:val="center"/>
              <w:rPr>
                <w:rFonts w:hint="eastAsia" w:cs="Times New Roman"/>
                <w:color w:val="000000"/>
                <w:sz w:val="21"/>
                <w:szCs w:val="21"/>
              </w:rPr>
            </w:pPr>
            <w:r>
              <w:rPr>
                <w:rFonts w:hint="eastAsia" w:cs="Times New Roman"/>
                <w:color w:val="000000"/>
                <w:sz w:val="21"/>
                <w:szCs w:val="21"/>
              </w:rPr>
              <w:t>《合成树脂工业污染物排放标准》（GB31572-2015）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tcBorders>
              <w:tl2br w:val="nil"/>
              <w:tr2bl w:val="nil"/>
            </w:tcBorders>
            <w:vAlign w:val="center"/>
          </w:tcPr>
          <w:p>
            <w:pPr>
              <w:spacing w:line="240" w:lineRule="auto"/>
              <w:ind w:firstLine="0" w:firstLineChars="0"/>
              <w:jc w:val="center"/>
              <w:rPr>
                <w:rFonts w:cs="Times New Roman"/>
                <w:color w:val="000000"/>
                <w:sz w:val="21"/>
                <w:szCs w:val="21"/>
              </w:rPr>
            </w:pPr>
            <w:r>
              <w:rPr>
                <w:rFonts w:hint="eastAsia" w:cs="Times New Roman"/>
                <w:color w:val="000000"/>
                <w:sz w:val="21"/>
                <w:szCs w:val="21"/>
              </w:rPr>
              <w:t>丙烯酸丁酯</w:t>
            </w: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最高允许排放浓度</w:t>
            </w:r>
          </w:p>
        </w:tc>
        <w:tc>
          <w:tcPr>
            <w:tcW w:w="647" w:type="pct"/>
            <w:tcBorders>
              <w:tl2br w:val="nil"/>
              <w:tr2bl w:val="nil"/>
            </w:tcBorders>
            <w:vAlign w:val="center"/>
          </w:tcPr>
          <w:p>
            <w:pPr>
              <w:spacing w:line="240" w:lineRule="auto"/>
              <w:ind w:firstLine="0" w:firstLineChars="0"/>
              <w:jc w:val="center"/>
              <w:rPr>
                <w:rFonts w:cs="Times New Roman"/>
                <w:color w:val="000000"/>
                <w:sz w:val="21"/>
                <w:szCs w:val="21"/>
              </w:rPr>
            </w:pPr>
            <w:r>
              <w:rPr>
                <w:rFonts w:hint="eastAsia" w:cs="Times New Roman"/>
                <w:color w:val="000000"/>
                <w:sz w:val="21"/>
                <w:szCs w:val="21"/>
              </w:rPr>
              <w:t>20</w:t>
            </w:r>
            <w:r>
              <w:rPr>
                <w:rFonts w:cs="Times New Roman"/>
                <w:color w:val="000000"/>
                <w:sz w:val="21"/>
                <w:szCs w:val="21"/>
              </w:rPr>
              <w:t>mg/m</w:t>
            </w:r>
            <w:r>
              <w:rPr>
                <w:rFonts w:cs="Times New Roman"/>
                <w:color w:val="000000"/>
                <w:sz w:val="21"/>
                <w:szCs w:val="21"/>
                <w:vertAlign w:val="superscript"/>
              </w:rPr>
              <w:t>3</w:t>
            </w:r>
          </w:p>
        </w:tc>
        <w:tc>
          <w:tcPr>
            <w:tcW w:w="1959" w:type="pct"/>
            <w:vMerge w:val="continue"/>
            <w:tcBorders>
              <w:tl2br w:val="nil"/>
              <w:tr2bl w:val="nil"/>
            </w:tcBorders>
            <w:vAlign w:val="center"/>
          </w:tcPr>
          <w:p>
            <w:pPr>
              <w:spacing w:line="240" w:lineRule="auto"/>
              <w:ind w:firstLine="0" w:firstLineChars="0"/>
              <w:jc w:val="center"/>
              <w:rPr>
                <w:rFonts w:hint="eastAsia"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tcBorders>
              <w:tl2br w:val="nil"/>
              <w:tr2bl w:val="nil"/>
            </w:tcBorders>
            <w:vAlign w:val="center"/>
          </w:tcPr>
          <w:p>
            <w:pPr>
              <w:spacing w:line="240" w:lineRule="auto"/>
              <w:ind w:firstLine="0" w:firstLineChars="0"/>
              <w:jc w:val="center"/>
              <w:rPr>
                <w:rFonts w:cs="Times New Roman"/>
                <w:color w:val="000000"/>
                <w:sz w:val="21"/>
                <w:szCs w:val="21"/>
              </w:rPr>
            </w:pPr>
            <w:r>
              <w:rPr>
                <w:rFonts w:hint="eastAsia"/>
                <w:color w:val="000000" w:themeColor="text1"/>
                <w:sz w:val="21"/>
                <w:szCs w:val="21"/>
                <w14:textFill>
                  <w14:solidFill>
                    <w14:schemeClr w14:val="tx1"/>
                  </w14:solidFill>
                </w14:textFill>
              </w:rPr>
              <w:t>甲基丙烯酸甲酯</w:t>
            </w: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最高允许排放浓度</w:t>
            </w:r>
          </w:p>
        </w:tc>
        <w:tc>
          <w:tcPr>
            <w:tcW w:w="647" w:type="pct"/>
            <w:tcBorders>
              <w:tl2br w:val="nil"/>
              <w:tr2bl w:val="nil"/>
            </w:tcBorders>
            <w:vAlign w:val="center"/>
          </w:tcPr>
          <w:p>
            <w:pPr>
              <w:spacing w:line="240" w:lineRule="auto"/>
              <w:ind w:firstLine="0" w:firstLineChars="0"/>
              <w:jc w:val="center"/>
              <w:rPr>
                <w:rFonts w:cs="Times New Roman"/>
                <w:color w:val="000000"/>
                <w:sz w:val="21"/>
                <w:szCs w:val="21"/>
              </w:rPr>
            </w:pPr>
            <w:r>
              <w:rPr>
                <w:rFonts w:hint="eastAsia" w:cs="Times New Roman"/>
                <w:color w:val="000000"/>
                <w:sz w:val="21"/>
                <w:szCs w:val="21"/>
              </w:rPr>
              <w:t>50</w:t>
            </w:r>
            <w:r>
              <w:rPr>
                <w:rFonts w:cs="Times New Roman"/>
                <w:color w:val="000000"/>
                <w:sz w:val="21"/>
                <w:szCs w:val="21"/>
              </w:rPr>
              <w:t>mg/m</w:t>
            </w:r>
            <w:r>
              <w:rPr>
                <w:rFonts w:cs="Times New Roman"/>
                <w:color w:val="000000"/>
                <w:sz w:val="21"/>
                <w:szCs w:val="21"/>
                <w:vertAlign w:val="superscript"/>
              </w:rPr>
              <w:t>3</w:t>
            </w:r>
          </w:p>
        </w:tc>
        <w:tc>
          <w:tcPr>
            <w:tcW w:w="1959" w:type="pct"/>
            <w:vMerge w:val="continue"/>
            <w:tcBorders>
              <w:tl2br w:val="nil"/>
              <w:tr2bl w:val="nil"/>
            </w:tcBorders>
            <w:vAlign w:val="center"/>
          </w:tcPr>
          <w:p>
            <w:pPr>
              <w:spacing w:line="240" w:lineRule="auto"/>
              <w:ind w:firstLine="0" w:firstLineChars="0"/>
              <w:jc w:val="center"/>
              <w:rPr>
                <w:rFonts w:hint="eastAsia"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Merge w:val="restar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sz w:val="21"/>
                <w:szCs w:val="21"/>
              </w:rPr>
              <w:t>硫化氢</w:t>
            </w: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sz w:val="21"/>
                <w:szCs w:val="21"/>
              </w:rPr>
              <w:t>排放速率</w:t>
            </w:r>
          </w:p>
        </w:tc>
        <w:tc>
          <w:tcPr>
            <w:tcW w:w="647" w:type="pct"/>
            <w:tcBorders>
              <w:tl2br w:val="nil"/>
              <w:tr2bl w:val="nil"/>
            </w:tcBorders>
            <w:vAlign w:val="center"/>
          </w:tcPr>
          <w:p>
            <w:pPr>
              <w:spacing w:line="240" w:lineRule="auto"/>
              <w:ind w:firstLine="0" w:firstLineChars="0"/>
              <w:jc w:val="center"/>
              <w:rPr>
                <w:rFonts w:cs="Times New Roman"/>
                <w:sz w:val="21"/>
                <w:szCs w:val="21"/>
              </w:rPr>
            </w:pPr>
            <w:r>
              <w:rPr>
                <w:rFonts w:cs="Times New Roman"/>
                <w:sz w:val="21"/>
                <w:szCs w:val="21"/>
              </w:rPr>
              <w:t>0.33kg/h</w:t>
            </w:r>
          </w:p>
        </w:tc>
        <w:tc>
          <w:tcPr>
            <w:tcW w:w="1959" w:type="pct"/>
            <w:vMerge w:val="restart"/>
            <w:tcBorders>
              <w:tl2br w:val="nil"/>
              <w:tr2bl w:val="nil"/>
            </w:tcBorders>
            <w:vAlign w:val="center"/>
          </w:tcPr>
          <w:p>
            <w:pPr>
              <w:spacing w:line="240" w:lineRule="auto"/>
              <w:ind w:firstLine="0" w:firstLineChars="0"/>
              <w:jc w:val="center"/>
              <w:rPr>
                <w:rFonts w:cs="Times New Roman"/>
                <w:sz w:val="21"/>
                <w:szCs w:val="21"/>
              </w:rPr>
            </w:pPr>
            <w:r>
              <w:rPr>
                <w:rFonts w:cs="Times New Roman"/>
                <w:color w:val="000000"/>
                <w:sz w:val="21"/>
                <w:szCs w:val="21"/>
              </w:rPr>
              <w:t>《恶臭污染物排放标准》（GB14554-93）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Merge w:val="continue"/>
            <w:tcBorders>
              <w:tl2br w:val="nil"/>
              <w:tr2bl w:val="nil"/>
            </w:tcBorders>
            <w:vAlign w:val="center"/>
          </w:tcPr>
          <w:p>
            <w:pPr>
              <w:spacing w:line="240" w:lineRule="auto"/>
              <w:ind w:firstLine="0" w:firstLineChars="0"/>
              <w:jc w:val="center"/>
              <w:rPr>
                <w:rFonts w:cs="Times New Roman"/>
                <w:sz w:val="21"/>
                <w:szCs w:val="21"/>
              </w:rPr>
            </w:pPr>
          </w:p>
        </w:tc>
        <w:tc>
          <w:tcPr>
            <w:tcW w:w="1422" w:type="pct"/>
            <w:tcBorders>
              <w:tl2br w:val="nil"/>
              <w:tr2bl w:val="nil"/>
            </w:tcBorders>
            <w:vAlign w:val="center"/>
          </w:tcPr>
          <w:p>
            <w:pPr>
              <w:spacing w:line="240" w:lineRule="auto"/>
              <w:ind w:firstLine="0" w:firstLineChars="0"/>
              <w:jc w:val="center"/>
              <w:rPr>
                <w:rFonts w:cs="Times New Roman"/>
                <w:sz w:val="21"/>
                <w:szCs w:val="21"/>
              </w:rPr>
            </w:pPr>
            <w:r>
              <w:rPr>
                <w:rFonts w:cs="Times New Roman"/>
                <w:sz w:val="21"/>
                <w:szCs w:val="21"/>
              </w:rPr>
              <w:t>厂界标准值</w:t>
            </w:r>
          </w:p>
        </w:tc>
        <w:tc>
          <w:tcPr>
            <w:tcW w:w="647" w:type="pct"/>
            <w:tcBorders>
              <w:tl2br w:val="nil"/>
              <w:tr2bl w:val="nil"/>
            </w:tcBorders>
            <w:vAlign w:val="center"/>
          </w:tcPr>
          <w:p>
            <w:pPr>
              <w:spacing w:line="240" w:lineRule="auto"/>
              <w:ind w:firstLine="0" w:firstLineChars="0"/>
              <w:jc w:val="center"/>
              <w:rPr>
                <w:rFonts w:cs="Times New Roman"/>
                <w:sz w:val="21"/>
                <w:szCs w:val="21"/>
              </w:rPr>
            </w:pPr>
            <w:r>
              <w:rPr>
                <w:rFonts w:cs="Times New Roman"/>
                <w:sz w:val="21"/>
                <w:szCs w:val="21"/>
              </w:rPr>
              <w:t>0.06</w:t>
            </w:r>
            <w:r>
              <w:rPr>
                <w:rFonts w:cs="Times New Roman"/>
                <w:color w:val="000000"/>
                <w:sz w:val="21"/>
                <w:szCs w:val="21"/>
              </w:rPr>
              <w:t>mg/m</w:t>
            </w:r>
            <w:r>
              <w:rPr>
                <w:rFonts w:cs="Times New Roman"/>
                <w:color w:val="000000"/>
                <w:sz w:val="21"/>
                <w:szCs w:val="21"/>
                <w:vertAlign w:val="superscript"/>
              </w:rPr>
              <w:t>3</w:t>
            </w:r>
          </w:p>
        </w:tc>
        <w:tc>
          <w:tcPr>
            <w:tcW w:w="1959" w:type="pct"/>
            <w:vMerge w:val="continue"/>
            <w:tcBorders>
              <w:tl2br w:val="nil"/>
              <w:tr2bl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Merge w:val="restart"/>
            <w:tcBorders>
              <w:tl2br w:val="nil"/>
              <w:tr2bl w:val="nil"/>
            </w:tcBorders>
            <w:vAlign w:val="center"/>
          </w:tcPr>
          <w:p>
            <w:pPr>
              <w:spacing w:line="240" w:lineRule="auto"/>
              <w:ind w:firstLine="0" w:firstLineChars="0"/>
              <w:jc w:val="center"/>
              <w:rPr>
                <w:rFonts w:cs="Times New Roman"/>
                <w:sz w:val="21"/>
                <w:szCs w:val="21"/>
              </w:rPr>
            </w:pPr>
            <w:r>
              <w:rPr>
                <w:rFonts w:hint="eastAsia" w:cs="Times New Roman"/>
                <w:sz w:val="21"/>
                <w:szCs w:val="21"/>
              </w:rPr>
              <w:t>氨</w:t>
            </w:r>
          </w:p>
        </w:tc>
        <w:tc>
          <w:tcPr>
            <w:tcW w:w="1422" w:type="pct"/>
            <w:tcBorders>
              <w:tl2br w:val="nil"/>
              <w:tr2bl w:val="nil"/>
            </w:tcBorders>
            <w:vAlign w:val="center"/>
          </w:tcPr>
          <w:p>
            <w:pPr>
              <w:spacing w:line="240" w:lineRule="auto"/>
              <w:ind w:firstLine="0" w:firstLineChars="0"/>
              <w:jc w:val="center"/>
              <w:rPr>
                <w:rFonts w:cs="Times New Roman"/>
                <w:sz w:val="21"/>
                <w:szCs w:val="21"/>
              </w:rPr>
            </w:pPr>
            <w:r>
              <w:rPr>
                <w:rFonts w:cs="Times New Roman"/>
                <w:sz w:val="21"/>
                <w:szCs w:val="21"/>
              </w:rPr>
              <w:t>排放速率</w:t>
            </w:r>
          </w:p>
        </w:tc>
        <w:tc>
          <w:tcPr>
            <w:tcW w:w="647" w:type="pct"/>
            <w:tcBorders>
              <w:tl2br w:val="nil"/>
              <w:tr2bl w:val="nil"/>
            </w:tcBorders>
            <w:vAlign w:val="center"/>
          </w:tcPr>
          <w:p>
            <w:pPr>
              <w:spacing w:line="240" w:lineRule="auto"/>
              <w:ind w:firstLine="0" w:firstLineChars="0"/>
              <w:jc w:val="center"/>
              <w:rPr>
                <w:rFonts w:cs="Times New Roman"/>
                <w:sz w:val="21"/>
                <w:szCs w:val="21"/>
              </w:rPr>
            </w:pPr>
            <w:r>
              <w:rPr>
                <w:rFonts w:hint="eastAsia" w:cs="Times New Roman"/>
                <w:sz w:val="21"/>
                <w:szCs w:val="21"/>
              </w:rPr>
              <w:t>4.9</w:t>
            </w:r>
            <w:r>
              <w:rPr>
                <w:rFonts w:cs="Times New Roman"/>
                <w:sz w:val="21"/>
                <w:szCs w:val="21"/>
              </w:rPr>
              <w:t>kg/h</w:t>
            </w:r>
          </w:p>
        </w:tc>
        <w:tc>
          <w:tcPr>
            <w:tcW w:w="1959" w:type="pct"/>
            <w:vMerge w:val="continue"/>
            <w:tcBorders>
              <w:tl2br w:val="nil"/>
              <w:tr2bl w:val="nil"/>
            </w:tcBorders>
            <w:vAlign w:val="center"/>
          </w:tcPr>
          <w:p>
            <w:pPr>
              <w:spacing w:line="240" w:lineRule="auto"/>
              <w:ind w:firstLine="0" w:firstLineChars="0"/>
              <w:jc w:val="center"/>
              <w:rPr>
                <w:rFonts w:hint="eastAsia"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Merge w:val="continue"/>
            <w:tcBorders>
              <w:tl2br w:val="nil"/>
              <w:tr2bl w:val="nil"/>
            </w:tcBorders>
            <w:vAlign w:val="center"/>
          </w:tcPr>
          <w:p>
            <w:pPr>
              <w:spacing w:line="240" w:lineRule="auto"/>
              <w:ind w:firstLine="0" w:firstLineChars="0"/>
              <w:jc w:val="center"/>
              <w:rPr>
                <w:rFonts w:cs="Times New Roman"/>
                <w:sz w:val="21"/>
                <w:szCs w:val="21"/>
              </w:rPr>
            </w:pPr>
          </w:p>
        </w:tc>
        <w:tc>
          <w:tcPr>
            <w:tcW w:w="1422" w:type="pct"/>
            <w:tcBorders>
              <w:tl2br w:val="nil"/>
              <w:tr2bl w:val="nil"/>
            </w:tcBorders>
            <w:vAlign w:val="center"/>
          </w:tcPr>
          <w:p>
            <w:pPr>
              <w:spacing w:line="240" w:lineRule="auto"/>
              <w:ind w:firstLine="0" w:firstLineChars="0"/>
              <w:jc w:val="center"/>
              <w:rPr>
                <w:rFonts w:cs="Times New Roman"/>
                <w:sz w:val="21"/>
                <w:szCs w:val="21"/>
              </w:rPr>
            </w:pPr>
            <w:r>
              <w:rPr>
                <w:rFonts w:cs="Times New Roman"/>
                <w:sz w:val="21"/>
                <w:szCs w:val="21"/>
              </w:rPr>
              <w:t>厂界标准值</w:t>
            </w:r>
          </w:p>
        </w:tc>
        <w:tc>
          <w:tcPr>
            <w:tcW w:w="647" w:type="pct"/>
            <w:tcBorders>
              <w:tl2br w:val="nil"/>
              <w:tr2bl w:val="nil"/>
            </w:tcBorders>
            <w:vAlign w:val="center"/>
          </w:tcPr>
          <w:p>
            <w:pPr>
              <w:spacing w:line="240" w:lineRule="auto"/>
              <w:ind w:firstLine="0" w:firstLineChars="0"/>
              <w:jc w:val="center"/>
              <w:rPr>
                <w:rFonts w:cs="Times New Roman"/>
                <w:sz w:val="21"/>
                <w:szCs w:val="21"/>
              </w:rPr>
            </w:pPr>
            <w:r>
              <w:rPr>
                <w:rFonts w:hint="eastAsia" w:cs="Times New Roman"/>
                <w:sz w:val="21"/>
                <w:szCs w:val="21"/>
              </w:rPr>
              <w:t>1.5</w:t>
            </w:r>
            <w:r>
              <w:rPr>
                <w:rFonts w:cs="Times New Roman"/>
                <w:color w:val="000000"/>
                <w:sz w:val="21"/>
                <w:szCs w:val="21"/>
              </w:rPr>
              <w:t>mg/m</w:t>
            </w:r>
            <w:r>
              <w:rPr>
                <w:rFonts w:cs="Times New Roman"/>
                <w:color w:val="000000"/>
                <w:sz w:val="21"/>
                <w:szCs w:val="21"/>
                <w:vertAlign w:val="superscript"/>
              </w:rPr>
              <w:t>3</w:t>
            </w:r>
          </w:p>
        </w:tc>
        <w:tc>
          <w:tcPr>
            <w:tcW w:w="1959" w:type="pct"/>
            <w:vMerge w:val="continue"/>
            <w:tcBorders>
              <w:tl2br w:val="nil"/>
              <w:tr2bl w:val="nil"/>
            </w:tcBorders>
            <w:vAlign w:val="center"/>
          </w:tcPr>
          <w:p>
            <w:pPr>
              <w:spacing w:line="240" w:lineRule="auto"/>
              <w:ind w:firstLine="0" w:firstLineChars="0"/>
              <w:jc w:val="center"/>
              <w:rPr>
                <w:rFonts w:hint="eastAsia"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Merge w:val="restar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油烟</w:t>
            </w: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最高允许排放浓度</w:t>
            </w:r>
          </w:p>
        </w:tc>
        <w:tc>
          <w:tcPr>
            <w:tcW w:w="647"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1.5mg/m</w:t>
            </w:r>
            <w:r>
              <w:rPr>
                <w:rFonts w:cs="Times New Roman"/>
                <w:color w:val="000000"/>
                <w:sz w:val="21"/>
                <w:szCs w:val="21"/>
                <w:vertAlign w:val="superscript"/>
              </w:rPr>
              <w:t>3</w:t>
            </w:r>
          </w:p>
        </w:tc>
        <w:tc>
          <w:tcPr>
            <w:tcW w:w="1959" w:type="pct"/>
            <w:vMerge w:val="restar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sz w:val="21"/>
                <w:szCs w:val="21"/>
              </w:rPr>
              <w:t>《餐饮业油烟污染物排放标准》（DB41/1604-2018）表1</w:t>
            </w:r>
            <w:r>
              <w:rPr>
                <w:rFonts w:hint="eastAsia" w:cs="Times New Roman"/>
                <w:sz w:val="21"/>
                <w:szCs w:val="21"/>
              </w:rPr>
              <w:t>中</w:t>
            </w:r>
            <w:r>
              <w:rPr>
                <w:rFonts w:cs="Times New Roman"/>
                <w:sz w:val="21"/>
                <w:szCs w:val="21"/>
              </w:rPr>
              <w:t>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Merge w:val="continue"/>
            <w:tcBorders>
              <w:tl2br w:val="nil"/>
              <w:tr2bl w:val="nil"/>
            </w:tcBorders>
            <w:vAlign w:val="center"/>
          </w:tcPr>
          <w:p>
            <w:pPr>
              <w:spacing w:line="240" w:lineRule="auto"/>
              <w:ind w:firstLine="0" w:firstLineChars="0"/>
              <w:jc w:val="center"/>
              <w:rPr>
                <w:rFonts w:cs="Times New Roman"/>
                <w:color w:val="000000"/>
                <w:sz w:val="21"/>
                <w:szCs w:val="21"/>
              </w:rPr>
            </w:pPr>
          </w:p>
        </w:tc>
        <w:tc>
          <w:tcPr>
            <w:tcW w:w="1422"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sz w:val="21"/>
                <w:szCs w:val="21"/>
              </w:rPr>
              <w:t>净化设施最低去除率%</w:t>
            </w:r>
          </w:p>
        </w:tc>
        <w:tc>
          <w:tcPr>
            <w:tcW w:w="647" w:type="pct"/>
            <w:tcBorders>
              <w:tl2br w:val="nil"/>
              <w:tr2bl w:val="nil"/>
            </w:tcBorders>
            <w:vAlign w:val="center"/>
          </w:tcPr>
          <w:p>
            <w:pPr>
              <w:spacing w:line="240" w:lineRule="auto"/>
              <w:ind w:firstLine="0" w:firstLineChars="0"/>
              <w:jc w:val="center"/>
              <w:rPr>
                <w:rFonts w:cs="Times New Roman"/>
                <w:color w:val="000000"/>
                <w:sz w:val="21"/>
                <w:szCs w:val="21"/>
              </w:rPr>
            </w:pPr>
            <w:r>
              <w:rPr>
                <w:rFonts w:cs="Times New Roman"/>
                <w:color w:val="000000"/>
                <w:sz w:val="21"/>
                <w:szCs w:val="21"/>
              </w:rPr>
              <w:t>90%</w:t>
            </w:r>
          </w:p>
        </w:tc>
        <w:tc>
          <w:tcPr>
            <w:tcW w:w="1959" w:type="pct"/>
            <w:vMerge w:val="continue"/>
            <w:tcBorders>
              <w:tl2br w:val="nil"/>
              <w:tr2bl w:val="nil"/>
            </w:tcBorders>
            <w:vAlign w:val="center"/>
          </w:tcPr>
          <w:p>
            <w:pPr>
              <w:spacing w:line="240" w:lineRule="auto"/>
              <w:ind w:firstLine="0" w:firstLineChars="0"/>
              <w:jc w:val="center"/>
              <w:rPr>
                <w:rFonts w:cs="Times New Roman"/>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000" w:type="pct"/>
            <w:gridSpan w:val="4"/>
            <w:tcBorders>
              <w:tl2br w:val="nil"/>
              <w:tr2bl w:val="nil"/>
            </w:tcBorders>
            <w:vAlign w:val="center"/>
          </w:tcPr>
          <w:p>
            <w:pPr>
              <w:spacing w:line="240" w:lineRule="auto"/>
              <w:ind w:firstLine="0" w:firstLineChars="0"/>
              <w:jc w:val="both"/>
              <w:rPr>
                <w:rFonts w:hint="eastAsia" w:eastAsia="宋体" w:cs="Times New Roman"/>
                <w:color w:val="000000"/>
                <w:sz w:val="21"/>
                <w:szCs w:val="21"/>
                <w:lang w:eastAsia="zh-CN"/>
              </w:rPr>
            </w:pPr>
            <w:r>
              <w:rPr>
                <w:rFonts w:hint="eastAsia" w:cs="Times New Roman"/>
                <w:color w:val="000000"/>
                <w:sz w:val="21"/>
                <w:szCs w:val="21"/>
                <w:lang w:eastAsia="zh-CN"/>
              </w:rPr>
              <w:t>注：标准来源《大气污染物综合排放标准》（GB16297-1996）、《合成树脂工业污染物排放标准》（GB31572-2015）、《橡胶制品工业污染物排放标准》（GB27632-2011）《生态环境部-重污染天气重点行业应急减排技术指南（</w:t>
            </w:r>
            <w:r>
              <w:rPr>
                <w:rFonts w:hint="eastAsia" w:cs="Times New Roman"/>
                <w:color w:val="000000"/>
                <w:sz w:val="21"/>
                <w:szCs w:val="21"/>
                <w:lang w:val="en-US" w:eastAsia="zh-CN"/>
              </w:rPr>
              <w:t>2020年修订版</w:t>
            </w:r>
            <w:r>
              <w:rPr>
                <w:rFonts w:hint="eastAsia" w:cs="Times New Roman"/>
                <w:color w:val="000000"/>
                <w:sz w:val="21"/>
                <w:szCs w:val="21"/>
                <w:lang w:eastAsia="zh-CN"/>
              </w:rPr>
              <w:t>）》（环办大气函〔</w:t>
            </w:r>
            <w:r>
              <w:rPr>
                <w:rFonts w:hint="eastAsia" w:cs="Times New Roman"/>
                <w:color w:val="000000"/>
                <w:sz w:val="21"/>
                <w:szCs w:val="21"/>
                <w:lang w:val="en-US" w:eastAsia="zh-CN"/>
              </w:rPr>
              <w:t>2020</w:t>
            </w:r>
            <w:r>
              <w:rPr>
                <w:rFonts w:hint="eastAsia" w:cs="Times New Roman"/>
                <w:color w:val="000000"/>
                <w:sz w:val="21"/>
                <w:szCs w:val="21"/>
                <w:lang w:eastAsia="zh-CN"/>
              </w:rPr>
              <w:t>〕</w:t>
            </w:r>
            <w:r>
              <w:rPr>
                <w:rFonts w:hint="eastAsia" w:cs="Times New Roman"/>
                <w:color w:val="000000"/>
                <w:sz w:val="21"/>
                <w:szCs w:val="21"/>
                <w:lang w:val="en-US" w:eastAsia="zh-CN"/>
              </w:rPr>
              <w:t>340号</w:t>
            </w:r>
            <w:r>
              <w:rPr>
                <w:rFonts w:hint="eastAsia" w:cs="Times New Roman"/>
                <w:color w:val="000000"/>
                <w:sz w:val="21"/>
                <w:szCs w:val="21"/>
                <w:lang w:eastAsia="zh-CN"/>
              </w:rPr>
              <w:t>）橡胶制品制造企业</w:t>
            </w:r>
            <w:r>
              <w:rPr>
                <w:rFonts w:hint="eastAsia" w:cs="Times New Roman"/>
                <w:color w:val="000000"/>
                <w:sz w:val="21"/>
                <w:szCs w:val="21"/>
                <w:lang w:val="en-US" w:eastAsia="zh-CN"/>
              </w:rPr>
              <w:t>A级指标、</w:t>
            </w:r>
            <w:r>
              <w:rPr>
                <w:rFonts w:hint="eastAsia" w:cs="Times New Roman"/>
                <w:color w:val="000000"/>
                <w:sz w:val="21"/>
                <w:szCs w:val="21"/>
                <w:lang w:eastAsia="zh-CN"/>
              </w:rPr>
              <w:t>《河南省重污染天气重点行业应急减排措施制定技术指南（2021年修订版）》中有机化工行业绩效分级指标A级企业要求、</w:t>
            </w:r>
            <w:r>
              <w:rPr>
                <w:rFonts w:hint="eastAsia" w:cs="Times New Roman"/>
                <w:color w:val="000000"/>
                <w:sz w:val="21"/>
                <w:szCs w:val="21"/>
                <w:lang w:val="en-US" w:eastAsia="zh-CN"/>
              </w:rPr>
              <w:t>塑料制品企业A级指标、《挥发性有机物无组织排放控制标准》（GB37822-2019）表A1标准中排放限值、《关于全省开展工业企业挥发性有机物专项治理工作中排放建议值的通知》（豫环攻坚办〔2017〕162号）</w:t>
            </w:r>
          </w:p>
        </w:tc>
      </w:tr>
    </w:tbl>
    <w:p>
      <w:pPr>
        <w:pStyle w:val="25"/>
        <w:widowControl/>
        <w:spacing w:beforeAutospacing="0" w:afterAutospacing="0"/>
        <w:ind w:firstLine="480"/>
        <w:jc w:val="both"/>
        <w:rPr>
          <w:u w:val="single"/>
        </w:rPr>
      </w:pPr>
      <w:r>
        <w:rPr>
          <w:rFonts w:hint="eastAsia"/>
          <w:u w:val="single"/>
        </w:rPr>
        <w:t>（2）</w:t>
      </w:r>
      <w:r>
        <w:rPr>
          <w:u w:val="single"/>
        </w:rPr>
        <w:t>水污染物排放及回用水标准</w:t>
      </w:r>
    </w:p>
    <w:p>
      <w:pPr>
        <w:widowControl/>
        <w:ind w:firstLine="480"/>
        <w:jc w:val="both"/>
        <w:rPr>
          <w:kern w:val="24"/>
          <w:u w:val="single"/>
        </w:rPr>
      </w:pPr>
      <w:r>
        <w:rPr>
          <w:rFonts w:hint="eastAsia"/>
          <w:kern w:val="24"/>
          <w:u w:val="single"/>
        </w:rPr>
        <w:t>项目生活污水经化粪池预处理后</w:t>
      </w:r>
      <w:r>
        <w:rPr>
          <w:rFonts w:hint="eastAsia"/>
          <w:kern w:val="24"/>
          <w:u w:val="single"/>
          <w:lang w:eastAsia="zh-CN"/>
        </w:rPr>
        <w:t>进入厂区污水处理站处理</w:t>
      </w:r>
      <w:r>
        <w:rPr>
          <w:rFonts w:hint="eastAsia"/>
          <w:kern w:val="24"/>
          <w:u w:val="single"/>
        </w:rPr>
        <w:t>达到《污水综合排放标准》（GB8978-1996）表4中三级标准后排入平顶山第三污水处理厂集中处置。</w:t>
      </w:r>
    </w:p>
    <w:p>
      <w:pPr>
        <w:widowControl/>
        <w:ind w:firstLine="480"/>
        <w:jc w:val="both"/>
        <w:rPr>
          <w:kern w:val="24"/>
          <w:u w:val="single"/>
        </w:rPr>
      </w:pPr>
      <w:r>
        <w:rPr>
          <w:rFonts w:hint="eastAsia"/>
          <w:kern w:val="24"/>
          <w:u w:val="single"/>
        </w:rPr>
        <w:t>项目厂区生产废水（喷淋塔定</w:t>
      </w:r>
      <w:r>
        <w:rPr>
          <w:rFonts w:hint="eastAsia"/>
          <w:kern w:val="24"/>
          <w:u w:val="single"/>
          <w:lang w:eastAsia="zh-CN"/>
        </w:rPr>
        <w:t>期</w:t>
      </w:r>
      <w:r>
        <w:rPr>
          <w:rFonts w:hint="eastAsia"/>
          <w:kern w:val="24"/>
          <w:u w:val="single"/>
        </w:rPr>
        <w:t>排水、地面清水等）经处置后达到《合成树脂工业污染物排放标准》（GB31572-2015）表1中</w:t>
      </w:r>
      <w:r>
        <w:rPr>
          <w:rFonts w:hint="eastAsia"/>
          <w:kern w:val="24"/>
          <w:u w:val="single"/>
          <w:lang w:eastAsia="zh-CN"/>
        </w:rPr>
        <w:t>间接排放</w:t>
      </w:r>
      <w:r>
        <w:rPr>
          <w:rFonts w:hint="eastAsia"/>
          <w:kern w:val="24"/>
          <w:u w:val="single"/>
        </w:rPr>
        <w:t>严标准后排入平顶山第三污水处理厂（根据GB31572-2015表1中注释：废水进入园区（包括各类工业园区、开发区、工业聚集地等）污水处理厂执行间接排放限值）</w:t>
      </w:r>
      <w:r>
        <w:rPr>
          <w:rFonts w:hint="eastAsia"/>
          <w:kern w:val="24"/>
          <w:u w:val="single"/>
          <w:lang w:eastAsia="zh-CN"/>
        </w:rPr>
        <w:t>，同时执行《化工行业水污染物间接排放标准》（DB41/1135-2016）</w:t>
      </w:r>
      <w:r>
        <w:rPr>
          <w:rFonts w:hint="eastAsia"/>
          <w:kern w:val="24"/>
          <w:u w:val="single"/>
        </w:rPr>
        <w:t>。</w:t>
      </w:r>
    </w:p>
    <w:p>
      <w:pPr>
        <w:widowControl/>
        <w:ind w:firstLine="480"/>
        <w:jc w:val="both"/>
        <w:rPr>
          <w:kern w:val="24"/>
        </w:rPr>
      </w:pPr>
      <w:r>
        <w:rPr>
          <w:rFonts w:hint="eastAsia"/>
          <w:kern w:val="24"/>
          <w:u w:val="single"/>
        </w:rPr>
        <w:t>项目树脂生产单位产品基准排水量执行《合成树脂工业污染物排放标准》（GB31572-2015）表3中标准：3.5m</w:t>
      </w:r>
      <w:r>
        <w:rPr>
          <w:rFonts w:hint="eastAsia"/>
          <w:kern w:val="24"/>
          <w:u w:val="single"/>
          <w:vertAlign w:val="superscript"/>
        </w:rPr>
        <w:t>3</w:t>
      </w:r>
      <w:r>
        <w:rPr>
          <w:rFonts w:hint="eastAsia"/>
          <w:kern w:val="24"/>
          <w:u w:val="single"/>
        </w:rPr>
        <w:t>/t产品</w:t>
      </w:r>
      <w:r>
        <w:rPr>
          <w:rFonts w:hint="eastAsia"/>
          <w:kern w:val="24"/>
        </w:rPr>
        <w:t>。</w:t>
      </w:r>
    </w:p>
    <w:p>
      <w:pPr>
        <w:ind w:firstLine="0" w:firstLineChars="0"/>
        <w:jc w:val="center"/>
        <w:rPr>
          <w:b/>
          <w:bCs/>
        </w:rPr>
      </w:pPr>
      <w:r>
        <w:rPr>
          <w:rFonts w:hint="eastAsia"/>
          <w:b/>
          <w:bCs/>
        </w:rPr>
        <w:t>表2.4-</w:t>
      </w:r>
      <w:r>
        <w:rPr>
          <w:rFonts w:hint="eastAsia"/>
          <w:b/>
          <w:bCs/>
          <w:lang w:val="en-US" w:eastAsia="zh-CN"/>
        </w:rPr>
        <w:t>7</w:t>
      </w:r>
      <w:r>
        <w:rPr>
          <w:rFonts w:hint="eastAsia"/>
          <w:b/>
          <w:bCs/>
        </w:rPr>
        <w:t xml:space="preserve">  废水排放执行标准限值（mg/L，pH值 无量纲）</w:t>
      </w:r>
    </w:p>
    <w:tbl>
      <w:tblPr>
        <w:tblStyle w:val="51"/>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062"/>
        <w:gridCol w:w="2220"/>
        <w:gridCol w:w="5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85"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序号</w:t>
            </w:r>
          </w:p>
        </w:tc>
        <w:tc>
          <w:tcPr>
            <w:tcW w:w="1222"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w:t>
            </w:r>
          </w:p>
        </w:tc>
        <w:tc>
          <w:tcPr>
            <w:tcW w:w="3192"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平顶山第三污水处理厂进水水质标准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2" w:hRule="atLeast"/>
          <w:jc w:val="center"/>
        </w:trPr>
        <w:tc>
          <w:tcPr>
            <w:tcW w:w="585" w:type="pct"/>
            <w:vMerge w:val="continue"/>
            <w:vAlign w:val="center"/>
          </w:tcPr>
          <w:p>
            <w:pPr>
              <w:spacing w:line="240" w:lineRule="auto"/>
              <w:ind w:firstLine="0" w:firstLineChars="0"/>
              <w:jc w:val="center"/>
              <w:rPr>
                <w:rFonts w:cs="Times New Roman"/>
                <w:kern w:val="21"/>
                <w:sz w:val="21"/>
                <w:szCs w:val="21"/>
              </w:rPr>
            </w:pPr>
          </w:p>
        </w:tc>
        <w:tc>
          <w:tcPr>
            <w:tcW w:w="1222" w:type="pct"/>
            <w:vMerge w:val="continue"/>
            <w:vAlign w:val="center"/>
          </w:tcPr>
          <w:p>
            <w:pPr>
              <w:spacing w:line="240" w:lineRule="auto"/>
              <w:ind w:firstLine="0" w:firstLineChars="0"/>
              <w:jc w:val="center"/>
              <w:rPr>
                <w:rFonts w:cs="Times New Roman"/>
                <w:kern w:val="21"/>
                <w:sz w:val="21"/>
                <w:szCs w:val="21"/>
              </w:rPr>
            </w:pPr>
          </w:p>
        </w:tc>
        <w:tc>
          <w:tcPr>
            <w:tcW w:w="3192" w:type="pct"/>
            <w:vMerge w:val="continue"/>
            <w:vAlign w:val="center"/>
          </w:tcPr>
          <w:p>
            <w:pPr>
              <w:spacing w:line="240" w:lineRule="auto"/>
              <w:ind w:firstLine="0" w:firstLineChars="0"/>
              <w:jc w:val="center"/>
              <w:rPr>
                <w:rFonts w:cs="Times New Roman"/>
                <w:kern w:val="21"/>
                <w:sz w:val="21"/>
                <w:szCs w:val="21"/>
              </w:rPr>
            </w:pPr>
            <w:bookmarkStart w:id="41" w:name="_bookmark7"/>
            <w:bookmarkEnd w:id="4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85"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1</w:t>
            </w:r>
          </w:p>
        </w:tc>
        <w:tc>
          <w:tcPr>
            <w:tcW w:w="1222"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pH</w:t>
            </w:r>
            <w:r>
              <w:rPr>
                <w:rFonts w:cs="Times New Roman"/>
                <w:kern w:val="21"/>
                <w:sz w:val="21"/>
                <w:szCs w:val="21"/>
              </w:rPr>
              <w:t>值</w:t>
            </w:r>
          </w:p>
        </w:tc>
        <w:tc>
          <w:tcPr>
            <w:tcW w:w="3192"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6.0-9.0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85"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2</w:t>
            </w:r>
          </w:p>
        </w:tc>
        <w:tc>
          <w:tcPr>
            <w:tcW w:w="1222"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COD</w:t>
            </w:r>
            <w:r>
              <w:rPr>
                <w:rFonts w:cs="Times New Roman"/>
                <w:kern w:val="21"/>
                <w:sz w:val="21"/>
                <w:szCs w:val="21"/>
              </w:rPr>
              <w:t>（</w:t>
            </w:r>
            <w:r>
              <w:rPr>
                <w:rFonts w:eastAsia="Times New Roman" w:cs="Times New Roman"/>
                <w:kern w:val="21"/>
                <w:sz w:val="21"/>
                <w:szCs w:val="21"/>
              </w:rPr>
              <w:t>mg/L</w:t>
            </w:r>
            <w:r>
              <w:rPr>
                <w:rFonts w:cs="Times New Roman"/>
                <w:kern w:val="21"/>
                <w:sz w:val="21"/>
                <w:szCs w:val="21"/>
              </w:rPr>
              <w:t>）</w:t>
            </w:r>
          </w:p>
        </w:tc>
        <w:tc>
          <w:tcPr>
            <w:tcW w:w="3192"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85"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3</w:t>
            </w:r>
          </w:p>
        </w:tc>
        <w:tc>
          <w:tcPr>
            <w:tcW w:w="1222"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BOD</w:t>
            </w:r>
            <w:r>
              <w:rPr>
                <w:rFonts w:eastAsia="Times New Roman" w:cs="Times New Roman"/>
                <w:kern w:val="21"/>
                <w:sz w:val="21"/>
                <w:szCs w:val="21"/>
                <w:vertAlign w:val="subscript"/>
              </w:rPr>
              <w:t>5</w:t>
            </w:r>
            <w:r>
              <w:rPr>
                <w:rFonts w:cs="Times New Roman"/>
                <w:kern w:val="21"/>
                <w:sz w:val="21"/>
                <w:szCs w:val="21"/>
              </w:rPr>
              <w:t>（</w:t>
            </w:r>
            <w:r>
              <w:rPr>
                <w:rFonts w:eastAsia="Times New Roman" w:cs="Times New Roman"/>
                <w:kern w:val="21"/>
                <w:sz w:val="21"/>
                <w:szCs w:val="21"/>
              </w:rPr>
              <w:t>mg/L</w:t>
            </w:r>
            <w:r>
              <w:rPr>
                <w:rFonts w:cs="Times New Roman"/>
                <w:kern w:val="21"/>
                <w:sz w:val="21"/>
                <w:szCs w:val="21"/>
              </w:rPr>
              <w:t>）</w:t>
            </w:r>
          </w:p>
        </w:tc>
        <w:tc>
          <w:tcPr>
            <w:tcW w:w="3192"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85"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4</w:t>
            </w:r>
          </w:p>
        </w:tc>
        <w:tc>
          <w:tcPr>
            <w:tcW w:w="1222"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SS</w:t>
            </w:r>
            <w:r>
              <w:rPr>
                <w:rFonts w:cs="Times New Roman"/>
                <w:kern w:val="21"/>
                <w:sz w:val="21"/>
                <w:szCs w:val="21"/>
              </w:rPr>
              <w:t>（</w:t>
            </w:r>
            <w:r>
              <w:rPr>
                <w:rFonts w:eastAsia="Times New Roman" w:cs="Times New Roman"/>
                <w:kern w:val="21"/>
                <w:sz w:val="21"/>
                <w:szCs w:val="21"/>
              </w:rPr>
              <w:t>mg/L</w:t>
            </w:r>
            <w:r>
              <w:rPr>
                <w:rFonts w:cs="Times New Roman"/>
                <w:kern w:val="21"/>
                <w:sz w:val="21"/>
                <w:szCs w:val="21"/>
              </w:rPr>
              <w:t>）</w:t>
            </w:r>
          </w:p>
        </w:tc>
        <w:tc>
          <w:tcPr>
            <w:tcW w:w="3192"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85"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5</w:t>
            </w:r>
          </w:p>
        </w:tc>
        <w:tc>
          <w:tcPr>
            <w:tcW w:w="1222"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氨氮（</w:t>
            </w:r>
            <w:r>
              <w:rPr>
                <w:rFonts w:eastAsia="Times New Roman" w:cs="Times New Roman"/>
                <w:kern w:val="21"/>
                <w:sz w:val="21"/>
                <w:szCs w:val="21"/>
              </w:rPr>
              <w:t>mg/L</w:t>
            </w:r>
            <w:r>
              <w:rPr>
                <w:rFonts w:cs="Times New Roman"/>
                <w:kern w:val="21"/>
                <w:sz w:val="21"/>
                <w:szCs w:val="21"/>
              </w:rPr>
              <w:t>）</w:t>
            </w:r>
          </w:p>
        </w:tc>
        <w:tc>
          <w:tcPr>
            <w:tcW w:w="3192"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85"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6</w:t>
            </w:r>
          </w:p>
        </w:tc>
        <w:tc>
          <w:tcPr>
            <w:tcW w:w="1222"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石油类（</w:t>
            </w:r>
            <w:r>
              <w:rPr>
                <w:rFonts w:eastAsia="Times New Roman" w:cs="Times New Roman"/>
                <w:kern w:val="21"/>
                <w:sz w:val="21"/>
                <w:szCs w:val="21"/>
              </w:rPr>
              <w:t>mg/L</w:t>
            </w:r>
            <w:r>
              <w:rPr>
                <w:rFonts w:cs="Times New Roman"/>
                <w:kern w:val="21"/>
                <w:sz w:val="21"/>
                <w:szCs w:val="21"/>
              </w:rPr>
              <w:t>）</w:t>
            </w:r>
          </w:p>
        </w:tc>
        <w:tc>
          <w:tcPr>
            <w:tcW w:w="3192"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w:t>
            </w:r>
          </w:p>
        </w:tc>
      </w:tr>
    </w:tbl>
    <w:p>
      <w:pPr>
        <w:ind w:firstLine="0" w:firstLineChars="0"/>
        <w:jc w:val="center"/>
        <w:rPr>
          <w:b/>
          <w:bCs/>
        </w:rPr>
      </w:pPr>
      <w:r>
        <w:rPr>
          <w:rFonts w:hint="eastAsia"/>
          <w:b/>
          <w:bCs/>
        </w:rPr>
        <w:t>表2.4-</w:t>
      </w:r>
      <w:r>
        <w:rPr>
          <w:rFonts w:hint="eastAsia"/>
          <w:b/>
          <w:bCs/>
          <w:lang w:val="en-US" w:eastAsia="zh-CN"/>
        </w:rPr>
        <w:t>8</w:t>
      </w:r>
      <w:r>
        <w:rPr>
          <w:rFonts w:hint="eastAsia"/>
          <w:b/>
          <w:bCs/>
        </w:rPr>
        <w:t xml:space="preserve">    项目生产废水排放标准（摘录）  单位：mg/L（pH除外）</w:t>
      </w:r>
    </w:p>
    <w:tbl>
      <w:tblPr>
        <w:tblStyle w:val="51"/>
        <w:tblW w:w="5013"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051"/>
        <w:gridCol w:w="2226"/>
        <w:gridCol w:w="3482"/>
        <w:gridCol w:w="2347"/>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PrEx>
        <w:trPr>
          <w:trHeight w:val="487" w:hRule="atLeast"/>
          <w:jc w:val="center"/>
        </w:trPr>
        <w:tc>
          <w:tcPr>
            <w:tcW w:w="577" w:type="pct"/>
            <w:vMerge w:val="restart"/>
            <w:tcBorders>
              <w:bottom w:val="nil"/>
            </w:tcBorders>
            <w:textDirection w:val="tbRlV"/>
            <w:vAlign w:val="center"/>
          </w:tcPr>
          <w:p>
            <w:pPr>
              <w:spacing w:line="240" w:lineRule="auto"/>
              <w:ind w:firstLine="0" w:firstLineChars="0"/>
              <w:jc w:val="center"/>
              <w:rPr>
                <w:rFonts w:cs="Times New Roman"/>
                <w:kern w:val="21"/>
                <w:sz w:val="21"/>
                <w:szCs w:val="21"/>
              </w:rPr>
            </w:pPr>
            <w:r>
              <w:rPr>
                <w:rFonts w:cs="Times New Roman"/>
                <w:kern w:val="21"/>
                <w:sz w:val="21"/>
                <w:szCs w:val="21"/>
              </w:rPr>
              <w:t>序号</w:t>
            </w:r>
          </w:p>
        </w:tc>
        <w:tc>
          <w:tcPr>
            <w:tcW w:w="1222" w:type="pct"/>
            <w:vMerge w:val="restart"/>
            <w:tcBorders>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项目</w:t>
            </w:r>
          </w:p>
        </w:tc>
        <w:tc>
          <w:tcPr>
            <w:tcW w:w="191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《合成树脂工业污染物排放准》</w:t>
            </w:r>
            <w:r>
              <w:rPr>
                <w:rFonts w:hint="eastAsia" w:cs="Times New Roman"/>
                <w:kern w:val="21"/>
                <w:sz w:val="21"/>
                <w:szCs w:val="21"/>
              </w:rPr>
              <w:t>（</w:t>
            </w:r>
            <w:r>
              <w:rPr>
                <w:rFonts w:cs="Times New Roman"/>
                <w:kern w:val="21"/>
                <w:sz w:val="21"/>
                <w:szCs w:val="21"/>
              </w:rPr>
              <w:t>GB31572-2015</w:t>
            </w:r>
            <w:r>
              <w:rPr>
                <w:rFonts w:hint="eastAsia" w:cs="Times New Roman"/>
                <w:kern w:val="21"/>
                <w:sz w:val="21"/>
                <w:szCs w:val="21"/>
              </w:rPr>
              <w:t>）</w:t>
            </w:r>
            <w:r>
              <w:rPr>
                <w:rFonts w:cs="Times New Roman"/>
                <w:kern w:val="21"/>
                <w:sz w:val="21"/>
                <w:szCs w:val="21"/>
              </w:rPr>
              <w:t>表1</w:t>
            </w:r>
          </w:p>
        </w:tc>
        <w:tc>
          <w:tcPr>
            <w:tcW w:w="1288" w:type="pct"/>
            <w:vMerge w:val="restart"/>
            <w:tcBorders>
              <w:bottom w:val="nil"/>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eastAsia="zh-CN"/>
              </w:rPr>
              <w:t>《化工行业水污染物间接排放标准》（DB41/1135-2016）</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577" w:type="pct"/>
            <w:vMerge w:val="continue"/>
            <w:tcBorders>
              <w:top w:val="nil"/>
            </w:tcBorders>
            <w:textDirection w:val="tbRlV"/>
            <w:vAlign w:val="center"/>
          </w:tcPr>
          <w:p>
            <w:pPr>
              <w:spacing w:line="240" w:lineRule="auto"/>
              <w:ind w:firstLine="0" w:firstLineChars="0"/>
              <w:jc w:val="center"/>
              <w:rPr>
                <w:rFonts w:cs="Times New Roman"/>
                <w:kern w:val="21"/>
                <w:sz w:val="21"/>
                <w:szCs w:val="21"/>
              </w:rPr>
            </w:pPr>
          </w:p>
        </w:tc>
        <w:tc>
          <w:tcPr>
            <w:tcW w:w="1222" w:type="pct"/>
            <w:vMerge w:val="continue"/>
            <w:tcBorders>
              <w:top w:val="nil"/>
            </w:tcBorders>
            <w:vAlign w:val="center"/>
          </w:tcPr>
          <w:p>
            <w:pPr>
              <w:spacing w:line="240" w:lineRule="auto"/>
              <w:ind w:firstLine="0" w:firstLineChars="0"/>
              <w:jc w:val="center"/>
              <w:rPr>
                <w:rFonts w:cs="Times New Roman"/>
                <w:kern w:val="21"/>
                <w:sz w:val="21"/>
                <w:szCs w:val="21"/>
              </w:rPr>
            </w:pPr>
          </w:p>
        </w:tc>
        <w:tc>
          <w:tcPr>
            <w:tcW w:w="1911"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eastAsia="zh-CN"/>
              </w:rPr>
              <w:t>间接排放</w:t>
            </w:r>
            <w:r>
              <w:rPr>
                <w:rFonts w:cs="Times New Roman"/>
                <w:kern w:val="21"/>
                <w:sz w:val="21"/>
                <w:szCs w:val="21"/>
              </w:rPr>
              <w:t>标准</w:t>
            </w:r>
          </w:p>
        </w:tc>
        <w:tc>
          <w:tcPr>
            <w:tcW w:w="1288" w:type="pct"/>
            <w:vMerge w:val="continue"/>
            <w:tcBorders>
              <w:top w:val="nil"/>
            </w:tcBorders>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57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w:t>
            </w:r>
          </w:p>
        </w:tc>
        <w:tc>
          <w:tcPr>
            <w:tcW w:w="1222"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pH值</w:t>
            </w:r>
          </w:p>
        </w:tc>
        <w:tc>
          <w:tcPr>
            <w:tcW w:w="191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1288"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6.0-9.0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3" w:hRule="atLeast"/>
          <w:jc w:val="center"/>
        </w:trPr>
        <w:tc>
          <w:tcPr>
            <w:tcW w:w="57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2</w:t>
            </w:r>
          </w:p>
        </w:tc>
        <w:tc>
          <w:tcPr>
            <w:tcW w:w="1222"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COD（mg/L）</w:t>
            </w:r>
          </w:p>
        </w:tc>
        <w:tc>
          <w:tcPr>
            <w:tcW w:w="191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128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300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3" w:hRule="atLeast"/>
          <w:jc w:val="center"/>
        </w:trPr>
        <w:tc>
          <w:tcPr>
            <w:tcW w:w="57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3</w:t>
            </w:r>
          </w:p>
        </w:tc>
        <w:tc>
          <w:tcPr>
            <w:tcW w:w="1222"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BOD</w:t>
            </w:r>
            <w:r>
              <w:rPr>
                <w:rFonts w:cs="Times New Roman"/>
                <w:kern w:val="21"/>
                <w:sz w:val="21"/>
                <w:szCs w:val="21"/>
                <w:vertAlign w:val="subscript"/>
              </w:rPr>
              <w:t>5</w:t>
            </w:r>
            <w:r>
              <w:rPr>
                <w:rFonts w:cs="Times New Roman"/>
                <w:kern w:val="21"/>
                <w:sz w:val="21"/>
                <w:szCs w:val="21"/>
              </w:rPr>
              <w:t>（mg/L）</w:t>
            </w:r>
          </w:p>
        </w:tc>
        <w:tc>
          <w:tcPr>
            <w:tcW w:w="191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128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150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3" w:hRule="atLeast"/>
          <w:jc w:val="center"/>
        </w:trPr>
        <w:tc>
          <w:tcPr>
            <w:tcW w:w="57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4</w:t>
            </w:r>
          </w:p>
        </w:tc>
        <w:tc>
          <w:tcPr>
            <w:tcW w:w="1222"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SS（mg/L）</w:t>
            </w:r>
          </w:p>
        </w:tc>
        <w:tc>
          <w:tcPr>
            <w:tcW w:w="191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128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150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3" w:hRule="atLeast"/>
          <w:jc w:val="center"/>
        </w:trPr>
        <w:tc>
          <w:tcPr>
            <w:tcW w:w="57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5</w:t>
            </w:r>
          </w:p>
        </w:tc>
        <w:tc>
          <w:tcPr>
            <w:tcW w:w="1222"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氨氮（mg/L）</w:t>
            </w:r>
          </w:p>
        </w:tc>
        <w:tc>
          <w:tcPr>
            <w:tcW w:w="191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128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30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3" w:hRule="atLeast"/>
          <w:jc w:val="center"/>
        </w:trPr>
        <w:tc>
          <w:tcPr>
            <w:tcW w:w="57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6</w:t>
            </w:r>
          </w:p>
        </w:tc>
        <w:tc>
          <w:tcPr>
            <w:tcW w:w="1222"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总氮</w:t>
            </w:r>
          </w:p>
        </w:tc>
        <w:tc>
          <w:tcPr>
            <w:tcW w:w="191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128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50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3" w:hRule="atLeast"/>
          <w:jc w:val="center"/>
        </w:trPr>
        <w:tc>
          <w:tcPr>
            <w:tcW w:w="57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7</w:t>
            </w:r>
          </w:p>
        </w:tc>
        <w:tc>
          <w:tcPr>
            <w:tcW w:w="1222"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总磷</w:t>
            </w:r>
          </w:p>
        </w:tc>
        <w:tc>
          <w:tcPr>
            <w:tcW w:w="191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1288" w:type="pct"/>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67" w:hRule="atLeast"/>
          <w:jc w:val="center"/>
        </w:trPr>
        <w:tc>
          <w:tcPr>
            <w:tcW w:w="577" w:type="pct"/>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val="en-US" w:eastAsia="zh-CN"/>
              </w:rPr>
              <w:t>8</w:t>
            </w:r>
          </w:p>
        </w:tc>
        <w:tc>
          <w:tcPr>
            <w:tcW w:w="1222" w:type="pct"/>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eastAsia="zh-CN"/>
              </w:rPr>
              <w:t>动植物油</w:t>
            </w:r>
          </w:p>
        </w:tc>
        <w:tc>
          <w:tcPr>
            <w:tcW w:w="191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128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100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67" w:hRule="atLeast"/>
          <w:jc w:val="center"/>
        </w:trPr>
        <w:tc>
          <w:tcPr>
            <w:tcW w:w="577" w:type="pct"/>
            <w:vAlign w:val="center"/>
          </w:tcPr>
          <w:p>
            <w:pPr>
              <w:spacing w:line="240" w:lineRule="auto"/>
              <w:ind w:firstLine="0" w:firstLineChars="0"/>
              <w:jc w:val="center"/>
              <w:rPr>
                <w:rFonts w:hint="eastAsia" w:eastAsia="宋体" w:cs="Times New Roman"/>
                <w:kern w:val="21"/>
                <w:sz w:val="21"/>
                <w:szCs w:val="21"/>
                <w:u w:val="single"/>
                <w:lang w:eastAsia="zh-CN"/>
              </w:rPr>
            </w:pPr>
            <w:r>
              <w:rPr>
                <w:rFonts w:hint="eastAsia" w:cs="Times New Roman"/>
                <w:kern w:val="21"/>
                <w:sz w:val="21"/>
                <w:szCs w:val="21"/>
                <w:u w:val="single"/>
                <w:lang w:val="en-US" w:eastAsia="zh-CN"/>
              </w:rPr>
              <w:t>9</w:t>
            </w:r>
          </w:p>
        </w:tc>
        <w:tc>
          <w:tcPr>
            <w:tcW w:w="1222" w:type="pct"/>
            <w:vAlign w:val="center"/>
          </w:tcPr>
          <w:p>
            <w:pPr>
              <w:spacing w:line="240" w:lineRule="auto"/>
              <w:ind w:firstLine="0" w:firstLineChars="0"/>
              <w:jc w:val="center"/>
              <w:rPr>
                <w:rFonts w:cs="Times New Roman"/>
                <w:kern w:val="21"/>
                <w:sz w:val="21"/>
                <w:szCs w:val="21"/>
                <w:u w:val="single"/>
              </w:rPr>
            </w:pPr>
            <w:r>
              <w:rPr>
                <w:rFonts w:hint="eastAsia" w:cs="Times New Roman"/>
                <w:kern w:val="21"/>
                <w:sz w:val="21"/>
                <w:szCs w:val="21"/>
                <w:u w:val="single"/>
              </w:rPr>
              <w:t>基准排水量</w:t>
            </w:r>
          </w:p>
        </w:tc>
        <w:tc>
          <w:tcPr>
            <w:tcW w:w="1911" w:type="pct"/>
            <w:vAlign w:val="center"/>
          </w:tcPr>
          <w:p>
            <w:pPr>
              <w:spacing w:line="240" w:lineRule="auto"/>
              <w:ind w:firstLine="0" w:firstLineChars="0"/>
              <w:jc w:val="center"/>
              <w:rPr>
                <w:rFonts w:cs="Times New Roman"/>
                <w:kern w:val="21"/>
                <w:sz w:val="21"/>
                <w:szCs w:val="21"/>
                <w:u w:val="single"/>
              </w:rPr>
            </w:pPr>
            <w:r>
              <w:rPr>
                <w:rFonts w:hint="eastAsia" w:cs="Times New Roman"/>
                <w:kern w:val="21"/>
                <w:sz w:val="21"/>
                <w:szCs w:val="21"/>
                <w:u w:val="single"/>
              </w:rPr>
              <w:t>3.0m</w:t>
            </w:r>
            <w:r>
              <w:rPr>
                <w:rFonts w:hint="eastAsia" w:cs="Times New Roman"/>
                <w:kern w:val="21"/>
                <w:sz w:val="21"/>
                <w:szCs w:val="21"/>
                <w:u w:val="single"/>
                <w:vertAlign w:val="superscript"/>
              </w:rPr>
              <w:t>3</w:t>
            </w:r>
            <w:r>
              <w:rPr>
                <w:rFonts w:hint="eastAsia" w:cs="Times New Roman"/>
                <w:kern w:val="21"/>
                <w:sz w:val="21"/>
                <w:szCs w:val="21"/>
                <w:u w:val="single"/>
              </w:rPr>
              <w:t>/t产品</w:t>
            </w:r>
          </w:p>
        </w:tc>
        <w:tc>
          <w:tcPr>
            <w:tcW w:w="1288" w:type="pct"/>
            <w:vAlign w:val="center"/>
          </w:tcPr>
          <w:p>
            <w:pPr>
              <w:spacing w:line="240" w:lineRule="auto"/>
              <w:ind w:firstLine="0" w:firstLineChars="0"/>
              <w:jc w:val="center"/>
              <w:rPr>
                <w:rFonts w:cs="Times New Roman"/>
                <w:kern w:val="21"/>
                <w:sz w:val="21"/>
                <w:szCs w:val="21"/>
                <w:u w:val="single"/>
              </w:rPr>
            </w:pPr>
            <w:r>
              <w:rPr>
                <w:rFonts w:hint="eastAsia" w:cs="Times New Roman"/>
                <w:kern w:val="21"/>
                <w:sz w:val="21"/>
                <w:szCs w:val="21"/>
                <w:u w:val="single"/>
              </w:rPr>
              <w:t>/</w:t>
            </w:r>
          </w:p>
        </w:tc>
      </w:tr>
    </w:tbl>
    <w:p>
      <w:pPr>
        <w:pStyle w:val="25"/>
        <w:widowControl/>
        <w:spacing w:beforeAutospacing="0" w:afterAutospacing="0"/>
        <w:ind w:firstLine="480"/>
      </w:pPr>
      <w:r>
        <w:rPr>
          <w:rFonts w:hint="eastAsia"/>
        </w:rPr>
        <w:t>（3）噪声</w:t>
      </w:r>
    </w:p>
    <w:p>
      <w:pPr>
        <w:pStyle w:val="25"/>
        <w:widowControl/>
        <w:spacing w:beforeAutospacing="0" w:afterAutospacing="0"/>
        <w:ind w:firstLine="480"/>
      </w:pPr>
      <w:r>
        <w:rPr>
          <w:rFonts w:hint="eastAsia"/>
        </w:rPr>
        <w:t>①施工噪声执行《建筑施工场界环境噪声排放标准》（GB12523-2011），具体标准值见表2.4-</w:t>
      </w:r>
      <w:r>
        <w:rPr>
          <w:rFonts w:hint="eastAsia"/>
          <w:lang w:val="en-US" w:eastAsia="zh-CN"/>
        </w:rPr>
        <w:t>9</w:t>
      </w:r>
      <w:r>
        <w:rPr>
          <w:rFonts w:hint="eastAsia"/>
        </w:rPr>
        <w:t>。</w:t>
      </w:r>
    </w:p>
    <w:p>
      <w:pPr>
        <w:ind w:firstLine="0" w:firstLineChars="0"/>
        <w:jc w:val="center"/>
        <w:rPr>
          <w:b/>
          <w:bCs/>
        </w:rPr>
      </w:pPr>
      <w:r>
        <w:rPr>
          <w:rFonts w:hint="eastAsia"/>
          <w:b/>
          <w:bCs/>
        </w:rPr>
        <w:t>表2.4-</w:t>
      </w:r>
      <w:r>
        <w:rPr>
          <w:rFonts w:hint="eastAsia"/>
          <w:b/>
          <w:bCs/>
          <w:lang w:val="en-US" w:eastAsia="zh-CN"/>
        </w:rPr>
        <w:t>9</w:t>
      </w:r>
      <w:r>
        <w:rPr>
          <w:rFonts w:hint="eastAsia"/>
          <w:b/>
          <w:bCs/>
        </w:rPr>
        <w:t xml:space="preserve">  建筑施工场界环境噪声排放限值         单位：dB（A）</w:t>
      </w:r>
    </w:p>
    <w:tbl>
      <w:tblPr>
        <w:tblStyle w:val="28"/>
        <w:tblW w:w="5015"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426"/>
        <w:gridCol w:w="46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jc w:val="center"/>
        </w:trPr>
        <w:tc>
          <w:tcPr>
            <w:tcW w:w="4801" w:type="dxa"/>
            <w:tcBorders>
              <w:tl2br w:val="nil"/>
              <w:tr2bl w:val="nil"/>
            </w:tcBorders>
            <w:vAlign w:val="center"/>
          </w:tcPr>
          <w:p>
            <w:pPr>
              <w:pStyle w:val="38"/>
              <w:rPr>
                <w:rFonts w:hint="default"/>
              </w:rPr>
            </w:pPr>
            <w:r>
              <w:t>昼间</w:t>
            </w:r>
          </w:p>
        </w:tc>
        <w:tc>
          <w:tcPr>
            <w:tcW w:w="5079" w:type="dxa"/>
            <w:tcBorders>
              <w:tl2br w:val="nil"/>
              <w:tr2bl w:val="nil"/>
            </w:tcBorders>
            <w:vAlign w:val="center"/>
          </w:tcPr>
          <w:p>
            <w:pPr>
              <w:pStyle w:val="38"/>
              <w:rPr>
                <w:rFonts w:hint="default"/>
              </w:rPr>
            </w:pPr>
            <w:r>
              <w:t>夜间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jc w:val="center"/>
        </w:trPr>
        <w:tc>
          <w:tcPr>
            <w:tcW w:w="4801" w:type="dxa"/>
            <w:tcBorders>
              <w:tl2br w:val="nil"/>
              <w:tr2bl w:val="nil"/>
            </w:tcBorders>
            <w:vAlign w:val="center"/>
          </w:tcPr>
          <w:p>
            <w:pPr>
              <w:pStyle w:val="38"/>
              <w:rPr>
                <w:rFonts w:hint="default"/>
              </w:rPr>
            </w:pPr>
            <w:r>
              <w:t>70</w:t>
            </w:r>
          </w:p>
        </w:tc>
        <w:tc>
          <w:tcPr>
            <w:tcW w:w="5079" w:type="dxa"/>
            <w:tcBorders>
              <w:tl2br w:val="nil"/>
              <w:tr2bl w:val="nil"/>
            </w:tcBorders>
            <w:vAlign w:val="center"/>
          </w:tcPr>
          <w:p>
            <w:pPr>
              <w:pStyle w:val="38"/>
              <w:rPr>
                <w:rFonts w:hint="default"/>
              </w:rPr>
            </w:pPr>
            <w:r>
              <w:t>55</w:t>
            </w:r>
          </w:p>
        </w:tc>
      </w:tr>
    </w:tbl>
    <w:p>
      <w:pPr>
        <w:pStyle w:val="25"/>
        <w:widowControl/>
        <w:spacing w:beforeAutospacing="0" w:afterAutospacing="0"/>
        <w:ind w:firstLine="480"/>
      </w:pPr>
      <w:r>
        <w:t>②本项目营运期噪声执行《工业企业厂界环境噪声排放标准》（GB12348-2008）中的</w:t>
      </w:r>
      <w:r>
        <w:rPr>
          <w:rFonts w:hint="eastAsia"/>
        </w:rPr>
        <w:t>3</w:t>
      </w:r>
      <w:r>
        <w:t>类标准，具体标准值见表2.</w:t>
      </w:r>
      <w:r>
        <w:rPr>
          <w:rFonts w:hint="eastAsia"/>
        </w:rPr>
        <w:t>4</w:t>
      </w:r>
      <w:r>
        <w:t>-</w:t>
      </w:r>
      <w:r>
        <w:rPr>
          <w:rFonts w:hint="eastAsia"/>
        </w:rPr>
        <w:t>1</w:t>
      </w:r>
      <w:r>
        <w:rPr>
          <w:rFonts w:hint="eastAsia"/>
          <w:lang w:val="en-US" w:eastAsia="zh-CN"/>
        </w:rPr>
        <w:t>0</w:t>
      </w:r>
      <w:r>
        <w:t>。</w:t>
      </w:r>
    </w:p>
    <w:p>
      <w:pPr>
        <w:ind w:firstLine="0" w:firstLineChars="0"/>
        <w:jc w:val="center"/>
        <w:rPr>
          <w:b/>
          <w:bCs/>
        </w:rPr>
      </w:pPr>
      <w:r>
        <w:rPr>
          <w:rFonts w:hint="eastAsia"/>
          <w:b/>
          <w:bCs/>
        </w:rPr>
        <w:t>表2.4-1</w:t>
      </w:r>
      <w:r>
        <w:rPr>
          <w:rFonts w:hint="eastAsia"/>
          <w:b/>
          <w:bCs/>
          <w:lang w:val="en-US" w:eastAsia="zh-CN"/>
        </w:rPr>
        <w:t>0</w:t>
      </w:r>
      <w:r>
        <w:rPr>
          <w:rFonts w:hint="eastAsia"/>
          <w:b/>
          <w:bCs/>
        </w:rPr>
        <w:t xml:space="preserve">  工业企业厂界环境噪声排放标准     单位：dB（A）</w:t>
      </w:r>
    </w:p>
    <w:tbl>
      <w:tblPr>
        <w:tblStyle w:val="28"/>
        <w:tblW w:w="5006"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21"/>
        <w:gridCol w:w="2923"/>
        <w:gridCol w:w="324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2918" w:type="dxa"/>
            <w:tcBorders>
              <w:tl2br w:val="nil"/>
              <w:tr2bl w:val="nil"/>
            </w:tcBorders>
            <w:vAlign w:val="center"/>
          </w:tcPr>
          <w:p>
            <w:pPr>
              <w:pStyle w:val="38"/>
              <w:rPr>
                <w:rFonts w:hint="default"/>
              </w:rPr>
            </w:pPr>
            <w:r>
              <w:t>厂区外声功能区类别</w:t>
            </w:r>
          </w:p>
        </w:tc>
        <w:tc>
          <w:tcPr>
            <w:tcW w:w="2920" w:type="dxa"/>
            <w:tcBorders>
              <w:tl2br w:val="nil"/>
              <w:tr2bl w:val="nil"/>
            </w:tcBorders>
            <w:vAlign w:val="center"/>
          </w:tcPr>
          <w:p>
            <w:pPr>
              <w:pStyle w:val="38"/>
              <w:rPr>
                <w:rFonts w:hint="default"/>
              </w:rPr>
            </w:pPr>
            <w:r>
              <w:t>昼间</w:t>
            </w:r>
          </w:p>
        </w:tc>
        <w:tc>
          <w:tcPr>
            <w:tcW w:w="3245" w:type="dxa"/>
            <w:tcBorders>
              <w:tl2br w:val="nil"/>
              <w:tr2bl w:val="nil"/>
            </w:tcBorders>
            <w:vAlign w:val="center"/>
          </w:tcPr>
          <w:p>
            <w:pPr>
              <w:pStyle w:val="38"/>
              <w:rPr>
                <w:rFonts w:hint="default"/>
              </w:rPr>
            </w:pPr>
            <w:r>
              <w:t>夜间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2918" w:type="dxa"/>
            <w:tcBorders>
              <w:tl2br w:val="nil"/>
              <w:tr2bl w:val="nil"/>
            </w:tcBorders>
            <w:vAlign w:val="center"/>
          </w:tcPr>
          <w:p>
            <w:pPr>
              <w:pStyle w:val="38"/>
              <w:rPr>
                <w:rFonts w:hint="default"/>
              </w:rPr>
            </w:pPr>
            <w:r>
              <w:t>3类</w:t>
            </w:r>
          </w:p>
        </w:tc>
        <w:tc>
          <w:tcPr>
            <w:tcW w:w="2920" w:type="dxa"/>
            <w:tcBorders>
              <w:tl2br w:val="nil"/>
              <w:tr2bl w:val="nil"/>
            </w:tcBorders>
            <w:vAlign w:val="center"/>
          </w:tcPr>
          <w:p>
            <w:pPr>
              <w:pStyle w:val="38"/>
              <w:rPr>
                <w:rFonts w:hint="default"/>
              </w:rPr>
            </w:pPr>
            <w:r>
              <w:t>65</w:t>
            </w:r>
          </w:p>
        </w:tc>
        <w:tc>
          <w:tcPr>
            <w:tcW w:w="3245" w:type="dxa"/>
            <w:tcBorders>
              <w:tl2br w:val="nil"/>
              <w:tr2bl w:val="nil"/>
            </w:tcBorders>
            <w:vAlign w:val="center"/>
          </w:tcPr>
          <w:p>
            <w:pPr>
              <w:pStyle w:val="38"/>
              <w:rPr>
                <w:rFonts w:hint="default"/>
              </w:rPr>
            </w:pPr>
            <w:r>
              <w:t>55</w:t>
            </w:r>
          </w:p>
        </w:tc>
      </w:tr>
    </w:tbl>
    <w:p>
      <w:pPr>
        <w:widowControl/>
        <w:ind w:firstLine="480"/>
        <w:jc w:val="left"/>
      </w:pPr>
      <w:r>
        <w:rPr>
          <w:rFonts w:hint="eastAsia" w:ascii="宋体" w:hAnsi="宋体" w:cs="宋体"/>
          <w:color w:val="000000"/>
          <w:kern w:val="0"/>
          <w:lang w:bidi="ar"/>
        </w:rPr>
        <w:t>（</w:t>
      </w:r>
      <w:r>
        <w:rPr>
          <w:rFonts w:cs="Times New Roman"/>
          <w:color w:val="000000"/>
          <w:kern w:val="0"/>
          <w:lang w:bidi="ar"/>
        </w:rPr>
        <w:t>4</w:t>
      </w:r>
      <w:r>
        <w:rPr>
          <w:rFonts w:hint="eastAsia" w:ascii="宋体" w:hAnsi="宋体" w:cs="宋体"/>
          <w:color w:val="000000"/>
          <w:kern w:val="0"/>
          <w:lang w:bidi="ar"/>
        </w:rPr>
        <w:t>）固体废弃物</w:t>
      </w:r>
    </w:p>
    <w:p>
      <w:pPr>
        <w:widowControl/>
        <w:ind w:firstLine="480"/>
        <w:jc w:val="left"/>
        <w:rPr>
          <w:rFonts w:ascii="宋体" w:hAnsi="宋体" w:cs="宋体"/>
          <w:color w:val="000000"/>
          <w:kern w:val="0"/>
          <w:lang w:bidi="ar"/>
        </w:rPr>
      </w:pPr>
      <w:r>
        <w:rPr>
          <w:rFonts w:hint="eastAsia" w:ascii="宋体" w:hAnsi="宋体" w:cs="宋体"/>
          <w:color w:val="000000"/>
          <w:kern w:val="0"/>
          <w:lang w:bidi="ar"/>
        </w:rPr>
        <w:t>一般固废执行《一般工业固体废物贮存、处置场污染控制标准》（</w:t>
      </w:r>
      <w:r>
        <w:rPr>
          <w:rFonts w:cs="Times New Roman"/>
          <w:color w:val="000000"/>
          <w:kern w:val="0"/>
          <w:lang w:bidi="ar"/>
        </w:rPr>
        <w:t>GB18599-2</w:t>
      </w:r>
      <w:r>
        <w:rPr>
          <w:rFonts w:hint="eastAsia" w:cs="Times New Roman"/>
          <w:color w:val="000000"/>
          <w:kern w:val="0"/>
          <w:lang w:bidi="ar"/>
        </w:rPr>
        <w:t>020</w:t>
      </w:r>
      <w:r>
        <w:rPr>
          <w:rFonts w:hint="eastAsia" w:ascii="宋体" w:hAnsi="宋体" w:cs="宋体"/>
          <w:color w:val="000000"/>
          <w:kern w:val="0"/>
          <w:lang w:bidi="ar"/>
        </w:rPr>
        <w:t>）规定；危险废物执行《危险废物贮存污染控制标准》（</w:t>
      </w:r>
      <w:r>
        <w:rPr>
          <w:rFonts w:cs="Times New Roman"/>
          <w:color w:val="000000"/>
          <w:kern w:val="0"/>
          <w:lang w:bidi="ar"/>
        </w:rPr>
        <w:t>GB18597-2001</w:t>
      </w:r>
      <w:r>
        <w:rPr>
          <w:rFonts w:hint="eastAsia" w:ascii="宋体" w:hAnsi="宋体" w:cs="宋体"/>
          <w:color w:val="000000"/>
          <w:kern w:val="0"/>
          <w:lang w:bidi="ar"/>
        </w:rPr>
        <w:t>）及其修改单规定。</w:t>
      </w:r>
    </w:p>
    <w:p>
      <w:pPr>
        <w:pStyle w:val="6"/>
        <w:ind w:firstLine="0" w:firstLineChars="0"/>
        <w:rPr>
          <w:lang w:val="en-US"/>
        </w:rPr>
      </w:pPr>
      <w:bookmarkStart w:id="42" w:name="_Toc16029"/>
      <w:bookmarkStart w:id="43" w:name="_Toc30890"/>
      <w:bookmarkStart w:id="44" w:name="_Toc4082"/>
      <w:r>
        <w:rPr>
          <w:rFonts w:hint="eastAsia"/>
          <w:lang w:val="en-US"/>
        </w:rPr>
        <w:t>2.5 评价工作等级和范围</w:t>
      </w:r>
      <w:bookmarkEnd w:id="42"/>
      <w:bookmarkEnd w:id="43"/>
      <w:bookmarkEnd w:id="44"/>
    </w:p>
    <w:p>
      <w:pPr>
        <w:pStyle w:val="7"/>
        <w:ind w:firstLine="562"/>
      </w:pPr>
      <w:r>
        <w:rPr>
          <w:rFonts w:hint="eastAsia"/>
        </w:rPr>
        <w:t>2.5.1 环境空气评价等级</w:t>
      </w:r>
    </w:p>
    <w:p>
      <w:pPr>
        <w:ind w:firstLine="480"/>
      </w:pPr>
      <w:r>
        <w:drawing>
          <wp:anchor distT="0" distB="0" distL="114300" distR="114300" simplePos="0" relativeHeight="251659264" behindDoc="0" locked="0" layoutInCell="1" allowOverlap="1">
            <wp:simplePos x="0" y="0"/>
            <wp:positionH relativeFrom="column">
              <wp:posOffset>3117850</wp:posOffset>
            </wp:positionH>
            <wp:positionV relativeFrom="paragraph">
              <wp:posOffset>584835</wp:posOffset>
            </wp:positionV>
            <wp:extent cx="871220" cy="397510"/>
            <wp:effectExtent l="0" t="0" r="5080" b="254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21"/>
                    <a:stretch>
                      <a:fillRect/>
                    </a:stretch>
                  </pic:blipFill>
                  <pic:spPr>
                    <a:xfrm>
                      <a:off x="0" y="0"/>
                      <a:ext cx="871220" cy="397510"/>
                    </a:xfrm>
                    <a:prstGeom prst="rect">
                      <a:avLst/>
                    </a:prstGeom>
                    <a:noFill/>
                    <a:ln>
                      <a:noFill/>
                    </a:ln>
                  </pic:spPr>
                </pic:pic>
              </a:graphicData>
            </a:graphic>
          </wp:anchor>
        </w:drawing>
      </w:r>
      <w:r>
        <w:t>根据《环境影响评价技术导则-大气环境》（HJ2.2-2018）中的有关规定，将大气环境影响评价工作分为一、二、三级，划分依据见表</w:t>
      </w:r>
      <w:r>
        <w:rPr>
          <w:rFonts w:hint="eastAsia"/>
        </w:rPr>
        <w:t>2</w:t>
      </w:r>
      <w:r>
        <w:t>.</w:t>
      </w:r>
      <w:r>
        <w:rPr>
          <w:rFonts w:hint="eastAsia"/>
        </w:rPr>
        <w:t>5</w:t>
      </w:r>
      <w:r>
        <w:t>-1。</w:t>
      </w:r>
    </w:p>
    <w:p>
      <w:pPr>
        <w:pStyle w:val="13"/>
        <w:autoSpaceDE w:val="0"/>
        <w:autoSpaceDN w:val="0"/>
        <w:ind w:firstLine="464"/>
        <w:rPr>
          <w:rFonts w:ascii="Times New Roman" w:hAnsi="Times New Roman"/>
        </w:rPr>
      </w:pPr>
      <w:r>
        <w:rPr>
          <w:rFonts w:ascii="Times New Roman" w:hAnsi="Times New Roman"/>
          <w:spacing w:val="-4"/>
          <w:position w:val="2"/>
        </w:rPr>
        <w:t>各污染物的最大地面浓度占标率</w:t>
      </w:r>
      <w:r>
        <w:rPr>
          <w:rFonts w:ascii="Times New Roman" w:hAnsi="Times New Roman"/>
          <w:position w:val="2"/>
        </w:rPr>
        <w:t>P</w:t>
      </w:r>
      <w:r>
        <w:rPr>
          <w:rFonts w:ascii="Times New Roman" w:hAnsi="Times New Roman"/>
        </w:rPr>
        <w:t>i</w:t>
      </w:r>
      <w:r>
        <w:rPr>
          <w:rFonts w:ascii="Times New Roman" w:hAnsi="Times New Roman"/>
          <w:spacing w:val="-5"/>
          <w:position w:val="2"/>
        </w:rPr>
        <w:t>的计算：</w:t>
      </w:r>
    </w:p>
    <w:p>
      <w:pPr>
        <w:pStyle w:val="13"/>
        <w:autoSpaceDE w:val="0"/>
        <w:autoSpaceDN w:val="0"/>
        <w:ind w:firstLine="480"/>
        <w:rPr>
          <w:rFonts w:ascii="Times New Roman" w:hAnsi="Times New Roman"/>
        </w:rPr>
      </w:pPr>
      <w:r>
        <w:rPr>
          <w:rFonts w:ascii="Times New Roman" w:hAnsi="Times New Roman"/>
        </w:rPr>
        <w:t>式中：Pi——第i个污染物的最大地面浓度占标率，%；</w:t>
      </w:r>
    </w:p>
    <w:p>
      <w:pPr>
        <w:pStyle w:val="13"/>
        <w:autoSpaceDE w:val="0"/>
        <w:autoSpaceDN w:val="0"/>
        <w:ind w:firstLine="480"/>
        <w:rPr>
          <w:rFonts w:ascii="Times New Roman" w:hAnsi="Times New Roman"/>
        </w:rPr>
      </w:pPr>
      <w:r>
        <w:rPr>
          <w:rFonts w:ascii="Times New Roman" w:hAnsi="Times New Roman"/>
        </w:rPr>
        <w:t>Ci——采用估算模式计算出的第i个污染物的最大地面浓度，</w:t>
      </w:r>
      <w:r>
        <w:rPr>
          <w:rFonts w:ascii="Times New Roman" w:hAnsi="Times New Roman" w:cs="Times New Roman"/>
        </w:rPr>
        <w:t>μg/m</w:t>
      </w:r>
      <w:r>
        <w:rPr>
          <w:rFonts w:ascii="Times New Roman" w:hAnsi="Times New Roman" w:cs="Times New Roman"/>
          <w:vertAlign w:val="superscript"/>
          <w:lang w:val="en-US"/>
        </w:rPr>
        <w:t>3</w:t>
      </w:r>
      <w:r>
        <w:rPr>
          <w:rFonts w:ascii="Times New Roman" w:hAnsi="Times New Roman" w:cs="Times New Roman"/>
        </w:rPr>
        <w:t>；</w:t>
      </w:r>
    </w:p>
    <w:p>
      <w:pPr>
        <w:pStyle w:val="13"/>
        <w:autoSpaceDE w:val="0"/>
        <w:autoSpaceDN w:val="0"/>
        <w:ind w:firstLine="480"/>
        <w:rPr>
          <w:rFonts w:ascii="Times New Roman" w:hAnsi="Times New Roman"/>
        </w:rPr>
      </w:pPr>
      <w:r>
        <w:rPr>
          <w:rFonts w:ascii="Times New Roman" w:hAnsi="Times New Roman"/>
        </w:rPr>
        <w:t>Coi——第i个污染物的环境空气质量标准，</w:t>
      </w:r>
      <w:r>
        <w:rPr>
          <w:rFonts w:ascii="Times New Roman" w:hAnsi="Times New Roman" w:cs="Times New Roman"/>
        </w:rPr>
        <w:t>μg/m</w:t>
      </w:r>
      <w:r>
        <w:rPr>
          <w:rFonts w:ascii="Times New Roman" w:hAnsi="Times New Roman" w:cs="Times New Roman"/>
          <w:vertAlign w:val="superscript"/>
          <w:lang w:val="en-US"/>
        </w:rPr>
        <w:t>3</w:t>
      </w:r>
      <w:r>
        <w:rPr>
          <w:rFonts w:ascii="Times New Roman" w:hAnsi="Times New Roman"/>
        </w:rPr>
        <w:t>。</w:t>
      </w:r>
    </w:p>
    <w:p>
      <w:pPr>
        <w:ind w:firstLine="0" w:firstLineChars="0"/>
        <w:jc w:val="center"/>
        <w:rPr>
          <w:b/>
          <w:bCs/>
        </w:rPr>
      </w:pPr>
      <w:r>
        <w:rPr>
          <w:b/>
          <w:bCs/>
        </w:rPr>
        <w:t>表2.5-1  大气环境评价工作级别（一、二、三级）</w:t>
      </w:r>
    </w:p>
    <w:tbl>
      <w:tblPr>
        <w:tblStyle w:val="28"/>
        <w:tblW w:w="5015"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3824"/>
        <w:gridCol w:w="52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5" w:hRule="atLeast"/>
          <w:jc w:val="center"/>
        </w:trPr>
        <w:tc>
          <w:tcPr>
            <w:tcW w:w="4147" w:type="dxa"/>
            <w:tcBorders>
              <w:top w:val="single" w:color="000000" w:sz="4" w:space="0"/>
              <w:left w:val="single" w:color="000000" w:sz="4" w:space="0"/>
              <w:bottom w:val="single" w:color="000000" w:sz="4" w:space="0"/>
              <w:right w:val="single" w:color="000000" w:sz="4" w:space="0"/>
            </w:tcBorders>
          </w:tcPr>
          <w:p>
            <w:pPr>
              <w:pStyle w:val="38"/>
              <w:rPr>
                <w:rFonts w:hint="default"/>
              </w:rPr>
            </w:pPr>
            <w:r>
              <w:t>评价工作等级</w:t>
            </w:r>
          </w:p>
        </w:tc>
        <w:tc>
          <w:tcPr>
            <w:tcW w:w="5733" w:type="dxa"/>
            <w:tcBorders>
              <w:top w:val="single" w:color="000000" w:sz="4" w:space="0"/>
              <w:left w:val="single" w:color="000000" w:sz="4" w:space="0"/>
              <w:bottom w:val="single" w:color="000000" w:sz="4" w:space="0"/>
              <w:right w:val="single" w:color="000000" w:sz="4" w:space="0"/>
            </w:tcBorders>
          </w:tcPr>
          <w:p>
            <w:pPr>
              <w:pStyle w:val="38"/>
              <w:rPr>
                <w:rFonts w:hint="default"/>
              </w:rPr>
            </w:pPr>
            <w:r>
              <w:t>评价工作分级判据</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3" w:hRule="atLeast"/>
          <w:jc w:val="center"/>
        </w:trPr>
        <w:tc>
          <w:tcPr>
            <w:tcW w:w="4147" w:type="dxa"/>
            <w:tcBorders>
              <w:top w:val="single" w:color="000000" w:sz="4" w:space="0"/>
              <w:left w:val="single" w:color="000000" w:sz="4" w:space="0"/>
              <w:bottom w:val="single" w:color="000000" w:sz="4" w:space="0"/>
              <w:right w:val="single" w:color="000000" w:sz="4" w:space="0"/>
            </w:tcBorders>
          </w:tcPr>
          <w:p>
            <w:pPr>
              <w:pStyle w:val="38"/>
              <w:rPr>
                <w:rFonts w:hint="default"/>
              </w:rPr>
            </w:pPr>
            <w:r>
              <w:t>一级</w:t>
            </w:r>
          </w:p>
        </w:tc>
        <w:tc>
          <w:tcPr>
            <w:tcW w:w="5733" w:type="dxa"/>
            <w:tcBorders>
              <w:top w:val="single" w:color="000000" w:sz="4" w:space="0"/>
              <w:left w:val="single" w:color="000000" w:sz="4" w:space="0"/>
              <w:bottom w:val="single" w:color="000000" w:sz="4" w:space="0"/>
              <w:right w:val="single" w:color="000000" w:sz="4" w:space="0"/>
            </w:tcBorders>
          </w:tcPr>
          <w:p>
            <w:pPr>
              <w:pStyle w:val="38"/>
              <w:rPr>
                <w:rFonts w:hint="default"/>
              </w:rPr>
            </w:pPr>
            <w:r>
              <w:t>Pmax≥10%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6" w:hRule="atLeast"/>
          <w:jc w:val="center"/>
        </w:trPr>
        <w:tc>
          <w:tcPr>
            <w:tcW w:w="4147" w:type="dxa"/>
            <w:tcBorders>
              <w:top w:val="single" w:color="000000" w:sz="4" w:space="0"/>
              <w:left w:val="single" w:color="000000" w:sz="4" w:space="0"/>
              <w:bottom w:val="single" w:color="000000" w:sz="4" w:space="0"/>
              <w:right w:val="single" w:color="000000" w:sz="4" w:space="0"/>
            </w:tcBorders>
          </w:tcPr>
          <w:p>
            <w:pPr>
              <w:pStyle w:val="38"/>
              <w:rPr>
                <w:rFonts w:hint="default"/>
              </w:rPr>
            </w:pPr>
            <w:r>
              <w:t>二级</w:t>
            </w:r>
          </w:p>
        </w:tc>
        <w:tc>
          <w:tcPr>
            <w:tcW w:w="5733" w:type="dxa"/>
            <w:tcBorders>
              <w:top w:val="single" w:color="000000" w:sz="4" w:space="0"/>
              <w:left w:val="single" w:color="000000" w:sz="4" w:space="0"/>
              <w:bottom w:val="single" w:color="000000" w:sz="4" w:space="0"/>
              <w:right w:val="single" w:color="000000" w:sz="4" w:space="0"/>
            </w:tcBorders>
          </w:tcPr>
          <w:p>
            <w:pPr>
              <w:pStyle w:val="38"/>
              <w:rPr>
                <w:rFonts w:hint="default"/>
              </w:rPr>
            </w:pPr>
            <w:r>
              <w:t>1%≤Pmax＜10%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3" w:hRule="atLeast"/>
          <w:jc w:val="center"/>
        </w:trPr>
        <w:tc>
          <w:tcPr>
            <w:tcW w:w="4147" w:type="dxa"/>
            <w:tcBorders>
              <w:top w:val="single" w:color="000000" w:sz="4" w:space="0"/>
              <w:left w:val="single" w:color="000000" w:sz="4" w:space="0"/>
              <w:bottom w:val="single" w:color="000000" w:sz="4" w:space="0"/>
              <w:right w:val="single" w:color="000000" w:sz="4" w:space="0"/>
            </w:tcBorders>
          </w:tcPr>
          <w:p>
            <w:pPr>
              <w:pStyle w:val="38"/>
              <w:rPr>
                <w:rFonts w:hint="default"/>
              </w:rPr>
            </w:pPr>
            <w:r>
              <w:t>三级</w:t>
            </w:r>
          </w:p>
        </w:tc>
        <w:tc>
          <w:tcPr>
            <w:tcW w:w="5733" w:type="dxa"/>
            <w:tcBorders>
              <w:top w:val="single" w:color="000000" w:sz="4" w:space="0"/>
              <w:left w:val="single" w:color="000000" w:sz="4" w:space="0"/>
              <w:bottom w:val="single" w:color="000000" w:sz="4" w:space="0"/>
              <w:right w:val="single" w:color="000000" w:sz="4" w:space="0"/>
            </w:tcBorders>
          </w:tcPr>
          <w:p>
            <w:pPr>
              <w:pStyle w:val="38"/>
              <w:rPr>
                <w:rFonts w:hint="default"/>
              </w:rPr>
            </w:pPr>
            <w:r>
              <w:t>Pmax＜1%</w:t>
            </w:r>
          </w:p>
        </w:tc>
      </w:tr>
    </w:tbl>
    <w:p>
      <w:pPr>
        <w:ind w:firstLine="480"/>
      </w:pPr>
      <w:r>
        <w:rPr>
          <w:rFonts w:hint="eastAsia"/>
        </w:rPr>
        <w:t>本评价选取非甲烷总烃、氨、硫化氢和颗粒物为主要污染物进行评价工作等级的确定，采用《环境影响评价技术导则  大气环境》（</w:t>
      </w:r>
      <w:r>
        <w:t>HJ2.2-2018</w:t>
      </w:r>
      <w:r>
        <w:rPr>
          <w:rFonts w:hint="eastAsia"/>
        </w:rPr>
        <w:t>）中推荐的</w:t>
      </w:r>
      <w:r>
        <w:t>Aerscreen</w:t>
      </w:r>
      <w:r>
        <w:rPr>
          <w:rFonts w:hint="eastAsia"/>
        </w:rPr>
        <w:t>估算模式进行计算。评价因子和评价标准见表</w:t>
      </w:r>
      <w:r>
        <w:t>2.</w:t>
      </w:r>
      <w:r>
        <w:rPr>
          <w:rFonts w:hint="eastAsia"/>
        </w:rPr>
        <w:t>5</w:t>
      </w:r>
      <w:r>
        <w:t>-2</w:t>
      </w:r>
      <w:r>
        <w:rPr>
          <w:rFonts w:hint="eastAsia"/>
        </w:rPr>
        <w:t>、估算模型参数见表</w:t>
      </w:r>
      <w:r>
        <w:t>2.</w:t>
      </w:r>
      <w:r>
        <w:rPr>
          <w:rFonts w:hint="eastAsia"/>
        </w:rPr>
        <w:t>5</w:t>
      </w:r>
      <w:r>
        <w:t>-3</w:t>
      </w:r>
      <w:r>
        <w:rPr>
          <w:rFonts w:hint="eastAsia"/>
        </w:rPr>
        <w:t>、计算结果见表</w:t>
      </w:r>
      <w:r>
        <w:t>2.</w:t>
      </w:r>
      <w:r>
        <w:rPr>
          <w:rFonts w:hint="eastAsia"/>
        </w:rPr>
        <w:t>5</w:t>
      </w:r>
      <w:r>
        <w:t>-4</w:t>
      </w:r>
      <w:r>
        <w:rPr>
          <w:rFonts w:hint="eastAsia"/>
        </w:rPr>
        <w:t>。</w:t>
      </w:r>
    </w:p>
    <w:p>
      <w:pPr>
        <w:ind w:firstLine="0" w:firstLineChars="0"/>
        <w:jc w:val="center"/>
        <w:rPr>
          <w:b/>
          <w:bCs/>
        </w:rPr>
      </w:pPr>
      <w:r>
        <w:rPr>
          <w:rFonts w:hint="eastAsia"/>
          <w:b/>
          <w:bCs/>
        </w:rPr>
        <w:t>表2.5-2  评价因子和评价标准表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5"/>
        <w:gridCol w:w="1286"/>
        <w:gridCol w:w="1494"/>
        <w:gridCol w:w="1444"/>
        <w:gridCol w:w="32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8" w:type="pct"/>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污染物名称</w:t>
            </w:r>
          </w:p>
        </w:tc>
        <w:tc>
          <w:tcPr>
            <w:tcW w:w="692" w:type="pct"/>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功能区</w:t>
            </w:r>
          </w:p>
        </w:tc>
        <w:tc>
          <w:tcPr>
            <w:tcW w:w="804" w:type="pct"/>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取值时间</w:t>
            </w:r>
          </w:p>
        </w:tc>
        <w:tc>
          <w:tcPr>
            <w:tcW w:w="777" w:type="pct"/>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标准值</w:t>
            </w:r>
          </w:p>
        </w:tc>
        <w:tc>
          <w:tcPr>
            <w:tcW w:w="1727" w:type="pct"/>
            <w:vAlign w:val="center"/>
          </w:tcPr>
          <w:p>
            <w:pPr>
              <w:widowControl/>
              <w:autoSpaceDE w:val="0"/>
              <w:autoSpaceDN w:val="0"/>
              <w:spacing w:line="240" w:lineRule="auto"/>
              <w:ind w:firstLine="0" w:firstLineChars="0"/>
              <w:jc w:val="center"/>
              <w:rPr>
                <w:spacing w:val="-16"/>
              </w:rPr>
            </w:pPr>
            <w:r>
              <w:rPr>
                <w:rFonts w:hint="eastAsia" w:ascii="宋体" w:hAnsi="宋体" w:cs="宋体"/>
                <w:color w:val="000000"/>
                <w:kern w:val="0"/>
                <w:sz w:val="21"/>
                <w:szCs w:val="21"/>
                <w:lang w:bidi="ar"/>
              </w:rPr>
              <w:t>标准来源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998" w:type="pct"/>
            <w:vAlign w:val="center"/>
          </w:tcPr>
          <w:p>
            <w:pPr>
              <w:widowControl/>
              <w:autoSpaceDE w:val="0"/>
              <w:autoSpaceDN w:val="0"/>
              <w:spacing w:line="240" w:lineRule="auto"/>
              <w:ind w:firstLine="0" w:firstLineChars="0"/>
              <w:jc w:val="center"/>
              <w:rPr>
                <w:color w:val="000000" w:themeColor="text1"/>
                <w:spacing w:val="-16"/>
                <w:sz w:val="21"/>
                <w:szCs w:val="21"/>
                <w14:textFill>
                  <w14:solidFill>
                    <w14:schemeClr w14:val="tx1"/>
                  </w14:solidFill>
                </w14:textFill>
              </w:rPr>
            </w:pPr>
            <w:r>
              <w:rPr>
                <w:rFonts w:hint="eastAsia" w:cs="Times New Roman"/>
                <w:color w:val="000000" w:themeColor="text1"/>
                <w:kern w:val="0"/>
                <w:sz w:val="21"/>
                <w:szCs w:val="21"/>
                <w:lang w:bidi="ar"/>
                <w14:textFill>
                  <w14:solidFill>
                    <w14:schemeClr w14:val="tx1"/>
                  </w14:solidFill>
                </w14:textFill>
              </w:rPr>
              <w:t>颗粒物</w:t>
            </w:r>
          </w:p>
        </w:tc>
        <w:tc>
          <w:tcPr>
            <w:tcW w:w="692" w:type="pct"/>
            <w:vMerge w:val="restart"/>
            <w:vAlign w:val="center"/>
          </w:tcPr>
          <w:p>
            <w:pPr>
              <w:widowControl/>
              <w:autoSpaceDE w:val="0"/>
              <w:autoSpaceDN w:val="0"/>
              <w:spacing w:line="240" w:lineRule="auto"/>
              <w:ind w:firstLine="0" w:firstLineChars="0"/>
              <w:jc w:val="center"/>
              <w:rPr>
                <w:rFonts w:hint="eastAsia" w:eastAsia="宋体"/>
                <w:spacing w:val="-16"/>
                <w:sz w:val="21"/>
                <w:szCs w:val="21"/>
                <w:lang w:eastAsia="zh-CN"/>
              </w:rPr>
            </w:pPr>
            <w:r>
              <w:rPr>
                <w:rFonts w:hint="eastAsia" w:ascii="宋体" w:hAnsi="宋体" w:cs="宋体"/>
                <w:color w:val="000000" w:themeColor="text1"/>
                <w:kern w:val="0"/>
                <w:sz w:val="21"/>
                <w:szCs w:val="21"/>
                <w:lang w:bidi="ar"/>
                <w14:textFill>
                  <w14:solidFill>
                    <w14:schemeClr w14:val="tx1"/>
                  </w14:solidFill>
                </w14:textFill>
              </w:rPr>
              <w:t>二类</w:t>
            </w:r>
            <w:r>
              <w:rPr>
                <w:rFonts w:hint="eastAsia" w:ascii="宋体" w:hAnsi="宋体" w:cs="宋体"/>
                <w:color w:val="000000" w:themeColor="text1"/>
                <w:kern w:val="0"/>
                <w:sz w:val="21"/>
                <w:szCs w:val="21"/>
                <w:lang w:eastAsia="zh-CN" w:bidi="ar"/>
                <w14:textFill>
                  <w14:solidFill>
                    <w14:schemeClr w14:val="tx1"/>
                  </w14:solidFill>
                </w14:textFill>
              </w:rPr>
              <w:t>功能区</w:t>
            </w:r>
          </w:p>
        </w:tc>
        <w:tc>
          <w:tcPr>
            <w:tcW w:w="804" w:type="pct"/>
            <w:vMerge w:val="restart"/>
            <w:vAlign w:val="center"/>
          </w:tcPr>
          <w:p>
            <w:pPr>
              <w:widowControl/>
              <w:autoSpaceDE w:val="0"/>
              <w:autoSpaceDN w:val="0"/>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themeColor="text1"/>
                <w:kern w:val="0"/>
                <w:sz w:val="21"/>
                <w:szCs w:val="21"/>
                <w:lang w:bidi="ar"/>
                <w14:textFill>
                  <w14:solidFill>
                    <w14:schemeClr w14:val="tx1"/>
                  </w14:solidFill>
                </w14:textFill>
              </w:rPr>
              <w:t>一小时</w:t>
            </w:r>
          </w:p>
        </w:tc>
        <w:tc>
          <w:tcPr>
            <w:tcW w:w="777" w:type="pct"/>
            <w:vAlign w:val="center"/>
          </w:tcPr>
          <w:p>
            <w:pPr>
              <w:widowControl/>
              <w:autoSpaceDE w:val="0"/>
              <w:autoSpaceDN w:val="0"/>
              <w:spacing w:line="240" w:lineRule="auto"/>
              <w:ind w:firstLine="0" w:firstLineChars="0"/>
              <w:jc w:val="center"/>
              <w:rPr>
                <w:color w:val="000000" w:themeColor="text1"/>
                <w:spacing w:val="-16"/>
                <w:sz w:val="21"/>
                <w:szCs w:val="21"/>
                <w14:textFill>
                  <w14:solidFill>
                    <w14:schemeClr w14:val="tx1"/>
                  </w14:solidFill>
                </w14:textFill>
              </w:rPr>
            </w:pPr>
            <w:r>
              <w:rPr>
                <w:rFonts w:hint="eastAsia" w:cs="Times New Roman"/>
                <w:color w:val="000000" w:themeColor="text1"/>
                <w:kern w:val="0"/>
                <w:sz w:val="21"/>
                <w:szCs w:val="21"/>
                <w:lang w:bidi="ar"/>
                <w14:textFill>
                  <w14:solidFill>
                    <w14:schemeClr w14:val="tx1"/>
                  </w14:solidFill>
                </w14:textFill>
              </w:rPr>
              <w:t>450</w:t>
            </w:r>
            <w:r>
              <w:rPr>
                <w:rFonts w:cs="Times New Roman"/>
                <w:color w:val="000000" w:themeColor="text1"/>
                <w:kern w:val="0"/>
                <w:sz w:val="21"/>
                <w:szCs w:val="21"/>
                <w:lang w:bidi="ar"/>
                <w14:textFill>
                  <w14:solidFill>
                    <w14:schemeClr w14:val="tx1"/>
                  </w14:solidFill>
                </w14:textFill>
              </w:rPr>
              <w:t>μg/m</w:t>
            </w:r>
            <w:r>
              <w:rPr>
                <w:rFonts w:hint="eastAsia" w:cs="Times New Roman"/>
                <w:color w:val="000000" w:themeColor="text1"/>
                <w:kern w:val="0"/>
                <w:sz w:val="21"/>
                <w:szCs w:val="21"/>
                <w:vertAlign w:val="superscript"/>
                <w:lang w:bidi="ar"/>
                <w14:textFill>
                  <w14:solidFill>
                    <w14:schemeClr w14:val="tx1"/>
                  </w14:solidFill>
                </w14:textFill>
              </w:rPr>
              <w:t>3</w:t>
            </w:r>
          </w:p>
        </w:tc>
        <w:tc>
          <w:tcPr>
            <w:tcW w:w="1727" w:type="pct"/>
            <w:vAlign w:val="center"/>
          </w:tcPr>
          <w:p>
            <w:pPr>
              <w:pStyle w:val="38"/>
              <w:rPr>
                <w:rFonts w:hint="default"/>
                <w:color w:val="C00000"/>
              </w:rPr>
            </w:pPr>
            <w:r>
              <w:rPr>
                <w:rFonts w:ascii="宋体" w:hAnsi="宋体" w:cs="宋体"/>
                <w:kern w:val="0"/>
              </w:rPr>
              <w:t>《环境空气质量标准》（</w:t>
            </w:r>
            <w:r>
              <w:rPr>
                <w:rFonts w:hint="default"/>
                <w:kern w:val="0"/>
              </w:rPr>
              <w:t>GB3095-2012</w:t>
            </w:r>
            <w:r>
              <w:rPr>
                <w:rFonts w:ascii="宋体" w:hAnsi="宋体" w:cs="宋体"/>
                <w:kern w:val="0"/>
              </w:rPr>
              <w:t>）</w:t>
            </w:r>
            <w:r>
              <w:rPr>
                <w:rFonts w:hint="eastAsia"/>
                <w:u w:val="single"/>
                <w:lang w:eastAsia="zh-CN"/>
              </w:rPr>
              <w:t>及修改单</w:t>
            </w:r>
            <w:r>
              <w:rPr>
                <w:rFonts w:ascii="宋体" w:hAnsi="宋体" w:cs="宋体"/>
                <w:kern w:val="0"/>
              </w:rPr>
              <w:t>二级标准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8" w:type="pct"/>
            <w:vAlign w:val="center"/>
          </w:tcPr>
          <w:p>
            <w:pPr>
              <w:widowControl/>
              <w:autoSpaceDE w:val="0"/>
              <w:autoSpaceDN w:val="0"/>
              <w:spacing w:line="240" w:lineRule="auto"/>
              <w:ind w:firstLine="0" w:firstLineChars="0"/>
              <w:jc w:val="center"/>
              <w:rPr>
                <w:spacing w:val="-16"/>
                <w:sz w:val="21"/>
                <w:szCs w:val="21"/>
              </w:rPr>
            </w:pPr>
            <w:r>
              <w:rPr>
                <w:rFonts w:hint="eastAsia" w:cs="Times New Roman"/>
                <w:color w:val="000000"/>
                <w:kern w:val="0"/>
                <w:sz w:val="21"/>
                <w:szCs w:val="21"/>
                <w:lang w:bidi="ar"/>
              </w:rPr>
              <w:t>非甲烷总烃</w:t>
            </w:r>
          </w:p>
        </w:tc>
        <w:tc>
          <w:tcPr>
            <w:tcW w:w="692" w:type="pct"/>
            <w:vMerge w:val="continue"/>
            <w:vAlign w:val="center"/>
          </w:tcPr>
          <w:p>
            <w:pPr>
              <w:widowControl/>
              <w:autoSpaceDE w:val="0"/>
              <w:autoSpaceDN w:val="0"/>
              <w:spacing w:line="240" w:lineRule="auto"/>
              <w:ind w:firstLine="0" w:firstLineChars="0"/>
              <w:jc w:val="center"/>
              <w:rPr>
                <w:spacing w:val="-16"/>
                <w:sz w:val="21"/>
                <w:szCs w:val="21"/>
              </w:rPr>
            </w:pPr>
          </w:p>
        </w:tc>
        <w:tc>
          <w:tcPr>
            <w:tcW w:w="804" w:type="pct"/>
            <w:vMerge w:val="continue"/>
            <w:vAlign w:val="center"/>
          </w:tcPr>
          <w:p>
            <w:pPr>
              <w:widowControl/>
              <w:autoSpaceDE w:val="0"/>
              <w:autoSpaceDN w:val="0"/>
              <w:spacing w:line="240" w:lineRule="auto"/>
              <w:ind w:firstLine="0" w:firstLineChars="0"/>
              <w:jc w:val="center"/>
              <w:rPr>
                <w:spacing w:val="-16"/>
                <w:sz w:val="21"/>
                <w:szCs w:val="21"/>
              </w:rPr>
            </w:pPr>
          </w:p>
        </w:tc>
        <w:tc>
          <w:tcPr>
            <w:tcW w:w="777" w:type="pct"/>
            <w:vAlign w:val="center"/>
          </w:tcPr>
          <w:p>
            <w:pPr>
              <w:widowControl/>
              <w:autoSpaceDE w:val="0"/>
              <w:autoSpaceDN w:val="0"/>
              <w:spacing w:line="240" w:lineRule="auto"/>
              <w:ind w:firstLine="0" w:firstLineChars="0"/>
              <w:jc w:val="center"/>
              <w:rPr>
                <w:spacing w:val="-16"/>
                <w:sz w:val="21"/>
                <w:szCs w:val="21"/>
              </w:rPr>
            </w:pPr>
            <w:r>
              <w:rPr>
                <w:rFonts w:hint="eastAsia" w:cs="Times New Roman"/>
                <w:color w:val="000000"/>
                <w:kern w:val="0"/>
                <w:sz w:val="21"/>
                <w:szCs w:val="21"/>
                <w:lang w:bidi="ar"/>
              </w:rPr>
              <w:t>2.0m</w:t>
            </w:r>
            <w:r>
              <w:rPr>
                <w:rFonts w:cs="Times New Roman"/>
                <w:color w:val="000000"/>
                <w:kern w:val="0"/>
                <w:sz w:val="21"/>
                <w:szCs w:val="21"/>
                <w:lang w:bidi="ar"/>
              </w:rPr>
              <w:t>g/m</w:t>
            </w:r>
            <w:r>
              <w:rPr>
                <w:rFonts w:hint="eastAsia" w:cs="Times New Roman"/>
                <w:color w:val="000000"/>
                <w:kern w:val="0"/>
                <w:sz w:val="21"/>
                <w:szCs w:val="21"/>
                <w:vertAlign w:val="superscript"/>
                <w:lang w:bidi="ar"/>
              </w:rPr>
              <w:t>3</w:t>
            </w:r>
          </w:p>
        </w:tc>
        <w:tc>
          <w:tcPr>
            <w:tcW w:w="1727" w:type="pct"/>
            <w:vAlign w:val="center"/>
          </w:tcPr>
          <w:p>
            <w:pPr>
              <w:pStyle w:val="38"/>
              <w:rPr>
                <w:rFonts w:hint="default"/>
              </w:rPr>
            </w:pPr>
            <w:r>
              <w:rPr>
                <w:rFonts w:hint="default"/>
              </w:rPr>
              <w:t>《大气污染物综合排放标准详解》（中国环境科学出版社出版）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998" w:type="pct"/>
            <w:vAlign w:val="center"/>
          </w:tcPr>
          <w:p>
            <w:pPr>
              <w:widowControl/>
              <w:autoSpaceDE w:val="0"/>
              <w:autoSpaceDN w:val="0"/>
              <w:spacing w:line="240" w:lineRule="auto"/>
              <w:ind w:firstLine="0" w:firstLineChars="0"/>
              <w:jc w:val="center"/>
              <w:rPr>
                <w:rFonts w:cs="Times New Roman"/>
                <w:color w:val="000000"/>
                <w:kern w:val="0"/>
                <w:sz w:val="21"/>
                <w:szCs w:val="21"/>
                <w:lang w:bidi="ar"/>
              </w:rPr>
            </w:pPr>
            <w:r>
              <w:rPr>
                <w:rFonts w:hint="eastAsia" w:cs="Times New Roman"/>
                <w:color w:val="000000"/>
                <w:kern w:val="0"/>
                <w:sz w:val="21"/>
                <w:szCs w:val="21"/>
                <w:lang w:bidi="ar"/>
              </w:rPr>
              <w:t>氨</w:t>
            </w:r>
          </w:p>
        </w:tc>
        <w:tc>
          <w:tcPr>
            <w:tcW w:w="692" w:type="pct"/>
            <w:vMerge w:val="continue"/>
            <w:vAlign w:val="center"/>
          </w:tcPr>
          <w:p>
            <w:pPr>
              <w:widowControl/>
              <w:autoSpaceDE w:val="0"/>
              <w:autoSpaceDN w:val="0"/>
              <w:spacing w:line="240" w:lineRule="auto"/>
              <w:ind w:firstLine="0" w:firstLineChars="0"/>
              <w:jc w:val="center"/>
              <w:rPr>
                <w:rFonts w:ascii="宋体" w:hAnsi="宋体" w:cs="宋体"/>
                <w:color w:val="000000"/>
                <w:kern w:val="0"/>
                <w:sz w:val="21"/>
                <w:szCs w:val="21"/>
                <w:lang w:bidi="ar"/>
              </w:rPr>
            </w:pPr>
          </w:p>
        </w:tc>
        <w:tc>
          <w:tcPr>
            <w:tcW w:w="804" w:type="pct"/>
            <w:vMerge w:val="continue"/>
            <w:vAlign w:val="center"/>
          </w:tcPr>
          <w:p>
            <w:pPr>
              <w:widowControl/>
              <w:autoSpaceDE w:val="0"/>
              <w:autoSpaceDN w:val="0"/>
              <w:spacing w:line="240" w:lineRule="auto"/>
              <w:ind w:firstLine="0" w:firstLineChars="0"/>
              <w:jc w:val="center"/>
              <w:rPr>
                <w:rFonts w:ascii="宋体" w:hAnsi="宋体" w:cs="宋体"/>
                <w:color w:val="000000"/>
                <w:kern w:val="0"/>
                <w:sz w:val="21"/>
                <w:szCs w:val="21"/>
                <w:lang w:bidi="ar"/>
              </w:rPr>
            </w:pPr>
          </w:p>
        </w:tc>
        <w:tc>
          <w:tcPr>
            <w:tcW w:w="777" w:type="pct"/>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hint="eastAsia" w:ascii="Times New Roman" w:hAnsi="Times New Roman"/>
                <w:sz w:val="21"/>
                <w:lang w:val="en-US"/>
              </w:rPr>
              <w:t>200</w:t>
            </w:r>
            <w:r>
              <w:rPr>
                <w:rFonts w:ascii="Times New Roman" w:hAnsi="Times New Roman"/>
                <w:sz w:val="21"/>
              </w:rPr>
              <w:t>μg/m</w:t>
            </w:r>
            <w:r>
              <w:rPr>
                <w:rFonts w:ascii="Times New Roman" w:hAnsi="Times New Roman"/>
                <w:position w:val="7"/>
                <w:sz w:val="14"/>
              </w:rPr>
              <w:t>3</w:t>
            </w:r>
          </w:p>
        </w:tc>
        <w:tc>
          <w:tcPr>
            <w:tcW w:w="1727" w:type="pct"/>
            <w:vMerge w:val="restart"/>
            <w:vAlign w:val="center"/>
          </w:tcPr>
          <w:p>
            <w:pPr>
              <w:pStyle w:val="38"/>
              <w:rPr>
                <w:rFonts w:hint="default"/>
              </w:rPr>
            </w:pPr>
            <w:r>
              <w:rPr>
                <w:rFonts w:hint="default"/>
                <w:kern w:val="0"/>
              </w:rPr>
              <w:t>《环境影响评价技术导则  大气环境》（HJ2.2-2018）附录D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8" w:type="pct"/>
            <w:vAlign w:val="center"/>
          </w:tcPr>
          <w:p>
            <w:pPr>
              <w:widowControl/>
              <w:autoSpaceDE w:val="0"/>
              <w:autoSpaceDN w:val="0"/>
              <w:spacing w:line="240" w:lineRule="auto"/>
              <w:ind w:firstLine="0" w:firstLineChars="0"/>
              <w:jc w:val="center"/>
              <w:rPr>
                <w:rFonts w:cs="Times New Roman"/>
                <w:color w:val="000000"/>
                <w:kern w:val="0"/>
                <w:sz w:val="21"/>
                <w:szCs w:val="21"/>
                <w:lang w:bidi="ar"/>
              </w:rPr>
            </w:pPr>
            <w:r>
              <w:rPr>
                <w:rFonts w:hint="eastAsia" w:cs="Times New Roman"/>
                <w:color w:val="000000"/>
                <w:kern w:val="0"/>
                <w:sz w:val="21"/>
                <w:szCs w:val="21"/>
                <w:lang w:bidi="ar"/>
              </w:rPr>
              <w:t>硫化氢</w:t>
            </w:r>
          </w:p>
        </w:tc>
        <w:tc>
          <w:tcPr>
            <w:tcW w:w="692" w:type="pct"/>
            <w:vMerge w:val="continue"/>
            <w:vAlign w:val="center"/>
          </w:tcPr>
          <w:p>
            <w:pPr>
              <w:widowControl/>
              <w:autoSpaceDE w:val="0"/>
              <w:autoSpaceDN w:val="0"/>
              <w:spacing w:line="240" w:lineRule="auto"/>
              <w:ind w:firstLine="0" w:firstLineChars="0"/>
              <w:jc w:val="center"/>
              <w:rPr>
                <w:rFonts w:ascii="宋体" w:hAnsi="宋体" w:cs="宋体"/>
                <w:color w:val="000000"/>
                <w:kern w:val="0"/>
                <w:sz w:val="21"/>
                <w:szCs w:val="21"/>
                <w:lang w:bidi="ar"/>
              </w:rPr>
            </w:pPr>
          </w:p>
        </w:tc>
        <w:tc>
          <w:tcPr>
            <w:tcW w:w="804" w:type="pct"/>
            <w:vMerge w:val="continue"/>
            <w:vAlign w:val="center"/>
          </w:tcPr>
          <w:p>
            <w:pPr>
              <w:widowControl/>
              <w:autoSpaceDE w:val="0"/>
              <w:autoSpaceDN w:val="0"/>
              <w:spacing w:line="240" w:lineRule="auto"/>
              <w:ind w:firstLine="0" w:firstLineChars="0"/>
              <w:jc w:val="center"/>
              <w:rPr>
                <w:rFonts w:ascii="宋体" w:hAnsi="宋体" w:cs="宋体"/>
                <w:color w:val="000000"/>
                <w:kern w:val="0"/>
                <w:sz w:val="21"/>
                <w:szCs w:val="21"/>
                <w:lang w:bidi="ar"/>
              </w:rPr>
            </w:pPr>
          </w:p>
        </w:tc>
        <w:tc>
          <w:tcPr>
            <w:tcW w:w="777" w:type="pct"/>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hint="eastAsia" w:ascii="Times New Roman" w:hAnsi="Times New Roman"/>
                <w:sz w:val="21"/>
                <w:lang w:val="en-US"/>
              </w:rPr>
              <w:t>10</w:t>
            </w:r>
            <w:r>
              <w:rPr>
                <w:rFonts w:ascii="Times New Roman" w:hAnsi="Times New Roman"/>
                <w:sz w:val="21"/>
              </w:rPr>
              <w:t>μg/m</w:t>
            </w:r>
            <w:r>
              <w:rPr>
                <w:rFonts w:ascii="Times New Roman" w:hAnsi="Times New Roman"/>
                <w:position w:val="7"/>
                <w:sz w:val="14"/>
              </w:rPr>
              <w:t>3</w:t>
            </w:r>
          </w:p>
        </w:tc>
        <w:tc>
          <w:tcPr>
            <w:tcW w:w="1727" w:type="pct"/>
            <w:vMerge w:val="continue"/>
          </w:tcPr>
          <w:p>
            <w:pPr>
              <w:pStyle w:val="38"/>
              <w:rPr>
                <w:rFonts w:hint="default"/>
              </w:rPr>
            </w:pPr>
          </w:p>
        </w:tc>
      </w:tr>
    </w:tbl>
    <w:p>
      <w:pPr>
        <w:ind w:firstLine="0" w:firstLineChars="0"/>
        <w:jc w:val="center"/>
        <w:rPr>
          <w:b/>
          <w:bCs/>
        </w:rPr>
      </w:pPr>
      <w:r>
        <w:rPr>
          <w:rFonts w:hint="eastAsia"/>
          <w:b/>
          <w:bCs/>
        </w:rPr>
        <w:t>表2.5-3  估算模型参数表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87"/>
        <w:gridCol w:w="3087"/>
        <w:gridCol w:w="3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参数</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取值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restart"/>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城市</w:t>
            </w:r>
            <w:r>
              <w:rPr>
                <w:rFonts w:cs="宋体"/>
                <w:color w:val="000000"/>
                <w:kern w:val="0"/>
                <w:sz w:val="21"/>
                <w:szCs w:val="21"/>
                <w:lang w:bidi="ar"/>
              </w:rPr>
              <w:t>/</w:t>
            </w:r>
            <w:r>
              <w:rPr>
                <w:rFonts w:hint="eastAsia" w:cs="宋体"/>
                <w:color w:val="000000"/>
                <w:kern w:val="0"/>
                <w:sz w:val="21"/>
                <w:szCs w:val="21"/>
                <w:lang w:bidi="ar"/>
              </w:rPr>
              <w:t>农村选项</w:t>
            </w: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城市</w:t>
            </w:r>
            <w:r>
              <w:rPr>
                <w:rFonts w:cs="宋体"/>
                <w:color w:val="000000"/>
                <w:kern w:val="0"/>
                <w:sz w:val="21"/>
                <w:szCs w:val="21"/>
                <w:lang w:bidi="ar"/>
              </w:rPr>
              <w:t>/</w:t>
            </w:r>
            <w:r>
              <w:rPr>
                <w:rFonts w:hint="eastAsia" w:cs="宋体"/>
                <w:color w:val="000000"/>
                <w:kern w:val="0"/>
                <w:sz w:val="21"/>
                <w:szCs w:val="21"/>
                <w:lang w:bidi="ar"/>
              </w:rPr>
              <w:t>农村</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农村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continue"/>
            <w:vAlign w:val="center"/>
          </w:tcPr>
          <w:p>
            <w:pPr>
              <w:widowControl/>
              <w:autoSpaceDE w:val="0"/>
              <w:autoSpaceDN w:val="0"/>
              <w:spacing w:line="240" w:lineRule="auto"/>
              <w:ind w:firstLine="420"/>
              <w:jc w:val="center"/>
              <w:rPr>
                <w:rFonts w:cs="宋体"/>
                <w:color w:val="000000"/>
                <w:kern w:val="0"/>
                <w:sz w:val="21"/>
                <w:szCs w:val="21"/>
                <w:lang w:bidi="ar"/>
              </w:rPr>
            </w:pP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人口数（城市选项时）</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最高环境温度</w:t>
            </w:r>
            <w:r>
              <w:rPr>
                <w:rFonts w:cs="宋体"/>
                <w:color w:val="000000"/>
                <w:kern w:val="0"/>
                <w:sz w:val="21"/>
                <w:szCs w:val="21"/>
                <w:lang w:bidi="ar"/>
              </w:rPr>
              <w:t>/℃</w:t>
            </w:r>
          </w:p>
        </w:tc>
        <w:tc>
          <w:tcPr>
            <w:tcW w:w="3356" w:type="dxa"/>
            <w:vAlign w:val="center"/>
          </w:tcPr>
          <w:p>
            <w:pPr>
              <w:widowControl/>
              <w:spacing w:line="240" w:lineRule="auto"/>
              <w:ind w:firstLine="420"/>
              <w:jc w:val="center"/>
              <w:rPr>
                <w:rFonts w:cs="宋体"/>
                <w:color w:val="000000"/>
                <w:kern w:val="0"/>
                <w:sz w:val="21"/>
                <w:szCs w:val="21"/>
                <w:lang w:bidi="ar"/>
              </w:rPr>
            </w:pPr>
            <w:r>
              <w:rPr>
                <w:rFonts w:cs="Times New Roman"/>
                <w:color w:val="000000"/>
                <w:kern w:val="0"/>
                <w:sz w:val="21"/>
                <w:szCs w:val="21"/>
                <w:lang w:bidi="ar"/>
              </w:rPr>
              <w:t>42.3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最低环境温度</w:t>
            </w:r>
            <w:r>
              <w:rPr>
                <w:rFonts w:cs="宋体"/>
                <w:color w:val="000000"/>
                <w:kern w:val="0"/>
                <w:sz w:val="21"/>
                <w:szCs w:val="21"/>
                <w:lang w:bidi="ar"/>
              </w:rPr>
              <w:t>/℃</w:t>
            </w:r>
          </w:p>
        </w:tc>
        <w:tc>
          <w:tcPr>
            <w:tcW w:w="3356" w:type="dxa"/>
            <w:vAlign w:val="center"/>
          </w:tcPr>
          <w:p>
            <w:pPr>
              <w:widowControl/>
              <w:spacing w:line="240" w:lineRule="auto"/>
              <w:ind w:firstLine="420"/>
              <w:jc w:val="center"/>
              <w:rPr>
                <w:rFonts w:cs="宋体"/>
                <w:color w:val="000000"/>
                <w:kern w:val="0"/>
                <w:sz w:val="21"/>
                <w:szCs w:val="21"/>
                <w:lang w:bidi="ar"/>
              </w:rPr>
            </w:pPr>
            <w:r>
              <w:rPr>
                <w:rFonts w:cs="Times New Roman"/>
                <w:color w:val="000000"/>
                <w:kern w:val="0"/>
                <w:sz w:val="21"/>
                <w:szCs w:val="21"/>
                <w:lang w:bidi="ar"/>
              </w:rPr>
              <w:t>-14.8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土地利用类型</w:t>
            </w:r>
          </w:p>
        </w:tc>
        <w:tc>
          <w:tcPr>
            <w:tcW w:w="3356" w:type="dxa"/>
            <w:vAlign w:val="center"/>
          </w:tcPr>
          <w:p>
            <w:pPr>
              <w:widowControl/>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农村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区域湿度条件</w:t>
            </w:r>
          </w:p>
        </w:tc>
        <w:tc>
          <w:tcPr>
            <w:tcW w:w="3356" w:type="dxa"/>
            <w:vAlign w:val="center"/>
          </w:tcPr>
          <w:p>
            <w:pPr>
              <w:widowControl/>
              <w:spacing w:line="240" w:lineRule="auto"/>
              <w:ind w:firstLine="420"/>
              <w:jc w:val="center"/>
              <w:rPr>
                <w:rFonts w:cs="宋体"/>
                <w:color w:val="000000"/>
                <w:kern w:val="0"/>
                <w:sz w:val="21"/>
                <w:szCs w:val="21"/>
                <w:lang w:bidi="ar"/>
              </w:rPr>
            </w:pPr>
            <w:r>
              <w:rPr>
                <w:rFonts w:hint="eastAsia" w:ascii="宋体" w:hAnsi="宋体" w:cs="宋体"/>
                <w:color w:val="000000"/>
                <w:kern w:val="0"/>
                <w:sz w:val="21"/>
                <w:szCs w:val="21"/>
                <w:lang w:bidi="ar"/>
              </w:rPr>
              <w:t>半湿润区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restart"/>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是否考虑地形</w:t>
            </w: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考虑地形</w:t>
            </w:r>
          </w:p>
        </w:tc>
        <w:tc>
          <w:tcPr>
            <w:tcW w:w="3356" w:type="dxa"/>
            <w:vAlign w:val="center"/>
          </w:tcPr>
          <w:p>
            <w:pPr>
              <w:widowControl/>
              <w:spacing w:line="240" w:lineRule="auto"/>
              <w:ind w:firstLine="420"/>
              <w:jc w:val="center"/>
              <w:rPr>
                <w:rFonts w:cs="宋体"/>
                <w:color w:val="000000"/>
                <w:kern w:val="0"/>
                <w:sz w:val="21"/>
                <w:szCs w:val="21"/>
                <w:lang w:bidi="ar"/>
              </w:rPr>
            </w:pPr>
            <w:r>
              <w:rPr>
                <w:rFonts w:cs="Times New Roman"/>
                <w:color w:val="000000"/>
                <w:kern w:val="0"/>
                <w:sz w:val="21"/>
                <w:szCs w:val="21"/>
                <w:lang w:bidi="ar"/>
              </w:rPr>
              <w:t>■</w:t>
            </w:r>
            <w:r>
              <w:rPr>
                <w:rFonts w:hint="eastAsia" w:cs="宋体"/>
                <w:color w:val="000000"/>
                <w:kern w:val="0"/>
                <w:sz w:val="21"/>
                <w:szCs w:val="21"/>
                <w:lang w:bidi="ar"/>
              </w:rPr>
              <w:t>是</w:t>
            </w:r>
            <w:r>
              <w:rPr>
                <w:rFonts w:cs="Times New Roman"/>
                <w:color w:val="000000"/>
                <w:kern w:val="0"/>
                <w:sz w:val="21"/>
                <w:szCs w:val="21"/>
                <w:lang w:bidi="ar"/>
              </w:rPr>
              <w:t>□</w:t>
            </w:r>
            <w:r>
              <w:rPr>
                <w:rFonts w:hint="eastAsia" w:cs="宋体"/>
                <w:color w:val="000000"/>
                <w:kern w:val="0"/>
                <w:sz w:val="21"/>
                <w:szCs w:val="21"/>
                <w:lang w:bidi="ar"/>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continue"/>
            <w:vAlign w:val="center"/>
          </w:tcPr>
          <w:p>
            <w:pPr>
              <w:widowControl/>
              <w:autoSpaceDE w:val="0"/>
              <w:autoSpaceDN w:val="0"/>
              <w:spacing w:line="240" w:lineRule="auto"/>
              <w:ind w:firstLine="420"/>
              <w:jc w:val="center"/>
              <w:rPr>
                <w:rFonts w:cs="宋体"/>
                <w:color w:val="000000"/>
                <w:kern w:val="0"/>
                <w:sz w:val="21"/>
                <w:szCs w:val="21"/>
                <w:lang w:bidi="ar"/>
              </w:rPr>
            </w:pP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地形数据分辨率</w:t>
            </w:r>
            <w:r>
              <w:rPr>
                <w:rFonts w:cs="宋体"/>
                <w:color w:val="000000"/>
                <w:kern w:val="0"/>
                <w:sz w:val="21"/>
                <w:szCs w:val="21"/>
                <w:lang w:bidi="ar"/>
              </w:rPr>
              <w:t>/m</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restart"/>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是否考虑岸线熏烟</w:t>
            </w: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考虑岸线熏烟</w:t>
            </w:r>
          </w:p>
        </w:tc>
        <w:tc>
          <w:tcPr>
            <w:tcW w:w="3356" w:type="dxa"/>
            <w:vAlign w:val="center"/>
          </w:tcPr>
          <w:p>
            <w:pPr>
              <w:widowControl/>
              <w:spacing w:line="240" w:lineRule="auto"/>
              <w:ind w:firstLine="420"/>
              <w:jc w:val="center"/>
              <w:rPr>
                <w:rFonts w:cs="宋体"/>
                <w:color w:val="000000"/>
                <w:kern w:val="0"/>
                <w:sz w:val="21"/>
                <w:szCs w:val="21"/>
                <w:lang w:bidi="ar"/>
              </w:rPr>
            </w:pPr>
            <w:r>
              <w:rPr>
                <w:rFonts w:cs="Times New Roman"/>
                <w:color w:val="000000"/>
                <w:kern w:val="0"/>
                <w:sz w:val="21"/>
                <w:szCs w:val="21"/>
                <w:lang w:bidi="ar"/>
              </w:rPr>
              <w:t>□</w:t>
            </w:r>
            <w:r>
              <w:rPr>
                <w:rFonts w:hint="eastAsia" w:cs="宋体"/>
                <w:color w:val="000000"/>
                <w:kern w:val="0"/>
                <w:sz w:val="21"/>
                <w:szCs w:val="21"/>
                <w:lang w:bidi="ar"/>
              </w:rPr>
              <w:t>是</w:t>
            </w:r>
            <w:r>
              <w:rPr>
                <w:rFonts w:cs="Times New Roman"/>
                <w:color w:val="000000"/>
                <w:kern w:val="0"/>
                <w:sz w:val="21"/>
                <w:szCs w:val="21"/>
                <w:lang w:bidi="ar"/>
              </w:rPr>
              <w:t>■</w:t>
            </w:r>
            <w:r>
              <w:rPr>
                <w:rFonts w:hint="eastAsia" w:cs="宋体"/>
                <w:color w:val="000000"/>
                <w:kern w:val="0"/>
                <w:sz w:val="21"/>
                <w:szCs w:val="21"/>
                <w:lang w:bidi="ar"/>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continue"/>
            <w:vAlign w:val="center"/>
          </w:tcPr>
          <w:p>
            <w:pPr>
              <w:widowControl/>
              <w:autoSpaceDE w:val="0"/>
              <w:autoSpaceDN w:val="0"/>
              <w:spacing w:line="240" w:lineRule="auto"/>
              <w:ind w:firstLine="420"/>
              <w:jc w:val="center"/>
              <w:rPr>
                <w:rFonts w:cs="宋体"/>
                <w:color w:val="000000"/>
                <w:kern w:val="0"/>
                <w:sz w:val="21"/>
                <w:szCs w:val="21"/>
                <w:lang w:bidi="ar"/>
              </w:rPr>
            </w:pP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岸线距离</w:t>
            </w:r>
            <w:r>
              <w:rPr>
                <w:rFonts w:cs="宋体"/>
                <w:color w:val="000000"/>
                <w:kern w:val="0"/>
                <w:sz w:val="21"/>
                <w:szCs w:val="21"/>
                <w:lang w:bidi="ar"/>
              </w:rPr>
              <w:t>/km</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continue"/>
            <w:vAlign w:val="center"/>
          </w:tcPr>
          <w:p>
            <w:pPr>
              <w:widowControl/>
              <w:autoSpaceDE w:val="0"/>
              <w:autoSpaceDN w:val="0"/>
              <w:spacing w:line="240" w:lineRule="auto"/>
              <w:ind w:firstLine="420"/>
              <w:jc w:val="center"/>
              <w:rPr>
                <w:rFonts w:cs="宋体"/>
                <w:color w:val="000000"/>
                <w:kern w:val="0"/>
                <w:sz w:val="21"/>
                <w:szCs w:val="21"/>
                <w:lang w:bidi="ar"/>
              </w:rPr>
            </w:pP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岸线方向</w:t>
            </w:r>
            <w:r>
              <w:rPr>
                <w:rFonts w:cs="宋体"/>
                <w:color w:val="000000"/>
                <w:kern w:val="0"/>
                <w:sz w:val="21"/>
                <w:szCs w:val="21"/>
                <w:lang w:bidi="ar"/>
              </w:rPr>
              <w:t>/°</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w:t>
            </w:r>
          </w:p>
        </w:tc>
      </w:tr>
    </w:tbl>
    <w:p>
      <w:pPr>
        <w:ind w:firstLine="0" w:firstLineChars="0"/>
        <w:jc w:val="center"/>
        <w:rPr>
          <w:b/>
          <w:bCs/>
        </w:rPr>
      </w:pPr>
      <w:r>
        <w:rPr>
          <w:rFonts w:hint="eastAsia"/>
          <w:b/>
          <w:bCs/>
        </w:rPr>
        <w:t>表2.5-4  估算结果表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0"/>
        <w:gridCol w:w="1304"/>
        <w:gridCol w:w="1800"/>
        <w:gridCol w:w="1419"/>
        <w:gridCol w:w="1119"/>
        <w:gridCol w:w="1062"/>
        <w:gridCol w:w="1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Align w:val="center"/>
          </w:tcPr>
          <w:p>
            <w:pPr>
              <w:widowControl/>
              <w:autoSpaceDE w:val="0"/>
              <w:autoSpaceDN w:val="0"/>
              <w:spacing w:line="240" w:lineRule="auto"/>
              <w:ind w:firstLine="0" w:firstLineChars="0"/>
              <w:jc w:val="center"/>
              <w:rPr>
                <w:rFonts w:cs="宋体"/>
                <w:color w:val="FF0000"/>
                <w:kern w:val="0"/>
                <w:sz w:val="21"/>
                <w:szCs w:val="21"/>
                <w:lang w:bidi="ar"/>
              </w:rPr>
            </w:pPr>
            <w:r>
              <w:rPr>
                <w:rFonts w:hint="eastAsia" w:cs="宋体"/>
                <w:color w:val="000000" w:themeColor="text1"/>
                <w:kern w:val="0"/>
                <w:sz w:val="21"/>
                <w:szCs w:val="21"/>
                <w:lang w:bidi="ar"/>
                <w14:textFill>
                  <w14:solidFill>
                    <w14:schemeClr w14:val="tx1"/>
                  </w14:solidFill>
                </w14:textFill>
              </w:rPr>
              <w:t>污染源名称</w:t>
            </w:r>
          </w:p>
        </w:tc>
        <w:tc>
          <w:tcPr>
            <w:tcW w:w="1304" w:type="dxa"/>
            <w:vAlign w:val="center"/>
          </w:tcPr>
          <w:p>
            <w:pPr>
              <w:widowControl/>
              <w:autoSpaceDE w:val="0"/>
              <w:autoSpaceDN w:val="0"/>
              <w:spacing w:line="240" w:lineRule="auto"/>
              <w:ind w:firstLine="0" w:firstLineChars="0"/>
              <w:jc w:val="center"/>
              <w:rPr>
                <w:rFonts w:cs="宋体"/>
                <w:color w:val="FF0000"/>
                <w:kern w:val="0"/>
                <w:sz w:val="21"/>
                <w:szCs w:val="21"/>
                <w:lang w:bidi="ar"/>
              </w:rPr>
            </w:pPr>
            <w:r>
              <w:rPr>
                <w:rFonts w:hint="eastAsia" w:cs="宋体"/>
                <w:color w:val="000000" w:themeColor="text1"/>
                <w:kern w:val="0"/>
                <w:sz w:val="21"/>
                <w:szCs w:val="21"/>
                <w:lang w:bidi="ar"/>
                <w14:textFill>
                  <w14:solidFill>
                    <w14:schemeClr w14:val="tx1"/>
                  </w14:solidFill>
                </w14:textFill>
              </w:rPr>
              <w:t>评价因子</w:t>
            </w:r>
          </w:p>
        </w:tc>
        <w:tc>
          <w:tcPr>
            <w:tcW w:w="1800" w:type="dxa"/>
            <w:vAlign w:val="center"/>
          </w:tcPr>
          <w:p>
            <w:pPr>
              <w:widowControl/>
              <w:spacing w:line="240" w:lineRule="auto"/>
              <w:ind w:firstLine="0" w:firstLineChars="0"/>
              <w:jc w:val="center"/>
              <w:rPr>
                <w:rFonts w:cs="宋体"/>
                <w:color w:val="FF0000"/>
                <w:kern w:val="0"/>
                <w:sz w:val="21"/>
                <w:szCs w:val="21"/>
                <w:lang w:bidi="ar"/>
              </w:rPr>
            </w:pPr>
            <w:r>
              <w:rPr>
                <w:rFonts w:hint="eastAsia" w:ascii="宋体" w:hAnsi="宋体" w:cs="宋体"/>
                <w:color w:val="000000" w:themeColor="text1"/>
                <w:kern w:val="0"/>
                <w:sz w:val="21"/>
                <w:szCs w:val="21"/>
                <w:lang w:bidi="ar"/>
                <w14:textFill>
                  <w14:solidFill>
                    <w14:schemeClr w14:val="tx1"/>
                  </w14:solidFill>
                </w14:textFill>
              </w:rPr>
              <w:t>最大地面浓度出现的下风距离</w:t>
            </w:r>
          </w:p>
        </w:tc>
        <w:tc>
          <w:tcPr>
            <w:tcW w:w="1419" w:type="dxa"/>
            <w:vAlign w:val="center"/>
          </w:tcPr>
          <w:p>
            <w:pPr>
              <w:widowControl/>
              <w:autoSpaceDE w:val="0"/>
              <w:autoSpaceDN w:val="0"/>
              <w:spacing w:line="240" w:lineRule="auto"/>
              <w:ind w:firstLine="0" w:firstLineChars="0"/>
              <w:jc w:val="center"/>
              <w:rPr>
                <w:rFonts w:cs="宋体"/>
                <w:color w:val="FF0000"/>
                <w:kern w:val="0"/>
                <w:sz w:val="21"/>
                <w:szCs w:val="21"/>
                <w:lang w:bidi="ar"/>
              </w:rPr>
            </w:pPr>
            <w:r>
              <w:rPr>
                <w:rFonts w:cs="宋体"/>
                <w:color w:val="000000" w:themeColor="text1"/>
                <w:kern w:val="0"/>
                <w:sz w:val="21"/>
                <w:szCs w:val="21"/>
                <w:lang w:bidi="ar"/>
                <w14:textFill>
                  <w14:solidFill>
                    <w14:schemeClr w14:val="tx1"/>
                  </w14:solidFill>
                </w14:textFill>
              </w:rPr>
              <w:t>Cmax</w:t>
            </w:r>
            <w:r>
              <w:rPr>
                <w:rFonts w:hint="eastAsia" w:cs="宋体"/>
                <w:color w:val="000000" w:themeColor="text1"/>
                <w:kern w:val="0"/>
                <w:sz w:val="21"/>
                <w:szCs w:val="21"/>
                <w:lang w:bidi="ar"/>
                <w14:textFill>
                  <w14:solidFill>
                    <w14:schemeClr w14:val="tx1"/>
                  </w14:solidFill>
                </w14:textFill>
              </w:rPr>
              <w:t>（m</w:t>
            </w:r>
            <w:r>
              <w:rPr>
                <w:rFonts w:cs="宋体"/>
                <w:color w:val="000000" w:themeColor="text1"/>
                <w:kern w:val="0"/>
                <w:sz w:val="21"/>
                <w:szCs w:val="21"/>
                <w:lang w:bidi="ar"/>
                <w14:textFill>
                  <w14:solidFill>
                    <w14:schemeClr w14:val="tx1"/>
                  </w14:solidFill>
                </w14:textFill>
              </w:rPr>
              <w:t>g/m</w:t>
            </w:r>
            <w:r>
              <w:rPr>
                <w:rFonts w:hint="eastAsia" w:cs="宋体"/>
                <w:color w:val="000000" w:themeColor="text1"/>
                <w:kern w:val="0"/>
                <w:sz w:val="21"/>
                <w:szCs w:val="21"/>
                <w:vertAlign w:val="superscript"/>
                <w:lang w:bidi="ar"/>
                <w14:textFill>
                  <w14:solidFill>
                    <w14:schemeClr w14:val="tx1"/>
                  </w14:solidFill>
                </w14:textFill>
              </w:rPr>
              <w:t>3</w:t>
            </w:r>
            <w:r>
              <w:rPr>
                <w:rFonts w:hint="eastAsia" w:cs="宋体"/>
                <w:color w:val="000000" w:themeColor="text1"/>
                <w:kern w:val="0"/>
                <w:sz w:val="21"/>
                <w:szCs w:val="21"/>
                <w:lang w:bidi="ar"/>
                <w14:textFill>
                  <w14:solidFill>
                    <w14:schemeClr w14:val="tx1"/>
                  </w14:solidFill>
                </w14:textFill>
              </w:rPr>
              <w:t>）</w:t>
            </w:r>
          </w:p>
        </w:tc>
        <w:tc>
          <w:tcPr>
            <w:tcW w:w="1119" w:type="dxa"/>
            <w:vAlign w:val="center"/>
          </w:tcPr>
          <w:p>
            <w:pPr>
              <w:widowControl/>
              <w:autoSpaceDE w:val="0"/>
              <w:autoSpaceDN w:val="0"/>
              <w:spacing w:line="240" w:lineRule="auto"/>
              <w:ind w:firstLine="0" w:firstLineChars="0"/>
              <w:jc w:val="center"/>
              <w:rPr>
                <w:rFonts w:cs="宋体"/>
                <w:color w:val="FF0000"/>
                <w:kern w:val="0"/>
                <w:sz w:val="21"/>
                <w:szCs w:val="21"/>
                <w:lang w:bidi="ar"/>
              </w:rPr>
            </w:pPr>
            <w:r>
              <w:rPr>
                <w:rFonts w:hint="eastAsia" w:cs="宋体"/>
                <w:color w:val="000000" w:themeColor="text1"/>
                <w:kern w:val="0"/>
                <w:sz w:val="21"/>
                <w:szCs w:val="21"/>
                <w:lang w:bidi="ar"/>
                <w14:textFill>
                  <w14:solidFill>
                    <w14:schemeClr w14:val="tx1"/>
                  </w14:solidFill>
                </w14:textFill>
              </w:rPr>
              <w:t>Pmax（%）</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lang w:bidi="ar"/>
              </w:rPr>
            </w:pPr>
            <w:r>
              <w:rPr>
                <w:rFonts w:hint="eastAsia" w:cs="宋体"/>
                <w:color w:val="000000" w:themeColor="text1"/>
                <w:kern w:val="0"/>
                <w:sz w:val="21"/>
                <w:szCs w:val="21"/>
                <w:lang w:bidi="ar"/>
                <w14:textFill>
                  <w14:solidFill>
                    <w14:schemeClr w14:val="tx1"/>
                  </w14:solidFill>
                </w14:textFill>
              </w:rPr>
              <w:t>D</w:t>
            </w:r>
            <w:r>
              <w:rPr>
                <w:rFonts w:cs="宋体"/>
                <w:color w:val="000000" w:themeColor="text1"/>
                <w:kern w:val="0"/>
                <w:sz w:val="21"/>
                <w:szCs w:val="21"/>
                <w:vertAlign w:val="subscript"/>
                <w:lang w:bidi="ar"/>
                <w14:textFill>
                  <w14:solidFill>
                    <w14:schemeClr w14:val="tx1"/>
                  </w14:solidFill>
                </w14:textFill>
              </w:rPr>
              <w:t>10</w:t>
            </w:r>
            <w:r>
              <w:rPr>
                <w:rFonts w:cs="宋体"/>
                <w:color w:val="000000" w:themeColor="text1"/>
                <w:kern w:val="0"/>
                <w:sz w:val="21"/>
                <w:szCs w:val="21"/>
                <w:lang w:bidi="ar"/>
                <w14:textFill>
                  <w14:solidFill>
                    <w14:schemeClr w14:val="tx1"/>
                  </w14:solidFill>
                </w14:textFill>
              </w:rPr>
              <w:t>%</w:t>
            </w:r>
            <w:r>
              <w:rPr>
                <w:rFonts w:hint="eastAsia" w:cs="宋体"/>
                <w:color w:val="000000" w:themeColor="text1"/>
                <w:kern w:val="0"/>
                <w:sz w:val="21"/>
                <w:szCs w:val="21"/>
                <w:lang w:bidi="ar"/>
                <w14:textFill>
                  <w14:solidFill>
                    <w14:schemeClr w14:val="tx1"/>
                  </w14:solidFill>
                </w14:textFill>
              </w:rPr>
              <w:t>（</w:t>
            </w:r>
            <w:r>
              <w:rPr>
                <w:rFonts w:cs="宋体"/>
                <w:color w:val="000000" w:themeColor="text1"/>
                <w:kern w:val="0"/>
                <w:sz w:val="21"/>
                <w:szCs w:val="21"/>
                <w:lang w:bidi="ar"/>
                <w14:textFill>
                  <w14:solidFill>
                    <w14:schemeClr w14:val="tx1"/>
                  </w14:solidFill>
                </w14:textFill>
              </w:rPr>
              <w:t>m</w:t>
            </w: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spacing w:line="240" w:lineRule="auto"/>
              <w:ind w:firstLine="0" w:firstLineChars="0"/>
              <w:jc w:val="center"/>
              <w:rPr>
                <w:rFonts w:cs="宋体"/>
                <w:color w:val="FF0000"/>
                <w:kern w:val="0"/>
                <w:sz w:val="21"/>
                <w:szCs w:val="21"/>
                <w:lang w:bidi="ar"/>
              </w:rPr>
            </w:pPr>
            <w:r>
              <w:rPr>
                <w:rFonts w:hint="eastAsia" w:ascii="宋体" w:hAnsi="宋体" w:cs="宋体"/>
                <w:color w:val="000000" w:themeColor="text1"/>
                <w:kern w:val="0"/>
                <w:sz w:val="21"/>
                <w:szCs w:val="21"/>
                <w:lang w:bidi="ar"/>
                <w14:textFill>
                  <w14:solidFill>
                    <w14:schemeClr w14:val="tx1"/>
                  </w14:solidFill>
                </w14:textFill>
              </w:rPr>
              <w:t>评价等级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FF0000"/>
                <w:kern w:val="0"/>
                <w:sz w:val="21"/>
                <w:szCs w:val="21"/>
                <w:lang w:bidi="ar"/>
              </w:rPr>
            </w:pPr>
            <w:r>
              <w:rPr>
                <w:rFonts w:hint="eastAsia" w:cs="宋体"/>
                <w:color w:val="000000" w:themeColor="text1"/>
                <w:kern w:val="0"/>
                <w:sz w:val="21"/>
                <w:szCs w:val="21"/>
                <w:lang w:bidi="ar"/>
                <w14:textFill>
                  <w14:solidFill>
                    <w14:schemeClr w14:val="tx1"/>
                  </w14:solidFill>
                </w14:textFill>
              </w:rPr>
              <w:t>DA001排气筒</w:t>
            </w:r>
          </w:p>
        </w:tc>
        <w:tc>
          <w:tcPr>
            <w:tcW w:w="1304" w:type="dxa"/>
            <w:vAlign w:val="center"/>
          </w:tcPr>
          <w:p>
            <w:pPr>
              <w:pStyle w:val="38"/>
              <w:ind w:firstLine="0" w:firstLineChars="0"/>
              <w:rPr>
                <w:rFonts w:hint="default" w:cs="宋体"/>
                <w:color w:val="FF0000"/>
                <w:kern w:val="0"/>
                <w:sz w:val="21"/>
                <w:szCs w:val="21"/>
              </w:rPr>
            </w:pPr>
            <w:r>
              <w:t>颗粒物</w:t>
            </w:r>
          </w:p>
        </w:tc>
        <w:tc>
          <w:tcPr>
            <w:tcW w:w="1800" w:type="dxa"/>
            <w:vAlign w:val="center"/>
          </w:tcPr>
          <w:p>
            <w:pPr>
              <w:widowControl/>
              <w:autoSpaceDE w:val="0"/>
              <w:autoSpaceDN w:val="0"/>
              <w:spacing w:line="240" w:lineRule="auto"/>
              <w:ind w:firstLine="0" w:firstLineChars="0"/>
              <w:jc w:val="center"/>
              <w:rPr>
                <w:rFonts w:hint="default" w:eastAsia="宋体" w:cs="宋体"/>
                <w:color w:val="FF0000"/>
                <w:kern w:val="0"/>
                <w:sz w:val="21"/>
                <w:szCs w:val="21"/>
                <w:u w:val="single"/>
                <w:lang w:val="en-US" w:eastAsia="zh-CN" w:bidi="ar"/>
              </w:rPr>
            </w:pPr>
            <w:r>
              <w:rPr>
                <w:rFonts w:hint="eastAsia"/>
                <w:sz w:val="21"/>
                <w:szCs w:val="21"/>
                <w:u w:val="single"/>
                <w:lang w:val="en-US" w:eastAsia="zh-CN"/>
              </w:rPr>
              <w:t>293</w:t>
            </w:r>
          </w:p>
        </w:tc>
        <w:tc>
          <w:tcPr>
            <w:tcW w:w="1419" w:type="dxa"/>
            <w:vAlign w:val="center"/>
          </w:tcPr>
          <w:p>
            <w:pPr>
              <w:widowControl/>
              <w:spacing w:line="240" w:lineRule="auto"/>
              <w:ind w:firstLine="0" w:firstLineChars="0"/>
              <w:jc w:val="center"/>
              <w:rPr>
                <w:rFonts w:cs="宋体"/>
                <w:color w:val="FF0000"/>
                <w:kern w:val="0"/>
                <w:sz w:val="21"/>
                <w:szCs w:val="21"/>
                <w:u w:val="single"/>
                <w:lang w:bidi="ar"/>
              </w:rPr>
            </w:pPr>
            <w:r>
              <w:rPr>
                <w:rFonts w:hint="eastAsia"/>
                <w:sz w:val="21"/>
                <w:szCs w:val="21"/>
                <w:u w:val="single"/>
              </w:rPr>
              <w:t>0.0002062</w:t>
            </w:r>
          </w:p>
        </w:tc>
        <w:tc>
          <w:tcPr>
            <w:tcW w:w="1119" w:type="dxa"/>
            <w:vAlign w:val="center"/>
          </w:tcPr>
          <w:p>
            <w:pPr>
              <w:widowControl/>
              <w:spacing w:line="240" w:lineRule="auto"/>
              <w:ind w:firstLine="0" w:firstLineChars="0"/>
              <w:jc w:val="center"/>
              <w:rPr>
                <w:rFonts w:cs="宋体"/>
                <w:color w:val="FF0000"/>
                <w:kern w:val="0"/>
                <w:sz w:val="21"/>
                <w:szCs w:val="21"/>
                <w:u w:val="single"/>
                <w:lang w:bidi="ar"/>
              </w:rPr>
            </w:pPr>
            <w:r>
              <w:rPr>
                <w:rFonts w:hint="eastAsia"/>
                <w:sz w:val="21"/>
                <w:szCs w:val="21"/>
                <w:u w:val="single"/>
              </w:rPr>
              <w:t>0.05</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lang w:bidi="ar"/>
              </w:rPr>
            </w:pPr>
          </w:p>
        </w:tc>
        <w:tc>
          <w:tcPr>
            <w:tcW w:w="1304" w:type="dxa"/>
            <w:vAlign w:val="center"/>
          </w:tcPr>
          <w:p>
            <w:pPr>
              <w:adjustRightInd w:val="0"/>
              <w:snapToGrid w:val="0"/>
              <w:spacing w:line="360" w:lineRule="exact"/>
              <w:ind w:firstLine="0" w:firstLineChars="0"/>
              <w:jc w:val="center"/>
              <w:rPr>
                <w:color w:val="FF0000"/>
                <w:sz w:val="21"/>
                <w:szCs w:val="21"/>
              </w:rPr>
            </w:pPr>
            <w:r>
              <w:rPr>
                <w:rFonts w:hint="eastAsia" w:cs="Times New Roman"/>
                <w:snapToGrid w:val="0"/>
                <w:kern w:val="18"/>
                <w:sz w:val="21"/>
                <w:szCs w:val="21"/>
              </w:rPr>
              <w:t>非甲烷总烃</w:t>
            </w:r>
          </w:p>
        </w:tc>
        <w:tc>
          <w:tcPr>
            <w:tcW w:w="1800" w:type="dxa"/>
            <w:vAlign w:val="center"/>
          </w:tcPr>
          <w:p>
            <w:pPr>
              <w:widowControl/>
              <w:autoSpaceDE w:val="0"/>
              <w:autoSpaceDN w:val="0"/>
              <w:spacing w:line="240" w:lineRule="auto"/>
              <w:ind w:firstLine="0" w:firstLineChars="0"/>
              <w:jc w:val="center"/>
              <w:rPr>
                <w:color w:val="FF0000"/>
                <w:sz w:val="21"/>
                <w:szCs w:val="21"/>
                <w:u w:val="single"/>
              </w:rPr>
            </w:pPr>
            <w:r>
              <w:rPr>
                <w:rFonts w:hint="eastAsia"/>
                <w:sz w:val="21"/>
                <w:szCs w:val="21"/>
                <w:u w:val="single"/>
                <w:lang w:val="en-US" w:eastAsia="zh-CN"/>
              </w:rPr>
              <w:t>293</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0.003662</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0.18</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lang w:bidi="ar"/>
              </w:rPr>
            </w:pPr>
          </w:p>
        </w:tc>
        <w:tc>
          <w:tcPr>
            <w:tcW w:w="1304" w:type="dxa"/>
            <w:vAlign w:val="center"/>
          </w:tcPr>
          <w:p>
            <w:pPr>
              <w:adjustRightInd w:val="0"/>
              <w:snapToGrid w:val="0"/>
              <w:spacing w:line="360" w:lineRule="exact"/>
              <w:ind w:firstLine="0" w:firstLineChars="0"/>
              <w:jc w:val="center"/>
              <w:rPr>
                <w:color w:val="FF0000"/>
                <w:sz w:val="21"/>
                <w:szCs w:val="21"/>
              </w:rPr>
            </w:pPr>
            <w:r>
              <w:rPr>
                <w:rFonts w:hint="eastAsia" w:cs="Times New Roman"/>
                <w:snapToGrid w:val="0"/>
                <w:kern w:val="18"/>
                <w:sz w:val="21"/>
                <w:szCs w:val="21"/>
              </w:rPr>
              <w:t>硫化氢</w:t>
            </w:r>
          </w:p>
        </w:tc>
        <w:tc>
          <w:tcPr>
            <w:tcW w:w="1800" w:type="dxa"/>
            <w:vAlign w:val="center"/>
          </w:tcPr>
          <w:p>
            <w:pPr>
              <w:widowControl/>
              <w:autoSpaceDE w:val="0"/>
              <w:autoSpaceDN w:val="0"/>
              <w:spacing w:line="240" w:lineRule="auto"/>
              <w:ind w:firstLine="0" w:firstLineChars="0"/>
              <w:jc w:val="center"/>
              <w:rPr>
                <w:color w:val="FF0000"/>
                <w:sz w:val="21"/>
                <w:szCs w:val="21"/>
                <w:u w:val="single"/>
              </w:rPr>
            </w:pPr>
            <w:r>
              <w:rPr>
                <w:rFonts w:hint="eastAsia"/>
                <w:sz w:val="21"/>
                <w:szCs w:val="21"/>
                <w:u w:val="single"/>
                <w:lang w:val="en-US" w:eastAsia="zh-CN"/>
              </w:rPr>
              <w:t>293</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0.0001972</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1.97</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FF0000"/>
                <w:kern w:val="0"/>
                <w:sz w:val="21"/>
                <w:szCs w:val="21"/>
                <w:lang w:bidi="ar"/>
              </w:rPr>
            </w:pPr>
            <w:r>
              <w:rPr>
                <w:rFonts w:hint="eastAsia" w:cs="宋体"/>
                <w:color w:val="000000" w:themeColor="text1"/>
                <w:kern w:val="0"/>
                <w:sz w:val="21"/>
                <w:szCs w:val="21"/>
                <w:lang w:bidi="ar"/>
                <w14:textFill>
                  <w14:solidFill>
                    <w14:schemeClr w14:val="tx1"/>
                  </w14:solidFill>
                </w14:textFill>
              </w:rPr>
              <w:t>DA002排气筒</w:t>
            </w:r>
          </w:p>
        </w:tc>
        <w:tc>
          <w:tcPr>
            <w:tcW w:w="1304" w:type="dxa"/>
            <w:vAlign w:val="center"/>
          </w:tcPr>
          <w:p>
            <w:pPr>
              <w:pStyle w:val="38"/>
              <w:ind w:firstLine="0" w:firstLineChars="0"/>
              <w:rPr>
                <w:rFonts w:hint="default" w:cs="宋体"/>
                <w:color w:val="FF0000"/>
                <w:kern w:val="0"/>
                <w:sz w:val="21"/>
                <w:szCs w:val="21"/>
              </w:rPr>
            </w:pPr>
            <w:r>
              <w:t>颗粒物</w:t>
            </w:r>
          </w:p>
        </w:tc>
        <w:tc>
          <w:tcPr>
            <w:tcW w:w="1800"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sz w:val="21"/>
                <w:szCs w:val="21"/>
                <w:u w:val="single"/>
              </w:rPr>
              <w:t>1241</w:t>
            </w:r>
          </w:p>
        </w:tc>
        <w:tc>
          <w:tcPr>
            <w:tcW w:w="1419" w:type="dxa"/>
            <w:vAlign w:val="center"/>
          </w:tcPr>
          <w:p>
            <w:pPr>
              <w:widowControl/>
              <w:spacing w:line="240" w:lineRule="auto"/>
              <w:ind w:firstLine="0" w:firstLineChars="0"/>
              <w:jc w:val="center"/>
              <w:rPr>
                <w:rFonts w:hint="default" w:eastAsia="宋体" w:cs="宋体"/>
                <w:color w:val="FF0000"/>
                <w:kern w:val="0"/>
                <w:sz w:val="21"/>
                <w:szCs w:val="21"/>
                <w:u w:val="single"/>
                <w:lang w:val="en-US" w:eastAsia="zh-CN" w:bidi="ar"/>
              </w:rPr>
            </w:pPr>
            <w:r>
              <w:rPr>
                <w:rFonts w:hint="eastAsia"/>
                <w:sz w:val="21"/>
                <w:szCs w:val="21"/>
                <w:u w:val="single"/>
              </w:rPr>
              <w:t>1.321</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1119" w:type="dxa"/>
            <w:vAlign w:val="center"/>
          </w:tcPr>
          <w:p>
            <w:pPr>
              <w:widowControl/>
              <w:spacing w:line="240" w:lineRule="auto"/>
              <w:ind w:firstLine="0" w:firstLineChars="0"/>
              <w:jc w:val="center"/>
              <w:rPr>
                <w:rFonts w:cs="宋体"/>
                <w:color w:val="FF0000"/>
                <w:kern w:val="0"/>
                <w:sz w:val="21"/>
                <w:szCs w:val="21"/>
                <w:u w:val="single"/>
                <w:lang w:bidi="ar"/>
              </w:rPr>
            </w:pPr>
            <w:r>
              <w:rPr>
                <w:rFonts w:hint="eastAsia"/>
                <w:sz w:val="21"/>
                <w:szCs w:val="21"/>
                <w:u w:val="single"/>
              </w:rPr>
              <w:t>0.0</w:t>
            </w:r>
            <w:r>
              <w:rPr>
                <w:rFonts w:hint="eastAsia"/>
                <w:sz w:val="21"/>
                <w:szCs w:val="21"/>
                <w:u w:val="single"/>
                <w:lang w:val="en-US" w:eastAsia="zh-CN"/>
              </w:rPr>
              <w:t>0</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lang w:bidi="ar"/>
              </w:rPr>
            </w:pPr>
          </w:p>
        </w:tc>
        <w:tc>
          <w:tcPr>
            <w:tcW w:w="1304" w:type="dxa"/>
            <w:vAlign w:val="center"/>
          </w:tcPr>
          <w:p>
            <w:pPr>
              <w:pStyle w:val="38"/>
              <w:ind w:firstLine="0" w:firstLineChars="0"/>
              <w:rPr>
                <w:rFonts w:hint="default"/>
                <w:color w:val="FF0000"/>
                <w:sz w:val="21"/>
                <w:szCs w:val="21"/>
              </w:rPr>
            </w:pPr>
            <w:r>
              <w:t>非甲烷总烃</w:t>
            </w:r>
          </w:p>
        </w:tc>
        <w:tc>
          <w:tcPr>
            <w:tcW w:w="1800" w:type="dxa"/>
            <w:vAlign w:val="center"/>
          </w:tcPr>
          <w:p>
            <w:pPr>
              <w:widowControl/>
              <w:autoSpaceDE w:val="0"/>
              <w:autoSpaceDN w:val="0"/>
              <w:spacing w:line="240" w:lineRule="auto"/>
              <w:ind w:firstLine="0" w:firstLineChars="0"/>
              <w:jc w:val="center"/>
              <w:rPr>
                <w:color w:val="FF0000"/>
                <w:sz w:val="21"/>
                <w:szCs w:val="21"/>
                <w:u w:val="single"/>
              </w:rPr>
            </w:pPr>
            <w:r>
              <w:rPr>
                <w:rFonts w:hint="eastAsia"/>
                <w:sz w:val="21"/>
                <w:szCs w:val="21"/>
                <w:u w:val="single"/>
              </w:rPr>
              <w:t>1241</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0.001934</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0.10</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FF0000"/>
                <w:kern w:val="0"/>
                <w:sz w:val="21"/>
                <w:szCs w:val="21"/>
                <w:lang w:bidi="ar"/>
              </w:rPr>
            </w:pPr>
            <w:r>
              <w:rPr>
                <w:rFonts w:hint="eastAsia" w:cs="宋体"/>
                <w:color w:val="000000" w:themeColor="text1"/>
                <w:kern w:val="0"/>
                <w:sz w:val="21"/>
                <w:szCs w:val="21"/>
                <w:lang w:bidi="ar"/>
                <w14:textFill>
                  <w14:solidFill>
                    <w14:schemeClr w14:val="tx1"/>
                  </w14:solidFill>
                </w14:textFill>
              </w:rPr>
              <w:t>DA003排气筒</w:t>
            </w:r>
          </w:p>
        </w:tc>
        <w:tc>
          <w:tcPr>
            <w:tcW w:w="1304" w:type="dxa"/>
            <w:vAlign w:val="center"/>
          </w:tcPr>
          <w:p>
            <w:pPr>
              <w:adjustRightInd w:val="0"/>
              <w:snapToGrid w:val="0"/>
              <w:spacing w:line="360" w:lineRule="exact"/>
              <w:ind w:firstLine="0" w:firstLineChars="0"/>
              <w:jc w:val="center"/>
              <w:rPr>
                <w:rFonts w:cs="宋体"/>
                <w:color w:val="FF0000"/>
                <w:kern w:val="0"/>
                <w:sz w:val="21"/>
                <w:szCs w:val="21"/>
                <w:lang w:bidi="ar"/>
              </w:rPr>
            </w:pPr>
            <w:r>
              <w:rPr>
                <w:rFonts w:hint="eastAsia" w:cs="Times New Roman"/>
                <w:snapToGrid w:val="0"/>
                <w:kern w:val="18"/>
                <w:sz w:val="21"/>
                <w:szCs w:val="21"/>
              </w:rPr>
              <w:t>硫化氢</w:t>
            </w:r>
          </w:p>
        </w:tc>
        <w:tc>
          <w:tcPr>
            <w:tcW w:w="1800" w:type="dxa"/>
            <w:vAlign w:val="center"/>
          </w:tcPr>
          <w:p>
            <w:pPr>
              <w:widowControl/>
              <w:autoSpaceDE w:val="0"/>
              <w:autoSpaceDN w:val="0"/>
              <w:spacing w:line="240" w:lineRule="auto"/>
              <w:ind w:firstLine="0" w:firstLineChars="0"/>
              <w:jc w:val="center"/>
              <w:rPr>
                <w:color w:val="FF0000"/>
                <w:sz w:val="21"/>
                <w:szCs w:val="21"/>
                <w:u w:val="single"/>
              </w:rPr>
            </w:pPr>
            <w:r>
              <w:rPr>
                <w:rFonts w:hint="eastAsia"/>
                <w:sz w:val="21"/>
                <w:szCs w:val="21"/>
                <w:u w:val="single"/>
              </w:rPr>
              <w:t>1554</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0.0001367</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0.01</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lang w:bidi="ar"/>
              </w:rPr>
            </w:pPr>
          </w:p>
        </w:tc>
        <w:tc>
          <w:tcPr>
            <w:tcW w:w="1304" w:type="dxa"/>
            <w:vAlign w:val="center"/>
          </w:tcPr>
          <w:p>
            <w:pPr>
              <w:adjustRightInd w:val="0"/>
              <w:snapToGrid w:val="0"/>
              <w:spacing w:line="360" w:lineRule="exact"/>
              <w:ind w:firstLine="0" w:firstLineChars="0"/>
              <w:jc w:val="center"/>
              <w:rPr>
                <w:rFonts w:cs="宋体"/>
                <w:color w:val="FF0000"/>
                <w:kern w:val="0"/>
                <w:sz w:val="21"/>
                <w:szCs w:val="21"/>
                <w:lang w:bidi="ar"/>
              </w:rPr>
            </w:pPr>
            <w:r>
              <w:rPr>
                <w:rFonts w:hint="eastAsia" w:cs="Times New Roman"/>
                <w:snapToGrid w:val="0"/>
                <w:kern w:val="18"/>
                <w:sz w:val="21"/>
                <w:szCs w:val="21"/>
              </w:rPr>
              <w:t>氨</w:t>
            </w:r>
          </w:p>
        </w:tc>
        <w:tc>
          <w:tcPr>
            <w:tcW w:w="1800" w:type="dxa"/>
            <w:vAlign w:val="center"/>
          </w:tcPr>
          <w:p>
            <w:pPr>
              <w:widowControl/>
              <w:autoSpaceDE w:val="0"/>
              <w:autoSpaceDN w:val="0"/>
              <w:spacing w:line="240" w:lineRule="auto"/>
              <w:ind w:firstLine="0" w:firstLineChars="0"/>
              <w:jc w:val="center"/>
              <w:rPr>
                <w:color w:val="FF0000"/>
                <w:sz w:val="21"/>
                <w:szCs w:val="21"/>
                <w:u w:val="single"/>
              </w:rPr>
            </w:pPr>
            <w:r>
              <w:rPr>
                <w:rFonts w:hint="eastAsia"/>
                <w:sz w:val="21"/>
                <w:szCs w:val="21"/>
                <w:u w:val="single"/>
              </w:rPr>
              <w:t>1554</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0.0001265</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1.26</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eastAsia="zh-CN" w:bidi="ar"/>
                <w14:textFill>
                  <w14:solidFill>
                    <w14:schemeClr w14:val="tx1"/>
                  </w14:solidFill>
                </w14:textFill>
              </w:rPr>
              <w:t>二</w:t>
            </w:r>
            <w:r>
              <w:rPr>
                <w:rFonts w:hint="eastAsia" w:cs="宋体"/>
                <w:color w:val="000000" w:themeColor="text1"/>
                <w:kern w:val="0"/>
                <w:sz w:val="21"/>
                <w:szCs w:val="21"/>
                <w:u w:val="single"/>
                <w:lang w:bidi="ar"/>
                <w14:textFill>
                  <w14:solidFill>
                    <w14:schemeClr w14:val="tx1"/>
                  </w14:solidFill>
                </w14:textFill>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1#车间</w:t>
            </w:r>
          </w:p>
        </w:tc>
        <w:tc>
          <w:tcPr>
            <w:tcW w:w="1304" w:type="dxa"/>
            <w:vAlign w:val="center"/>
          </w:tcPr>
          <w:p>
            <w:pPr>
              <w:adjustRightInd w:val="0"/>
              <w:snapToGrid w:val="0"/>
              <w:spacing w:line="360" w:lineRule="exact"/>
              <w:ind w:firstLine="0" w:firstLineChars="0"/>
              <w:jc w:val="center"/>
              <w:rPr>
                <w:rFonts w:cs="宋体"/>
                <w:color w:val="FF0000"/>
                <w:kern w:val="0"/>
                <w:sz w:val="21"/>
                <w:szCs w:val="21"/>
                <w:u w:val="single"/>
                <w:lang w:bidi="ar"/>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olor w:val="000000"/>
                <w:sz w:val="21"/>
                <w:szCs w:val="21"/>
                <w:u w:val="single"/>
              </w:rPr>
              <w:t>1</w:t>
            </w:r>
            <w:r>
              <w:rPr>
                <w:rFonts w:hint="eastAsia"/>
                <w:color w:val="000000"/>
                <w:sz w:val="21"/>
                <w:szCs w:val="21"/>
                <w:u w:val="single"/>
                <w:lang w:val="en-US" w:eastAsia="zh-CN"/>
              </w:rPr>
              <w:t>59</w:t>
            </w:r>
          </w:p>
        </w:tc>
        <w:tc>
          <w:tcPr>
            <w:tcW w:w="1419" w:type="dxa"/>
            <w:vAlign w:val="center"/>
          </w:tcPr>
          <w:p>
            <w:pPr>
              <w:widowControl/>
              <w:spacing w:line="240" w:lineRule="auto"/>
              <w:ind w:firstLine="0" w:firstLineChars="0"/>
              <w:jc w:val="center"/>
              <w:rPr>
                <w:rFonts w:cs="宋体"/>
                <w:color w:val="FF0000"/>
                <w:kern w:val="0"/>
                <w:sz w:val="21"/>
                <w:szCs w:val="21"/>
                <w:u w:val="single"/>
                <w:lang w:bidi="ar"/>
              </w:rPr>
            </w:pPr>
            <w:r>
              <w:rPr>
                <w:rFonts w:hint="eastAsia"/>
                <w:sz w:val="21"/>
                <w:szCs w:val="21"/>
                <w:u w:val="single"/>
              </w:rPr>
              <w:t>2.38</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1119" w:type="dxa"/>
            <w:vAlign w:val="center"/>
          </w:tcPr>
          <w:p>
            <w:pPr>
              <w:widowControl/>
              <w:spacing w:line="240" w:lineRule="auto"/>
              <w:ind w:firstLine="0" w:firstLineChars="0"/>
              <w:jc w:val="center"/>
              <w:rPr>
                <w:rFonts w:cs="宋体"/>
                <w:color w:val="FF0000"/>
                <w:kern w:val="0"/>
                <w:sz w:val="21"/>
                <w:szCs w:val="21"/>
                <w:u w:val="single"/>
                <w:lang w:bidi="ar"/>
              </w:rPr>
            </w:pPr>
            <w:r>
              <w:rPr>
                <w:rFonts w:hint="eastAsia"/>
                <w:sz w:val="21"/>
                <w:szCs w:val="21"/>
                <w:u w:val="single"/>
              </w:rPr>
              <w:t>0.01</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p>
        </w:tc>
        <w:tc>
          <w:tcPr>
            <w:tcW w:w="1304" w:type="dxa"/>
            <w:vAlign w:val="center"/>
          </w:tcPr>
          <w:p>
            <w:pPr>
              <w:adjustRightInd w:val="0"/>
              <w:snapToGrid w:val="0"/>
              <w:spacing w:line="360" w:lineRule="exact"/>
              <w:ind w:firstLine="0" w:firstLineChars="0"/>
              <w:jc w:val="center"/>
              <w:rPr>
                <w:color w:val="FF0000"/>
                <w:sz w:val="21"/>
                <w:szCs w:val="21"/>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color w:val="FF0000"/>
                <w:sz w:val="21"/>
                <w:szCs w:val="21"/>
                <w:u w:val="single"/>
                <w:lang w:bidi="ar"/>
              </w:rPr>
            </w:pPr>
            <w:r>
              <w:rPr>
                <w:rFonts w:hint="eastAsia"/>
                <w:color w:val="000000"/>
                <w:sz w:val="21"/>
                <w:szCs w:val="21"/>
                <w:u w:val="single"/>
              </w:rPr>
              <w:t>1</w:t>
            </w:r>
            <w:r>
              <w:rPr>
                <w:rFonts w:hint="eastAsia"/>
                <w:color w:val="000000"/>
                <w:sz w:val="21"/>
                <w:szCs w:val="21"/>
                <w:u w:val="single"/>
                <w:lang w:val="en-US" w:eastAsia="zh-CN"/>
              </w:rPr>
              <w:t>59</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0.004997</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0.25</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2#车间</w:t>
            </w:r>
          </w:p>
        </w:tc>
        <w:tc>
          <w:tcPr>
            <w:tcW w:w="1304" w:type="dxa"/>
            <w:vAlign w:val="center"/>
          </w:tcPr>
          <w:p>
            <w:pPr>
              <w:adjustRightInd w:val="0"/>
              <w:snapToGrid w:val="0"/>
              <w:spacing w:line="360" w:lineRule="exact"/>
              <w:ind w:firstLine="0" w:firstLineChars="0"/>
              <w:jc w:val="center"/>
              <w:rPr>
                <w:rFonts w:cs="Times New Roman"/>
                <w:snapToGrid w:val="0"/>
                <w:color w:val="FF0000"/>
                <w:kern w:val="18"/>
                <w:sz w:val="21"/>
                <w:szCs w:val="21"/>
                <w:u w:val="single"/>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color w:val="FF0000"/>
                <w:sz w:val="21"/>
                <w:szCs w:val="21"/>
                <w:u w:val="single"/>
                <w:lang w:bidi="ar"/>
              </w:rPr>
            </w:pPr>
            <w:r>
              <w:rPr>
                <w:rFonts w:hint="eastAsia"/>
                <w:color w:val="000000"/>
                <w:sz w:val="21"/>
                <w:szCs w:val="21"/>
                <w:u w:val="single"/>
              </w:rPr>
              <w:t>1</w:t>
            </w:r>
            <w:r>
              <w:rPr>
                <w:rFonts w:hint="eastAsia"/>
                <w:color w:val="000000"/>
                <w:sz w:val="21"/>
                <w:szCs w:val="21"/>
                <w:u w:val="single"/>
                <w:lang w:val="en-US" w:eastAsia="zh-CN"/>
              </w:rPr>
              <w:t>59</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2.38</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0.01</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p>
        </w:tc>
        <w:tc>
          <w:tcPr>
            <w:tcW w:w="1304" w:type="dxa"/>
            <w:vAlign w:val="center"/>
          </w:tcPr>
          <w:p>
            <w:pPr>
              <w:adjustRightInd w:val="0"/>
              <w:snapToGrid w:val="0"/>
              <w:spacing w:line="360" w:lineRule="exact"/>
              <w:ind w:firstLine="0" w:firstLineChars="0"/>
              <w:jc w:val="center"/>
              <w:rPr>
                <w:rFonts w:cs="Times New Roman"/>
                <w:snapToGrid w:val="0"/>
                <w:color w:val="FF0000"/>
                <w:kern w:val="18"/>
                <w:sz w:val="21"/>
                <w:szCs w:val="21"/>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color w:val="FF0000"/>
                <w:sz w:val="21"/>
                <w:szCs w:val="21"/>
                <w:u w:val="single"/>
                <w:lang w:bidi="ar"/>
              </w:rPr>
            </w:pPr>
            <w:r>
              <w:rPr>
                <w:rFonts w:hint="eastAsia"/>
                <w:color w:val="000000"/>
                <w:sz w:val="21"/>
                <w:szCs w:val="21"/>
                <w:u w:val="single"/>
              </w:rPr>
              <w:t>1</w:t>
            </w:r>
            <w:r>
              <w:rPr>
                <w:rFonts w:hint="eastAsia"/>
                <w:color w:val="000000"/>
                <w:sz w:val="21"/>
                <w:szCs w:val="21"/>
                <w:u w:val="single"/>
                <w:lang w:val="en-US" w:eastAsia="zh-CN"/>
              </w:rPr>
              <w:t>59</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0.004997</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0.25</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3#车间</w:t>
            </w:r>
          </w:p>
        </w:tc>
        <w:tc>
          <w:tcPr>
            <w:tcW w:w="1304" w:type="dxa"/>
            <w:vAlign w:val="center"/>
          </w:tcPr>
          <w:p>
            <w:pPr>
              <w:adjustRightInd w:val="0"/>
              <w:snapToGrid w:val="0"/>
              <w:spacing w:line="360" w:lineRule="exact"/>
              <w:ind w:firstLine="0" w:firstLineChars="0"/>
              <w:jc w:val="center"/>
              <w:rPr>
                <w:color w:val="FF0000"/>
                <w:sz w:val="21"/>
                <w:szCs w:val="21"/>
                <w:u w:val="single"/>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rFonts w:hint="default" w:eastAsia="宋体"/>
                <w:color w:val="FF0000"/>
                <w:sz w:val="21"/>
                <w:szCs w:val="21"/>
                <w:u w:val="single"/>
                <w:lang w:val="en-US" w:eastAsia="zh-CN" w:bidi="ar"/>
              </w:rPr>
            </w:pPr>
            <w:r>
              <w:rPr>
                <w:rFonts w:hint="eastAsia"/>
                <w:color w:val="000000"/>
                <w:sz w:val="21"/>
                <w:szCs w:val="21"/>
                <w:u w:val="single"/>
                <w:lang w:val="en-US" w:eastAsia="zh-CN" w:bidi="ar"/>
              </w:rPr>
              <w:t>156</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0.009018</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2.00</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p>
        </w:tc>
        <w:tc>
          <w:tcPr>
            <w:tcW w:w="1304" w:type="dxa"/>
            <w:vAlign w:val="center"/>
          </w:tcPr>
          <w:p>
            <w:pPr>
              <w:adjustRightInd w:val="0"/>
              <w:snapToGrid w:val="0"/>
              <w:spacing w:line="360" w:lineRule="exact"/>
              <w:ind w:firstLine="0" w:firstLineChars="0"/>
              <w:jc w:val="center"/>
              <w:rPr>
                <w:rFonts w:cs="Times New Roman"/>
                <w:snapToGrid w:val="0"/>
                <w:color w:val="FF0000"/>
                <w:kern w:val="18"/>
                <w:sz w:val="21"/>
                <w:szCs w:val="21"/>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rFonts w:hint="default" w:eastAsia="宋体"/>
                <w:color w:val="FF0000"/>
                <w:sz w:val="21"/>
                <w:szCs w:val="21"/>
                <w:u w:val="single"/>
                <w:lang w:val="en-US" w:eastAsia="zh-CN" w:bidi="ar"/>
              </w:rPr>
            </w:pPr>
            <w:r>
              <w:rPr>
                <w:rFonts w:hint="eastAsia"/>
                <w:color w:val="000000"/>
                <w:sz w:val="21"/>
                <w:szCs w:val="21"/>
                <w:u w:val="single"/>
                <w:lang w:val="en-US" w:eastAsia="zh-CN" w:bidi="ar"/>
              </w:rPr>
              <w:t>156</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0.006866</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0.34</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p>
        </w:tc>
        <w:tc>
          <w:tcPr>
            <w:tcW w:w="1304" w:type="dxa"/>
            <w:vAlign w:val="center"/>
          </w:tcPr>
          <w:p>
            <w:pPr>
              <w:adjustRightInd w:val="0"/>
              <w:snapToGrid w:val="0"/>
              <w:spacing w:line="360" w:lineRule="exact"/>
              <w:ind w:firstLine="0" w:firstLineChars="0"/>
              <w:jc w:val="center"/>
              <w:rPr>
                <w:rFonts w:cs="Times New Roman"/>
                <w:snapToGrid w:val="0"/>
                <w:color w:val="FF0000"/>
                <w:kern w:val="18"/>
                <w:sz w:val="21"/>
                <w:szCs w:val="21"/>
                <w:u w:val="single"/>
              </w:rPr>
            </w:pPr>
            <w:r>
              <w:rPr>
                <w:rFonts w:hint="eastAsia" w:cs="Times New Roman"/>
                <w:snapToGrid w:val="0"/>
                <w:kern w:val="18"/>
                <w:sz w:val="21"/>
                <w:szCs w:val="21"/>
                <w:u w:val="single"/>
              </w:rPr>
              <w:t>硫化氢</w:t>
            </w:r>
          </w:p>
        </w:tc>
        <w:tc>
          <w:tcPr>
            <w:tcW w:w="1800" w:type="dxa"/>
            <w:vAlign w:val="center"/>
          </w:tcPr>
          <w:p>
            <w:pPr>
              <w:widowControl/>
              <w:autoSpaceDE w:val="0"/>
              <w:autoSpaceDN w:val="0"/>
              <w:spacing w:line="240" w:lineRule="auto"/>
              <w:ind w:firstLine="0" w:firstLineChars="0"/>
              <w:jc w:val="center"/>
              <w:rPr>
                <w:rFonts w:hint="default" w:eastAsia="宋体"/>
                <w:color w:val="FF0000"/>
                <w:sz w:val="21"/>
                <w:szCs w:val="21"/>
                <w:u w:val="single"/>
                <w:lang w:val="en-US" w:eastAsia="zh-CN" w:bidi="ar"/>
              </w:rPr>
            </w:pPr>
            <w:r>
              <w:rPr>
                <w:rFonts w:hint="eastAsia"/>
                <w:color w:val="000000"/>
                <w:sz w:val="21"/>
                <w:szCs w:val="21"/>
                <w:u w:val="single"/>
                <w:lang w:val="en-US" w:eastAsia="zh-CN" w:bidi="ar"/>
              </w:rPr>
              <w:t>156</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8.17</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0.82</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5#车间</w:t>
            </w:r>
          </w:p>
        </w:tc>
        <w:tc>
          <w:tcPr>
            <w:tcW w:w="1304" w:type="dxa"/>
            <w:vAlign w:val="center"/>
          </w:tcPr>
          <w:p>
            <w:pPr>
              <w:adjustRightInd w:val="0"/>
              <w:snapToGrid w:val="0"/>
              <w:spacing w:line="360" w:lineRule="exact"/>
              <w:ind w:firstLine="0" w:firstLineChars="0"/>
              <w:jc w:val="center"/>
              <w:rPr>
                <w:rFonts w:cs="Times New Roman"/>
                <w:snapToGrid w:val="0"/>
                <w:color w:val="FF0000"/>
                <w:kern w:val="18"/>
                <w:sz w:val="21"/>
                <w:szCs w:val="21"/>
                <w:u w:val="single"/>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color w:val="FF0000"/>
                <w:sz w:val="21"/>
                <w:szCs w:val="21"/>
                <w:u w:val="single"/>
                <w:lang w:bidi="ar"/>
              </w:rPr>
            </w:pPr>
            <w:r>
              <w:rPr>
                <w:rFonts w:hint="eastAsia"/>
                <w:color w:val="000000"/>
                <w:sz w:val="21"/>
                <w:szCs w:val="21"/>
                <w:u w:val="single"/>
                <w:lang w:bidi="ar"/>
              </w:rPr>
              <w:t>148</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0.000242</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0.05</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p>
        </w:tc>
        <w:tc>
          <w:tcPr>
            <w:tcW w:w="1304" w:type="dxa"/>
            <w:vAlign w:val="center"/>
          </w:tcPr>
          <w:p>
            <w:pPr>
              <w:adjustRightInd w:val="0"/>
              <w:snapToGrid w:val="0"/>
              <w:spacing w:line="360" w:lineRule="exact"/>
              <w:ind w:firstLine="0" w:firstLineChars="0"/>
              <w:jc w:val="center"/>
              <w:rPr>
                <w:rFonts w:cs="Times New Roman"/>
                <w:snapToGrid w:val="0"/>
                <w:color w:val="FF0000"/>
                <w:kern w:val="18"/>
                <w:sz w:val="21"/>
                <w:szCs w:val="21"/>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color w:val="FF0000"/>
                <w:sz w:val="21"/>
                <w:szCs w:val="21"/>
                <w:u w:val="single"/>
                <w:lang w:bidi="ar"/>
              </w:rPr>
            </w:pPr>
            <w:r>
              <w:rPr>
                <w:rFonts w:hint="eastAsia"/>
                <w:color w:val="000000"/>
                <w:sz w:val="21"/>
                <w:szCs w:val="21"/>
                <w:u w:val="single"/>
                <w:lang w:bidi="ar"/>
              </w:rPr>
              <w:t>148</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0.02234</w:t>
            </w:r>
          </w:p>
        </w:tc>
        <w:tc>
          <w:tcPr>
            <w:tcW w:w="11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1.12</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eastAsia="zh-CN" w:bidi="ar"/>
                <w14:textFill>
                  <w14:solidFill>
                    <w14:schemeClr w14:val="tx1"/>
                  </w14:solidFill>
                </w14:textFill>
              </w:rPr>
              <w:t>二</w:t>
            </w:r>
            <w:r>
              <w:rPr>
                <w:rFonts w:hint="eastAsia" w:cs="宋体"/>
                <w:color w:val="000000" w:themeColor="text1"/>
                <w:kern w:val="0"/>
                <w:sz w:val="21"/>
                <w:szCs w:val="21"/>
                <w:u w:val="single"/>
                <w:lang w:bidi="ar"/>
                <w14:textFill>
                  <w14:solidFill>
                    <w14:schemeClr w14:val="tx1"/>
                  </w14:solidFill>
                </w14:textFill>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6#车间</w:t>
            </w:r>
          </w:p>
        </w:tc>
        <w:tc>
          <w:tcPr>
            <w:tcW w:w="1304" w:type="dxa"/>
            <w:vAlign w:val="center"/>
          </w:tcPr>
          <w:p>
            <w:pPr>
              <w:adjustRightInd w:val="0"/>
              <w:snapToGrid w:val="0"/>
              <w:spacing w:line="360" w:lineRule="exact"/>
              <w:ind w:firstLine="0" w:firstLineChars="0"/>
              <w:jc w:val="center"/>
              <w:rPr>
                <w:rFonts w:cs="宋体"/>
                <w:color w:val="FF0000"/>
                <w:kern w:val="0"/>
                <w:sz w:val="21"/>
                <w:szCs w:val="21"/>
                <w:u w:val="single"/>
                <w:lang w:bidi="ar"/>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cs="宋体"/>
                <w:color w:val="000000" w:themeColor="text1"/>
                <w:kern w:val="0"/>
                <w:sz w:val="21"/>
                <w:szCs w:val="21"/>
                <w:u w:val="single"/>
                <w:lang w:bidi="ar"/>
                <w14:textFill>
                  <w14:solidFill>
                    <w14:schemeClr w14:val="tx1"/>
                  </w14:solidFill>
                </w14:textFill>
              </w:rPr>
              <w:t>148</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3.976</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1119" w:type="dxa"/>
            <w:vAlign w:val="center"/>
          </w:tcPr>
          <w:p>
            <w:pPr>
              <w:widowControl/>
              <w:spacing w:line="240" w:lineRule="auto"/>
              <w:ind w:firstLine="0" w:firstLineChars="0"/>
              <w:jc w:val="center"/>
              <w:rPr>
                <w:rFonts w:cs="宋体"/>
                <w:color w:val="FF0000"/>
                <w:kern w:val="0"/>
                <w:sz w:val="21"/>
                <w:szCs w:val="21"/>
                <w:u w:val="single"/>
                <w:lang w:bidi="ar"/>
              </w:rPr>
            </w:pPr>
            <w:r>
              <w:rPr>
                <w:rFonts w:hint="eastAsia"/>
                <w:sz w:val="21"/>
                <w:szCs w:val="21"/>
                <w:u w:val="single"/>
              </w:rPr>
              <w:t>0.01</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p>
        </w:tc>
        <w:tc>
          <w:tcPr>
            <w:tcW w:w="1304" w:type="dxa"/>
            <w:vAlign w:val="center"/>
          </w:tcPr>
          <w:p>
            <w:pPr>
              <w:adjustRightInd w:val="0"/>
              <w:snapToGrid w:val="0"/>
              <w:spacing w:line="360" w:lineRule="exact"/>
              <w:ind w:firstLine="0" w:firstLineChars="0"/>
              <w:jc w:val="center"/>
              <w:rPr>
                <w:color w:val="FF0000"/>
                <w:sz w:val="21"/>
                <w:szCs w:val="21"/>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color w:val="FF0000"/>
                <w:sz w:val="21"/>
                <w:szCs w:val="21"/>
                <w:u w:val="single"/>
              </w:rPr>
            </w:pPr>
            <w:r>
              <w:rPr>
                <w:sz w:val="21"/>
                <w:szCs w:val="21"/>
                <w:u w:val="single"/>
              </w:rPr>
              <w:t>148</w:t>
            </w:r>
          </w:p>
        </w:tc>
        <w:tc>
          <w:tcPr>
            <w:tcW w:w="1419" w:type="dxa"/>
            <w:vAlign w:val="center"/>
          </w:tcPr>
          <w:p>
            <w:pPr>
              <w:widowControl/>
              <w:spacing w:line="240" w:lineRule="auto"/>
              <w:ind w:firstLine="0" w:firstLineChars="0"/>
              <w:jc w:val="center"/>
              <w:rPr>
                <w:color w:val="FF0000"/>
                <w:kern w:val="0"/>
                <w:sz w:val="21"/>
                <w:szCs w:val="21"/>
                <w:u w:val="single"/>
                <w:lang w:bidi="ar"/>
              </w:rPr>
            </w:pPr>
            <w:r>
              <w:rPr>
                <w:rFonts w:hint="eastAsia"/>
                <w:sz w:val="21"/>
                <w:szCs w:val="21"/>
                <w:u w:val="single"/>
              </w:rPr>
              <w:t>0.01554</w:t>
            </w:r>
          </w:p>
        </w:tc>
        <w:tc>
          <w:tcPr>
            <w:tcW w:w="1119" w:type="dxa"/>
            <w:vAlign w:val="center"/>
          </w:tcPr>
          <w:p>
            <w:pPr>
              <w:widowControl/>
              <w:spacing w:line="240" w:lineRule="auto"/>
              <w:ind w:firstLine="0" w:firstLineChars="0"/>
              <w:jc w:val="center"/>
              <w:rPr>
                <w:color w:val="FF0000"/>
                <w:kern w:val="0"/>
                <w:sz w:val="21"/>
                <w:szCs w:val="21"/>
                <w:u w:val="single"/>
                <w:lang w:bidi="ar"/>
              </w:rPr>
            </w:pPr>
            <w:r>
              <w:rPr>
                <w:rFonts w:hint="eastAsia"/>
                <w:sz w:val="21"/>
                <w:szCs w:val="21"/>
                <w:u w:val="single"/>
              </w:rPr>
              <w:t>0.78</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FF0000"/>
                <w:kern w:val="0"/>
                <w:sz w:val="21"/>
                <w:szCs w:val="21"/>
                <w:lang w:bidi="ar"/>
              </w:rPr>
            </w:pPr>
            <w:r>
              <w:rPr>
                <w:rFonts w:hint="eastAsia" w:cs="宋体"/>
                <w:color w:val="000000" w:themeColor="text1"/>
                <w:kern w:val="0"/>
                <w:sz w:val="21"/>
                <w:szCs w:val="21"/>
                <w:lang w:bidi="ar"/>
                <w14:textFill>
                  <w14:solidFill>
                    <w14:schemeClr w14:val="tx1"/>
                  </w14:solidFill>
                </w14:textFill>
              </w:rPr>
              <w:t>污水处理站</w:t>
            </w:r>
          </w:p>
        </w:tc>
        <w:tc>
          <w:tcPr>
            <w:tcW w:w="1304" w:type="dxa"/>
            <w:vAlign w:val="center"/>
          </w:tcPr>
          <w:p>
            <w:pPr>
              <w:adjustRightInd w:val="0"/>
              <w:snapToGrid w:val="0"/>
              <w:spacing w:line="240" w:lineRule="auto"/>
              <w:ind w:firstLine="0" w:firstLineChars="0"/>
              <w:jc w:val="center"/>
              <w:rPr>
                <w:rFonts w:cs="宋体"/>
                <w:color w:val="FF0000"/>
                <w:kern w:val="0"/>
                <w:sz w:val="21"/>
                <w:szCs w:val="21"/>
                <w:lang w:bidi="ar"/>
              </w:rPr>
            </w:pPr>
            <w:r>
              <w:rPr>
                <w:rFonts w:cs="Times New Roman"/>
                <w:snapToGrid w:val="0"/>
                <w:kern w:val="18"/>
                <w:sz w:val="21"/>
                <w:szCs w:val="21"/>
              </w:rPr>
              <w:t>氨</w:t>
            </w:r>
          </w:p>
        </w:tc>
        <w:tc>
          <w:tcPr>
            <w:tcW w:w="1800"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100</w:t>
            </w:r>
          </w:p>
        </w:tc>
        <w:tc>
          <w:tcPr>
            <w:tcW w:w="1419" w:type="dxa"/>
            <w:vAlign w:val="center"/>
          </w:tcPr>
          <w:p>
            <w:pPr>
              <w:widowControl/>
              <w:spacing w:line="240" w:lineRule="auto"/>
              <w:ind w:firstLine="0" w:firstLineChars="0"/>
              <w:jc w:val="center"/>
              <w:rPr>
                <w:color w:val="FF0000"/>
                <w:sz w:val="21"/>
                <w:szCs w:val="21"/>
                <w:u w:val="single"/>
              </w:rPr>
            </w:pPr>
            <w:r>
              <w:rPr>
                <w:rFonts w:hint="eastAsia"/>
                <w:sz w:val="21"/>
                <w:szCs w:val="21"/>
                <w:u w:val="single"/>
              </w:rPr>
              <w:t>0.001395</w:t>
            </w:r>
          </w:p>
        </w:tc>
        <w:tc>
          <w:tcPr>
            <w:tcW w:w="1119" w:type="dxa"/>
            <w:vAlign w:val="center"/>
          </w:tcPr>
          <w:p>
            <w:pPr>
              <w:widowControl/>
              <w:spacing w:line="240" w:lineRule="auto"/>
              <w:ind w:firstLine="0" w:firstLineChars="0"/>
              <w:jc w:val="center"/>
              <w:rPr>
                <w:rFonts w:cs="宋体"/>
                <w:color w:val="FF0000"/>
                <w:kern w:val="0"/>
                <w:sz w:val="21"/>
                <w:szCs w:val="21"/>
                <w:u w:val="single"/>
                <w:lang w:bidi="ar"/>
              </w:rPr>
            </w:pPr>
            <w:r>
              <w:rPr>
                <w:rFonts w:hint="eastAsia"/>
                <w:sz w:val="21"/>
                <w:szCs w:val="21"/>
                <w:u w:val="single"/>
              </w:rPr>
              <w:t>0.0</w:t>
            </w:r>
            <w:r>
              <w:rPr>
                <w:rFonts w:hint="eastAsia"/>
                <w:sz w:val="21"/>
                <w:szCs w:val="21"/>
                <w:u w:val="single"/>
                <w:lang w:val="en-US" w:eastAsia="zh-CN"/>
              </w:rPr>
              <w:t>1</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FF0000"/>
                <w:kern w:val="0"/>
                <w:sz w:val="21"/>
                <w:szCs w:val="21"/>
                <w:lang w:bidi="ar"/>
              </w:rPr>
            </w:pPr>
          </w:p>
        </w:tc>
        <w:tc>
          <w:tcPr>
            <w:tcW w:w="1304" w:type="dxa"/>
            <w:vAlign w:val="center"/>
          </w:tcPr>
          <w:p>
            <w:pPr>
              <w:adjustRightInd w:val="0"/>
              <w:snapToGrid w:val="0"/>
              <w:spacing w:line="240" w:lineRule="auto"/>
              <w:ind w:firstLine="0" w:firstLineChars="0"/>
              <w:jc w:val="center"/>
              <w:rPr>
                <w:rFonts w:cs="宋体"/>
                <w:color w:val="FF0000"/>
                <w:kern w:val="0"/>
                <w:sz w:val="21"/>
                <w:szCs w:val="21"/>
                <w:lang w:bidi="ar"/>
              </w:rPr>
            </w:pPr>
            <w:r>
              <w:rPr>
                <w:rFonts w:cs="Times New Roman"/>
                <w:snapToGrid w:val="0"/>
                <w:kern w:val="18"/>
                <w:sz w:val="21"/>
                <w:szCs w:val="21"/>
              </w:rPr>
              <w:t>硫化氢</w:t>
            </w:r>
          </w:p>
        </w:tc>
        <w:tc>
          <w:tcPr>
            <w:tcW w:w="1800"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100</w:t>
            </w:r>
          </w:p>
        </w:tc>
        <w:tc>
          <w:tcPr>
            <w:tcW w:w="1419" w:type="dxa"/>
            <w:vAlign w:val="center"/>
          </w:tcPr>
          <w:p>
            <w:pPr>
              <w:widowControl/>
              <w:spacing w:line="240" w:lineRule="auto"/>
              <w:ind w:firstLine="0" w:firstLineChars="0"/>
              <w:jc w:val="center"/>
              <w:rPr>
                <w:rFonts w:hint="default"/>
                <w:color w:val="FF0000"/>
                <w:sz w:val="21"/>
                <w:szCs w:val="21"/>
                <w:u w:val="single"/>
                <w:lang w:val="en-US"/>
              </w:rPr>
            </w:pPr>
            <w:r>
              <w:rPr>
                <w:rFonts w:hint="eastAsia"/>
                <w:sz w:val="21"/>
                <w:szCs w:val="21"/>
                <w:u w:val="single"/>
              </w:rPr>
              <w:t>1.032</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-6</w:t>
            </w:r>
          </w:p>
        </w:tc>
        <w:tc>
          <w:tcPr>
            <w:tcW w:w="1119" w:type="dxa"/>
            <w:vAlign w:val="center"/>
          </w:tcPr>
          <w:p>
            <w:pPr>
              <w:widowControl/>
              <w:spacing w:line="240" w:lineRule="auto"/>
              <w:ind w:firstLine="0" w:firstLineChars="0"/>
              <w:jc w:val="center"/>
              <w:rPr>
                <w:rFonts w:cs="宋体"/>
                <w:color w:val="FF0000"/>
                <w:kern w:val="0"/>
                <w:sz w:val="21"/>
                <w:szCs w:val="21"/>
                <w:u w:val="single"/>
                <w:lang w:bidi="ar"/>
              </w:rPr>
            </w:pPr>
            <w:r>
              <w:rPr>
                <w:rFonts w:hint="eastAsia"/>
                <w:sz w:val="21"/>
                <w:szCs w:val="21"/>
                <w:u w:val="single"/>
              </w:rPr>
              <w:t>0.01</w:t>
            </w:r>
          </w:p>
        </w:tc>
        <w:tc>
          <w:tcPr>
            <w:tcW w:w="1062"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FF0000"/>
                <w:kern w:val="0"/>
                <w:sz w:val="21"/>
                <w:szCs w:val="21"/>
                <w:u w:val="single"/>
                <w:lang w:bidi="ar"/>
              </w:rPr>
            </w:pPr>
            <w:r>
              <w:rPr>
                <w:rFonts w:hint="eastAsia" w:cs="宋体"/>
                <w:color w:val="000000" w:themeColor="text1"/>
                <w:kern w:val="0"/>
                <w:sz w:val="21"/>
                <w:szCs w:val="21"/>
                <w:u w:val="single"/>
                <w:lang w:bidi="ar"/>
                <w14:textFill>
                  <w14:solidFill>
                    <w14:schemeClr w14:val="tx1"/>
                  </w14:solidFill>
                </w14:textFill>
              </w:rPr>
              <w:t>三级</w:t>
            </w:r>
          </w:p>
        </w:tc>
      </w:tr>
    </w:tbl>
    <w:p>
      <w:pPr>
        <w:widowControl/>
        <w:ind w:firstLine="480"/>
      </w:pPr>
      <w:r>
        <w:rPr>
          <w:rFonts w:hint="eastAsia" w:ascii="宋体" w:hAnsi="宋体" w:cs="宋体"/>
          <w:color w:val="000000"/>
          <w:kern w:val="0"/>
          <w:lang w:bidi="ar"/>
        </w:rPr>
        <w:t>由表</w:t>
      </w:r>
      <w:r>
        <w:rPr>
          <w:rFonts w:hint="eastAsia" w:cs="Times New Roman"/>
          <w:color w:val="000000"/>
          <w:kern w:val="0"/>
          <w:lang w:bidi="ar"/>
        </w:rPr>
        <w:t>2.5-4</w:t>
      </w:r>
      <w:r>
        <w:rPr>
          <w:rFonts w:hint="eastAsia" w:ascii="宋体" w:hAnsi="宋体" w:cs="宋体"/>
          <w:color w:val="000000"/>
          <w:kern w:val="0"/>
          <w:lang w:bidi="ar"/>
        </w:rPr>
        <w:t>可知，本次工程最大占标率</w:t>
      </w:r>
      <w:r>
        <w:rPr>
          <w:rFonts w:cs="Times New Roman"/>
          <w:color w:val="000000"/>
          <w:kern w:val="0"/>
          <w:lang w:bidi="ar"/>
        </w:rPr>
        <w:t>Pmax=</w:t>
      </w:r>
      <w:r>
        <w:rPr>
          <w:rFonts w:hint="eastAsia" w:cs="Times New Roman"/>
          <w:color w:val="000000"/>
          <w:kern w:val="0"/>
          <w:lang w:val="en-US" w:eastAsia="zh-CN" w:bidi="ar"/>
        </w:rPr>
        <w:t>2.00</w:t>
      </w:r>
      <w:r>
        <w:rPr>
          <w:rFonts w:cs="Times New Roman"/>
          <w:color w:val="000000"/>
          <w:kern w:val="0"/>
          <w:lang w:bidi="ar"/>
        </w:rPr>
        <w:t>%</w:t>
      </w:r>
      <w:r>
        <w:rPr>
          <w:rFonts w:hint="eastAsia" w:ascii="宋体" w:hAnsi="宋体" w:cs="宋体"/>
          <w:color w:val="000000"/>
          <w:kern w:val="0"/>
          <w:lang w:bidi="ar"/>
        </w:rPr>
        <w:t>，大气环境影响评价等级为二级。</w:t>
      </w:r>
    </w:p>
    <w:p>
      <w:pPr>
        <w:pStyle w:val="7"/>
        <w:keepNext w:val="0"/>
        <w:keepLines w:val="0"/>
        <w:autoSpaceDE w:val="0"/>
        <w:autoSpaceDN w:val="0"/>
        <w:ind w:left="480" w:leftChars="200" w:firstLine="0" w:firstLineChars="0"/>
      </w:pPr>
      <w:r>
        <w:rPr>
          <w:rFonts w:hint="eastAsia"/>
        </w:rPr>
        <w:t>2.5.2 地表水环境评价工作等级</w:t>
      </w:r>
    </w:p>
    <w:p>
      <w:pPr>
        <w:ind w:firstLine="480"/>
        <w:rPr>
          <w:u w:val="single"/>
        </w:rPr>
      </w:pPr>
      <w:r>
        <w:rPr>
          <w:u w:val="single"/>
        </w:rPr>
        <w:t>根据《环境影响评价技术导则 地面水环境》（HJ/T2.3-</w:t>
      </w:r>
      <w:r>
        <w:rPr>
          <w:rFonts w:hint="eastAsia"/>
          <w:u w:val="single"/>
        </w:rPr>
        <w:t>2018</w:t>
      </w:r>
      <w:r>
        <w:rPr>
          <w:u w:val="single"/>
        </w:rPr>
        <w:t>）对地面水环境评价工作等级划分依据，考虑项目的污水排放量、污水水质复杂程度、受纳水体规模、受纳水体的功能等四项要求指标的特点，确定地面水评价工作等级。</w:t>
      </w:r>
    </w:p>
    <w:p>
      <w:pPr>
        <w:ind w:firstLine="0" w:firstLineChars="0"/>
        <w:jc w:val="center"/>
        <w:rPr>
          <w:b/>
          <w:bCs/>
        </w:rPr>
      </w:pPr>
      <w:r>
        <w:rPr>
          <w:rFonts w:hint="eastAsia"/>
          <w:b/>
          <w:bCs/>
        </w:rPr>
        <w:t>表2.5-5  地表水环境影响评价等级划分依据</w:t>
      </w:r>
    </w:p>
    <w:tbl>
      <w:tblPr>
        <w:tblStyle w:val="51"/>
        <w:tblW w:w="5013"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2699"/>
        <w:gridCol w:w="2220"/>
        <w:gridCol w:w="4187"/>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482" w:type="pct"/>
            <w:vMerge w:val="restart"/>
            <w:tcBorders>
              <w:bottom w:val="nil"/>
              <w:right w:val="single" w:color="000000" w:sz="4" w:space="0"/>
            </w:tcBorders>
            <w:vAlign w:val="center"/>
          </w:tcPr>
          <w:p>
            <w:pPr>
              <w:spacing w:line="240" w:lineRule="auto"/>
              <w:ind w:firstLine="0" w:firstLineChars="0"/>
              <w:jc w:val="center"/>
              <w:rPr>
                <w:rFonts w:cs="Times New Roman"/>
                <w:sz w:val="21"/>
                <w:szCs w:val="21"/>
              </w:rPr>
            </w:pPr>
            <w:r>
              <w:rPr>
                <w:rFonts w:cs="Times New Roman"/>
                <w:spacing w:val="-1"/>
                <w:sz w:val="21"/>
                <w:szCs w:val="21"/>
              </w:rPr>
              <w:t>评价等级</w:t>
            </w:r>
          </w:p>
        </w:tc>
        <w:tc>
          <w:tcPr>
            <w:tcW w:w="3517" w:type="pct"/>
            <w:gridSpan w:val="2"/>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pacing w:val="-2"/>
                <w:sz w:val="21"/>
                <w:szCs w:val="21"/>
              </w:rPr>
              <w:t>判</w:t>
            </w:r>
            <w:r>
              <w:rPr>
                <w:rFonts w:cs="Times New Roman"/>
                <w:spacing w:val="-1"/>
                <w:sz w:val="21"/>
                <w:szCs w:val="21"/>
              </w:rPr>
              <w:t>定依据</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482" w:type="pct"/>
            <w:vMerge w:val="continue"/>
            <w:tcBorders>
              <w:top w:val="nil"/>
              <w:right w:val="single" w:color="000000" w:sz="4" w:space="0"/>
            </w:tcBorders>
            <w:vAlign w:val="center"/>
          </w:tcPr>
          <w:p>
            <w:pPr>
              <w:spacing w:line="240" w:lineRule="auto"/>
              <w:ind w:firstLine="0" w:firstLineChars="0"/>
              <w:jc w:val="center"/>
              <w:rPr>
                <w:rFonts w:cs="Times New Roman"/>
                <w:sz w:val="21"/>
                <w:szCs w:val="21"/>
              </w:rPr>
            </w:pPr>
          </w:p>
        </w:tc>
        <w:tc>
          <w:tcPr>
            <w:tcW w:w="1219"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pacing w:val="-2"/>
                <w:sz w:val="21"/>
                <w:szCs w:val="21"/>
              </w:rPr>
              <w:t>排</w:t>
            </w:r>
            <w:r>
              <w:rPr>
                <w:rFonts w:cs="Times New Roman"/>
                <w:spacing w:val="-1"/>
                <w:sz w:val="21"/>
                <w:szCs w:val="21"/>
              </w:rPr>
              <w:t>放方式</w:t>
            </w:r>
          </w:p>
        </w:tc>
        <w:tc>
          <w:tcPr>
            <w:tcW w:w="2298" w:type="pct"/>
            <w:vAlign w:val="center"/>
          </w:tcPr>
          <w:p>
            <w:pPr>
              <w:spacing w:line="240" w:lineRule="auto"/>
              <w:ind w:firstLine="0" w:firstLineChars="0"/>
              <w:jc w:val="center"/>
              <w:rPr>
                <w:rFonts w:cs="Times New Roman"/>
                <w:spacing w:val="-57"/>
                <w:sz w:val="21"/>
                <w:szCs w:val="21"/>
              </w:rPr>
            </w:pPr>
            <w:r>
              <w:rPr>
                <w:rFonts w:cs="Times New Roman"/>
                <w:sz w:val="21"/>
                <w:szCs w:val="21"/>
              </w:rPr>
              <w:t>废水排放量</w:t>
            </w:r>
            <w:r>
              <w:rPr>
                <w:rFonts w:eastAsia="Calibri" w:cs="Times New Roman"/>
                <w:sz w:val="21"/>
                <w:szCs w:val="21"/>
              </w:rPr>
              <w:t>Q/</w:t>
            </w:r>
            <w:r>
              <w:rPr>
                <w:rFonts w:cs="Times New Roman"/>
                <w:sz w:val="21"/>
                <w:szCs w:val="21"/>
              </w:rPr>
              <w:t>（</w:t>
            </w:r>
            <w:r>
              <w:rPr>
                <w:rFonts w:eastAsia="Calibri" w:cs="Times New Roman"/>
                <w:sz w:val="21"/>
                <w:szCs w:val="21"/>
              </w:rPr>
              <w:t>m</w:t>
            </w:r>
            <w:r>
              <w:rPr>
                <w:rFonts w:hint="eastAsia" w:cs="Times New Roman"/>
                <w:sz w:val="21"/>
                <w:szCs w:val="21"/>
                <w:vertAlign w:val="superscript"/>
              </w:rPr>
              <w:t>3</w:t>
            </w:r>
            <w:r>
              <w:rPr>
                <w:rFonts w:eastAsia="Calibri" w:cs="Times New Roman"/>
                <w:sz w:val="21"/>
                <w:szCs w:val="21"/>
              </w:rPr>
              <w:t>/d</w:t>
            </w:r>
            <w:r>
              <w:rPr>
                <w:rFonts w:cs="Times New Roman"/>
                <w:spacing w:val="-57"/>
                <w:sz w:val="21"/>
                <w:szCs w:val="21"/>
              </w:rPr>
              <w:t>）；</w:t>
            </w:r>
          </w:p>
          <w:p>
            <w:pPr>
              <w:spacing w:line="240" w:lineRule="auto"/>
              <w:ind w:firstLine="0" w:firstLineChars="0"/>
              <w:jc w:val="center"/>
              <w:rPr>
                <w:rFonts w:cs="Times New Roman"/>
                <w:sz w:val="21"/>
                <w:szCs w:val="21"/>
              </w:rPr>
            </w:pPr>
            <w:r>
              <w:rPr>
                <w:rFonts w:cs="Times New Roman"/>
                <w:spacing w:val="-2"/>
                <w:sz w:val="21"/>
                <w:szCs w:val="21"/>
              </w:rPr>
              <w:t>水污</w:t>
            </w:r>
            <w:r>
              <w:rPr>
                <w:rFonts w:cs="Times New Roman"/>
                <w:spacing w:val="-1"/>
                <w:sz w:val="21"/>
                <w:szCs w:val="21"/>
              </w:rPr>
              <w:t>染物当量数</w:t>
            </w:r>
            <w:r>
              <w:rPr>
                <w:rFonts w:eastAsia="Calibri" w:cs="Times New Roman"/>
                <w:spacing w:val="-1"/>
                <w:sz w:val="21"/>
                <w:szCs w:val="21"/>
              </w:rPr>
              <w:t>W/</w:t>
            </w:r>
            <w:r>
              <w:rPr>
                <w:rFonts w:cs="Times New Roman"/>
                <w:spacing w:val="-1"/>
                <w:sz w:val="21"/>
                <w:szCs w:val="21"/>
              </w:rPr>
              <w:t>（无量纲</w:t>
            </w:r>
            <w:r>
              <w:rPr>
                <w:rFonts w:hint="eastAsia" w:cs="Times New Roman"/>
                <w:spacing w:val="-1"/>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482"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pacing w:val="-3"/>
                <w:sz w:val="21"/>
                <w:szCs w:val="21"/>
              </w:rPr>
              <w:t>一</w:t>
            </w:r>
            <w:r>
              <w:rPr>
                <w:rFonts w:cs="Times New Roman"/>
                <w:spacing w:val="-2"/>
                <w:sz w:val="21"/>
                <w:szCs w:val="21"/>
              </w:rPr>
              <w:t>级</w:t>
            </w:r>
          </w:p>
        </w:tc>
        <w:tc>
          <w:tcPr>
            <w:tcW w:w="1219"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pacing w:val="-2"/>
                <w:sz w:val="21"/>
                <w:szCs w:val="21"/>
              </w:rPr>
              <w:t>直接排</w:t>
            </w:r>
            <w:r>
              <w:rPr>
                <w:rFonts w:cs="Times New Roman"/>
                <w:spacing w:val="-1"/>
                <w:sz w:val="21"/>
                <w:szCs w:val="21"/>
              </w:rPr>
              <w:t>放</w:t>
            </w:r>
          </w:p>
        </w:tc>
        <w:tc>
          <w:tcPr>
            <w:tcW w:w="2298" w:type="pct"/>
            <w:vAlign w:val="center"/>
          </w:tcPr>
          <w:p>
            <w:pPr>
              <w:spacing w:line="240" w:lineRule="auto"/>
              <w:ind w:firstLine="0" w:firstLineChars="0"/>
              <w:jc w:val="center"/>
              <w:rPr>
                <w:rFonts w:eastAsia="Calibri" w:cs="Times New Roman"/>
                <w:sz w:val="21"/>
                <w:szCs w:val="21"/>
              </w:rPr>
            </w:pPr>
            <w:r>
              <w:rPr>
                <w:rFonts w:eastAsia="Calibri" w:cs="Times New Roman"/>
                <w:spacing w:val="-1"/>
                <w:sz w:val="21"/>
                <w:szCs w:val="21"/>
              </w:rPr>
              <w:t>Q≥20000</w:t>
            </w:r>
            <w:r>
              <w:rPr>
                <w:rFonts w:cs="Times New Roman"/>
                <w:spacing w:val="-2"/>
                <w:sz w:val="21"/>
                <w:szCs w:val="21"/>
              </w:rPr>
              <w:t>或</w:t>
            </w:r>
            <w:r>
              <w:rPr>
                <w:rFonts w:eastAsia="Calibri" w:cs="Times New Roman"/>
                <w:spacing w:val="-1"/>
                <w:sz w:val="21"/>
                <w:szCs w:val="21"/>
              </w:rPr>
              <w:t>W≥600000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482"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pacing w:val="-3"/>
                <w:sz w:val="21"/>
                <w:szCs w:val="21"/>
              </w:rPr>
              <w:t>二</w:t>
            </w:r>
            <w:r>
              <w:rPr>
                <w:rFonts w:cs="Times New Roman"/>
                <w:spacing w:val="-2"/>
                <w:sz w:val="21"/>
                <w:szCs w:val="21"/>
              </w:rPr>
              <w:t>级</w:t>
            </w:r>
          </w:p>
        </w:tc>
        <w:tc>
          <w:tcPr>
            <w:tcW w:w="1219"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pacing w:val="-2"/>
                <w:sz w:val="21"/>
                <w:szCs w:val="21"/>
              </w:rPr>
              <w:t>直接排</w:t>
            </w:r>
            <w:r>
              <w:rPr>
                <w:rFonts w:cs="Times New Roman"/>
                <w:spacing w:val="-1"/>
                <w:sz w:val="21"/>
                <w:szCs w:val="21"/>
              </w:rPr>
              <w:t>放</w:t>
            </w:r>
          </w:p>
        </w:tc>
        <w:tc>
          <w:tcPr>
            <w:tcW w:w="2298" w:type="pct"/>
            <w:vAlign w:val="center"/>
          </w:tcPr>
          <w:p>
            <w:pPr>
              <w:spacing w:line="240" w:lineRule="auto"/>
              <w:ind w:firstLine="0" w:firstLineChars="0"/>
              <w:jc w:val="center"/>
              <w:rPr>
                <w:rFonts w:cs="Times New Roman"/>
                <w:sz w:val="21"/>
                <w:szCs w:val="21"/>
              </w:rPr>
            </w:pPr>
            <w:r>
              <w:rPr>
                <w:rFonts w:cs="Times New Roman"/>
                <w:spacing w:val="-2"/>
                <w:sz w:val="21"/>
                <w:szCs w:val="21"/>
              </w:rPr>
              <w:t>其他</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482"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pacing w:val="-6"/>
                <w:sz w:val="21"/>
                <w:szCs w:val="21"/>
              </w:rPr>
              <w:t>三级</w:t>
            </w:r>
            <w:r>
              <w:rPr>
                <w:rFonts w:hint="eastAsia" w:cs="Times New Roman"/>
                <w:spacing w:val="-6"/>
                <w:sz w:val="21"/>
                <w:szCs w:val="21"/>
              </w:rPr>
              <w:t>A</w:t>
            </w:r>
          </w:p>
        </w:tc>
        <w:tc>
          <w:tcPr>
            <w:tcW w:w="1219"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pacing w:val="-2"/>
                <w:sz w:val="21"/>
                <w:szCs w:val="21"/>
              </w:rPr>
              <w:t>直接排</w:t>
            </w:r>
            <w:r>
              <w:rPr>
                <w:rFonts w:cs="Times New Roman"/>
                <w:spacing w:val="-1"/>
                <w:sz w:val="21"/>
                <w:szCs w:val="21"/>
              </w:rPr>
              <w:t>放</w:t>
            </w:r>
          </w:p>
        </w:tc>
        <w:tc>
          <w:tcPr>
            <w:tcW w:w="2298" w:type="pct"/>
            <w:vAlign w:val="center"/>
          </w:tcPr>
          <w:p>
            <w:pPr>
              <w:spacing w:line="240" w:lineRule="auto"/>
              <w:ind w:firstLine="0" w:firstLineChars="0"/>
              <w:jc w:val="center"/>
              <w:rPr>
                <w:rFonts w:eastAsia="Calibri" w:cs="Times New Roman"/>
                <w:sz w:val="21"/>
                <w:szCs w:val="21"/>
              </w:rPr>
            </w:pPr>
            <w:r>
              <w:rPr>
                <w:rFonts w:eastAsia="Calibri" w:cs="Times New Roman"/>
                <w:spacing w:val="-2"/>
                <w:sz w:val="21"/>
                <w:szCs w:val="21"/>
              </w:rPr>
              <w:t>Q</w:t>
            </w:r>
            <w:r>
              <w:rPr>
                <w:rFonts w:cs="Times New Roman"/>
                <w:spacing w:val="-2"/>
                <w:sz w:val="21"/>
                <w:szCs w:val="21"/>
              </w:rPr>
              <w:t>＜</w:t>
            </w:r>
            <w:r>
              <w:rPr>
                <w:rFonts w:eastAsia="Calibri" w:cs="Times New Roman"/>
                <w:spacing w:val="-1"/>
                <w:sz w:val="21"/>
                <w:szCs w:val="21"/>
              </w:rPr>
              <w:t>200</w:t>
            </w:r>
            <w:r>
              <w:rPr>
                <w:rFonts w:cs="Times New Roman"/>
                <w:spacing w:val="-2"/>
                <w:sz w:val="21"/>
                <w:szCs w:val="21"/>
              </w:rPr>
              <w:t>且</w:t>
            </w:r>
            <w:r>
              <w:rPr>
                <w:rFonts w:eastAsia="Calibri" w:cs="Times New Roman"/>
                <w:spacing w:val="-2"/>
                <w:sz w:val="21"/>
                <w:szCs w:val="21"/>
              </w:rPr>
              <w:t>W</w:t>
            </w:r>
            <w:r>
              <w:rPr>
                <w:rFonts w:cs="Times New Roman"/>
                <w:spacing w:val="-2"/>
                <w:sz w:val="21"/>
                <w:szCs w:val="21"/>
              </w:rPr>
              <w:t>＜</w:t>
            </w:r>
            <w:r>
              <w:rPr>
                <w:rFonts w:eastAsia="Calibri" w:cs="Times New Roman"/>
                <w:spacing w:val="-1"/>
                <w:sz w:val="21"/>
                <w:szCs w:val="21"/>
              </w:rPr>
              <w:t>600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482"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pacing w:val="-5"/>
                <w:sz w:val="21"/>
                <w:szCs w:val="21"/>
              </w:rPr>
              <w:t>三级</w:t>
            </w:r>
            <w:r>
              <w:rPr>
                <w:rFonts w:hint="eastAsia" w:cs="Times New Roman"/>
                <w:spacing w:val="-31"/>
                <w:sz w:val="21"/>
                <w:szCs w:val="21"/>
              </w:rPr>
              <w:t>B</w:t>
            </w:r>
          </w:p>
        </w:tc>
        <w:tc>
          <w:tcPr>
            <w:tcW w:w="1219"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pacing w:val="-6"/>
                <w:sz w:val="21"/>
                <w:szCs w:val="21"/>
              </w:rPr>
              <w:t>间接</w:t>
            </w:r>
            <w:r>
              <w:rPr>
                <w:rFonts w:cs="Times New Roman"/>
                <w:spacing w:val="-5"/>
                <w:sz w:val="21"/>
                <w:szCs w:val="21"/>
              </w:rPr>
              <w:t>排放</w:t>
            </w:r>
          </w:p>
        </w:tc>
        <w:tc>
          <w:tcPr>
            <w:tcW w:w="2298" w:type="pct"/>
            <w:vAlign w:val="center"/>
          </w:tcPr>
          <w:p>
            <w:pPr>
              <w:spacing w:line="240" w:lineRule="auto"/>
              <w:ind w:firstLine="0" w:firstLineChars="0"/>
              <w:jc w:val="center"/>
              <w:rPr>
                <w:rFonts w:eastAsia="Calibri" w:cs="Times New Roman"/>
                <w:sz w:val="21"/>
                <w:szCs w:val="21"/>
              </w:rPr>
            </w:pPr>
            <w:r>
              <w:rPr>
                <w:rFonts w:eastAsia="Calibri" w:cs="Times New Roman"/>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000" w:type="pct"/>
            <w:gridSpan w:val="3"/>
            <w:vAlign w:val="center"/>
          </w:tcPr>
          <w:p>
            <w:pPr>
              <w:spacing w:line="240" w:lineRule="auto"/>
              <w:ind w:firstLine="0" w:firstLineChars="0"/>
              <w:jc w:val="center"/>
              <w:rPr>
                <w:rFonts w:cs="Times New Roman"/>
                <w:sz w:val="21"/>
                <w:szCs w:val="21"/>
              </w:rPr>
            </w:pPr>
            <w:r>
              <w:rPr>
                <w:rFonts w:hint="eastAsia" w:cs="Times New Roman"/>
                <w:sz w:val="21"/>
                <w:szCs w:val="21"/>
              </w:rPr>
              <w:t>注10：建设项目生产工艺中有废水排放，但作为回用水利用，不排放到外环境的，按三级B评价。</w:t>
            </w:r>
          </w:p>
        </w:tc>
      </w:tr>
    </w:tbl>
    <w:p>
      <w:pPr>
        <w:ind w:firstLine="480"/>
        <w:rPr>
          <w:rFonts w:cs="Times New Roman"/>
        </w:rPr>
      </w:pPr>
      <w:r>
        <w:rPr>
          <w:rFonts w:cs="Times New Roman"/>
        </w:rPr>
        <w:t>本项目运营期废水包括生产工艺废水及生活污水，</w:t>
      </w:r>
      <w:r>
        <w:rPr>
          <w:rFonts w:hint="eastAsia" w:cs="Times New Roman"/>
        </w:rPr>
        <w:t>生活污水经</w:t>
      </w:r>
      <w:r>
        <w:rPr>
          <w:rFonts w:hint="eastAsia" w:cs="Times New Roman"/>
          <w:lang w:eastAsia="zh-CN"/>
        </w:rPr>
        <w:t>隔油池、</w:t>
      </w:r>
      <w:r>
        <w:rPr>
          <w:rFonts w:hint="eastAsia" w:cs="Times New Roman"/>
        </w:rPr>
        <w:t>化粪池预处理后进入厂区污水处理站，厂区内设置1个50t/d污水站，</w:t>
      </w:r>
      <w:r>
        <w:rPr>
          <w:rFonts w:hint="eastAsia" w:cs="Times New Roman"/>
          <w:lang w:eastAsia="zh-CN"/>
        </w:rPr>
        <w:t>汇同</w:t>
      </w:r>
      <w:r>
        <w:rPr>
          <w:rFonts w:hint="eastAsia" w:cs="Times New Roman"/>
        </w:rPr>
        <w:t>项目生产废水经厂内污水站处置达标后排入平顶山第三污水处理厂</w:t>
      </w:r>
      <w:r>
        <w:rPr>
          <w:rFonts w:hint="eastAsia" w:cs="Times New Roman"/>
          <w:lang w:eastAsia="zh-CN"/>
        </w:rPr>
        <w:t>处理</w:t>
      </w:r>
      <w:r>
        <w:rPr>
          <w:rFonts w:cs="Times New Roman"/>
        </w:rPr>
        <w:t>。根据《环境影响评价技术导则</w:t>
      </w:r>
      <w:r>
        <w:rPr>
          <w:rFonts w:cs="Times New Roman"/>
          <w:spacing w:val="-1"/>
        </w:rPr>
        <w:t xml:space="preserve"> </w:t>
      </w:r>
      <w:r>
        <w:rPr>
          <w:rFonts w:cs="Times New Roman"/>
        </w:rPr>
        <w:t>地表水环境》（</w:t>
      </w:r>
      <w:r>
        <w:rPr>
          <w:rFonts w:eastAsia="Calibri" w:cs="Times New Roman"/>
        </w:rPr>
        <w:t>HJ2.3-2018</w:t>
      </w:r>
      <w:r>
        <w:rPr>
          <w:rFonts w:cs="Times New Roman"/>
          <w:spacing w:val="-52"/>
        </w:rPr>
        <w:t>）</w:t>
      </w:r>
      <w:r>
        <w:rPr>
          <w:rFonts w:cs="Times New Roman"/>
        </w:rPr>
        <w:t>规定</w:t>
      </w:r>
      <w:r>
        <w:rPr>
          <w:rFonts w:cs="Times New Roman"/>
          <w:spacing w:val="-34"/>
        </w:rPr>
        <w:t>，</w:t>
      </w:r>
      <w:r>
        <w:rPr>
          <w:rFonts w:cs="Times New Roman"/>
        </w:rPr>
        <w:t>地表水评价等级为三级</w:t>
      </w:r>
      <w:r>
        <w:rPr>
          <w:rFonts w:eastAsia="Calibri" w:cs="Times New Roman"/>
        </w:rPr>
        <w:t>B</w:t>
      </w:r>
      <w:r>
        <w:rPr>
          <w:rFonts w:cs="Times New Roman"/>
        </w:rPr>
        <w:t>。</w:t>
      </w:r>
    </w:p>
    <w:p>
      <w:pPr>
        <w:pStyle w:val="7"/>
        <w:keepNext w:val="0"/>
        <w:keepLines w:val="0"/>
        <w:autoSpaceDE w:val="0"/>
        <w:autoSpaceDN w:val="0"/>
        <w:ind w:left="480" w:leftChars="200" w:firstLine="0" w:firstLineChars="0"/>
      </w:pPr>
      <w:r>
        <w:rPr>
          <w:rFonts w:hint="eastAsia"/>
        </w:rPr>
        <w:t>2.5.3 声环境影响评价工作等级</w:t>
      </w:r>
    </w:p>
    <w:p>
      <w:pPr>
        <w:ind w:firstLine="480"/>
      </w:pPr>
      <w:r>
        <w:t>该项目位于《声环境质量标准》</w:t>
      </w:r>
      <w:r>
        <w:rPr>
          <w:rFonts w:hint="eastAsia"/>
        </w:rPr>
        <w:t>（</w:t>
      </w:r>
      <w:r>
        <w:t>GB3096-2008</w:t>
      </w:r>
      <w:r>
        <w:rPr>
          <w:rFonts w:hint="eastAsia"/>
        </w:rPr>
        <w:t>）</w:t>
      </w:r>
      <w:r>
        <w:t>中的</w:t>
      </w:r>
      <w:r>
        <w:rPr>
          <w:rFonts w:hint="eastAsia"/>
        </w:rPr>
        <w:t>3</w:t>
      </w:r>
      <w:r>
        <w:t>类</w:t>
      </w:r>
      <w:r>
        <w:rPr>
          <w:rFonts w:hint="eastAsia"/>
        </w:rPr>
        <w:t>功能区</w:t>
      </w:r>
      <w:r>
        <w:t>。结合该项目特点、选址及平面布局等因素，该项目投运后对周围声环境影响较小（＜3dB（A）），其所处的声功能区为GB3096规定的</w:t>
      </w:r>
      <w:r>
        <w:rPr>
          <w:rFonts w:hint="eastAsia"/>
        </w:rPr>
        <w:t>3</w:t>
      </w:r>
      <w:r>
        <w:t>类区，根据评价导则中有关规定，确定该项目声环境评价工作等级为</w:t>
      </w:r>
      <w:r>
        <w:rPr>
          <w:rFonts w:hint="eastAsia"/>
        </w:rPr>
        <w:t>三</w:t>
      </w:r>
      <w:r>
        <w:t>级。</w:t>
      </w:r>
    </w:p>
    <w:p>
      <w:pPr>
        <w:ind w:firstLine="0" w:firstLineChars="0"/>
        <w:jc w:val="center"/>
        <w:rPr>
          <w:b/>
          <w:bCs/>
        </w:rPr>
      </w:pPr>
      <w:r>
        <w:rPr>
          <w:rFonts w:hint="eastAsia"/>
          <w:b/>
          <w:bCs/>
        </w:rPr>
        <w:t>表2.5-6  声环境影响评价等级划分</w:t>
      </w:r>
    </w:p>
    <w:tbl>
      <w:tblPr>
        <w:tblStyle w:val="28"/>
        <w:tblW w:w="5025"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3579"/>
        <w:gridCol w:w="5548"/>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357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项目</w:t>
            </w:r>
          </w:p>
        </w:tc>
        <w:tc>
          <w:tcPr>
            <w:tcW w:w="5543"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指标</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357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项目所在区域环境功能区划</w:t>
            </w:r>
          </w:p>
        </w:tc>
        <w:tc>
          <w:tcPr>
            <w:tcW w:w="5543"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3</w:t>
            </w:r>
            <w:r>
              <w:rPr>
                <w:lang w:val="zh-CN"/>
              </w:rPr>
              <w:t>类</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357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敏感点声级增量</w:t>
            </w:r>
          </w:p>
        </w:tc>
        <w:tc>
          <w:tcPr>
            <w:tcW w:w="5543"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＜3dB（A）</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357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噪声影响范围内人口分布</w:t>
            </w:r>
          </w:p>
        </w:tc>
        <w:tc>
          <w:tcPr>
            <w:tcW w:w="5543"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影响人口少</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3575"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评价等级</w:t>
            </w:r>
          </w:p>
        </w:tc>
        <w:tc>
          <w:tcPr>
            <w:tcW w:w="5543"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三级</w:t>
            </w:r>
          </w:p>
        </w:tc>
      </w:tr>
    </w:tbl>
    <w:p>
      <w:pPr>
        <w:pStyle w:val="7"/>
        <w:keepNext w:val="0"/>
        <w:keepLines w:val="0"/>
        <w:autoSpaceDE w:val="0"/>
        <w:autoSpaceDN w:val="0"/>
        <w:ind w:left="480" w:leftChars="200" w:firstLine="0" w:firstLineChars="0"/>
      </w:pPr>
      <w:r>
        <w:rPr>
          <w:rFonts w:hint="eastAsia"/>
        </w:rPr>
        <w:t>2.5.4 地下水评价等级</w:t>
      </w:r>
    </w:p>
    <w:p>
      <w:pPr>
        <w:pStyle w:val="25"/>
        <w:widowControl/>
        <w:spacing w:beforeAutospacing="0" w:afterAutospacing="0"/>
        <w:ind w:firstLine="480"/>
        <w:jc w:val="both"/>
      </w:pPr>
      <w:r>
        <w:rPr>
          <w:rFonts w:hint="eastAsia"/>
        </w:rPr>
        <w:t>根据《环境影响评价技术导则 地下水环境》（</w:t>
      </w:r>
      <w:r>
        <w:t>HJ610-2016</w:t>
      </w:r>
      <w:r>
        <w:rPr>
          <w:rFonts w:hint="eastAsia"/>
        </w:rPr>
        <w:t>），评价工作等级的划分应依据建设项目行业分类和地下水环境敏感程度分级进行判定。</w:t>
      </w:r>
      <w:r>
        <w:t>本</w:t>
      </w:r>
      <w:r>
        <w:rPr>
          <w:rFonts w:hint="eastAsia"/>
        </w:rPr>
        <w:t>项目</w:t>
      </w:r>
      <w:r>
        <w:t>属于</w:t>
      </w:r>
      <w:r>
        <w:rPr>
          <w:rFonts w:hint="eastAsia"/>
        </w:rPr>
        <w:t>橡胶和塑料制品、专用化学品制造项目</w:t>
      </w:r>
      <w:r>
        <w:t>，地下水环境影响评价项目类别为</w:t>
      </w:r>
      <w:r>
        <w:rPr>
          <w:rFonts w:hint="eastAsia"/>
        </w:rPr>
        <w:t>Ⅰ</w:t>
      </w:r>
      <w:r>
        <w:t>类，地下水评价等级判定依据见表</w:t>
      </w:r>
      <w:r>
        <w:rPr>
          <w:rFonts w:hint="eastAsia"/>
        </w:rPr>
        <w:t>2.5-7</w:t>
      </w:r>
      <w:r>
        <w:t>、表</w:t>
      </w:r>
      <w:r>
        <w:rPr>
          <w:rFonts w:hint="eastAsia"/>
        </w:rPr>
        <w:t>2.5-8</w:t>
      </w:r>
      <w:r>
        <w:t>。</w:t>
      </w:r>
    </w:p>
    <w:p>
      <w:pPr>
        <w:ind w:firstLine="0" w:firstLineChars="0"/>
        <w:jc w:val="center"/>
        <w:rPr>
          <w:b/>
          <w:bCs/>
        </w:rPr>
      </w:pPr>
      <w:r>
        <w:rPr>
          <w:rFonts w:hint="eastAsia"/>
          <w:b/>
          <w:bCs/>
        </w:rPr>
        <w:t>表2.5-7  地下水环境敏感程度分级表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8"/>
        <w:gridCol w:w="8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pStyle w:val="38"/>
              <w:rPr>
                <w:rFonts w:hint="default"/>
              </w:rPr>
            </w:pPr>
            <w:r>
              <w:t>敏感程度</w:t>
            </w:r>
          </w:p>
        </w:tc>
        <w:tc>
          <w:tcPr>
            <w:tcW w:w="8150" w:type="dxa"/>
            <w:vAlign w:val="center"/>
          </w:tcPr>
          <w:p>
            <w:pPr>
              <w:pStyle w:val="38"/>
              <w:rPr>
                <w:rFonts w:hint="default"/>
              </w:rPr>
            </w:pPr>
            <w:r>
              <w:t>地下水环境敏感特征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pStyle w:val="38"/>
              <w:rPr>
                <w:rFonts w:hint="default"/>
              </w:rPr>
            </w:pPr>
            <w:r>
              <w:t>敏感</w:t>
            </w:r>
          </w:p>
        </w:tc>
        <w:tc>
          <w:tcPr>
            <w:tcW w:w="8150" w:type="dxa"/>
            <w:vAlign w:val="center"/>
          </w:tcPr>
          <w:p>
            <w:pPr>
              <w:pStyle w:val="38"/>
              <w:jc w:val="both"/>
              <w:rPr>
                <w:rFonts w:hint="default"/>
              </w:rPr>
            </w:pPr>
            <w:r>
              <w:t>集中式饮用水水源（包括已建成的在用、备用、应急水源，在建和规划的饮用水水源）准保护区；除集中式饮用水水源以外的国家或地方政府设定的与地下水环境相关的其它保护区，如热水、矿泉水、温泉等特殊地下水资源保护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pStyle w:val="38"/>
              <w:rPr>
                <w:rFonts w:hint="default"/>
              </w:rPr>
            </w:pPr>
            <w:r>
              <w:t>较敏感</w:t>
            </w:r>
          </w:p>
        </w:tc>
        <w:tc>
          <w:tcPr>
            <w:tcW w:w="8150" w:type="dxa"/>
            <w:vAlign w:val="center"/>
          </w:tcPr>
          <w:p>
            <w:pPr>
              <w:pStyle w:val="38"/>
              <w:jc w:val="both"/>
              <w:rPr>
                <w:rFonts w:hint="default"/>
              </w:rPr>
            </w:pPr>
            <w:r>
              <w:t>集中式饮用水水源（包括已建成的在用、备用、应急水源，在建和规划的饮用水水源）准保护区以外的补给径流区；未划定准保护区的集中水式饮用水水源，其保护区以外的补给径流区；分散式饮用水水源地；特殊地下水资源（如矿泉水、温泉等）保护区以外的分布区等其他未列入上述敏感分级的环境敏感区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pStyle w:val="38"/>
              <w:rPr>
                <w:rFonts w:hint="default"/>
              </w:rPr>
            </w:pPr>
            <w:r>
              <w:t>不敏感</w:t>
            </w:r>
          </w:p>
        </w:tc>
        <w:tc>
          <w:tcPr>
            <w:tcW w:w="8150" w:type="dxa"/>
            <w:vAlign w:val="center"/>
          </w:tcPr>
          <w:p>
            <w:pPr>
              <w:pStyle w:val="38"/>
              <w:jc w:val="both"/>
              <w:rPr>
                <w:rFonts w:hint="default"/>
              </w:rPr>
            </w:pPr>
            <w:r>
              <w:t>上述地区之外的其它地区。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8" w:type="dxa"/>
            <w:gridSpan w:val="2"/>
            <w:vAlign w:val="center"/>
          </w:tcPr>
          <w:p>
            <w:pPr>
              <w:pStyle w:val="38"/>
              <w:jc w:val="both"/>
              <w:rPr>
                <w:rFonts w:hint="default"/>
              </w:rPr>
            </w:pPr>
            <w:r>
              <w:t>注：a</w:t>
            </w:r>
            <w:r>
              <w:rPr>
                <w:rFonts w:hint="eastAsia"/>
                <w:lang w:eastAsia="zh-CN"/>
              </w:rPr>
              <w:t>“</w:t>
            </w:r>
            <w:r>
              <w:t>环境敏感区</w:t>
            </w:r>
            <w:r>
              <w:rPr>
                <w:rFonts w:hint="eastAsia"/>
                <w:lang w:eastAsia="zh-CN"/>
              </w:rPr>
              <w:t>”</w:t>
            </w:r>
            <w:r>
              <w:t>是指《建设项目环境影响评价分类管理名录》中所界定的涉及地下水的环境敏感区。</w:t>
            </w:r>
          </w:p>
        </w:tc>
      </w:tr>
    </w:tbl>
    <w:p>
      <w:pPr>
        <w:ind w:firstLine="0" w:firstLineChars="0"/>
        <w:jc w:val="center"/>
        <w:rPr>
          <w:b/>
          <w:bCs/>
        </w:rPr>
      </w:pPr>
      <w:r>
        <w:rPr>
          <w:rFonts w:hint="eastAsia"/>
          <w:b/>
          <w:bCs/>
        </w:rPr>
        <w:t>表2.5-8  评价工作等级分级表</w:t>
      </w:r>
    </w:p>
    <w:tbl>
      <w:tblPr>
        <w:tblStyle w:val="2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13"/>
        <w:gridCol w:w="2629"/>
        <w:gridCol w:w="2323"/>
        <w:gridCol w:w="23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pct"/>
          </w:tcPr>
          <w:p>
            <w:pPr>
              <w:pStyle w:val="38"/>
              <w:rPr>
                <w:rFonts w:hint="default"/>
              </w:rPr>
            </w:pPr>
            <w:r>
              <w:t>环境敏感程度</w:t>
            </w:r>
          </w:p>
        </w:tc>
        <w:tc>
          <w:tcPr>
            <w:tcW w:w="1415" w:type="pct"/>
          </w:tcPr>
          <w:p>
            <w:pPr>
              <w:pStyle w:val="38"/>
              <w:rPr>
                <w:rFonts w:hint="default"/>
              </w:rPr>
            </w:pPr>
            <w:r>
              <w:t>Ⅰ类项目</w:t>
            </w:r>
          </w:p>
        </w:tc>
        <w:tc>
          <w:tcPr>
            <w:tcW w:w="1250" w:type="pct"/>
          </w:tcPr>
          <w:p>
            <w:pPr>
              <w:pStyle w:val="38"/>
              <w:rPr>
                <w:rFonts w:hint="default"/>
              </w:rPr>
            </w:pPr>
            <w:r>
              <w:t>Ⅱ类项目</w:t>
            </w:r>
          </w:p>
        </w:tc>
        <w:tc>
          <w:tcPr>
            <w:tcW w:w="1250" w:type="pct"/>
          </w:tcPr>
          <w:p>
            <w:pPr>
              <w:pStyle w:val="38"/>
              <w:rPr>
                <w:rFonts w:hint="default"/>
              </w:rPr>
            </w:pPr>
            <w:r>
              <w:t>Ⅲ类项目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pct"/>
          </w:tcPr>
          <w:p>
            <w:pPr>
              <w:pStyle w:val="38"/>
              <w:rPr>
                <w:rFonts w:hint="default"/>
              </w:rPr>
            </w:pPr>
            <w:r>
              <w:t>敏感</w:t>
            </w:r>
          </w:p>
        </w:tc>
        <w:tc>
          <w:tcPr>
            <w:tcW w:w="1415" w:type="pct"/>
          </w:tcPr>
          <w:p>
            <w:pPr>
              <w:pStyle w:val="38"/>
              <w:rPr>
                <w:rFonts w:hint="default"/>
              </w:rPr>
            </w:pPr>
            <w:r>
              <w:t>一</w:t>
            </w:r>
          </w:p>
        </w:tc>
        <w:tc>
          <w:tcPr>
            <w:tcW w:w="1250" w:type="pct"/>
          </w:tcPr>
          <w:p>
            <w:pPr>
              <w:pStyle w:val="38"/>
              <w:rPr>
                <w:rFonts w:hint="default"/>
              </w:rPr>
            </w:pPr>
            <w:r>
              <w:t>一</w:t>
            </w:r>
          </w:p>
        </w:tc>
        <w:tc>
          <w:tcPr>
            <w:tcW w:w="1250" w:type="pct"/>
          </w:tcPr>
          <w:p>
            <w:pPr>
              <w:pStyle w:val="38"/>
              <w:rPr>
                <w:rFonts w:hint="default"/>
              </w:rPr>
            </w:pPr>
            <w:r>
              <w:t>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pct"/>
          </w:tcPr>
          <w:p>
            <w:pPr>
              <w:pStyle w:val="38"/>
              <w:rPr>
                <w:rFonts w:hint="default"/>
              </w:rPr>
            </w:pPr>
            <w:r>
              <w:t>较敏感</w:t>
            </w:r>
          </w:p>
        </w:tc>
        <w:tc>
          <w:tcPr>
            <w:tcW w:w="1415" w:type="pct"/>
            <w:shd w:val="clear" w:color="auto" w:fill="auto"/>
          </w:tcPr>
          <w:p>
            <w:pPr>
              <w:pStyle w:val="38"/>
              <w:rPr>
                <w:rFonts w:hint="default"/>
              </w:rPr>
            </w:pPr>
            <w:r>
              <w:t>一</w:t>
            </w:r>
          </w:p>
        </w:tc>
        <w:tc>
          <w:tcPr>
            <w:tcW w:w="1250" w:type="pct"/>
          </w:tcPr>
          <w:p>
            <w:pPr>
              <w:pStyle w:val="38"/>
              <w:rPr>
                <w:rFonts w:hint="default"/>
              </w:rPr>
            </w:pPr>
            <w:r>
              <w:t>二</w:t>
            </w:r>
          </w:p>
        </w:tc>
        <w:tc>
          <w:tcPr>
            <w:tcW w:w="1250" w:type="pct"/>
          </w:tcPr>
          <w:p>
            <w:pPr>
              <w:pStyle w:val="38"/>
              <w:rPr>
                <w:rFonts w:hint="default"/>
              </w:rPr>
            </w:pPr>
            <w:r>
              <w:t>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4" w:type="pct"/>
          </w:tcPr>
          <w:p>
            <w:pPr>
              <w:pStyle w:val="38"/>
              <w:rPr>
                <w:rFonts w:hint="default"/>
              </w:rPr>
            </w:pPr>
            <w:r>
              <w:t>不敏感</w:t>
            </w:r>
          </w:p>
        </w:tc>
        <w:tc>
          <w:tcPr>
            <w:tcW w:w="1415" w:type="pct"/>
            <w:shd w:val="clear" w:color="auto" w:fill="FF0000"/>
          </w:tcPr>
          <w:p>
            <w:pPr>
              <w:pStyle w:val="38"/>
              <w:rPr>
                <w:rFonts w:hint="default"/>
              </w:rPr>
            </w:pPr>
            <w:r>
              <w:t>二</w:t>
            </w:r>
          </w:p>
        </w:tc>
        <w:tc>
          <w:tcPr>
            <w:tcW w:w="1250" w:type="pct"/>
          </w:tcPr>
          <w:p>
            <w:pPr>
              <w:pStyle w:val="38"/>
              <w:rPr>
                <w:rFonts w:hint="default"/>
              </w:rPr>
            </w:pPr>
            <w:r>
              <w:t>三</w:t>
            </w:r>
          </w:p>
        </w:tc>
        <w:tc>
          <w:tcPr>
            <w:tcW w:w="1250" w:type="pct"/>
            <w:shd w:val="clear" w:color="auto" w:fill="auto"/>
          </w:tcPr>
          <w:p>
            <w:pPr>
              <w:pStyle w:val="38"/>
              <w:rPr>
                <w:rFonts w:hint="default"/>
              </w:rPr>
            </w:pPr>
            <w:r>
              <w:t>三</w:t>
            </w:r>
          </w:p>
        </w:tc>
      </w:tr>
    </w:tbl>
    <w:p>
      <w:pPr>
        <w:pStyle w:val="25"/>
        <w:widowControl/>
        <w:spacing w:beforeAutospacing="0" w:afterAutospacing="0"/>
        <w:ind w:firstLine="480"/>
        <w:jc w:val="both"/>
        <w:rPr>
          <w:u w:val="single"/>
        </w:rPr>
      </w:pPr>
      <w:r>
        <w:rPr>
          <w:u w:val="single"/>
        </w:rPr>
        <w:t>本</w:t>
      </w:r>
      <w:r>
        <w:rPr>
          <w:rFonts w:hint="eastAsia"/>
          <w:u w:val="single"/>
        </w:rPr>
        <w:t>项目</w:t>
      </w:r>
      <w:r>
        <w:rPr>
          <w:u w:val="single"/>
        </w:rPr>
        <w:t>属于</w:t>
      </w:r>
      <w:r>
        <w:rPr>
          <w:rFonts w:hint="eastAsia"/>
          <w:u w:val="single"/>
        </w:rPr>
        <w:t>Ⅰ</w:t>
      </w:r>
      <w:r>
        <w:rPr>
          <w:u w:val="single"/>
        </w:rPr>
        <w:t>类项目，且位于</w:t>
      </w:r>
      <w:r>
        <w:rPr>
          <w:rFonts w:hint="eastAsia"/>
          <w:u w:val="single"/>
          <w:lang w:eastAsia="zh-CN"/>
        </w:rPr>
        <w:t>不</w:t>
      </w:r>
      <w:r>
        <w:rPr>
          <w:rFonts w:hint="eastAsia"/>
          <w:u w:val="single"/>
        </w:rPr>
        <w:t>敏感</w:t>
      </w:r>
      <w:r>
        <w:rPr>
          <w:u w:val="single"/>
        </w:rPr>
        <w:t>区域</w:t>
      </w:r>
      <w:r>
        <w:rPr>
          <w:rFonts w:hint="eastAsia" w:ascii="宋体" w:hAnsi="宋体" w:cs="宋体"/>
          <w:color w:val="000000"/>
          <w:u w:val="single"/>
          <w:lang w:bidi="ar"/>
        </w:rPr>
        <w:t>。根据本项目所在区域的地下水含水组的岩性特征与埋藏规律可知，地下水整体流向为由</w:t>
      </w:r>
      <w:r>
        <w:rPr>
          <w:rFonts w:hint="eastAsia" w:ascii="宋体" w:hAnsi="宋体" w:cs="宋体"/>
          <w:color w:val="000000"/>
          <w:u w:val="single"/>
          <w:lang w:eastAsia="zh-CN" w:bidi="ar"/>
        </w:rPr>
        <w:t>西南向东北</w:t>
      </w:r>
      <w:r>
        <w:rPr>
          <w:rFonts w:hint="eastAsia" w:ascii="宋体" w:hAnsi="宋体" w:cs="宋体"/>
          <w:color w:val="000000"/>
          <w:u w:val="single"/>
          <w:lang w:bidi="ar"/>
        </w:rPr>
        <w:t>方向，地下水补给地表水。项目位于产业集聚区，周边均为工业用地</w:t>
      </w:r>
      <w:r>
        <w:rPr>
          <w:color w:val="000000"/>
          <w:u w:val="single"/>
          <w:lang w:bidi="ar"/>
        </w:rPr>
        <w:t>，属于《建设项目分类管理名录》（2021年版）</w:t>
      </w:r>
      <w:r>
        <w:rPr>
          <w:rFonts w:hint="eastAsia"/>
          <w:color w:val="000000"/>
          <w:u w:val="single"/>
          <w:lang w:bidi="ar"/>
        </w:rPr>
        <w:t>中环境敏感区，</w:t>
      </w:r>
      <w:r>
        <w:rPr>
          <w:rFonts w:hint="eastAsia" w:ascii="宋体" w:hAnsi="宋体" w:cs="宋体"/>
          <w:color w:val="000000"/>
          <w:u w:val="single"/>
          <w:lang w:bidi="ar"/>
        </w:rPr>
        <w:t>因此项目环境敏感程度为</w:t>
      </w:r>
      <w:r>
        <w:rPr>
          <w:rFonts w:hint="eastAsia"/>
          <w:u w:val="single"/>
          <w:lang w:eastAsia="zh-CN"/>
        </w:rPr>
        <w:t>不</w:t>
      </w:r>
      <w:r>
        <w:rPr>
          <w:rFonts w:hint="eastAsia"/>
          <w:u w:val="single"/>
        </w:rPr>
        <w:t>敏感</w:t>
      </w:r>
      <w:r>
        <w:rPr>
          <w:rFonts w:hint="eastAsia" w:ascii="宋体" w:hAnsi="宋体" w:cs="宋体"/>
          <w:color w:val="000000"/>
          <w:u w:val="single"/>
          <w:lang w:bidi="ar"/>
        </w:rPr>
        <w:t>。</w:t>
      </w:r>
      <w:r>
        <w:rPr>
          <w:u w:val="single"/>
        </w:rPr>
        <w:t>对照表</w:t>
      </w:r>
      <w:r>
        <w:rPr>
          <w:rFonts w:hint="eastAsia"/>
          <w:u w:val="single"/>
        </w:rPr>
        <w:t>2.5-</w:t>
      </w:r>
      <w:r>
        <w:rPr>
          <w:rFonts w:hint="eastAsia"/>
          <w:u w:val="single"/>
          <w:lang w:val="en-US" w:eastAsia="zh-CN"/>
        </w:rPr>
        <w:t>7</w:t>
      </w:r>
      <w:r>
        <w:rPr>
          <w:u w:val="single"/>
        </w:rPr>
        <w:t>和表</w:t>
      </w:r>
      <w:r>
        <w:rPr>
          <w:rFonts w:hint="eastAsia"/>
          <w:u w:val="single"/>
        </w:rPr>
        <w:t>2.5-</w:t>
      </w:r>
      <w:r>
        <w:rPr>
          <w:rFonts w:hint="eastAsia"/>
          <w:u w:val="single"/>
          <w:lang w:val="en-US" w:eastAsia="zh-CN"/>
        </w:rPr>
        <w:t>8</w:t>
      </w:r>
      <w:r>
        <w:rPr>
          <w:u w:val="single"/>
        </w:rPr>
        <w:t>确定本项目地下水评价等级为</w:t>
      </w:r>
      <w:r>
        <w:rPr>
          <w:rFonts w:hint="eastAsia"/>
          <w:u w:val="single"/>
        </w:rPr>
        <w:t>二</w:t>
      </w:r>
      <w:r>
        <w:rPr>
          <w:u w:val="single"/>
        </w:rPr>
        <w:t>级。依据《环境影响评价技术导则 地下水环境》（HJ610-2016）中</w:t>
      </w:r>
      <w:r>
        <w:rPr>
          <w:rFonts w:hint="eastAsia"/>
          <w:u w:val="single"/>
        </w:rPr>
        <w:t>自定义法</w:t>
      </w:r>
      <w:r>
        <w:rPr>
          <w:u w:val="single"/>
        </w:rPr>
        <w:t>，确定本项目地下水评价范围为</w:t>
      </w:r>
      <w:r>
        <w:rPr>
          <w:rFonts w:hint="eastAsia"/>
          <w:u w:val="single"/>
          <w:lang w:eastAsia="zh-CN"/>
        </w:rPr>
        <w:t>10.623</w:t>
      </w:r>
      <w:r>
        <w:rPr>
          <w:u w:val="single"/>
        </w:rPr>
        <w:t>km</w:t>
      </w:r>
      <w:r>
        <w:rPr>
          <w:rFonts w:hint="eastAsia"/>
          <w:u w:val="single"/>
          <w:vertAlign w:val="superscript"/>
        </w:rPr>
        <w:t>2</w:t>
      </w:r>
      <w:r>
        <w:rPr>
          <w:u w:val="single"/>
        </w:rPr>
        <w:t>。</w:t>
      </w:r>
    </w:p>
    <w:p>
      <w:pPr>
        <w:pStyle w:val="7"/>
        <w:keepNext w:val="0"/>
        <w:keepLines w:val="0"/>
        <w:autoSpaceDE w:val="0"/>
        <w:autoSpaceDN w:val="0"/>
        <w:ind w:left="480" w:leftChars="200" w:firstLine="0" w:firstLineChars="0"/>
      </w:pPr>
      <w:r>
        <w:rPr>
          <w:rFonts w:hint="eastAsia"/>
        </w:rPr>
        <w:t>2.5.5 土壤环境评价等级</w:t>
      </w:r>
    </w:p>
    <w:p>
      <w:pPr>
        <w:ind w:firstLine="480"/>
      </w:pPr>
      <w:r>
        <w:rPr>
          <w:rFonts w:hint="eastAsia"/>
        </w:rPr>
        <w:t>本项目对照《环境影响评价技术导则土壤环境（试行）》附录</w:t>
      </w:r>
      <w:r>
        <w:t>A</w:t>
      </w:r>
      <w:r>
        <w:rPr>
          <w:rFonts w:hint="eastAsia"/>
        </w:rPr>
        <w:t>，本项目为橡胶和塑料制品、专用化学品制造项目，为I类建设项目。</w:t>
      </w:r>
    </w:p>
    <w:p>
      <w:pPr>
        <w:ind w:firstLine="0" w:firstLineChars="0"/>
        <w:jc w:val="center"/>
        <w:rPr>
          <w:b/>
          <w:bCs/>
        </w:rPr>
      </w:pPr>
      <w:r>
        <w:rPr>
          <w:rFonts w:hint="eastAsia"/>
          <w:b/>
          <w:bCs/>
        </w:rPr>
        <w:t>表2.5-9  土壤环境影响评价分类</w:t>
      </w:r>
    </w:p>
    <w:tbl>
      <w:tblPr>
        <w:tblStyle w:val="28"/>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33"/>
        <w:gridCol w:w="4417"/>
        <w:gridCol w:w="1725"/>
        <w:gridCol w:w="1013"/>
        <w:gridCol w:w="8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333" w:type="dxa"/>
            <w:vMerge w:val="restart"/>
            <w:vAlign w:val="center"/>
          </w:tcPr>
          <w:p>
            <w:pPr>
              <w:pStyle w:val="38"/>
              <w:rPr>
                <w:rFonts w:hint="default"/>
              </w:rPr>
            </w:pPr>
            <w:r>
              <w:rPr>
                <w:rFonts w:hint="default"/>
              </w:rPr>
              <w:t>行业类别</w:t>
            </w:r>
          </w:p>
        </w:tc>
        <w:tc>
          <w:tcPr>
            <w:tcW w:w="7955" w:type="dxa"/>
            <w:gridSpan w:val="4"/>
            <w:vAlign w:val="center"/>
          </w:tcPr>
          <w:p>
            <w:pPr>
              <w:pStyle w:val="38"/>
              <w:rPr>
                <w:rFonts w:hint="default"/>
              </w:rPr>
            </w:pPr>
            <w:r>
              <w:rPr>
                <w:rFonts w:hint="default"/>
              </w:rPr>
              <w:t>环境影响评价类别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333" w:type="dxa"/>
            <w:vMerge w:val="continue"/>
            <w:vAlign w:val="center"/>
          </w:tcPr>
          <w:p>
            <w:pPr>
              <w:pStyle w:val="38"/>
              <w:rPr>
                <w:rFonts w:hint="default"/>
              </w:rPr>
            </w:pPr>
          </w:p>
        </w:tc>
        <w:tc>
          <w:tcPr>
            <w:tcW w:w="4417" w:type="dxa"/>
            <w:vAlign w:val="center"/>
          </w:tcPr>
          <w:p>
            <w:pPr>
              <w:pStyle w:val="38"/>
              <w:rPr>
                <w:rFonts w:hint="default"/>
              </w:rPr>
            </w:pPr>
            <w:r>
              <w:rPr>
                <w:rFonts w:hint="default"/>
              </w:rPr>
              <w:t>I</w:t>
            </w:r>
          </w:p>
        </w:tc>
        <w:tc>
          <w:tcPr>
            <w:tcW w:w="1725" w:type="dxa"/>
            <w:vAlign w:val="center"/>
          </w:tcPr>
          <w:p>
            <w:pPr>
              <w:pStyle w:val="38"/>
              <w:rPr>
                <w:rFonts w:hint="default"/>
              </w:rPr>
            </w:pPr>
            <w:r>
              <w:rPr>
                <w:rFonts w:hint="default"/>
              </w:rPr>
              <w:t>II</w:t>
            </w:r>
          </w:p>
        </w:tc>
        <w:tc>
          <w:tcPr>
            <w:tcW w:w="1013" w:type="dxa"/>
            <w:vAlign w:val="center"/>
          </w:tcPr>
          <w:p>
            <w:pPr>
              <w:pStyle w:val="38"/>
              <w:rPr>
                <w:rFonts w:hint="default"/>
              </w:rPr>
            </w:pPr>
            <w:r>
              <w:rPr>
                <w:rFonts w:hint="default"/>
              </w:rPr>
              <w:t>III</w:t>
            </w:r>
          </w:p>
        </w:tc>
        <w:tc>
          <w:tcPr>
            <w:tcW w:w="800" w:type="dxa"/>
            <w:vAlign w:val="center"/>
          </w:tcPr>
          <w:p>
            <w:pPr>
              <w:pStyle w:val="38"/>
              <w:rPr>
                <w:rFonts w:hint="default"/>
              </w:rPr>
            </w:pPr>
            <w:r>
              <w:rPr>
                <w:rFonts w:hint="default"/>
              </w:rPr>
              <w:t>IV</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333" w:type="dxa"/>
            <w:vAlign w:val="center"/>
          </w:tcPr>
          <w:p>
            <w:pPr>
              <w:pStyle w:val="38"/>
              <w:rPr>
                <w:rFonts w:hint="default"/>
              </w:rPr>
            </w:pPr>
            <w:r>
              <w:rPr>
                <w:rFonts w:hint="default"/>
              </w:rPr>
              <w:t>石油、化工</w:t>
            </w:r>
          </w:p>
        </w:tc>
        <w:tc>
          <w:tcPr>
            <w:tcW w:w="4417" w:type="dxa"/>
            <w:vAlign w:val="center"/>
          </w:tcPr>
          <w:p>
            <w:pPr>
              <w:widowControl/>
              <w:spacing w:line="240" w:lineRule="auto"/>
              <w:ind w:firstLine="0" w:firstLineChars="0"/>
              <w:jc w:val="center"/>
              <w:rPr>
                <w:sz w:val="21"/>
                <w:szCs w:val="21"/>
              </w:rPr>
            </w:pPr>
            <w:r>
              <w:rPr>
                <w:rFonts w:hint="eastAsia"/>
                <w:color w:val="000000"/>
                <w:sz w:val="21"/>
                <w:szCs w:val="21"/>
                <w:lang w:bidi="ar"/>
              </w:rPr>
              <w:t>石油加工、炼焦；化学原料和化学制品制造；农药制造；涂料、染料、颜料、油墨及其类似产品制造；合成材料制造；炸药、火工及焰火产品制造；水处理剂等制造；化学药品制造；生物、生化制品制造</w:t>
            </w:r>
          </w:p>
        </w:tc>
        <w:tc>
          <w:tcPr>
            <w:tcW w:w="1725" w:type="dxa"/>
            <w:vAlign w:val="center"/>
          </w:tcPr>
          <w:p>
            <w:pPr>
              <w:pStyle w:val="38"/>
              <w:rPr>
                <w:rFonts w:hint="default"/>
              </w:rPr>
            </w:pPr>
            <w:r>
              <w:rPr>
                <w:rFonts w:hint="default"/>
              </w:rPr>
              <w:t>半导体材料、日用化学品制造；化学肥料制造</w:t>
            </w:r>
          </w:p>
        </w:tc>
        <w:tc>
          <w:tcPr>
            <w:tcW w:w="1013" w:type="dxa"/>
            <w:vAlign w:val="center"/>
          </w:tcPr>
          <w:p>
            <w:pPr>
              <w:pStyle w:val="38"/>
              <w:rPr>
                <w:rFonts w:hint="default"/>
              </w:rPr>
            </w:pPr>
            <w:r>
              <w:rPr>
                <w:rFonts w:hint="default"/>
              </w:rPr>
              <w:t>其他</w:t>
            </w:r>
          </w:p>
        </w:tc>
        <w:tc>
          <w:tcPr>
            <w:tcW w:w="800" w:type="dxa"/>
            <w:vAlign w:val="center"/>
          </w:tcPr>
          <w:p>
            <w:pPr>
              <w:pStyle w:val="38"/>
              <w:rPr>
                <w:rFonts w:hint="default"/>
              </w:rPr>
            </w:pPr>
            <w:r>
              <w:t>/</w:t>
            </w:r>
          </w:p>
        </w:tc>
      </w:tr>
    </w:tbl>
    <w:p>
      <w:pPr>
        <w:ind w:firstLine="0" w:firstLineChars="0"/>
        <w:jc w:val="center"/>
        <w:rPr>
          <w:rFonts w:hint="eastAsia"/>
          <w:b/>
          <w:bCs/>
        </w:rPr>
      </w:pPr>
      <w:r>
        <w:rPr>
          <w:rFonts w:hint="eastAsia"/>
          <w:b/>
          <w:bCs/>
        </w:rPr>
        <w:t>表2.5-</w:t>
      </w:r>
      <w:r>
        <w:rPr>
          <w:rFonts w:hint="eastAsia"/>
          <w:b/>
          <w:bCs/>
          <w:lang w:val="en-US" w:eastAsia="zh-CN"/>
        </w:rPr>
        <w:t>10</w:t>
      </w:r>
      <w:r>
        <w:rPr>
          <w:rFonts w:hint="eastAsia"/>
          <w:b/>
          <w:bCs/>
        </w:rPr>
        <w:t xml:space="preserve">  </w:t>
      </w:r>
      <w:r>
        <w:rPr>
          <w:rFonts w:hint="eastAsia"/>
          <w:b/>
          <w:bCs/>
          <w:lang w:val="en-US" w:eastAsia="zh-CN"/>
        </w:rPr>
        <w:t>污染影响型敏感程度分级表</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5"/>
        <w:gridCol w:w="79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45"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b/>
                <w:bCs/>
                <w:sz w:val="21"/>
                <w:szCs w:val="21"/>
                <w:vertAlign w:val="baseline"/>
              </w:rPr>
            </w:pPr>
            <w:r>
              <w:rPr>
                <w:rFonts w:hint="eastAsia"/>
                <w:b/>
                <w:bCs/>
                <w:sz w:val="21"/>
                <w:szCs w:val="21"/>
                <w:vertAlign w:val="baseline"/>
                <w:lang w:val="en-US" w:eastAsia="zh-CN"/>
              </w:rPr>
              <w:t>敏感程度</w:t>
            </w:r>
          </w:p>
        </w:tc>
        <w:tc>
          <w:tcPr>
            <w:tcW w:w="7943" w:type="dxa"/>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b/>
                <w:bCs/>
                <w:sz w:val="21"/>
                <w:szCs w:val="21"/>
                <w:vertAlign w:val="baseline"/>
              </w:rPr>
            </w:pPr>
            <w:r>
              <w:rPr>
                <w:rFonts w:hint="eastAsia"/>
                <w:b/>
                <w:bCs/>
                <w:sz w:val="21"/>
                <w:szCs w:val="21"/>
                <w:vertAlign w:val="baseline"/>
                <w:lang w:val="en-US" w:eastAsia="zh-CN"/>
              </w:rPr>
              <w:t>判别依据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45" w:type="dxa"/>
            <w:vAlign w:val="center"/>
          </w:tcPr>
          <w:p>
            <w:pPr>
              <w:pStyle w:val="40"/>
              <w:spacing w:line="360" w:lineRule="exact"/>
              <w:ind w:firstLine="0" w:firstLineChars="0"/>
              <w:rPr>
                <w:rFonts w:hint="eastAsia"/>
                <w:b/>
                <w:bCs/>
                <w:sz w:val="21"/>
                <w:szCs w:val="21"/>
                <w:vertAlign w:val="baseline"/>
              </w:rPr>
            </w:pPr>
            <w:r>
              <w:rPr>
                <w:rFonts w:ascii="Times New Roman" w:hAnsi="Times New Roman" w:eastAsia="宋体" w:cs="Times New Roman"/>
                <w:sz w:val="21"/>
                <w:szCs w:val="21"/>
              </w:rPr>
              <w:t>敏感</w:t>
            </w:r>
          </w:p>
        </w:tc>
        <w:tc>
          <w:tcPr>
            <w:tcW w:w="7943" w:type="dxa"/>
            <w:vAlign w:val="top"/>
          </w:tcPr>
          <w:p>
            <w:pPr>
              <w:pStyle w:val="40"/>
              <w:spacing w:line="360" w:lineRule="exact"/>
              <w:ind w:firstLine="0" w:firstLineChars="0"/>
              <w:jc w:val="both"/>
              <w:rPr>
                <w:rFonts w:hint="eastAsia" w:ascii="Times New Roman" w:hAnsi="Times New Roman" w:eastAsia="宋体" w:cs="Times New Roman"/>
                <w:sz w:val="21"/>
                <w:szCs w:val="21"/>
              </w:rPr>
            </w:pPr>
            <w:r>
              <w:rPr>
                <w:rFonts w:hint="eastAsia" w:ascii="Times New Roman" w:hAnsi="Times New Roman" w:eastAsia="宋体" w:cs="Times New Roman"/>
                <w:sz w:val="21"/>
                <w:szCs w:val="21"/>
                <w:lang w:val="en-US" w:eastAsia="zh-CN"/>
              </w:rPr>
              <w:t>建设项目周边存在耕地、园地、牧草地、饮用水水源地或居民区、学校、医院、疗养院、养老院等土壤环境敏感目标的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45" w:type="dxa"/>
            <w:vAlign w:val="center"/>
          </w:tcPr>
          <w:p>
            <w:pPr>
              <w:pStyle w:val="40"/>
              <w:spacing w:line="360" w:lineRule="exact"/>
              <w:ind w:firstLine="0" w:firstLineChars="0"/>
              <w:rPr>
                <w:rFonts w:hint="eastAsia"/>
                <w:b/>
                <w:bCs/>
                <w:sz w:val="21"/>
                <w:szCs w:val="21"/>
                <w:vertAlign w:val="baseline"/>
              </w:rPr>
            </w:pPr>
            <w:r>
              <w:rPr>
                <w:rFonts w:ascii="Times New Roman" w:hAnsi="Times New Roman" w:eastAsia="宋体" w:cs="Times New Roman"/>
                <w:sz w:val="21"/>
                <w:szCs w:val="21"/>
              </w:rPr>
              <w:t>较敏感</w:t>
            </w:r>
          </w:p>
        </w:tc>
        <w:tc>
          <w:tcPr>
            <w:tcW w:w="7943" w:type="dxa"/>
            <w:vAlign w:val="top"/>
          </w:tcPr>
          <w:p>
            <w:pPr>
              <w:pStyle w:val="40"/>
              <w:spacing w:line="360" w:lineRule="exact"/>
              <w:ind w:firstLine="0" w:firstLineChars="0"/>
              <w:jc w:val="both"/>
              <w:rPr>
                <w:rFonts w:hint="eastAsia" w:ascii="Times New Roman" w:hAnsi="Times New Roman" w:eastAsia="宋体" w:cs="Times New Roman"/>
                <w:sz w:val="21"/>
                <w:szCs w:val="21"/>
              </w:rPr>
            </w:pPr>
            <w:r>
              <w:rPr>
                <w:rFonts w:hint="eastAsia" w:ascii="Times New Roman" w:hAnsi="Times New Roman" w:eastAsia="宋体" w:cs="Times New Roman"/>
                <w:sz w:val="21"/>
                <w:szCs w:val="21"/>
                <w:lang w:val="en-US" w:eastAsia="zh-CN"/>
              </w:rPr>
              <w:t>建设项目周边存在其他土壤环境敏感目标的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45" w:type="dxa"/>
            <w:vAlign w:val="center"/>
          </w:tcPr>
          <w:p>
            <w:pPr>
              <w:pStyle w:val="40"/>
              <w:spacing w:line="360" w:lineRule="exact"/>
              <w:ind w:firstLine="0" w:firstLineChars="0"/>
              <w:rPr>
                <w:rFonts w:hint="eastAsia"/>
                <w:b/>
                <w:bCs/>
                <w:sz w:val="21"/>
                <w:szCs w:val="21"/>
                <w:vertAlign w:val="baseline"/>
              </w:rPr>
            </w:pPr>
            <w:r>
              <w:rPr>
                <w:rFonts w:ascii="Times New Roman" w:hAnsi="Times New Roman" w:eastAsia="宋体" w:cs="Times New Roman"/>
                <w:sz w:val="21"/>
                <w:szCs w:val="21"/>
              </w:rPr>
              <w:t>不敏感</w:t>
            </w:r>
          </w:p>
        </w:tc>
        <w:tc>
          <w:tcPr>
            <w:tcW w:w="7943" w:type="dxa"/>
            <w:vAlign w:val="top"/>
          </w:tcPr>
          <w:p>
            <w:pPr>
              <w:pStyle w:val="40"/>
              <w:spacing w:line="360" w:lineRule="exact"/>
              <w:ind w:firstLine="0" w:firstLineChars="0"/>
              <w:jc w:val="both"/>
              <w:rPr>
                <w:rFonts w:hint="eastAsia" w:ascii="Times New Roman" w:hAnsi="Times New Roman" w:eastAsia="宋体" w:cs="Times New Roman"/>
                <w:sz w:val="21"/>
                <w:szCs w:val="21"/>
                <w:lang w:eastAsia="zh-CN"/>
              </w:rPr>
            </w:pPr>
            <w:r>
              <w:rPr>
                <w:rFonts w:hint="eastAsia" w:ascii="Times New Roman" w:hAnsi="Times New Roman" w:eastAsia="宋体" w:cs="Times New Roman"/>
                <w:sz w:val="21"/>
                <w:szCs w:val="21"/>
                <w:lang w:eastAsia="zh-CN"/>
              </w:rPr>
              <w:t>其他情况</w:t>
            </w:r>
          </w:p>
        </w:tc>
      </w:tr>
    </w:tbl>
    <w:p>
      <w:pPr>
        <w:pStyle w:val="42"/>
        <w:rPr>
          <w:rFonts w:cs="Times New Roman"/>
          <w:szCs w:val="24"/>
        </w:rPr>
      </w:pPr>
      <w:r>
        <w:rPr>
          <w:rFonts w:cs="Times New Roman"/>
          <w:szCs w:val="24"/>
        </w:rPr>
        <w:t>项目</w:t>
      </w:r>
      <w:r>
        <w:rPr>
          <w:rFonts w:hint="eastAsia" w:cs="Times New Roman"/>
          <w:szCs w:val="24"/>
        </w:rPr>
        <w:t>利用</w:t>
      </w:r>
      <w:r>
        <w:rPr>
          <w:rFonts w:cs="Times New Roman"/>
          <w:szCs w:val="24"/>
        </w:rPr>
        <w:t>已建厂房建设，占地面积为27596.74m</w:t>
      </w:r>
      <w:r>
        <w:rPr>
          <w:rFonts w:cs="Times New Roman"/>
          <w:szCs w:val="24"/>
          <w:vertAlign w:val="superscript"/>
        </w:rPr>
        <w:t>2</w:t>
      </w:r>
      <w:r>
        <w:rPr>
          <w:rFonts w:cs="Times New Roman"/>
          <w:szCs w:val="24"/>
        </w:rPr>
        <w:t>&lt;5hm，占地规模为小型。项目选址于</w:t>
      </w:r>
      <w:r>
        <w:rPr>
          <w:rFonts w:hint="eastAsia"/>
        </w:rPr>
        <w:t>平顶山尼龙新材料产业集聚区</w:t>
      </w:r>
      <w:r>
        <w:rPr>
          <w:rFonts w:cs="Times New Roman"/>
          <w:szCs w:val="24"/>
        </w:rPr>
        <w:t>，土壤环境敏感程度为</w:t>
      </w:r>
      <w:r>
        <w:rPr>
          <w:rFonts w:hint="eastAsia" w:cs="Times New Roman"/>
          <w:szCs w:val="24"/>
        </w:rPr>
        <w:t>不</w:t>
      </w:r>
      <w:r>
        <w:rPr>
          <w:rFonts w:cs="Times New Roman"/>
          <w:szCs w:val="24"/>
        </w:rPr>
        <w:t>敏感。</w:t>
      </w:r>
    </w:p>
    <w:p>
      <w:pPr>
        <w:ind w:firstLine="0" w:firstLineChars="0"/>
        <w:jc w:val="center"/>
        <w:rPr>
          <w:b/>
          <w:bCs/>
        </w:rPr>
      </w:pPr>
      <w:r>
        <w:rPr>
          <w:rFonts w:hint="eastAsia"/>
          <w:b/>
          <w:bCs/>
        </w:rPr>
        <w:t>表2.5-1</w:t>
      </w:r>
      <w:r>
        <w:rPr>
          <w:rFonts w:hint="eastAsia"/>
          <w:b/>
          <w:bCs/>
          <w:lang w:val="en-US" w:eastAsia="zh-CN"/>
        </w:rPr>
        <w:t>1</w:t>
      </w:r>
      <w:r>
        <w:rPr>
          <w:rFonts w:hint="eastAsia"/>
          <w:b/>
          <w:bCs/>
        </w:rPr>
        <w:t xml:space="preserve">  污染影响型评价工作等级划分表</w:t>
      </w:r>
    </w:p>
    <w:tbl>
      <w:tblPr>
        <w:tblStyle w:val="28"/>
        <w:tblW w:w="4998" w:type="pct"/>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673"/>
        <w:gridCol w:w="732"/>
        <w:gridCol w:w="732"/>
        <w:gridCol w:w="737"/>
        <w:gridCol w:w="733"/>
        <w:gridCol w:w="733"/>
        <w:gridCol w:w="737"/>
        <w:gridCol w:w="733"/>
        <w:gridCol w:w="733"/>
        <w:gridCol w:w="7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1439" w:type="pct"/>
            <w:vMerge w:val="restar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敏感程度</w:t>
            </w:r>
          </w:p>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评价工作等级</w:t>
            </w:r>
            <w:r>
              <w:rPr>
                <w:rFonts w:hint="eastAsia" w:ascii="Times New Roman" w:hAnsi="Times New Roman" w:eastAsia="宋体" w:cs="Times New Roman"/>
                <w:sz w:val="21"/>
                <w:szCs w:val="21"/>
                <w:lang w:val="en-US" w:eastAsia="zh-CN"/>
              </w:rPr>
              <w:t>/</w:t>
            </w:r>
            <w:r>
              <w:rPr>
                <w:rFonts w:ascii="Times New Roman" w:hAnsi="Times New Roman" w:eastAsia="宋体" w:cs="Times New Roman"/>
                <w:sz w:val="21"/>
                <w:szCs w:val="21"/>
              </w:rPr>
              <w:t>占地规模</w:t>
            </w:r>
          </w:p>
        </w:tc>
        <w:tc>
          <w:tcPr>
            <w:tcW w:w="1185" w:type="pct"/>
            <w:gridSpan w:val="3"/>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I类</w:t>
            </w:r>
          </w:p>
        </w:tc>
        <w:tc>
          <w:tcPr>
            <w:tcW w:w="1187" w:type="pct"/>
            <w:gridSpan w:val="3"/>
            <w:vAlign w:val="center"/>
          </w:tcPr>
          <w:p>
            <w:pPr>
              <w:pStyle w:val="40"/>
              <w:spacing w:line="360" w:lineRule="exact"/>
              <w:ind w:firstLine="0" w:firstLineChars="0"/>
              <w:rPr>
                <w:rFonts w:ascii="Times New Roman" w:hAnsi="Times New Roman" w:eastAsia="宋体" w:cs="Times New Roman"/>
                <w:sz w:val="21"/>
                <w:szCs w:val="21"/>
              </w:rPr>
            </w:pPr>
            <w:r>
              <w:rPr>
                <w:rFonts w:hint="eastAsia" w:ascii="Times New Roman" w:hAnsi="Times New Roman" w:eastAsia="宋体" w:cs="Times New Roman"/>
                <w:sz w:val="21"/>
                <w:szCs w:val="21"/>
                <w:lang w:eastAsia="zh-CN"/>
              </w:rPr>
              <w:t>Ⅱ类</w:t>
            </w:r>
          </w:p>
        </w:tc>
        <w:tc>
          <w:tcPr>
            <w:tcW w:w="1187" w:type="pct"/>
            <w:gridSpan w:val="3"/>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III类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1439" w:type="pct"/>
            <w:vMerge w:val="continue"/>
            <w:vAlign w:val="center"/>
          </w:tcPr>
          <w:p>
            <w:pPr>
              <w:pStyle w:val="40"/>
              <w:spacing w:line="360" w:lineRule="exact"/>
              <w:ind w:firstLine="0" w:firstLineChars="0"/>
              <w:rPr>
                <w:rFonts w:ascii="Times New Roman" w:hAnsi="Times New Roman" w:eastAsia="宋体" w:cs="Times New Roman"/>
                <w:sz w:val="21"/>
                <w:szCs w:val="21"/>
              </w:rPr>
            </w:pPr>
          </w:p>
        </w:tc>
        <w:tc>
          <w:tcPr>
            <w:tcW w:w="394"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大</w:t>
            </w:r>
          </w:p>
        </w:tc>
        <w:tc>
          <w:tcPr>
            <w:tcW w:w="394"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中</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小</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中</w:t>
            </w:r>
          </w:p>
        </w:tc>
        <w:tc>
          <w:tcPr>
            <w:tcW w:w="397"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小</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中</w:t>
            </w:r>
          </w:p>
        </w:tc>
        <w:tc>
          <w:tcPr>
            <w:tcW w:w="397"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1439"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敏感</w:t>
            </w:r>
          </w:p>
        </w:tc>
        <w:tc>
          <w:tcPr>
            <w:tcW w:w="394"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一级</w:t>
            </w:r>
          </w:p>
        </w:tc>
        <w:tc>
          <w:tcPr>
            <w:tcW w:w="394"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一级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一级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二级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二级</w:t>
            </w:r>
          </w:p>
        </w:tc>
        <w:tc>
          <w:tcPr>
            <w:tcW w:w="397"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二级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三级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三级</w:t>
            </w:r>
          </w:p>
        </w:tc>
        <w:tc>
          <w:tcPr>
            <w:tcW w:w="397"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三级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1439"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较敏感</w:t>
            </w:r>
          </w:p>
        </w:tc>
        <w:tc>
          <w:tcPr>
            <w:tcW w:w="394"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一级</w:t>
            </w:r>
          </w:p>
        </w:tc>
        <w:tc>
          <w:tcPr>
            <w:tcW w:w="394"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一级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二级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二级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二级</w:t>
            </w:r>
          </w:p>
        </w:tc>
        <w:tc>
          <w:tcPr>
            <w:tcW w:w="397"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三级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三级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三级</w:t>
            </w:r>
          </w:p>
        </w:tc>
        <w:tc>
          <w:tcPr>
            <w:tcW w:w="397"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1439"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不敏感</w:t>
            </w:r>
          </w:p>
        </w:tc>
        <w:tc>
          <w:tcPr>
            <w:tcW w:w="394"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一级</w:t>
            </w:r>
          </w:p>
        </w:tc>
        <w:tc>
          <w:tcPr>
            <w:tcW w:w="394"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二级</w:t>
            </w:r>
          </w:p>
        </w:tc>
        <w:tc>
          <w:tcPr>
            <w:tcW w:w="395" w:type="pct"/>
            <w:shd w:val="clear" w:color="auto" w:fill="FF0000"/>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二级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二级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三级</w:t>
            </w:r>
          </w:p>
        </w:tc>
        <w:tc>
          <w:tcPr>
            <w:tcW w:w="397"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三级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三级</w:t>
            </w:r>
          </w:p>
        </w:tc>
        <w:tc>
          <w:tcPr>
            <w:tcW w:w="395"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w:t>
            </w:r>
          </w:p>
        </w:tc>
        <w:tc>
          <w:tcPr>
            <w:tcW w:w="397" w:type="pct"/>
            <w:vAlign w:val="center"/>
          </w:tcPr>
          <w:p>
            <w:pPr>
              <w:pStyle w:val="40"/>
              <w:spacing w:line="360" w:lineRule="exact"/>
              <w:ind w:firstLine="0" w:firstLineChars="0"/>
              <w:rPr>
                <w:rFonts w:ascii="Times New Roman" w:hAnsi="Times New Roman" w:eastAsia="宋体" w:cs="Times New Roman"/>
                <w:sz w:val="21"/>
                <w:szCs w:val="21"/>
              </w:rPr>
            </w:pPr>
            <w:r>
              <w:rPr>
                <w:rFonts w:ascii="Times New Roman" w:hAnsi="Times New Roman" w:eastAsia="宋体" w:cs="Times New Roman"/>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5000" w:type="pct"/>
            <w:gridSpan w:val="10"/>
            <w:vAlign w:val="center"/>
          </w:tcPr>
          <w:p>
            <w:pPr>
              <w:pStyle w:val="40"/>
              <w:spacing w:line="360" w:lineRule="exact"/>
              <w:ind w:firstLine="420"/>
              <w:rPr>
                <w:rFonts w:ascii="Times New Roman" w:hAnsi="Times New Roman" w:eastAsia="宋体" w:cs="Times New Roman"/>
                <w:sz w:val="21"/>
                <w:szCs w:val="21"/>
              </w:rPr>
            </w:pPr>
            <w:r>
              <w:rPr>
                <w:rFonts w:ascii="Times New Roman" w:hAnsi="Times New Roman" w:eastAsia="宋体" w:cs="Times New Roman"/>
                <w:sz w:val="21"/>
                <w:szCs w:val="21"/>
              </w:rPr>
              <w:t>注：</w:t>
            </w:r>
            <w:r>
              <w:rPr>
                <w:rFonts w:hint="eastAsia" w:ascii="Times New Roman" w:hAnsi="Times New Roman" w:eastAsia="宋体" w:cs="Times New Roman"/>
                <w:sz w:val="21"/>
                <w:szCs w:val="21"/>
                <w:lang w:eastAsia="zh-CN"/>
              </w:rPr>
              <w:t>“</w:t>
            </w:r>
            <w:r>
              <w:rPr>
                <w:rFonts w:ascii="Times New Roman" w:hAnsi="Times New Roman" w:eastAsia="宋体" w:cs="Times New Roman"/>
                <w:sz w:val="21"/>
                <w:szCs w:val="21"/>
              </w:rPr>
              <w:t>----</w:t>
            </w:r>
            <w:r>
              <w:rPr>
                <w:rFonts w:hint="eastAsia" w:ascii="Times New Roman" w:hAnsi="Times New Roman" w:eastAsia="宋体" w:cs="Times New Roman"/>
                <w:sz w:val="21"/>
                <w:szCs w:val="21"/>
                <w:lang w:eastAsia="zh-CN"/>
              </w:rPr>
              <w:t>”</w:t>
            </w:r>
            <w:r>
              <w:rPr>
                <w:rFonts w:ascii="Times New Roman" w:hAnsi="Times New Roman" w:eastAsia="宋体" w:cs="Times New Roman"/>
                <w:sz w:val="21"/>
                <w:szCs w:val="21"/>
              </w:rPr>
              <w:t>表示可不开展土壤环境影响评价工作</w:t>
            </w:r>
          </w:p>
        </w:tc>
      </w:tr>
    </w:tbl>
    <w:p>
      <w:pPr>
        <w:pStyle w:val="42"/>
        <w:jc w:val="both"/>
        <w:rPr>
          <w:u w:val="single"/>
        </w:rPr>
      </w:pPr>
      <w:r>
        <w:rPr>
          <w:rFonts w:cs="Times New Roman"/>
          <w:szCs w:val="24"/>
          <w:u w:val="single"/>
        </w:rPr>
        <w:t>本项目土壤环境影响类别为I类，占地规模为小型，土壤环境敏感程度为</w:t>
      </w:r>
      <w:r>
        <w:rPr>
          <w:rFonts w:hint="eastAsia" w:cs="Times New Roman"/>
          <w:szCs w:val="24"/>
          <w:u w:val="single"/>
        </w:rPr>
        <w:t>不</w:t>
      </w:r>
      <w:r>
        <w:rPr>
          <w:rFonts w:cs="Times New Roman"/>
          <w:szCs w:val="24"/>
          <w:u w:val="single"/>
        </w:rPr>
        <w:t>敏感，根据表</w:t>
      </w:r>
      <w:r>
        <w:rPr>
          <w:rFonts w:hint="eastAsia" w:cs="Times New Roman"/>
          <w:szCs w:val="24"/>
          <w:u w:val="single"/>
        </w:rPr>
        <w:t>2.5-10</w:t>
      </w:r>
      <w:r>
        <w:rPr>
          <w:rFonts w:cs="Times New Roman"/>
          <w:szCs w:val="24"/>
          <w:u w:val="single"/>
        </w:rPr>
        <w:t>，本项目</w:t>
      </w:r>
      <w:r>
        <w:rPr>
          <w:rFonts w:hint="eastAsia" w:cs="Times New Roman"/>
          <w:szCs w:val="24"/>
          <w:u w:val="single"/>
        </w:rPr>
        <w:t>土壤评价等级定为</w:t>
      </w:r>
      <w:r>
        <w:rPr>
          <w:rFonts w:cs="Times New Roman"/>
          <w:szCs w:val="24"/>
          <w:u w:val="single"/>
        </w:rPr>
        <w:t>属于二级</w:t>
      </w:r>
      <w:r>
        <w:rPr>
          <w:rFonts w:hint="eastAsia" w:cs="Times New Roman"/>
          <w:szCs w:val="24"/>
          <w:u w:val="single"/>
        </w:rPr>
        <w:t>评价</w:t>
      </w:r>
      <w:r>
        <w:rPr>
          <w:rFonts w:cs="Times New Roman"/>
          <w:szCs w:val="24"/>
          <w:u w:val="single"/>
        </w:rPr>
        <w:t>。</w:t>
      </w:r>
      <w:r>
        <w:rPr>
          <w:u w:val="single"/>
        </w:rPr>
        <w:t xml:space="preserve">依据《环境影响评价技术导则 </w:t>
      </w:r>
      <w:r>
        <w:rPr>
          <w:rFonts w:hint="eastAsia"/>
          <w:u w:val="single"/>
        </w:rPr>
        <w:t>土壤</w:t>
      </w:r>
      <w:r>
        <w:rPr>
          <w:u w:val="single"/>
        </w:rPr>
        <w:t>环境</w:t>
      </w:r>
      <w:r>
        <w:rPr>
          <w:rFonts w:hint="eastAsia"/>
          <w:u w:val="single"/>
        </w:rPr>
        <w:t>（试行）</w:t>
      </w:r>
      <w:r>
        <w:rPr>
          <w:u w:val="single"/>
        </w:rPr>
        <w:t>》（HJ</w:t>
      </w:r>
      <w:r>
        <w:rPr>
          <w:rFonts w:hint="eastAsia"/>
          <w:u w:val="single"/>
        </w:rPr>
        <w:t>964</w:t>
      </w:r>
      <w:r>
        <w:rPr>
          <w:u w:val="single"/>
        </w:rPr>
        <w:t>-201</w:t>
      </w:r>
      <w:r>
        <w:rPr>
          <w:rFonts w:hint="eastAsia"/>
          <w:u w:val="single"/>
        </w:rPr>
        <w:t>8</w:t>
      </w:r>
      <w:r>
        <w:rPr>
          <w:u w:val="single"/>
        </w:rPr>
        <w:t>）中</w:t>
      </w:r>
      <w:r>
        <w:rPr>
          <w:rFonts w:hint="eastAsia"/>
          <w:u w:val="single"/>
        </w:rPr>
        <w:t>要求</w:t>
      </w:r>
      <w:r>
        <w:rPr>
          <w:u w:val="single"/>
        </w:rPr>
        <w:t>，确定本项目</w:t>
      </w:r>
      <w:r>
        <w:rPr>
          <w:rFonts w:hint="eastAsia"/>
          <w:u w:val="single"/>
          <w:lang w:eastAsia="zh-CN"/>
        </w:rPr>
        <w:t>的</w:t>
      </w:r>
      <w:r>
        <w:rPr>
          <w:rFonts w:hint="eastAsia"/>
          <w:u w:val="single"/>
        </w:rPr>
        <w:t>土壤</w:t>
      </w:r>
      <w:r>
        <w:rPr>
          <w:rFonts w:hint="eastAsia"/>
          <w:u w:val="single"/>
          <w:lang w:eastAsia="zh-CN"/>
        </w:rPr>
        <w:t>评价</w:t>
      </w:r>
      <w:r>
        <w:rPr>
          <w:u w:val="single"/>
        </w:rPr>
        <w:t>范围为</w:t>
      </w:r>
      <w:r>
        <w:rPr>
          <w:rFonts w:hint="eastAsia"/>
          <w:u w:val="single"/>
        </w:rPr>
        <w:t>0.</w:t>
      </w:r>
      <w:r>
        <w:rPr>
          <w:rFonts w:hint="eastAsia"/>
          <w:u w:val="single"/>
          <w:lang w:val="en-US" w:eastAsia="zh-CN"/>
        </w:rPr>
        <w:t>2</w:t>
      </w:r>
      <w:r>
        <w:rPr>
          <w:rFonts w:hint="eastAsia"/>
          <w:u w:val="single"/>
        </w:rPr>
        <w:t>km。</w:t>
      </w:r>
    </w:p>
    <w:p>
      <w:pPr>
        <w:pStyle w:val="7"/>
        <w:keepNext w:val="0"/>
        <w:keepLines w:val="0"/>
        <w:autoSpaceDE w:val="0"/>
        <w:autoSpaceDN w:val="0"/>
        <w:ind w:left="480" w:leftChars="200" w:firstLine="0" w:firstLineChars="0"/>
      </w:pPr>
      <w:r>
        <w:rPr>
          <w:rFonts w:hint="eastAsia"/>
        </w:rPr>
        <w:t>2.5.6 环境风险评价等级</w:t>
      </w:r>
    </w:p>
    <w:p>
      <w:pPr>
        <w:ind w:firstLine="480"/>
      </w:pPr>
      <w:r>
        <w:rPr>
          <w:rFonts w:hint="eastAsia"/>
        </w:rPr>
        <w:t>根据《建设项目环境风险评价技术导则》（</w:t>
      </w:r>
      <w:r>
        <w:t>HJ/T169-2018</w:t>
      </w:r>
      <w:r>
        <w:rPr>
          <w:rFonts w:hint="eastAsia"/>
        </w:rPr>
        <w:t>），环境风险评价工作等级划分为一级、二级、三级。根据建设项目涉及的物质及工艺系统危险性和所在地的环境敏感性确定环境风险潜势，按照表</w:t>
      </w:r>
      <w:r>
        <w:t>2.</w:t>
      </w:r>
      <w:r>
        <w:rPr>
          <w:rFonts w:hint="eastAsia"/>
        </w:rPr>
        <w:t>5</w:t>
      </w:r>
      <w:r>
        <w:t>-</w:t>
      </w:r>
      <w:r>
        <w:rPr>
          <w:rFonts w:hint="eastAsia"/>
        </w:rPr>
        <w:t>11确定评价工作等级。风险潜势为Ⅳ及以上，进行一级评价；风险潜势为Ⅲ，进行二级评价；风险潜势为Ⅱ，进行三级评价；风险潜势为Ⅰ，可开展简单分析。</w:t>
      </w:r>
    </w:p>
    <w:p>
      <w:pPr>
        <w:ind w:firstLine="0" w:firstLineChars="0"/>
        <w:jc w:val="center"/>
        <w:rPr>
          <w:b/>
          <w:bCs/>
        </w:rPr>
      </w:pPr>
      <w:r>
        <w:rPr>
          <w:rFonts w:hint="eastAsia"/>
          <w:b/>
          <w:bCs/>
        </w:rPr>
        <w:t>表2.5-11  评价工作等级划分</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3"/>
        <w:gridCol w:w="1874"/>
        <w:gridCol w:w="1853"/>
        <w:gridCol w:w="1853"/>
        <w:gridCol w:w="1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13" w:type="dxa"/>
            <w:vAlign w:val="center"/>
          </w:tcPr>
          <w:p>
            <w:pPr>
              <w:pStyle w:val="38"/>
              <w:rPr>
                <w:rFonts w:hint="default"/>
              </w:rPr>
            </w:pPr>
            <w:r>
              <w:t>环境风险潜势</w:t>
            </w:r>
          </w:p>
        </w:tc>
        <w:tc>
          <w:tcPr>
            <w:tcW w:w="2013" w:type="dxa"/>
            <w:vAlign w:val="center"/>
          </w:tcPr>
          <w:p>
            <w:pPr>
              <w:pStyle w:val="38"/>
              <w:rPr>
                <w:rFonts w:hint="default"/>
              </w:rPr>
            </w:pPr>
            <w:r>
              <w:t>Ⅳ、Ⅳ</w:t>
            </w:r>
            <w:r>
              <w:rPr>
                <w:rFonts w:hint="default"/>
              </w:rPr>
              <w:t>+</w:t>
            </w:r>
          </w:p>
        </w:tc>
        <w:tc>
          <w:tcPr>
            <w:tcW w:w="2013" w:type="dxa"/>
            <w:vAlign w:val="center"/>
          </w:tcPr>
          <w:p>
            <w:pPr>
              <w:pStyle w:val="38"/>
              <w:rPr>
                <w:rFonts w:hint="default"/>
              </w:rPr>
            </w:pPr>
            <w:r>
              <w:t>Ⅲ</w:t>
            </w:r>
          </w:p>
        </w:tc>
        <w:tc>
          <w:tcPr>
            <w:tcW w:w="2013" w:type="dxa"/>
            <w:vAlign w:val="center"/>
          </w:tcPr>
          <w:p>
            <w:pPr>
              <w:pStyle w:val="38"/>
              <w:rPr>
                <w:rFonts w:hint="default"/>
              </w:rPr>
            </w:pPr>
            <w:r>
              <w:t>Ⅱ</w:t>
            </w:r>
          </w:p>
        </w:tc>
        <w:tc>
          <w:tcPr>
            <w:tcW w:w="2014" w:type="dxa"/>
            <w:vAlign w:val="center"/>
          </w:tcPr>
          <w:p>
            <w:pPr>
              <w:pStyle w:val="38"/>
              <w:rPr>
                <w:rFonts w:hint="default"/>
              </w:rPr>
            </w:pPr>
            <w:r>
              <w:t>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13" w:type="dxa"/>
            <w:vAlign w:val="center"/>
          </w:tcPr>
          <w:p>
            <w:pPr>
              <w:pStyle w:val="38"/>
              <w:rPr>
                <w:rFonts w:hint="default"/>
              </w:rPr>
            </w:pPr>
            <w:r>
              <w:t>评价工作等级</w:t>
            </w:r>
          </w:p>
        </w:tc>
        <w:tc>
          <w:tcPr>
            <w:tcW w:w="2013" w:type="dxa"/>
            <w:vAlign w:val="center"/>
          </w:tcPr>
          <w:p>
            <w:pPr>
              <w:pStyle w:val="38"/>
              <w:rPr>
                <w:rFonts w:hint="default"/>
              </w:rPr>
            </w:pPr>
            <w:r>
              <w:t>一</w:t>
            </w:r>
          </w:p>
        </w:tc>
        <w:tc>
          <w:tcPr>
            <w:tcW w:w="2013" w:type="dxa"/>
            <w:vAlign w:val="center"/>
          </w:tcPr>
          <w:p>
            <w:pPr>
              <w:pStyle w:val="38"/>
              <w:rPr>
                <w:rFonts w:hint="default"/>
              </w:rPr>
            </w:pPr>
            <w:r>
              <w:t>二</w:t>
            </w:r>
          </w:p>
        </w:tc>
        <w:tc>
          <w:tcPr>
            <w:tcW w:w="2013" w:type="dxa"/>
            <w:vAlign w:val="center"/>
          </w:tcPr>
          <w:p>
            <w:pPr>
              <w:pStyle w:val="38"/>
              <w:rPr>
                <w:rFonts w:hint="default"/>
              </w:rPr>
            </w:pPr>
            <w:r>
              <w:t>三</w:t>
            </w:r>
          </w:p>
        </w:tc>
        <w:tc>
          <w:tcPr>
            <w:tcW w:w="2014" w:type="dxa"/>
            <w:vAlign w:val="center"/>
          </w:tcPr>
          <w:p>
            <w:pPr>
              <w:pStyle w:val="38"/>
              <w:rPr>
                <w:rFonts w:hint="default"/>
              </w:rPr>
            </w:pPr>
            <w:r>
              <w:t>简单分析a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66" w:type="dxa"/>
            <w:gridSpan w:val="5"/>
            <w:vAlign w:val="center"/>
          </w:tcPr>
          <w:p>
            <w:pPr>
              <w:pStyle w:val="38"/>
              <w:jc w:val="both"/>
              <w:rPr>
                <w:rFonts w:hint="default"/>
              </w:rPr>
            </w:pPr>
            <w:r>
              <w:t>注：a是相对于详细评价工作内容而言，在描述危险物质、环境影响途径、环境危害后果、风险防范措施等方面给出定性的说明。见</w:t>
            </w:r>
            <w:r>
              <w:rPr>
                <w:rFonts w:hint="default"/>
              </w:rPr>
              <w:t>HJ/T169-2018</w:t>
            </w:r>
            <w:r>
              <w:t>附录</w:t>
            </w:r>
            <w:r>
              <w:rPr>
                <w:rFonts w:hint="default"/>
              </w:rPr>
              <w:t>A</w:t>
            </w:r>
            <w:r>
              <w:t>。</w:t>
            </w:r>
          </w:p>
        </w:tc>
      </w:tr>
    </w:tbl>
    <w:p>
      <w:pPr>
        <w:ind w:firstLine="480"/>
      </w:pPr>
      <w:r>
        <w:rPr>
          <w:rFonts w:hint="eastAsia"/>
        </w:rPr>
        <w:t>风险潜势初判：根据《建设项目环境风险评价技术导则》（</w:t>
      </w:r>
      <w:r>
        <w:t>HJ 169-2018</w:t>
      </w:r>
      <w:r>
        <w:rPr>
          <w:rFonts w:hint="eastAsia"/>
        </w:rPr>
        <w:t>）附录</w:t>
      </w:r>
      <w:r>
        <w:t>C</w:t>
      </w:r>
      <w:r>
        <w:rPr>
          <w:rFonts w:hint="eastAsia"/>
        </w:rPr>
        <w:t>，计算本项目所涉及的每种危险物质在厂界内的最大存在总量与其在附录</w:t>
      </w:r>
      <w:r>
        <w:t>B</w:t>
      </w:r>
      <w:r>
        <w:rPr>
          <w:rFonts w:hint="eastAsia"/>
        </w:rPr>
        <w:t>中对应临界量的比值</w:t>
      </w:r>
      <w:r>
        <w:t>Q</w:t>
      </w:r>
      <w:r>
        <w:rPr>
          <w:rFonts w:hint="eastAsia"/>
        </w:rPr>
        <w:t>。当只涉及一种危险物质时，计算该物质的总量与其临界量比值，即为</w:t>
      </w:r>
      <w:r>
        <w:t>Q</w:t>
      </w:r>
      <w:r>
        <w:rPr>
          <w:rFonts w:hint="eastAsia"/>
        </w:rPr>
        <w:t>；当存在多种危险物质时，则按式（</w:t>
      </w:r>
      <w:r>
        <w:t>C.1</w:t>
      </w:r>
      <w:r>
        <w:rPr>
          <w:rFonts w:hint="eastAsia"/>
        </w:rPr>
        <w:t>）计算物质总量与其临界量比值（</w:t>
      </w:r>
      <w:r>
        <w:t>Q</w:t>
      </w:r>
      <w:r>
        <w:rPr>
          <w:rFonts w:hint="eastAsia"/>
        </w:rPr>
        <w:t>）；</w:t>
      </w:r>
    </w:p>
    <w:p>
      <w:pPr>
        <w:ind w:firstLine="480"/>
      </w:pPr>
      <w:r>
        <w:rPr>
          <w:rFonts w:hint="eastAsia"/>
          <w:color w:val="000000" w:themeColor="text1"/>
          <w:position w:val="-34"/>
          <w14:textFill>
            <w14:solidFill>
              <w14:schemeClr w14:val="tx1"/>
            </w14:solidFill>
          </w14:textFill>
        </w:rPr>
        <w:object>
          <v:shape id="_x0000_i1025" o:spt="75" type="#_x0000_t75" style="height:34pt;width:100.45pt;" o:ole="t" filled="f" o:preferrelative="t" stroked="f" coordsize="21600,21600">
            <v:path/>
            <v:fill on="f" focussize="0,0"/>
            <v:stroke on="f"/>
            <v:imagedata r:id="rId23" o:title=""/>
            <o:lock v:ext="edit" aspectratio="t"/>
            <w10:wrap type="none"/>
            <w10:anchorlock/>
          </v:shape>
          <o:OLEObject Type="Embed" ProgID="Equation.3" ShapeID="_x0000_i1025" DrawAspect="Content" ObjectID="_1468075725" r:id="rId22">
            <o:LockedField>false</o:LockedField>
          </o:OLEObject>
        </w:object>
      </w:r>
      <w:r>
        <w:rPr>
          <w:rFonts w:hint="eastAsia"/>
        </w:rPr>
        <w:t xml:space="preserve">                        （</w:t>
      </w:r>
      <w:r>
        <w:t>C.1</w:t>
      </w:r>
      <w:r>
        <w:rPr>
          <w:rFonts w:hint="eastAsia"/>
        </w:rPr>
        <w:t>）</w:t>
      </w:r>
    </w:p>
    <w:p>
      <w:pPr>
        <w:ind w:firstLine="480"/>
      </w:pPr>
      <w:r>
        <w:rPr>
          <w:rFonts w:hint="eastAsia"/>
        </w:rPr>
        <w:t>式中：</w:t>
      </w:r>
      <w:r>
        <w:t>q1</w:t>
      </w:r>
      <w:r>
        <w:rPr>
          <w:rFonts w:hint="eastAsia"/>
        </w:rPr>
        <w:t>，</w:t>
      </w:r>
      <w:r>
        <w:t>q2</w:t>
      </w:r>
      <w:r>
        <w:rPr>
          <w:rFonts w:hint="eastAsia"/>
        </w:rPr>
        <w:t>，</w:t>
      </w:r>
      <w:r>
        <w:t>...</w:t>
      </w:r>
      <w:r>
        <w:rPr>
          <w:rFonts w:hint="eastAsia"/>
        </w:rPr>
        <w:t>，</w:t>
      </w:r>
      <w:r>
        <w:t>qn——</w:t>
      </w:r>
      <w:r>
        <w:rPr>
          <w:rFonts w:hint="eastAsia"/>
        </w:rPr>
        <w:t>每种危险物质的最大存在总量，</w:t>
      </w:r>
      <w:r>
        <w:t>t</w:t>
      </w:r>
      <w:r>
        <w:rPr>
          <w:rFonts w:hint="eastAsia"/>
        </w:rPr>
        <w:t>；</w:t>
      </w:r>
    </w:p>
    <w:p>
      <w:pPr>
        <w:ind w:firstLine="480"/>
      </w:pPr>
      <w:r>
        <w:t>Q1</w:t>
      </w:r>
      <w:r>
        <w:rPr>
          <w:rFonts w:hint="eastAsia"/>
        </w:rPr>
        <w:t>，</w:t>
      </w:r>
      <w:r>
        <w:t>Q2</w:t>
      </w:r>
      <w:r>
        <w:rPr>
          <w:rFonts w:hint="eastAsia"/>
        </w:rPr>
        <w:t>，</w:t>
      </w:r>
      <w:r>
        <w:t>...</w:t>
      </w:r>
      <w:r>
        <w:rPr>
          <w:rFonts w:hint="eastAsia"/>
        </w:rPr>
        <w:t>，</w:t>
      </w:r>
      <w:r>
        <w:t>Qn——</w:t>
      </w:r>
      <w:r>
        <w:rPr>
          <w:rFonts w:hint="eastAsia"/>
        </w:rPr>
        <w:t>每种危险物质的临界量，</w:t>
      </w:r>
      <w:r>
        <w:t>t</w:t>
      </w:r>
      <w:r>
        <w:rPr>
          <w:rFonts w:hint="eastAsia"/>
        </w:rPr>
        <w:t>。</w:t>
      </w:r>
    </w:p>
    <w:p>
      <w:pPr>
        <w:ind w:firstLine="480"/>
      </w:pPr>
      <w:r>
        <w:rPr>
          <w:rFonts w:hint="eastAsia"/>
        </w:rPr>
        <w:t>当</w:t>
      </w:r>
      <w:r>
        <w:t>Q</w:t>
      </w:r>
      <w:r>
        <w:rPr>
          <w:rFonts w:hint="eastAsia"/>
        </w:rPr>
        <w:t>＜</w:t>
      </w:r>
      <w:r>
        <w:t>1</w:t>
      </w:r>
      <w:r>
        <w:rPr>
          <w:rFonts w:hint="eastAsia"/>
        </w:rPr>
        <w:t>时，该项目环境风险潜势为</w:t>
      </w:r>
      <w:r>
        <w:t>1</w:t>
      </w:r>
      <w:r>
        <w:rPr>
          <w:rFonts w:hint="eastAsia"/>
        </w:rPr>
        <w:t>。</w:t>
      </w:r>
    </w:p>
    <w:p>
      <w:pPr>
        <w:ind w:firstLine="480"/>
      </w:pPr>
      <w:r>
        <w:rPr>
          <w:rFonts w:hint="eastAsia"/>
        </w:rPr>
        <w:t>当</w:t>
      </w:r>
      <w:r>
        <w:t>Q≥1</w:t>
      </w:r>
      <w:r>
        <w:rPr>
          <w:rFonts w:hint="eastAsia"/>
        </w:rPr>
        <w:t>时，将</w:t>
      </w:r>
      <w:r>
        <w:t>Q</w:t>
      </w:r>
      <w:r>
        <w:rPr>
          <w:rFonts w:hint="eastAsia"/>
        </w:rPr>
        <w:t>值划分为：（</w:t>
      </w:r>
      <w:r>
        <w:t>1</w:t>
      </w:r>
      <w:r>
        <w:rPr>
          <w:rFonts w:hint="eastAsia"/>
        </w:rPr>
        <w:t>）</w:t>
      </w:r>
      <w:r>
        <w:t>1≤Q</w:t>
      </w:r>
      <w:r>
        <w:rPr>
          <w:rFonts w:hint="eastAsia"/>
        </w:rPr>
        <w:t>＜</w:t>
      </w:r>
      <w:r>
        <w:t>10</w:t>
      </w:r>
      <w:r>
        <w:rPr>
          <w:rFonts w:hint="eastAsia"/>
        </w:rPr>
        <w:t>；（</w:t>
      </w:r>
      <w:r>
        <w:t>2</w:t>
      </w:r>
      <w:r>
        <w:rPr>
          <w:rFonts w:hint="eastAsia"/>
        </w:rPr>
        <w:t>）</w:t>
      </w:r>
      <w:r>
        <w:t>10≤Q</w:t>
      </w:r>
      <w:r>
        <w:rPr>
          <w:rFonts w:hint="eastAsia"/>
        </w:rPr>
        <w:t>＜</w:t>
      </w:r>
      <w:r>
        <w:t>100</w:t>
      </w:r>
      <w:r>
        <w:rPr>
          <w:rFonts w:hint="eastAsia"/>
        </w:rPr>
        <w:t>；（</w:t>
      </w:r>
      <w:r>
        <w:t>3</w:t>
      </w:r>
      <w:r>
        <w:rPr>
          <w:rFonts w:hint="eastAsia"/>
        </w:rPr>
        <w:t>）</w:t>
      </w:r>
      <w:r>
        <w:t>Q≥100</w:t>
      </w:r>
      <w:r>
        <w:rPr>
          <w:rFonts w:hint="eastAsia"/>
        </w:rPr>
        <w:t>。</w:t>
      </w:r>
    </w:p>
    <w:p>
      <w:pPr>
        <w:ind w:firstLine="480"/>
      </w:pPr>
      <w:r>
        <w:t>项目所用原辅材料</w:t>
      </w:r>
      <w:r>
        <w:rPr>
          <w:rFonts w:hint="eastAsia"/>
        </w:rPr>
        <w:t>涉及有毒有害物质为MDI50、碳酸二甲酯、丙烯酸、甲基丙烯酸甲酯、丙烯酸丁酯</w:t>
      </w:r>
      <w:r>
        <w:t>，</w:t>
      </w:r>
      <w:r>
        <w:rPr>
          <w:rFonts w:hint="eastAsia"/>
        </w:rPr>
        <w:t>其储存量较小，</w:t>
      </w:r>
      <w:r>
        <w:t>本项目1≤Q</w:t>
      </w:r>
      <w:r>
        <w:rPr>
          <w:rFonts w:hint="eastAsia"/>
        </w:rPr>
        <w:t>＜</w:t>
      </w:r>
      <w:r>
        <w:t>10，该项目的环境风险潜势为</w:t>
      </w:r>
      <w:r>
        <w:rPr>
          <w:rFonts w:hint="eastAsia"/>
        </w:rPr>
        <w:t>Ⅱ，评价工作等级为三级</w:t>
      </w:r>
      <w:r>
        <w:t>。</w:t>
      </w:r>
    </w:p>
    <w:p>
      <w:pPr>
        <w:pStyle w:val="7"/>
        <w:ind w:firstLine="562"/>
      </w:pPr>
      <w:r>
        <w:rPr>
          <w:rFonts w:hint="eastAsia"/>
        </w:rPr>
        <w:t>2.5.7 评价范围</w:t>
      </w:r>
    </w:p>
    <w:p>
      <w:pPr>
        <w:ind w:firstLine="480"/>
      </w:pPr>
      <w:r>
        <w:rPr>
          <w:rFonts w:hint="eastAsia"/>
        </w:rPr>
        <w:t>根据本项目污染特征、评价等级及当地自然环境状况，确定各环境要素评价等级与评价范围见下表。</w:t>
      </w:r>
    </w:p>
    <w:p>
      <w:pPr>
        <w:ind w:firstLine="0" w:firstLineChars="0"/>
        <w:jc w:val="center"/>
        <w:rPr>
          <w:b/>
          <w:bCs/>
        </w:rPr>
      </w:pPr>
      <w:r>
        <w:rPr>
          <w:rFonts w:hint="eastAsia"/>
          <w:b/>
          <w:bCs/>
        </w:rPr>
        <w:t>表2.5-12  本项目评价范围情况一览表</w:t>
      </w:r>
    </w:p>
    <w:tbl>
      <w:tblPr>
        <w:tblStyle w:val="51"/>
        <w:tblW w:w="5069"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956"/>
        <w:gridCol w:w="1219"/>
        <w:gridCol w:w="1100"/>
        <w:gridCol w:w="5932"/>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19" w:type="pct"/>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序号</w:t>
            </w:r>
          </w:p>
        </w:tc>
        <w:tc>
          <w:tcPr>
            <w:tcW w:w="662" w:type="pct"/>
            <w:tcBorders>
              <w:righ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环境要素</w:t>
            </w:r>
          </w:p>
        </w:tc>
        <w:tc>
          <w:tcPr>
            <w:tcW w:w="597" w:type="pct"/>
            <w:tcBorders>
              <w:lef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评价等级</w:t>
            </w:r>
          </w:p>
        </w:tc>
        <w:tc>
          <w:tcPr>
            <w:tcW w:w="3221" w:type="pct"/>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评价范围</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519" w:type="pct"/>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1</w:t>
            </w:r>
          </w:p>
        </w:tc>
        <w:tc>
          <w:tcPr>
            <w:tcW w:w="662" w:type="pct"/>
            <w:tcBorders>
              <w:righ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环境空气</w:t>
            </w:r>
          </w:p>
        </w:tc>
        <w:tc>
          <w:tcPr>
            <w:tcW w:w="597" w:type="pct"/>
            <w:tcBorders>
              <w:lef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hint="eastAsia" w:cs="Times New Roman"/>
                <w:spacing w:val="0"/>
                <w:kern w:val="21"/>
                <w:position w:val="0"/>
                <w:sz w:val="21"/>
                <w:szCs w:val="21"/>
              </w:rPr>
              <w:t>二</w:t>
            </w:r>
            <w:r>
              <w:rPr>
                <w:rFonts w:cs="Times New Roman"/>
                <w:spacing w:val="0"/>
                <w:kern w:val="21"/>
                <w:position w:val="0"/>
                <w:sz w:val="21"/>
                <w:szCs w:val="21"/>
              </w:rPr>
              <w:t>级</w:t>
            </w:r>
          </w:p>
        </w:tc>
        <w:tc>
          <w:tcPr>
            <w:tcW w:w="3221" w:type="pct"/>
            <w:vAlign w:val="center"/>
          </w:tcPr>
          <w:p>
            <w:pPr>
              <w:spacing w:line="240" w:lineRule="auto"/>
              <w:ind w:firstLine="0" w:firstLineChars="0"/>
              <w:rPr>
                <w:rFonts w:cs="Times New Roman"/>
                <w:spacing w:val="0"/>
                <w:kern w:val="21"/>
                <w:position w:val="0"/>
                <w:sz w:val="21"/>
                <w:szCs w:val="21"/>
              </w:rPr>
            </w:pPr>
            <w:r>
              <w:rPr>
                <w:rFonts w:cs="Times New Roman"/>
                <w:spacing w:val="0"/>
                <w:kern w:val="21"/>
                <w:position w:val="0"/>
                <w:sz w:val="21"/>
                <w:szCs w:val="21"/>
              </w:rPr>
              <w:t>考虑到区域主导风向及附近环境功能环境特征，确定评价范围以项目厂址为中心，边长为5km的矩形区域，区域面积约25km</w:t>
            </w:r>
            <w:r>
              <w:rPr>
                <w:rFonts w:hint="eastAsia" w:cs="Times New Roman"/>
                <w:spacing w:val="0"/>
                <w:kern w:val="21"/>
                <w:position w:val="0"/>
                <w:sz w:val="21"/>
                <w:szCs w:val="21"/>
                <w:vertAlign w:val="superscript"/>
              </w:rPr>
              <w:t>2</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19" w:type="pct"/>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2</w:t>
            </w:r>
          </w:p>
        </w:tc>
        <w:tc>
          <w:tcPr>
            <w:tcW w:w="662" w:type="pct"/>
            <w:tcBorders>
              <w:righ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地表水环境</w:t>
            </w:r>
          </w:p>
        </w:tc>
        <w:tc>
          <w:tcPr>
            <w:tcW w:w="597" w:type="pct"/>
            <w:tcBorders>
              <w:lef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三级</w:t>
            </w:r>
            <w:r>
              <w:rPr>
                <w:rFonts w:hint="eastAsia" w:cs="Times New Roman"/>
                <w:spacing w:val="0"/>
                <w:kern w:val="21"/>
                <w:position w:val="0"/>
                <w:sz w:val="21"/>
                <w:szCs w:val="21"/>
              </w:rPr>
              <w:t>B</w:t>
            </w:r>
          </w:p>
        </w:tc>
        <w:tc>
          <w:tcPr>
            <w:tcW w:w="3221" w:type="pct"/>
            <w:vAlign w:val="center"/>
          </w:tcPr>
          <w:p>
            <w:pPr>
              <w:spacing w:line="240" w:lineRule="auto"/>
              <w:ind w:firstLine="0" w:firstLineChars="0"/>
              <w:jc w:val="center"/>
              <w:rPr>
                <w:rFonts w:cs="Times New Roman"/>
                <w:spacing w:val="0"/>
                <w:kern w:val="21"/>
                <w:position w:val="0"/>
                <w:sz w:val="21"/>
                <w:szCs w:val="21"/>
              </w:rPr>
            </w:pPr>
            <w:r>
              <w:rPr>
                <w:rFonts w:hint="eastAsia" w:cs="Times New Roman"/>
                <w:spacing w:val="0"/>
                <w:kern w:val="21"/>
                <w:position w:val="0"/>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19" w:type="pct"/>
            <w:vAlign w:val="center"/>
          </w:tcPr>
          <w:p>
            <w:pPr>
              <w:spacing w:line="240" w:lineRule="auto"/>
              <w:ind w:firstLine="0" w:firstLineChars="0"/>
              <w:jc w:val="center"/>
              <w:rPr>
                <w:rFonts w:cs="Times New Roman"/>
                <w:spacing w:val="0"/>
                <w:kern w:val="21"/>
                <w:position w:val="0"/>
                <w:sz w:val="21"/>
                <w:szCs w:val="21"/>
                <w:u w:val="single"/>
              </w:rPr>
            </w:pPr>
            <w:r>
              <w:rPr>
                <w:rFonts w:cs="Times New Roman"/>
                <w:spacing w:val="0"/>
                <w:kern w:val="21"/>
                <w:position w:val="0"/>
                <w:sz w:val="21"/>
                <w:szCs w:val="21"/>
                <w:u w:val="single"/>
              </w:rPr>
              <w:t>3</w:t>
            </w:r>
          </w:p>
        </w:tc>
        <w:tc>
          <w:tcPr>
            <w:tcW w:w="662" w:type="pct"/>
            <w:tcBorders>
              <w:right w:val="single" w:color="000000" w:sz="4" w:space="0"/>
            </w:tcBorders>
            <w:vAlign w:val="center"/>
          </w:tcPr>
          <w:p>
            <w:pPr>
              <w:spacing w:line="240" w:lineRule="auto"/>
              <w:ind w:firstLine="0" w:firstLineChars="0"/>
              <w:jc w:val="center"/>
              <w:rPr>
                <w:rFonts w:cs="Times New Roman"/>
                <w:spacing w:val="0"/>
                <w:kern w:val="21"/>
                <w:position w:val="0"/>
                <w:sz w:val="21"/>
                <w:szCs w:val="21"/>
                <w:u w:val="single"/>
              </w:rPr>
            </w:pPr>
            <w:r>
              <w:rPr>
                <w:rFonts w:cs="Times New Roman"/>
                <w:spacing w:val="0"/>
                <w:kern w:val="21"/>
                <w:position w:val="0"/>
                <w:sz w:val="21"/>
                <w:szCs w:val="21"/>
                <w:u w:val="single"/>
              </w:rPr>
              <w:t>地下水环境</w:t>
            </w:r>
          </w:p>
        </w:tc>
        <w:tc>
          <w:tcPr>
            <w:tcW w:w="597" w:type="pct"/>
            <w:tcBorders>
              <w:left w:val="single" w:color="000000" w:sz="4" w:space="0"/>
            </w:tcBorders>
            <w:vAlign w:val="center"/>
          </w:tcPr>
          <w:p>
            <w:pPr>
              <w:spacing w:line="240" w:lineRule="auto"/>
              <w:ind w:firstLine="0" w:firstLineChars="0"/>
              <w:jc w:val="center"/>
              <w:rPr>
                <w:rFonts w:cs="Times New Roman"/>
                <w:spacing w:val="0"/>
                <w:kern w:val="21"/>
                <w:position w:val="0"/>
                <w:sz w:val="21"/>
                <w:szCs w:val="21"/>
                <w:u w:val="single"/>
              </w:rPr>
            </w:pPr>
            <w:r>
              <w:rPr>
                <w:rFonts w:hint="eastAsia" w:cs="Times New Roman"/>
                <w:spacing w:val="0"/>
                <w:kern w:val="21"/>
                <w:position w:val="0"/>
                <w:sz w:val="21"/>
                <w:szCs w:val="21"/>
                <w:u w:val="single"/>
              </w:rPr>
              <w:t>二</w:t>
            </w:r>
            <w:r>
              <w:rPr>
                <w:rFonts w:cs="Times New Roman"/>
                <w:spacing w:val="0"/>
                <w:kern w:val="21"/>
                <w:position w:val="0"/>
                <w:sz w:val="21"/>
                <w:szCs w:val="21"/>
                <w:u w:val="single"/>
              </w:rPr>
              <w:t>级</w:t>
            </w:r>
          </w:p>
        </w:tc>
        <w:tc>
          <w:tcPr>
            <w:tcW w:w="3221" w:type="pct"/>
            <w:vAlign w:val="center"/>
          </w:tcPr>
          <w:p>
            <w:pPr>
              <w:spacing w:line="240" w:lineRule="auto"/>
              <w:ind w:firstLine="0" w:firstLineChars="0"/>
              <w:rPr>
                <w:rFonts w:cs="Times New Roman"/>
                <w:spacing w:val="0"/>
                <w:kern w:val="21"/>
                <w:position w:val="0"/>
                <w:sz w:val="21"/>
                <w:szCs w:val="21"/>
                <w:u w:val="single"/>
              </w:rPr>
            </w:pPr>
            <w:r>
              <w:rPr>
                <w:rFonts w:cs="Times New Roman"/>
                <w:spacing w:val="0"/>
                <w:kern w:val="21"/>
                <w:position w:val="0"/>
                <w:sz w:val="21"/>
                <w:szCs w:val="21"/>
                <w:u w:val="single"/>
              </w:rPr>
              <w:t xml:space="preserve">根据地下水流向，采用自定义法确定地下水评价范围为 </w:t>
            </w:r>
            <w:r>
              <w:rPr>
                <w:rFonts w:hint="eastAsia" w:cs="Times New Roman"/>
                <w:spacing w:val="0"/>
                <w:kern w:val="21"/>
                <w:position w:val="0"/>
                <w:sz w:val="21"/>
                <w:szCs w:val="21"/>
                <w:u w:val="single"/>
                <w:lang w:val="en-US" w:eastAsia="zh-CN"/>
              </w:rPr>
              <w:t>1</w:t>
            </w:r>
            <w:r>
              <w:rPr>
                <w:rFonts w:hint="eastAsia" w:cs="Times New Roman"/>
                <w:spacing w:val="0"/>
                <w:kern w:val="21"/>
                <w:position w:val="0"/>
                <w:sz w:val="21"/>
                <w:szCs w:val="21"/>
                <w:u w:val="single"/>
                <w:lang w:eastAsia="zh-CN"/>
              </w:rPr>
              <w:t>0.623</w:t>
            </w:r>
            <w:r>
              <w:rPr>
                <w:rFonts w:cs="Times New Roman"/>
                <w:spacing w:val="0"/>
                <w:kern w:val="21"/>
                <w:position w:val="0"/>
                <w:sz w:val="21"/>
                <w:szCs w:val="21"/>
                <w:u w:val="single"/>
              </w:rPr>
              <w:t>km</w:t>
            </w:r>
            <w:r>
              <w:rPr>
                <w:rFonts w:hint="eastAsia" w:cs="Times New Roman"/>
                <w:spacing w:val="0"/>
                <w:kern w:val="21"/>
                <w:position w:val="0"/>
                <w:sz w:val="21"/>
                <w:szCs w:val="21"/>
                <w:u w:val="single"/>
                <w:vertAlign w:val="superscript"/>
              </w:rPr>
              <w:t>2</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19" w:type="pct"/>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4</w:t>
            </w:r>
          </w:p>
        </w:tc>
        <w:tc>
          <w:tcPr>
            <w:tcW w:w="662" w:type="pct"/>
            <w:tcBorders>
              <w:righ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声环境</w:t>
            </w:r>
          </w:p>
        </w:tc>
        <w:tc>
          <w:tcPr>
            <w:tcW w:w="597" w:type="pct"/>
            <w:tcBorders>
              <w:lef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三级</w:t>
            </w:r>
          </w:p>
        </w:tc>
        <w:tc>
          <w:tcPr>
            <w:tcW w:w="3221" w:type="pct"/>
            <w:vAlign w:val="center"/>
          </w:tcPr>
          <w:p>
            <w:pPr>
              <w:spacing w:line="240" w:lineRule="auto"/>
              <w:ind w:firstLine="0" w:firstLineChars="0"/>
              <w:rPr>
                <w:rFonts w:cs="Times New Roman"/>
                <w:spacing w:val="0"/>
                <w:kern w:val="21"/>
                <w:position w:val="0"/>
                <w:sz w:val="21"/>
                <w:szCs w:val="21"/>
              </w:rPr>
            </w:pPr>
            <w:r>
              <w:rPr>
                <w:rFonts w:cs="Times New Roman"/>
                <w:spacing w:val="0"/>
                <w:kern w:val="21"/>
                <w:position w:val="0"/>
                <w:sz w:val="21"/>
                <w:szCs w:val="21"/>
              </w:rPr>
              <w:t>厂界四周200m以内的区域</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19" w:type="pct"/>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5</w:t>
            </w:r>
          </w:p>
        </w:tc>
        <w:tc>
          <w:tcPr>
            <w:tcW w:w="662" w:type="pct"/>
            <w:tcBorders>
              <w:righ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土壤环境</w:t>
            </w:r>
          </w:p>
        </w:tc>
        <w:tc>
          <w:tcPr>
            <w:tcW w:w="597" w:type="pct"/>
            <w:tcBorders>
              <w:lef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hint="eastAsia" w:cs="Times New Roman"/>
                <w:spacing w:val="0"/>
                <w:kern w:val="21"/>
                <w:position w:val="0"/>
                <w:sz w:val="21"/>
                <w:szCs w:val="21"/>
              </w:rPr>
              <w:t>二</w:t>
            </w:r>
            <w:r>
              <w:rPr>
                <w:rFonts w:cs="Times New Roman"/>
                <w:spacing w:val="0"/>
                <w:kern w:val="21"/>
                <w:position w:val="0"/>
                <w:sz w:val="21"/>
                <w:szCs w:val="21"/>
              </w:rPr>
              <w:t>级</w:t>
            </w:r>
          </w:p>
        </w:tc>
        <w:tc>
          <w:tcPr>
            <w:tcW w:w="3221" w:type="pct"/>
            <w:vAlign w:val="center"/>
          </w:tcPr>
          <w:p>
            <w:pPr>
              <w:spacing w:line="240" w:lineRule="auto"/>
              <w:ind w:firstLine="0" w:firstLineChars="0"/>
              <w:rPr>
                <w:rFonts w:cs="Times New Roman"/>
                <w:spacing w:val="0"/>
                <w:kern w:val="21"/>
                <w:position w:val="0"/>
                <w:sz w:val="21"/>
                <w:szCs w:val="21"/>
              </w:rPr>
            </w:pPr>
            <w:r>
              <w:rPr>
                <w:rFonts w:cs="Times New Roman"/>
                <w:spacing w:val="0"/>
                <w:kern w:val="21"/>
                <w:position w:val="0"/>
                <w:sz w:val="21"/>
                <w:szCs w:val="21"/>
                <w:u w:val="single"/>
              </w:rPr>
              <w:t>厂址及周围</w:t>
            </w:r>
            <w:r>
              <w:rPr>
                <w:rFonts w:hint="eastAsia" w:cs="Times New Roman"/>
                <w:spacing w:val="0"/>
                <w:kern w:val="21"/>
                <w:position w:val="0"/>
                <w:sz w:val="21"/>
                <w:szCs w:val="21"/>
                <w:u w:val="single"/>
              </w:rPr>
              <w:t>0.</w:t>
            </w:r>
            <w:r>
              <w:rPr>
                <w:rFonts w:hint="eastAsia" w:cs="Times New Roman"/>
                <w:spacing w:val="0"/>
                <w:kern w:val="21"/>
                <w:position w:val="0"/>
                <w:sz w:val="21"/>
                <w:szCs w:val="21"/>
                <w:u w:val="single"/>
                <w:lang w:val="en-US" w:eastAsia="zh-CN"/>
              </w:rPr>
              <w:t>2</w:t>
            </w:r>
            <w:r>
              <w:rPr>
                <w:rFonts w:hint="eastAsia" w:cs="Times New Roman"/>
                <w:spacing w:val="0"/>
                <w:kern w:val="21"/>
                <w:position w:val="0"/>
                <w:sz w:val="21"/>
                <w:szCs w:val="21"/>
                <w:u w:val="single"/>
              </w:rPr>
              <w:t>k</w:t>
            </w:r>
            <w:r>
              <w:rPr>
                <w:rFonts w:cs="Times New Roman"/>
                <w:spacing w:val="0"/>
                <w:kern w:val="21"/>
                <w:position w:val="0"/>
                <w:sz w:val="21"/>
                <w:szCs w:val="21"/>
                <w:u w:val="single"/>
              </w:rPr>
              <w:t>m范围内</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19" w:type="pct"/>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6</w:t>
            </w:r>
          </w:p>
        </w:tc>
        <w:tc>
          <w:tcPr>
            <w:tcW w:w="662" w:type="pct"/>
            <w:tcBorders>
              <w:righ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cs="Times New Roman"/>
                <w:spacing w:val="0"/>
                <w:kern w:val="21"/>
                <w:position w:val="0"/>
                <w:sz w:val="21"/>
                <w:szCs w:val="21"/>
              </w:rPr>
              <w:t>环境风险</w:t>
            </w:r>
            <w:r>
              <w:rPr>
                <w:rFonts w:cs="Times New Roman"/>
                <w:spacing w:val="0"/>
                <w:kern w:val="21"/>
                <w:position w:val="0"/>
                <w:sz w:val="21"/>
                <w:szCs w:val="21"/>
              </w:rPr>
              <w:drawing>
                <wp:inline distT="0" distB="0" distL="0" distR="0">
                  <wp:extent cx="5715" cy="8890"/>
                  <wp:effectExtent l="0" t="0" r="0" b="0"/>
                  <wp:docPr id="22" name="IM 15"/>
                  <wp:cNvGraphicFramePr/>
                  <a:graphic xmlns:a="http://schemas.openxmlformats.org/drawingml/2006/main">
                    <a:graphicData uri="http://schemas.openxmlformats.org/drawingml/2006/picture">
                      <pic:pic xmlns:pic="http://schemas.openxmlformats.org/drawingml/2006/picture">
                        <pic:nvPicPr>
                          <pic:cNvPr id="22" name="IM 15"/>
                          <pic:cNvPicPr/>
                        </pic:nvPicPr>
                        <pic:blipFill>
                          <a:blip r:embed="rId24"/>
                          <a:stretch>
                            <a:fillRect/>
                          </a:stretch>
                        </pic:blipFill>
                        <pic:spPr>
                          <a:xfrm>
                            <a:off x="0" y="0"/>
                            <a:ext cx="6025" cy="9143"/>
                          </a:xfrm>
                          <a:prstGeom prst="rect">
                            <a:avLst/>
                          </a:prstGeom>
                        </pic:spPr>
                      </pic:pic>
                    </a:graphicData>
                  </a:graphic>
                </wp:inline>
              </w:drawing>
            </w:r>
          </w:p>
        </w:tc>
        <w:tc>
          <w:tcPr>
            <w:tcW w:w="597" w:type="pct"/>
            <w:tcBorders>
              <w:left w:val="single" w:color="000000" w:sz="4" w:space="0"/>
            </w:tcBorders>
            <w:vAlign w:val="center"/>
          </w:tcPr>
          <w:p>
            <w:pPr>
              <w:spacing w:line="240" w:lineRule="auto"/>
              <w:ind w:firstLine="0" w:firstLineChars="0"/>
              <w:jc w:val="center"/>
              <w:rPr>
                <w:rFonts w:cs="Times New Roman"/>
                <w:spacing w:val="0"/>
                <w:kern w:val="21"/>
                <w:position w:val="0"/>
                <w:sz w:val="21"/>
                <w:szCs w:val="21"/>
              </w:rPr>
            </w:pPr>
            <w:r>
              <w:rPr>
                <w:rFonts w:hint="eastAsia" w:cs="Times New Roman"/>
                <w:spacing w:val="0"/>
                <w:kern w:val="21"/>
                <w:position w:val="0"/>
                <w:sz w:val="21"/>
                <w:szCs w:val="21"/>
              </w:rPr>
              <w:t>三级</w:t>
            </w:r>
          </w:p>
        </w:tc>
        <w:tc>
          <w:tcPr>
            <w:tcW w:w="3221" w:type="pct"/>
            <w:vAlign w:val="center"/>
          </w:tcPr>
          <w:p>
            <w:pPr>
              <w:spacing w:line="240" w:lineRule="auto"/>
              <w:ind w:firstLine="0" w:firstLineChars="0"/>
              <w:rPr>
                <w:rFonts w:cs="Times New Roman"/>
                <w:spacing w:val="0"/>
                <w:kern w:val="21"/>
                <w:position w:val="0"/>
                <w:sz w:val="21"/>
                <w:szCs w:val="21"/>
              </w:rPr>
            </w:pPr>
            <w:r>
              <w:rPr>
                <w:rFonts w:hint="eastAsia" w:cs="Times New Roman"/>
                <w:spacing w:val="0"/>
                <w:kern w:val="21"/>
                <w:position w:val="0"/>
                <w:sz w:val="21"/>
                <w:szCs w:val="21"/>
              </w:rPr>
              <w:t>参照三级评价项目，项目边界不低于3km</w:t>
            </w:r>
          </w:p>
        </w:tc>
      </w:tr>
    </w:tbl>
    <w:p>
      <w:pPr>
        <w:pStyle w:val="7"/>
        <w:ind w:firstLine="562"/>
      </w:pPr>
      <w:r>
        <w:rPr>
          <w:rFonts w:hint="eastAsia"/>
        </w:rPr>
        <w:t>2.5.8 环境保护目标</w:t>
      </w:r>
    </w:p>
    <w:p>
      <w:pPr>
        <w:widowControl/>
        <w:autoSpaceDE w:val="0"/>
        <w:autoSpaceDN w:val="0"/>
        <w:adjustRightInd w:val="0"/>
        <w:ind w:firstLine="480"/>
        <w:jc w:val="left"/>
        <w:rPr>
          <w:rFonts w:cs="宋体"/>
          <w:color w:val="000000" w:themeColor="text1"/>
          <w:kern w:val="0"/>
          <w:lang w:bidi="ar"/>
          <w14:textFill>
            <w14:solidFill>
              <w14:schemeClr w14:val="tx1"/>
            </w14:solidFill>
          </w14:textFill>
        </w:rPr>
      </w:pPr>
      <w:r>
        <w:rPr>
          <w:rFonts w:hint="eastAsia" w:cs="宋体"/>
          <w:color w:val="000000"/>
          <w:kern w:val="0"/>
          <w:lang w:bidi="ar"/>
        </w:rPr>
        <w:t>经现场勘查，确定建设项目主要环境敏感目标见表</w:t>
      </w:r>
      <w:r>
        <w:rPr>
          <w:rFonts w:cs="宋体"/>
          <w:color w:val="000000"/>
          <w:kern w:val="0"/>
          <w:lang w:bidi="ar"/>
        </w:rPr>
        <w:t>2.</w:t>
      </w:r>
      <w:r>
        <w:rPr>
          <w:rFonts w:hint="eastAsia" w:cs="宋体"/>
          <w:color w:val="000000"/>
          <w:kern w:val="0"/>
          <w:lang w:bidi="ar"/>
        </w:rPr>
        <w:t>5</w:t>
      </w:r>
      <w:r>
        <w:rPr>
          <w:rFonts w:cs="宋体"/>
          <w:color w:val="000000"/>
          <w:kern w:val="0"/>
          <w:lang w:bidi="ar"/>
        </w:rPr>
        <w:t>-</w:t>
      </w:r>
      <w:r>
        <w:rPr>
          <w:rFonts w:hint="eastAsia" w:cs="宋体"/>
          <w:color w:val="000000"/>
          <w:kern w:val="0"/>
          <w:lang w:bidi="ar"/>
        </w:rPr>
        <w:t>13，</w:t>
      </w:r>
      <w:r>
        <w:rPr>
          <w:rFonts w:hint="eastAsia" w:cs="宋体"/>
          <w:color w:val="000000" w:themeColor="text1"/>
          <w:kern w:val="0"/>
          <w:lang w:bidi="ar"/>
          <w14:textFill>
            <w14:solidFill>
              <w14:schemeClr w14:val="tx1"/>
            </w14:solidFill>
          </w14:textFill>
        </w:rPr>
        <w:t>敏感目标分布图见附图</w:t>
      </w:r>
      <w:r>
        <w:rPr>
          <w:rFonts w:cs="宋体"/>
          <w:color w:val="000000" w:themeColor="text1"/>
          <w:kern w:val="0"/>
          <w:lang w:bidi="ar"/>
          <w14:textFill>
            <w14:solidFill>
              <w14:schemeClr w14:val="tx1"/>
            </w14:solidFill>
          </w14:textFill>
        </w:rPr>
        <w:t>5</w:t>
      </w:r>
      <w:r>
        <w:rPr>
          <w:rFonts w:hint="eastAsia" w:cs="宋体"/>
          <w:color w:val="000000" w:themeColor="text1"/>
          <w:kern w:val="0"/>
          <w:lang w:bidi="ar"/>
          <w14:textFill>
            <w14:solidFill>
              <w14:schemeClr w14:val="tx1"/>
            </w14:solidFill>
          </w14:textFill>
        </w:rPr>
        <w:t>。</w:t>
      </w:r>
    </w:p>
    <w:p>
      <w:pPr>
        <w:ind w:firstLine="0" w:firstLineChars="0"/>
        <w:jc w:val="center"/>
        <w:rPr>
          <w:b/>
          <w:bCs/>
        </w:rPr>
      </w:pPr>
      <w:r>
        <w:rPr>
          <w:rFonts w:hint="eastAsia"/>
          <w:b/>
          <w:bCs/>
        </w:rPr>
        <w:t>表2.5-13  环境保护目标一览表</w:t>
      </w:r>
    </w:p>
    <w:tbl>
      <w:tblPr>
        <w:tblStyle w:val="51"/>
        <w:tblW w:w="50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056"/>
        <w:gridCol w:w="1122"/>
        <w:gridCol w:w="783"/>
        <w:gridCol w:w="1441"/>
        <w:gridCol w:w="1013"/>
        <w:gridCol w:w="3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环境要素</w:t>
            </w:r>
          </w:p>
        </w:tc>
        <w:tc>
          <w:tcPr>
            <w:tcW w:w="60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保护目标</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方位</w:t>
            </w:r>
          </w:p>
        </w:tc>
        <w:tc>
          <w:tcPr>
            <w:tcW w:w="778"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距厂界距离（m）</w:t>
            </w:r>
          </w:p>
        </w:tc>
        <w:tc>
          <w:tcPr>
            <w:tcW w:w="54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规模（人）</w:t>
            </w:r>
          </w:p>
        </w:tc>
        <w:tc>
          <w:tcPr>
            <w:tcW w:w="207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环境功能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大气环境</w:t>
            </w:r>
          </w:p>
        </w:tc>
        <w:tc>
          <w:tcPr>
            <w:tcW w:w="606" w:type="pct"/>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eastAsia="zh-CN"/>
              </w:rPr>
              <w:t>贺渡口村</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NW</w:t>
            </w:r>
          </w:p>
        </w:tc>
        <w:tc>
          <w:tcPr>
            <w:tcW w:w="77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2490</w:t>
            </w:r>
          </w:p>
        </w:tc>
        <w:tc>
          <w:tcPr>
            <w:tcW w:w="54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w:t>
            </w:r>
            <w:r>
              <w:rPr>
                <w:rFonts w:hint="eastAsia" w:cs="Times New Roman"/>
                <w:kern w:val="21"/>
                <w:sz w:val="21"/>
                <w:szCs w:val="21"/>
                <w:lang w:val="en-US" w:eastAsia="zh-CN"/>
              </w:rPr>
              <w:t>0</w:t>
            </w:r>
            <w:r>
              <w:rPr>
                <w:rFonts w:cs="Times New Roman"/>
                <w:kern w:val="21"/>
                <w:sz w:val="21"/>
                <w:szCs w:val="21"/>
              </w:rPr>
              <w:t>60</w:t>
            </w:r>
          </w:p>
        </w:tc>
        <w:tc>
          <w:tcPr>
            <w:tcW w:w="2075"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u w:val="single"/>
              </w:rPr>
              <w:t>《环境空气质量标准》（GB3095-2012）</w:t>
            </w:r>
            <w:r>
              <w:rPr>
                <w:rFonts w:hint="eastAsia" w:cs="Times New Roman"/>
                <w:kern w:val="21"/>
                <w:sz w:val="21"/>
                <w:szCs w:val="21"/>
                <w:u w:val="single"/>
                <w:lang w:eastAsia="zh-CN"/>
              </w:rPr>
              <w:t>及修改单</w:t>
            </w:r>
            <w:r>
              <w:rPr>
                <w:rFonts w:cs="Times New Roman"/>
                <w:kern w:val="21"/>
                <w:sz w:val="21"/>
                <w:szCs w:val="21"/>
                <w:u w:val="single"/>
              </w:rPr>
              <w:t>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余营村</w:t>
            </w:r>
          </w:p>
        </w:tc>
        <w:tc>
          <w:tcPr>
            <w:tcW w:w="423"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val="en-US" w:eastAsia="zh-CN"/>
              </w:rPr>
              <w:t>S</w:t>
            </w:r>
            <w:r>
              <w:rPr>
                <w:rFonts w:cs="Times New Roman"/>
                <w:kern w:val="21"/>
                <w:sz w:val="21"/>
                <w:szCs w:val="21"/>
              </w:rPr>
              <w:t>E</w:t>
            </w:r>
          </w:p>
        </w:tc>
        <w:tc>
          <w:tcPr>
            <w:tcW w:w="77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928</w:t>
            </w:r>
          </w:p>
        </w:tc>
        <w:tc>
          <w:tcPr>
            <w:tcW w:w="546"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2000</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龚店镇</w:t>
            </w:r>
          </w:p>
        </w:tc>
        <w:tc>
          <w:tcPr>
            <w:tcW w:w="423" w:type="pct"/>
            <w:vAlign w:val="center"/>
          </w:tcPr>
          <w:p>
            <w:pPr>
              <w:spacing w:line="240" w:lineRule="auto"/>
              <w:ind w:firstLine="0" w:firstLineChars="0"/>
              <w:jc w:val="center"/>
              <w:rPr>
                <w:rFonts w:hint="eastAsia" w:eastAsia="宋体" w:cs="Times New Roman"/>
                <w:kern w:val="21"/>
                <w:sz w:val="21"/>
                <w:szCs w:val="21"/>
                <w:lang w:eastAsia="zh-CN"/>
              </w:rPr>
            </w:pPr>
            <w:r>
              <w:rPr>
                <w:rFonts w:cs="Times New Roman"/>
                <w:kern w:val="21"/>
                <w:sz w:val="21"/>
                <w:szCs w:val="21"/>
              </w:rPr>
              <w:t>S</w:t>
            </w:r>
            <w:r>
              <w:rPr>
                <w:rFonts w:hint="eastAsia" w:cs="Times New Roman"/>
                <w:kern w:val="21"/>
                <w:sz w:val="21"/>
                <w:szCs w:val="21"/>
                <w:lang w:val="en-US" w:eastAsia="zh-CN"/>
              </w:rPr>
              <w:t>W</w:t>
            </w:r>
          </w:p>
        </w:tc>
        <w:tc>
          <w:tcPr>
            <w:tcW w:w="77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1218</w:t>
            </w:r>
          </w:p>
        </w:tc>
        <w:tc>
          <w:tcPr>
            <w:tcW w:w="546" w:type="pct"/>
            <w:vAlign w:val="center"/>
          </w:tcPr>
          <w:p>
            <w:pPr>
              <w:spacing w:line="240" w:lineRule="auto"/>
              <w:ind w:firstLine="0" w:firstLineChars="0"/>
              <w:jc w:val="center"/>
              <w:rPr>
                <w:rFonts w:hint="default" w:eastAsia="宋体" w:cs="Times New Roman"/>
                <w:kern w:val="21"/>
                <w:sz w:val="21"/>
                <w:szCs w:val="21"/>
                <w:lang w:val="en-US" w:eastAsia="zh-CN"/>
              </w:rPr>
            </w:pPr>
            <w:r>
              <w:rPr>
                <w:rFonts w:cs="Times New Roman"/>
                <w:kern w:val="21"/>
                <w:sz w:val="21"/>
                <w:szCs w:val="21"/>
              </w:rPr>
              <w:t>167</w:t>
            </w:r>
            <w:r>
              <w:rPr>
                <w:rFonts w:hint="eastAsia" w:cs="Times New Roman"/>
                <w:kern w:val="21"/>
                <w:sz w:val="21"/>
                <w:szCs w:val="21"/>
                <w:lang w:val="en-US" w:eastAsia="zh-CN"/>
              </w:rPr>
              <w:t>00</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泥河张村</w:t>
            </w:r>
          </w:p>
        </w:tc>
        <w:tc>
          <w:tcPr>
            <w:tcW w:w="423"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val="en-US" w:eastAsia="zh-CN"/>
              </w:rPr>
              <w:t>S</w:t>
            </w:r>
            <w:r>
              <w:rPr>
                <w:rFonts w:cs="Times New Roman"/>
                <w:kern w:val="21"/>
                <w:sz w:val="21"/>
                <w:szCs w:val="21"/>
              </w:rPr>
              <w:t>E</w:t>
            </w:r>
          </w:p>
        </w:tc>
        <w:tc>
          <w:tcPr>
            <w:tcW w:w="77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478</w:t>
            </w:r>
          </w:p>
        </w:tc>
        <w:tc>
          <w:tcPr>
            <w:tcW w:w="54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930</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eastAsia="zh-CN"/>
              </w:rPr>
              <w:t>周庄</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S</w:t>
            </w:r>
          </w:p>
        </w:tc>
        <w:tc>
          <w:tcPr>
            <w:tcW w:w="77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941</w:t>
            </w:r>
          </w:p>
        </w:tc>
        <w:tc>
          <w:tcPr>
            <w:tcW w:w="54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470</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eastAsia="zh-CN"/>
              </w:rPr>
              <w:t>龚西村</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SW</w:t>
            </w:r>
          </w:p>
        </w:tc>
        <w:tc>
          <w:tcPr>
            <w:tcW w:w="77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2062</w:t>
            </w:r>
          </w:p>
        </w:tc>
        <w:tc>
          <w:tcPr>
            <w:tcW w:w="54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370</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tcBorders>
              <w:bottom w:val="single" w:color="000000"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eastAsia="zh-CN"/>
              </w:rPr>
              <w:t>龚东村</w:t>
            </w:r>
          </w:p>
        </w:tc>
        <w:tc>
          <w:tcPr>
            <w:tcW w:w="423" w:type="pct"/>
            <w:tcBorders>
              <w:bottom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SW</w:t>
            </w:r>
          </w:p>
        </w:tc>
        <w:tc>
          <w:tcPr>
            <w:tcW w:w="778" w:type="pct"/>
            <w:tcBorders>
              <w:bottom w:val="single" w:color="000000"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val="en-US" w:eastAsia="zh-CN"/>
              </w:rPr>
              <w:t>14</w:t>
            </w:r>
            <w:r>
              <w:rPr>
                <w:rFonts w:cs="Times New Roman"/>
                <w:kern w:val="21"/>
                <w:sz w:val="21"/>
                <w:szCs w:val="21"/>
              </w:rPr>
              <w:t>40</w:t>
            </w:r>
          </w:p>
        </w:tc>
        <w:tc>
          <w:tcPr>
            <w:tcW w:w="546" w:type="pct"/>
            <w:tcBorders>
              <w:bottom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920</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tcBorders>
              <w:top w:val="single" w:color="000000" w:sz="4" w:space="0"/>
            </w:tcBorders>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eastAsia="zh-CN"/>
              </w:rPr>
              <w:t>台刘村</w:t>
            </w:r>
          </w:p>
        </w:tc>
        <w:tc>
          <w:tcPr>
            <w:tcW w:w="423" w:type="pct"/>
            <w:tcBorders>
              <w:top w:val="single" w:color="000000"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val="en-US" w:eastAsia="zh-CN"/>
              </w:rPr>
              <w:t>S</w:t>
            </w:r>
            <w:r>
              <w:rPr>
                <w:rFonts w:cs="Times New Roman"/>
                <w:kern w:val="21"/>
                <w:sz w:val="21"/>
                <w:szCs w:val="21"/>
              </w:rPr>
              <w:t>E</w:t>
            </w:r>
          </w:p>
        </w:tc>
        <w:tc>
          <w:tcPr>
            <w:tcW w:w="778" w:type="pct"/>
            <w:tcBorders>
              <w:top w:val="single" w:color="000000" w:sz="4" w:space="0"/>
            </w:tcBorders>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2422</w:t>
            </w:r>
          </w:p>
        </w:tc>
        <w:tc>
          <w:tcPr>
            <w:tcW w:w="546" w:type="pct"/>
            <w:tcBorders>
              <w:top w:val="single" w:color="000000"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val="en-US" w:eastAsia="zh-CN"/>
              </w:rPr>
              <w:t>22</w:t>
            </w:r>
            <w:r>
              <w:rPr>
                <w:rFonts w:hint="eastAsia" w:cs="Times New Roman"/>
                <w:kern w:val="21"/>
                <w:sz w:val="21"/>
                <w:szCs w:val="21"/>
              </w:rPr>
              <w:t>50</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eastAsia="zh-CN"/>
              </w:rPr>
              <w:t>楼马村</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NW</w:t>
            </w:r>
          </w:p>
        </w:tc>
        <w:tc>
          <w:tcPr>
            <w:tcW w:w="778" w:type="pct"/>
            <w:vAlign w:val="center"/>
          </w:tcPr>
          <w:p>
            <w:pPr>
              <w:spacing w:line="240" w:lineRule="auto"/>
              <w:ind w:firstLine="0" w:firstLineChars="0"/>
              <w:jc w:val="center"/>
              <w:rPr>
                <w:rFonts w:hint="default" w:eastAsia="宋体" w:cs="Times New Roman"/>
                <w:kern w:val="21"/>
                <w:sz w:val="21"/>
                <w:szCs w:val="21"/>
                <w:lang w:val="en-US" w:eastAsia="zh-CN"/>
              </w:rPr>
            </w:pPr>
            <w:r>
              <w:rPr>
                <w:rFonts w:cs="Times New Roman"/>
                <w:kern w:val="21"/>
                <w:sz w:val="21"/>
                <w:szCs w:val="21"/>
              </w:rPr>
              <w:t>2</w:t>
            </w:r>
            <w:r>
              <w:rPr>
                <w:rFonts w:hint="eastAsia" w:cs="Times New Roman"/>
                <w:kern w:val="21"/>
                <w:sz w:val="21"/>
                <w:szCs w:val="21"/>
                <w:lang w:val="en-US" w:eastAsia="zh-CN"/>
              </w:rPr>
              <w:t>447</w:t>
            </w:r>
          </w:p>
        </w:tc>
        <w:tc>
          <w:tcPr>
            <w:tcW w:w="546"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val="en-US" w:eastAsia="zh-CN"/>
              </w:rPr>
              <w:t>1</w:t>
            </w:r>
            <w:r>
              <w:rPr>
                <w:rFonts w:cs="Times New Roman"/>
                <w:kern w:val="21"/>
                <w:sz w:val="21"/>
                <w:szCs w:val="21"/>
              </w:rPr>
              <w:t>735</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苏科村</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SE</w:t>
            </w:r>
          </w:p>
        </w:tc>
        <w:tc>
          <w:tcPr>
            <w:tcW w:w="778"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1887</w:t>
            </w:r>
          </w:p>
        </w:tc>
        <w:tc>
          <w:tcPr>
            <w:tcW w:w="54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980</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望娘楼</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w:t>
            </w:r>
            <w:r>
              <w:rPr>
                <w:rFonts w:hint="eastAsia" w:cs="Times New Roman"/>
                <w:kern w:val="21"/>
                <w:sz w:val="21"/>
                <w:szCs w:val="21"/>
              </w:rPr>
              <w:t>W</w:t>
            </w:r>
          </w:p>
        </w:tc>
        <w:tc>
          <w:tcPr>
            <w:tcW w:w="778"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1270</w:t>
            </w:r>
          </w:p>
        </w:tc>
        <w:tc>
          <w:tcPr>
            <w:tcW w:w="54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市级文物保护单位</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570"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地表水</w:t>
            </w:r>
          </w:p>
        </w:tc>
        <w:tc>
          <w:tcPr>
            <w:tcW w:w="60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沙河</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NW</w:t>
            </w:r>
          </w:p>
        </w:tc>
        <w:tc>
          <w:tcPr>
            <w:tcW w:w="1324" w:type="pct"/>
            <w:gridSpan w:val="2"/>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24</w:t>
            </w:r>
            <w:r>
              <w:rPr>
                <w:rFonts w:cs="Times New Roman"/>
                <w:kern w:val="21"/>
                <w:sz w:val="21"/>
                <w:szCs w:val="21"/>
              </w:rPr>
              <w:t>20</w:t>
            </w:r>
          </w:p>
        </w:tc>
        <w:tc>
          <w:tcPr>
            <w:tcW w:w="2075" w:type="pct"/>
            <w:vAlign w:val="center"/>
          </w:tcPr>
          <w:p>
            <w:pPr>
              <w:spacing w:line="240" w:lineRule="auto"/>
              <w:ind w:firstLine="0" w:firstLineChars="0"/>
              <w:jc w:val="center"/>
              <w:rPr>
                <w:rFonts w:cs="Times New Roman"/>
                <w:kern w:val="21"/>
                <w:sz w:val="21"/>
                <w:szCs w:val="21"/>
                <w:u w:val="single"/>
              </w:rPr>
            </w:pPr>
            <w:r>
              <w:rPr>
                <w:rFonts w:cs="Times New Roman"/>
                <w:kern w:val="21"/>
                <w:sz w:val="21"/>
                <w:szCs w:val="21"/>
                <w:u w:val="single"/>
              </w:rPr>
              <w:t>《地表水环境质量标准》（GB3838-2002）III类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5"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灰河</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S</w:t>
            </w:r>
          </w:p>
        </w:tc>
        <w:tc>
          <w:tcPr>
            <w:tcW w:w="1324" w:type="pct"/>
            <w:gridSpan w:val="2"/>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val="en-US" w:eastAsia="zh-CN"/>
              </w:rPr>
              <w:t>7</w:t>
            </w:r>
            <w:r>
              <w:rPr>
                <w:rFonts w:hint="eastAsia" w:cs="Times New Roman"/>
                <w:kern w:val="21"/>
                <w:sz w:val="21"/>
                <w:szCs w:val="21"/>
              </w:rPr>
              <w:t>35</w:t>
            </w:r>
            <w:r>
              <w:rPr>
                <w:rFonts w:cs="Times New Roman"/>
                <w:kern w:val="21"/>
                <w:sz w:val="21"/>
                <w:szCs w:val="21"/>
              </w:rPr>
              <w:t>0</w:t>
            </w:r>
          </w:p>
        </w:tc>
        <w:tc>
          <w:tcPr>
            <w:tcW w:w="2075" w:type="pct"/>
            <w:vMerge w:val="restart"/>
            <w:vAlign w:val="center"/>
          </w:tcPr>
          <w:p>
            <w:pPr>
              <w:spacing w:line="240" w:lineRule="auto"/>
              <w:ind w:firstLine="0" w:firstLineChars="0"/>
              <w:jc w:val="center"/>
              <w:rPr>
                <w:rFonts w:cs="Times New Roman"/>
                <w:kern w:val="21"/>
                <w:sz w:val="21"/>
                <w:szCs w:val="21"/>
                <w:u w:val="single"/>
              </w:rPr>
            </w:pPr>
            <w:r>
              <w:rPr>
                <w:rFonts w:cs="Times New Roman"/>
                <w:kern w:val="21"/>
                <w:sz w:val="21"/>
                <w:szCs w:val="21"/>
                <w:u w:val="single"/>
              </w:rPr>
              <w:t>《地表水环境质量标准》（GB3838-2002）</w:t>
            </w:r>
            <w:r>
              <w:rPr>
                <w:rFonts w:hint="eastAsia" w:ascii="宋体" w:hAnsi="宋体" w:eastAsia="宋体" w:cs="宋体"/>
                <w:kern w:val="21"/>
                <w:sz w:val="21"/>
                <w:szCs w:val="21"/>
                <w:u w:val="single"/>
              </w:rPr>
              <w:t>Ⅳ</w:t>
            </w:r>
            <w:r>
              <w:rPr>
                <w:rFonts w:cs="Times New Roman"/>
                <w:kern w:val="21"/>
                <w:sz w:val="21"/>
                <w:szCs w:val="21"/>
                <w:u w:val="single"/>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 w:hRule="atLeast"/>
          <w:jc w:val="center"/>
        </w:trPr>
        <w:tc>
          <w:tcPr>
            <w:tcW w:w="570" w:type="pct"/>
            <w:vMerge w:val="continue"/>
            <w:vAlign w:val="center"/>
          </w:tcPr>
          <w:p>
            <w:pPr>
              <w:spacing w:line="240" w:lineRule="auto"/>
              <w:ind w:firstLine="0" w:firstLineChars="0"/>
              <w:jc w:val="center"/>
              <w:rPr>
                <w:rFonts w:cs="Times New Roman"/>
                <w:kern w:val="21"/>
                <w:sz w:val="21"/>
                <w:szCs w:val="21"/>
              </w:rPr>
            </w:pPr>
          </w:p>
        </w:tc>
        <w:tc>
          <w:tcPr>
            <w:tcW w:w="606" w:type="pct"/>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eastAsia="zh-CN"/>
              </w:rPr>
              <w:t>关庙沟</w:t>
            </w:r>
          </w:p>
        </w:tc>
        <w:tc>
          <w:tcPr>
            <w:tcW w:w="423"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NW</w:t>
            </w:r>
          </w:p>
        </w:tc>
        <w:tc>
          <w:tcPr>
            <w:tcW w:w="1324" w:type="pct"/>
            <w:gridSpan w:val="2"/>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330</w:t>
            </w:r>
          </w:p>
        </w:tc>
        <w:tc>
          <w:tcPr>
            <w:tcW w:w="2075"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地下水</w:t>
            </w:r>
          </w:p>
        </w:tc>
        <w:tc>
          <w:tcPr>
            <w:tcW w:w="2354" w:type="pct"/>
            <w:gridSpan w:val="4"/>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区域地下水</w:t>
            </w:r>
          </w:p>
        </w:tc>
        <w:tc>
          <w:tcPr>
            <w:tcW w:w="207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《地下水质量标准》（GB/T14848-2017）Ⅲ类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声环境</w:t>
            </w:r>
          </w:p>
        </w:tc>
        <w:tc>
          <w:tcPr>
            <w:tcW w:w="2354" w:type="pct"/>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厂界四周200m范围</w:t>
            </w:r>
          </w:p>
        </w:tc>
        <w:tc>
          <w:tcPr>
            <w:tcW w:w="207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《声环境质量标准》（GB3096-2008）</w:t>
            </w:r>
            <w:r>
              <w:rPr>
                <w:rFonts w:hint="eastAsia" w:cs="Times New Roman"/>
                <w:kern w:val="21"/>
                <w:sz w:val="21"/>
                <w:szCs w:val="21"/>
              </w:rPr>
              <w:t>3</w:t>
            </w:r>
            <w:r>
              <w:rPr>
                <w:rFonts w:cs="Times New Roman"/>
                <w:kern w:val="21"/>
                <w:sz w:val="21"/>
                <w:szCs w:val="21"/>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570"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土壤</w:t>
            </w:r>
          </w:p>
        </w:tc>
        <w:tc>
          <w:tcPr>
            <w:tcW w:w="2354" w:type="pct"/>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厂区范围内及周边200m范围</w:t>
            </w:r>
          </w:p>
        </w:tc>
        <w:tc>
          <w:tcPr>
            <w:tcW w:w="207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《土壤环境质量建设用地土壤污染风险管控标准（试行）》（GB36600-2018）表1筛选值第二类用地标准</w:t>
            </w:r>
          </w:p>
        </w:tc>
      </w:tr>
    </w:tbl>
    <w:p>
      <w:pPr>
        <w:pStyle w:val="6"/>
        <w:ind w:firstLine="0" w:firstLineChars="0"/>
        <w:rPr>
          <w:lang w:val="en-US"/>
        </w:rPr>
        <w:sectPr>
          <w:headerReference r:id="rId12" w:type="default"/>
          <w:footerReference r:id="rId13" w:type="default"/>
          <w:pgSz w:w="11906" w:h="16838"/>
          <w:pgMar w:top="1417" w:right="1417" w:bottom="1417" w:left="1417" w:header="680" w:footer="850" w:gutter="0"/>
          <w:pgBorders>
            <w:top w:val="none" w:sz="0" w:space="0"/>
            <w:left w:val="none" w:sz="0" w:space="0"/>
            <w:bottom w:val="none" w:sz="0" w:space="0"/>
            <w:right w:val="none" w:sz="0" w:space="0"/>
          </w:pgBorders>
          <w:pgNumType w:start="1"/>
          <w:cols w:space="425" w:num="1"/>
          <w:docGrid w:type="lines" w:linePitch="312" w:charSpace="0"/>
        </w:sectPr>
      </w:pPr>
    </w:p>
    <w:p>
      <w:pPr>
        <w:ind w:firstLine="0" w:firstLineChars="0"/>
        <w:jc w:val="center"/>
        <w:sectPr>
          <w:pgSz w:w="16838" w:h="11906" w:orient="landscape"/>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pPr>
      <w:r>
        <w:drawing>
          <wp:inline distT="0" distB="0" distL="114300" distR="114300">
            <wp:extent cx="8882380" cy="4987290"/>
            <wp:effectExtent l="0" t="0" r="13970" b="3810"/>
            <wp:docPr id="3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8"/>
                    <pic:cNvPicPr>
                      <a:picLocks noChangeAspect="1"/>
                    </pic:cNvPicPr>
                  </pic:nvPicPr>
                  <pic:blipFill>
                    <a:blip r:embed="rId25"/>
                    <a:stretch>
                      <a:fillRect/>
                    </a:stretch>
                  </pic:blipFill>
                  <pic:spPr>
                    <a:xfrm>
                      <a:off x="0" y="0"/>
                      <a:ext cx="8882380" cy="4987290"/>
                    </a:xfrm>
                    <a:prstGeom prst="rect">
                      <a:avLst/>
                    </a:prstGeom>
                    <a:noFill/>
                    <a:ln>
                      <a:noFill/>
                    </a:ln>
                  </pic:spPr>
                </pic:pic>
              </a:graphicData>
            </a:graphic>
          </wp:inline>
        </w:drawing>
      </w:r>
      <w:r>
        <mc:AlternateContent>
          <mc:Choice Requires="wps">
            <w:drawing>
              <wp:anchor distT="0" distB="0" distL="114300" distR="114300" simplePos="0" relativeHeight="251663360" behindDoc="0" locked="0" layoutInCell="1" allowOverlap="1">
                <wp:simplePos x="0" y="0"/>
                <wp:positionH relativeFrom="column">
                  <wp:posOffset>2519680</wp:posOffset>
                </wp:positionH>
                <wp:positionV relativeFrom="paragraph">
                  <wp:posOffset>5448300</wp:posOffset>
                </wp:positionV>
                <wp:extent cx="4025265" cy="32385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4025265" cy="3238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240" w:lineRule="auto"/>
                              <w:ind w:firstLine="0" w:firstLineChars="0"/>
                              <w:jc w:val="center"/>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图2.5-1  建设项目环境保护目标图</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98.4pt;margin-top:429pt;height:25.5pt;width:316.95pt;z-index:251663360;mso-width-relative:page;mso-height-relative:page;" filled="f" stroked="f" coordsize="21600,21600" o:gfxdata="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KEVAy/cAAAADAEAAA8AAAAAAAAAAQAgAAAAIgAA&#10;AGRycy9kb3ducmV2LnhtbFBLAQIUABQAAAAIAIdO4kAS8wkJPQIAAGgEAAAOAAAAAAAAAAEAIAAA&#10;ACsBAABkcnMvZTJvRG9jLnhtbFBLBQYAAAAABgAGAFkBAADaBQAAAAA=&#10;">
                <v:fill on="f" focussize="0,0"/>
                <v:stroke on="f" weight="0.5pt"/>
                <v:imagedata o:title=""/>
                <o:lock v:ext="edit" aspectratio="f"/>
                <v:textbox>
                  <w:txbxContent>
                    <w:p>
                      <w:pPr>
                        <w:spacing w:line="240" w:lineRule="auto"/>
                        <w:ind w:firstLine="0" w:firstLineChars="0"/>
                        <w:jc w:val="center"/>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图2.5-1  建设项目环境保护目标图</w:t>
                      </w:r>
                    </w:p>
                  </w:txbxContent>
                </v:textbox>
              </v:shape>
            </w:pict>
          </mc:Fallback>
        </mc:AlternateContent>
      </w:r>
    </w:p>
    <w:p>
      <w:pPr>
        <w:pStyle w:val="6"/>
        <w:ind w:firstLine="0" w:firstLineChars="0"/>
        <w:rPr>
          <w:lang w:val="en-US"/>
        </w:rPr>
      </w:pPr>
      <w:bookmarkStart w:id="45" w:name="_Toc12844"/>
      <w:bookmarkStart w:id="46" w:name="_Toc29511"/>
      <w:bookmarkStart w:id="47" w:name="_Toc30534"/>
      <w:r>
        <w:rPr>
          <w:lang w:val="en-US"/>
        </w:rPr>
        <w:t xml:space="preserve">2.6 </w:t>
      </w:r>
      <w:r>
        <w:rPr>
          <w:rFonts w:hint="eastAsia"/>
          <w:lang w:val="en-US"/>
        </w:rPr>
        <w:t>相关规划及政策</w:t>
      </w:r>
      <w:bookmarkEnd w:id="45"/>
      <w:bookmarkEnd w:id="46"/>
      <w:bookmarkEnd w:id="47"/>
    </w:p>
    <w:p>
      <w:pPr>
        <w:pStyle w:val="7"/>
        <w:ind w:firstLine="0" w:firstLineChars="0"/>
      </w:pPr>
      <w:r>
        <w:t>2.6.1与叶县城市总体规划（20</w:t>
      </w:r>
      <w:r>
        <w:rPr>
          <w:rFonts w:hint="eastAsia"/>
        </w:rPr>
        <w:t>1</w:t>
      </w:r>
      <w:r>
        <w:t>7-20</w:t>
      </w:r>
      <w:r>
        <w:rPr>
          <w:rFonts w:hint="eastAsia"/>
        </w:rPr>
        <w:t>35</w:t>
      </w:r>
      <w:r>
        <w:t>）相符性分析</w:t>
      </w:r>
    </w:p>
    <w:p>
      <w:pPr>
        <w:ind w:firstLine="0" w:firstLineChars="0"/>
        <w:rPr>
          <w:b/>
          <w:bCs/>
        </w:rPr>
      </w:pPr>
      <w:r>
        <w:rPr>
          <w:rFonts w:hint="eastAsia"/>
          <w:b/>
          <w:bCs/>
        </w:rPr>
        <w:t>2.6</w:t>
      </w:r>
      <w:r>
        <w:rPr>
          <w:b/>
          <w:bCs/>
        </w:rPr>
        <w:t>.1.1规划内容</w:t>
      </w:r>
    </w:p>
    <w:p>
      <w:pPr>
        <w:ind w:firstLine="480"/>
      </w:pPr>
      <w:r>
        <w:t>将叶县建设成为具有相当区域经济地位和较强吸引力的卫星城市，具有鲜明特色产业，较高知名度和较强实力的中国盐城，具有合理的城市结构功能，良好的城市空间形态的可持续协调发展的新型城市，具有高度完善的社会服务设施和基础设施的现代化中等城市，经济繁荣、产业发达的平顶山市经济强县。</w:t>
      </w:r>
    </w:p>
    <w:p>
      <w:pPr>
        <w:ind w:firstLine="480"/>
      </w:pPr>
      <w:r>
        <w:rPr>
          <w:rFonts w:hint="eastAsia"/>
        </w:rPr>
        <w:t>本规划分为叶县县域、城市规划区、中心城区三个层次。</w:t>
      </w:r>
    </w:p>
    <w:p>
      <w:pPr>
        <w:ind w:firstLine="480"/>
      </w:pPr>
      <w:r>
        <w:rPr>
          <w:rFonts w:hint="eastAsia"/>
        </w:rPr>
        <w:t>（一）县域层次：叶县行政管辖范围，总面积约为</w:t>
      </w:r>
      <w:r>
        <w:t>1387</w:t>
      </w:r>
      <w:r>
        <w:rPr>
          <w:rFonts w:hint="eastAsia"/>
        </w:rPr>
        <w:t>平方公里。</w:t>
      </w:r>
    </w:p>
    <w:p>
      <w:pPr>
        <w:ind w:firstLine="480"/>
      </w:pPr>
      <w:r>
        <w:rPr>
          <w:rFonts w:hint="eastAsia"/>
        </w:rPr>
        <w:t>（二）城市规划区层次：包括盐都、昆阳、九龙三个街道办事处和马庄回族乡、龚店镇的全部行政辖区范围，以及田庄乡、廉村镇的兰南高速以南行政区域，面积约</w:t>
      </w:r>
      <w:r>
        <w:t>210</w:t>
      </w:r>
      <w:r>
        <w:rPr>
          <w:rFonts w:hint="eastAsia"/>
        </w:rPr>
        <w:t>平方公里。</w:t>
      </w:r>
    </w:p>
    <w:p>
      <w:pPr>
        <w:ind w:firstLine="480"/>
        <w:rPr>
          <w:rFonts w:hint="eastAsia" w:eastAsia="宋体"/>
          <w:lang w:val="en-US" w:eastAsia="zh-CN"/>
        </w:rPr>
      </w:pPr>
      <w:r>
        <w:rPr>
          <w:rFonts w:hint="eastAsia"/>
        </w:rPr>
        <w:t>（三）中心城区层次：叶县城市规划区内连片的城市建设用地，范围涉及盐都、昆阳、九龙三个街道办事处和马庄回族乡、廉村镇等辖区，规划区范围，西至平叶快速路，北至沙河南岸，东至大东环路，南至新灰河北岸，规划控制区约</w:t>
      </w:r>
      <w:r>
        <w:t>44.5</w:t>
      </w:r>
      <w:r>
        <w:rPr>
          <w:rFonts w:hint="eastAsia"/>
        </w:rPr>
        <w:t>平方公里，其中城市建设用地约为</w:t>
      </w:r>
      <w:r>
        <w:t>38</w:t>
      </w:r>
      <w:r>
        <w:rPr>
          <w:rFonts w:hint="eastAsia"/>
        </w:rPr>
        <w:t>平方公里</w:t>
      </w:r>
      <w:r>
        <w:rPr>
          <w:rFonts w:hint="eastAsia"/>
          <w:lang w:eastAsia="zh-CN"/>
        </w:rPr>
        <w:t>。</w:t>
      </w:r>
    </w:p>
    <w:p>
      <w:pPr>
        <w:ind w:firstLine="480"/>
      </w:pPr>
      <w:r>
        <w:t>（4）工业用地规划</w:t>
      </w:r>
    </w:p>
    <w:p>
      <w:pPr>
        <w:ind w:firstLine="480"/>
      </w:pPr>
      <w:r>
        <w:t>工业用地主要由中心城区工业组团和化工园区工业组团两部分组成，其中中心城区工业组团沿S01两侧分布和灰河两岸；化工区组团以煤、盐资源为基础，结合周边地区相关资源延伸发展新材料和精细化工，建设副产品综合利用建材工业，形成完善的工业共生</w:t>
      </w:r>
      <w:r>
        <w:rPr>
          <w:rFonts w:hint="eastAsia"/>
        </w:rPr>
        <w:t>网络</w:t>
      </w:r>
      <w:r>
        <w:t>。</w:t>
      </w:r>
    </w:p>
    <w:p>
      <w:pPr>
        <w:ind w:firstLine="480"/>
      </w:pPr>
      <w:r>
        <w:rPr>
          <w:rFonts w:hint="eastAsia"/>
        </w:rPr>
        <w:t>规划确定的城市性质为：平顶山南部组团城市，叶公文化名城，中原经济区重要的盐化工基地。</w:t>
      </w:r>
    </w:p>
    <w:p>
      <w:pPr>
        <w:ind w:firstLine="480"/>
        <w:rPr>
          <w:rFonts w:hint="eastAsia" w:eastAsia="宋体"/>
          <w:lang w:eastAsia="zh-CN"/>
        </w:rPr>
      </w:pPr>
      <w:r>
        <w:rPr>
          <w:rFonts w:hint="eastAsia"/>
        </w:rPr>
        <w:t>本项目在平顶山尼龙新材料产业集聚区内，用地为规划中的工业用地，符合《叶县城乡总体规划》（</w:t>
      </w:r>
      <w:r>
        <w:t>2017-2035</w:t>
      </w:r>
      <w:r>
        <w:rPr>
          <w:rFonts w:hint="eastAsia"/>
        </w:rPr>
        <w:t>）要求</w:t>
      </w:r>
      <w:r>
        <w:rPr>
          <w:rFonts w:hint="eastAsia"/>
          <w:lang w:eastAsia="zh-CN"/>
        </w:rPr>
        <w:t>。</w:t>
      </w:r>
    </w:p>
    <w:p>
      <w:pPr>
        <w:ind w:firstLine="0" w:firstLineChars="0"/>
        <w:rPr>
          <w:b/>
          <w:bCs/>
        </w:rPr>
      </w:pPr>
      <w:r>
        <w:rPr>
          <w:rFonts w:hint="eastAsia"/>
          <w:b/>
          <w:bCs/>
        </w:rPr>
        <w:t>2.6.1.2规划符合性分析</w:t>
      </w:r>
    </w:p>
    <w:p>
      <w:pPr>
        <w:ind w:firstLine="480"/>
      </w:pPr>
      <w:r>
        <w:rPr>
          <w:u w:val="single"/>
        </w:rPr>
        <w:t>本项目属于</w:t>
      </w:r>
      <w:r>
        <w:rPr>
          <w:kern w:val="0"/>
          <w:u w:val="single"/>
          <w:lang w:bidi="ar"/>
        </w:rPr>
        <w:t>化学原料和化学制品制造业</w:t>
      </w:r>
      <w:r>
        <w:rPr>
          <w:rFonts w:hint="eastAsia"/>
          <w:kern w:val="0"/>
          <w:u w:val="single"/>
          <w:lang w:eastAsia="zh-CN" w:bidi="ar"/>
        </w:rPr>
        <w:t>行业</w:t>
      </w:r>
      <w:r>
        <w:rPr>
          <w:rFonts w:hint="eastAsia"/>
          <w:u w:val="single"/>
        </w:rPr>
        <w:t>和橡胶和塑料制品业</w:t>
      </w:r>
      <w:r>
        <w:t>，选址位于平顶山尼龙新材料产业集聚区，占地属于三类工业用地，符合《叶县城市总体规划》（2007-2020）有关城市性质和工业用地规划的相关要求。</w:t>
      </w:r>
    </w:p>
    <w:p>
      <w:pPr>
        <w:pStyle w:val="7"/>
        <w:ind w:firstLine="0" w:firstLineChars="0"/>
      </w:pPr>
      <w:r>
        <w:t>2.6.</w:t>
      </w:r>
      <w:r>
        <w:rPr>
          <w:rFonts w:hint="eastAsia"/>
        </w:rPr>
        <w:t>2平顶山尼龙新材料产业集聚区总体发展规划（2021~2030）</w:t>
      </w:r>
    </w:p>
    <w:p>
      <w:pPr>
        <w:widowControl/>
        <w:ind w:firstLine="480"/>
      </w:pPr>
      <w:r>
        <w:rPr>
          <w:rFonts w:hint="eastAsia" w:ascii="宋体" w:hAnsi="宋体" w:cs="宋体"/>
          <w:color w:val="000000"/>
          <w:kern w:val="0"/>
          <w:lang w:bidi="ar"/>
        </w:rPr>
        <w:t>平顶山尼龙新材料产业集聚区（原名</w:t>
      </w:r>
      <w:r>
        <w:rPr>
          <w:rFonts w:hint="eastAsia" w:ascii="宋体" w:hAnsi="宋体" w:cs="宋体"/>
          <w:color w:val="000000"/>
          <w:kern w:val="0"/>
          <w:lang w:eastAsia="zh-CN" w:bidi="ar"/>
        </w:rPr>
        <w:t>“</w:t>
      </w:r>
      <w:r>
        <w:rPr>
          <w:rFonts w:hint="eastAsia" w:ascii="宋体" w:hAnsi="宋体" w:cs="宋体"/>
          <w:color w:val="000000"/>
          <w:kern w:val="0"/>
          <w:lang w:bidi="ar"/>
        </w:rPr>
        <w:t>平顶山化工城</w:t>
      </w:r>
      <w:r>
        <w:rPr>
          <w:rFonts w:hint="eastAsia" w:cs="Times New Roman"/>
          <w:color w:val="000000"/>
          <w:kern w:val="0"/>
          <w:lang w:eastAsia="zh-CN" w:bidi="ar"/>
        </w:rPr>
        <w:t>”</w:t>
      </w:r>
      <w:r>
        <w:rPr>
          <w:rFonts w:hint="eastAsia" w:ascii="宋体" w:hAnsi="宋体" w:cs="宋体"/>
          <w:color w:val="000000"/>
          <w:kern w:val="0"/>
          <w:lang w:bidi="ar"/>
        </w:rPr>
        <w:t>、</w:t>
      </w:r>
      <w:r>
        <w:rPr>
          <w:rFonts w:hint="eastAsia" w:cs="Times New Roman"/>
          <w:color w:val="000000"/>
          <w:kern w:val="0"/>
          <w:lang w:eastAsia="zh-CN" w:bidi="ar"/>
        </w:rPr>
        <w:t>“</w:t>
      </w:r>
      <w:r>
        <w:rPr>
          <w:rFonts w:hint="eastAsia" w:ascii="宋体" w:hAnsi="宋体" w:cs="宋体"/>
          <w:color w:val="000000"/>
          <w:kern w:val="0"/>
          <w:lang w:bidi="ar"/>
        </w:rPr>
        <w:t>平顶山化工产业集聚区</w:t>
      </w:r>
      <w:r>
        <w:rPr>
          <w:rFonts w:hint="eastAsia" w:cs="Times New Roman"/>
          <w:color w:val="000000"/>
          <w:kern w:val="0"/>
          <w:lang w:eastAsia="zh-CN" w:bidi="ar"/>
        </w:rPr>
        <w:t>”</w:t>
      </w:r>
      <w:r>
        <w:rPr>
          <w:rFonts w:hint="eastAsia" w:ascii="宋体" w:hAnsi="宋体" w:cs="宋体"/>
          <w:color w:val="000000"/>
          <w:kern w:val="0"/>
          <w:lang w:bidi="ar"/>
        </w:rPr>
        <w:t>，以下简称</w:t>
      </w:r>
      <w:r>
        <w:rPr>
          <w:rFonts w:hint="eastAsia" w:cs="Times New Roman"/>
          <w:color w:val="000000"/>
          <w:kern w:val="0"/>
          <w:lang w:eastAsia="zh-CN" w:bidi="ar"/>
        </w:rPr>
        <w:t>“</w:t>
      </w:r>
      <w:r>
        <w:rPr>
          <w:rFonts w:hint="eastAsia" w:ascii="宋体" w:hAnsi="宋体" w:cs="宋体"/>
          <w:color w:val="000000"/>
          <w:kern w:val="0"/>
          <w:lang w:bidi="ar"/>
        </w:rPr>
        <w:t>集聚区</w:t>
      </w:r>
      <w:r>
        <w:rPr>
          <w:rFonts w:hint="eastAsia" w:cs="Times New Roman"/>
          <w:color w:val="000000"/>
          <w:kern w:val="0"/>
          <w:lang w:eastAsia="zh-CN" w:bidi="ar"/>
        </w:rPr>
        <w:t>”</w:t>
      </w:r>
      <w:r>
        <w:rPr>
          <w:rFonts w:hint="eastAsia" w:ascii="宋体" w:hAnsi="宋体" w:cs="宋体"/>
          <w:color w:val="000000"/>
          <w:kern w:val="0"/>
          <w:lang w:bidi="ar"/>
        </w:rPr>
        <w:t>）位于河南省平顶山市东南部、平顶山市规划区边缘东南</w:t>
      </w:r>
      <w:r>
        <w:rPr>
          <w:rFonts w:cs="Times New Roman"/>
          <w:color w:val="000000"/>
          <w:kern w:val="0"/>
          <w:lang w:bidi="ar"/>
        </w:rPr>
        <w:t>5</w:t>
      </w:r>
      <w:r>
        <w:rPr>
          <w:rFonts w:hint="eastAsia" w:ascii="宋体" w:hAnsi="宋体" w:cs="宋体"/>
          <w:color w:val="000000"/>
          <w:kern w:val="0"/>
          <w:lang w:bidi="ar"/>
        </w:rPr>
        <w:t>公里处的叶县境内，省级一星级产业集聚区，于</w:t>
      </w:r>
      <w:r>
        <w:rPr>
          <w:rFonts w:cs="Times New Roman"/>
          <w:color w:val="000000"/>
          <w:kern w:val="0"/>
          <w:lang w:bidi="ar"/>
        </w:rPr>
        <w:t>2008</w:t>
      </w:r>
      <w:r>
        <w:rPr>
          <w:rFonts w:hint="eastAsia" w:ascii="宋体" w:hAnsi="宋体" w:cs="宋体"/>
          <w:color w:val="000000"/>
          <w:kern w:val="0"/>
          <w:lang w:bidi="ar"/>
        </w:rPr>
        <w:t>年</w:t>
      </w:r>
      <w:r>
        <w:rPr>
          <w:rFonts w:cs="Times New Roman"/>
          <w:color w:val="000000"/>
          <w:kern w:val="0"/>
          <w:lang w:bidi="ar"/>
        </w:rPr>
        <w:t>11</w:t>
      </w:r>
      <w:r>
        <w:rPr>
          <w:rFonts w:hint="eastAsia" w:ascii="宋体" w:hAnsi="宋体" w:cs="宋体"/>
          <w:color w:val="000000"/>
          <w:kern w:val="0"/>
          <w:lang w:bidi="ar"/>
        </w:rPr>
        <w:t>月成立，是由河南省政府批准成立的省级产业集聚区，是规划</w:t>
      </w:r>
      <w:r>
        <w:rPr>
          <w:rFonts w:cs="Times New Roman"/>
          <w:color w:val="000000"/>
          <w:kern w:val="0"/>
          <w:lang w:bidi="ar"/>
        </w:rPr>
        <w:t>123</w:t>
      </w:r>
      <w:r>
        <w:rPr>
          <w:rFonts w:hint="eastAsia" w:ascii="宋体" w:hAnsi="宋体" w:cs="宋体"/>
          <w:color w:val="000000"/>
          <w:kern w:val="0"/>
          <w:lang w:bidi="ar"/>
        </w:rPr>
        <w:t>平方公里</w:t>
      </w:r>
      <w:r>
        <w:rPr>
          <w:rFonts w:hint="eastAsia" w:ascii="宋体" w:hAnsi="宋体" w:cs="宋体"/>
          <w:color w:val="000000"/>
          <w:kern w:val="0"/>
          <w:lang w:eastAsia="zh-CN" w:bidi="ar"/>
        </w:rPr>
        <w:t>“</w:t>
      </w:r>
      <w:r>
        <w:rPr>
          <w:rFonts w:hint="eastAsia" w:ascii="宋体" w:hAnsi="宋体" w:cs="宋体"/>
          <w:color w:val="000000"/>
          <w:kern w:val="0"/>
          <w:lang w:bidi="ar"/>
        </w:rPr>
        <w:t>中国尼龙城</w:t>
      </w:r>
      <w:r>
        <w:rPr>
          <w:rFonts w:hint="eastAsia" w:ascii="宋体" w:hAnsi="宋体" w:cs="宋体"/>
          <w:color w:val="000000"/>
          <w:kern w:val="0"/>
          <w:lang w:eastAsia="zh-CN" w:bidi="ar"/>
        </w:rPr>
        <w:t>”</w:t>
      </w:r>
      <w:r>
        <w:rPr>
          <w:rFonts w:hint="eastAsia" w:ascii="宋体" w:hAnsi="宋体" w:cs="宋体"/>
          <w:color w:val="000000"/>
          <w:kern w:val="0"/>
          <w:lang w:bidi="ar"/>
        </w:rPr>
        <w:t>的核心区，是平顶山市产业转型升级的主战场。集聚区主要涵盖煤化工、盐化工、尼龙、仓储物流和热电等项目，截至目前，集聚区实现入驻项目</w:t>
      </w:r>
      <w:r>
        <w:rPr>
          <w:rFonts w:cs="Times New Roman"/>
          <w:color w:val="000000"/>
          <w:kern w:val="0"/>
          <w:lang w:bidi="ar"/>
        </w:rPr>
        <w:t>120</w:t>
      </w:r>
      <w:r>
        <w:rPr>
          <w:rFonts w:hint="eastAsia" w:ascii="宋体" w:hAnsi="宋体" w:cs="宋体"/>
          <w:color w:val="000000"/>
          <w:kern w:val="0"/>
          <w:lang w:bidi="ar"/>
        </w:rPr>
        <w:t>余个，形成了涵盖尼龙原材料、中间体到尼龙深加工制品的全产业链发展格局。集聚区周边高速、铁路交织成网，煤、盐、水、电资源丰富，是平顶山市乃至河南省相关产业发展和地方经济腾飞的重要载体。</w:t>
      </w:r>
      <w:r>
        <w:rPr>
          <w:rFonts w:cs="Times New Roman"/>
          <w:color w:val="000000"/>
          <w:kern w:val="0"/>
          <w:lang w:bidi="ar"/>
        </w:rPr>
        <w:t>2019</w:t>
      </w:r>
      <w:r>
        <w:rPr>
          <w:rFonts w:hint="eastAsia" w:ascii="宋体" w:hAnsi="宋体" w:cs="宋体"/>
          <w:color w:val="000000"/>
          <w:kern w:val="0"/>
          <w:lang w:bidi="ar"/>
        </w:rPr>
        <w:t>年平顶山新型功能材料产业集群成功入选国家首批</w:t>
      </w:r>
      <w:r>
        <w:rPr>
          <w:rFonts w:cs="Times New Roman"/>
          <w:color w:val="000000"/>
          <w:kern w:val="0"/>
          <w:lang w:bidi="ar"/>
        </w:rPr>
        <w:t>66</w:t>
      </w:r>
      <w:r>
        <w:rPr>
          <w:rFonts w:hint="eastAsia" w:ascii="宋体" w:hAnsi="宋体" w:cs="宋体"/>
          <w:color w:val="000000"/>
          <w:kern w:val="0"/>
          <w:lang w:bidi="ar"/>
        </w:rPr>
        <w:t>个战略性新兴产业集群工程；</w:t>
      </w:r>
      <w:r>
        <w:rPr>
          <w:rFonts w:cs="Times New Roman"/>
          <w:color w:val="000000"/>
          <w:kern w:val="0"/>
          <w:lang w:bidi="ar"/>
        </w:rPr>
        <w:t>2020</w:t>
      </w:r>
      <w:r>
        <w:rPr>
          <w:rFonts w:hint="eastAsia" w:ascii="宋体" w:hAnsi="宋体" w:cs="宋体"/>
          <w:color w:val="000000"/>
          <w:kern w:val="0"/>
          <w:lang w:bidi="ar"/>
        </w:rPr>
        <w:t>年，平顶山尼龙新材料产业集聚区被科技部认定为国家尼龙新材料高新技术产业化基地。</w:t>
      </w:r>
    </w:p>
    <w:p>
      <w:pPr>
        <w:widowControl/>
        <w:ind w:firstLine="480"/>
        <w:rPr>
          <w:rFonts w:ascii="宋体" w:hAnsi="宋体" w:cs="宋体"/>
          <w:color w:val="000000"/>
          <w:kern w:val="0"/>
          <w:lang w:bidi="ar"/>
        </w:rPr>
      </w:pPr>
      <w:r>
        <w:rPr>
          <w:rFonts w:hint="eastAsia" w:ascii="宋体" w:hAnsi="宋体" w:cs="宋体"/>
          <w:color w:val="000000"/>
          <w:kern w:val="0"/>
          <w:lang w:bidi="ar"/>
        </w:rPr>
        <w:t>规划范围为东至龚店乡楼马、余营一线（竹园七路），西至龚店乡叶寨村东（竹林园一路），北至白龟山水库南干渠七干渠（沙河一路），南至徐龚路、夜邓路（沙河七路），规划面积</w:t>
      </w:r>
      <w:r>
        <w:rPr>
          <w:rFonts w:cs="Times New Roman"/>
          <w:color w:val="000000"/>
          <w:kern w:val="0"/>
          <w:lang w:bidi="ar"/>
        </w:rPr>
        <w:t>11.46</w:t>
      </w:r>
      <w:r>
        <w:rPr>
          <w:rFonts w:hint="eastAsia" w:ascii="宋体" w:hAnsi="宋体" w:cs="宋体"/>
          <w:color w:val="000000"/>
          <w:kern w:val="0"/>
          <w:lang w:bidi="ar"/>
        </w:rPr>
        <w:t>平方公里，功能布局以沙河五路为横向发展轴、竹园五路为纵向发展轴，规划建设煤化工、尼龙化工、盐化工、建材工业、搬迁企业、仓储物流、工程设施、管理科研和预留发展区，形成</w:t>
      </w:r>
      <w:r>
        <w:rPr>
          <w:rFonts w:hint="eastAsia" w:cs="Times New Roman"/>
          <w:color w:val="000000"/>
          <w:kern w:val="0"/>
          <w:lang w:eastAsia="zh-CN" w:bidi="ar"/>
        </w:rPr>
        <w:t>“</w:t>
      </w:r>
      <w:r>
        <w:rPr>
          <w:rFonts w:hint="eastAsia" w:ascii="宋体" w:hAnsi="宋体" w:cs="宋体"/>
          <w:color w:val="000000"/>
          <w:kern w:val="0"/>
          <w:lang w:bidi="ar"/>
        </w:rPr>
        <w:t>两轴、九区</w:t>
      </w:r>
      <w:r>
        <w:rPr>
          <w:rFonts w:hint="eastAsia" w:cs="Times New Roman"/>
          <w:color w:val="000000"/>
          <w:kern w:val="0"/>
          <w:lang w:eastAsia="zh-CN" w:bidi="ar"/>
        </w:rPr>
        <w:t>”</w:t>
      </w:r>
      <w:r>
        <w:rPr>
          <w:rFonts w:hint="eastAsia" w:ascii="宋体" w:hAnsi="宋体" w:cs="宋体"/>
          <w:color w:val="000000"/>
          <w:kern w:val="0"/>
          <w:lang w:bidi="ar"/>
        </w:rPr>
        <w:t>的空间结构。按照《生态环境部关于进一步加强产业园区规划环境影响评价工作的意见》（环环评〔</w:t>
      </w:r>
      <w:r>
        <w:rPr>
          <w:rFonts w:cs="Times New Roman"/>
          <w:color w:val="000000"/>
          <w:kern w:val="0"/>
          <w:lang w:bidi="ar"/>
        </w:rPr>
        <w:t>2020</w:t>
      </w:r>
      <w:r>
        <w:rPr>
          <w:rFonts w:hint="eastAsia" w:ascii="宋体" w:hAnsi="宋体" w:cs="宋体"/>
          <w:color w:val="000000"/>
          <w:kern w:val="0"/>
          <w:lang w:bidi="ar"/>
        </w:rPr>
        <w:t>〕</w:t>
      </w:r>
      <w:r>
        <w:rPr>
          <w:rFonts w:cs="Times New Roman"/>
          <w:color w:val="000000"/>
          <w:kern w:val="0"/>
          <w:lang w:bidi="ar"/>
        </w:rPr>
        <w:t>65</w:t>
      </w:r>
      <w:r>
        <w:rPr>
          <w:rFonts w:hint="eastAsia" w:ascii="宋体" w:hAnsi="宋体" w:cs="宋体"/>
          <w:color w:val="000000"/>
          <w:kern w:val="0"/>
          <w:lang w:bidi="ar"/>
        </w:rPr>
        <w:t>号）和《河南省环境保护厅关于全面加强产业园区规划环境影响评价工作的通知》（豫环文〔</w:t>
      </w:r>
      <w:r>
        <w:rPr>
          <w:rFonts w:cs="Times New Roman"/>
          <w:color w:val="000000"/>
          <w:kern w:val="0"/>
          <w:lang w:bidi="ar"/>
        </w:rPr>
        <w:t>2016</w:t>
      </w:r>
      <w:r>
        <w:rPr>
          <w:rFonts w:hint="eastAsia" w:ascii="宋体" w:hAnsi="宋体" w:cs="宋体"/>
          <w:color w:val="000000"/>
          <w:kern w:val="0"/>
          <w:lang w:bidi="ar"/>
        </w:rPr>
        <w:t>〕</w:t>
      </w:r>
      <w:r>
        <w:rPr>
          <w:rFonts w:cs="Times New Roman"/>
          <w:color w:val="000000"/>
          <w:kern w:val="0"/>
          <w:lang w:bidi="ar"/>
        </w:rPr>
        <w:t>174</w:t>
      </w:r>
      <w:r>
        <w:rPr>
          <w:rFonts w:hint="eastAsia" w:ascii="宋体" w:hAnsi="宋体" w:cs="宋体"/>
          <w:color w:val="000000"/>
          <w:kern w:val="0"/>
          <w:lang w:bidi="ar"/>
        </w:rPr>
        <w:t>号）的有关要求，</w:t>
      </w:r>
      <w:r>
        <w:rPr>
          <w:rFonts w:cs="Times New Roman"/>
          <w:color w:val="000000"/>
          <w:kern w:val="0"/>
          <w:lang w:bidi="ar"/>
        </w:rPr>
        <w:t>2018</w:t>
      </w:r>
      <w:r>
        <w:rPr>
          <w:rFonts w:hint="eastAsia" w:ascii="宋体" w:hAnsi="宋体" w:cs="宋体"/>
          <w:color w:val="000000"/>
          <w:kern w:val="0"/>
          <w:lang w:bidi="ar"/>
        </w:rPr>
        <w:t>年</w:t>
      </w:r>
      <w:r>
        <w:rPr>
          <w:rFonts w:cs="Times New Roman"/>
          <w:color w:val="000000"/>
          <w:kern w:val="0"/>
          <w:lang w:bidi="ar"/>
        </w:rPr>
        <w:t>1</w:t>
      </w:r>
      <w:r>
        <w:rPr>
          <w:rFonts w:hint="eastAsia" w:ascii="宋体" w:hAnsi="宋体" w:cs="宋体"/>
          <w:color w:val="000000"/>
          <w:kern w:val="0"/>
          <w:lang w:bidi="ar"/>
        </w:rPr>
        <w:t>月，平顶山尼龙新材料产业集聚区管理委员会委托中国环境科学研究院编制了《平顶山尼龙新材料产业集聚区跟踪环境影响报告书》，并于</w:t>
      </w:r>
      <w:r>
        <w:rPr>
          <w:rFonts w:cs="Times New Roman"/>
          <w:color w:val="000000"/>
          <w:kern w:val="0"/>
          <w:lang w:bidi="ar"/>
        </w:rPr>
        <w:t>2018</w:t>
      </w:r>
      <w:r>
        <w:rPr>
          <w:rFonts w:hint="eastAsia" w:ascii="宋体" w:hAnsi="宋体" w:cs="宋体"/>
          <w:color w:val="000000"/>
          <w:kern w:val="0"/>
          <w:lang w:bidi="ar"/>
        </w:rPr>
        <w:t>年</w:t>
      </w:r>
      <w:r>
        <w:rPr>
          <w:rFonts w:cs="Times New Roman"/>
          <w:color w:val="000000"/>
          <w:kern w:val="0"/>
          <w:lang w:bidi="ar"/>
        </w:rPr>
        <w:t>5</w:t>
      </w:r>
      <w:r>
        <w:rPr>
          <w:rFonts w:hint="eastAsia" w:ascii="宋体" w:hAnsi="宋体" w:cs="宋体"/>
          <w:color w:val="000000"/>
          <w:kern w:val="0"/>
          <w:lang w:bidi="ar"/>
        </w:rPr>
        <w:t>月通过了河南省环境保护厅的审查（豫环函〔</w:t>
      </w:r>
      <w:r>
        <w:rPr>
          <w:rFonts w:cs="Times New Roman"/>
          <w:color w:val="000000"/>
          <w:kern w:val="0"/>
          <w:lang w:bidi="ar"/>
        </w:rPr>
        <w:t>2018</w:t>
      </w:r>
      <w:r>
        <w:rPr>
          <w:rFonts w:hint="eastAsia" w:ascii="宋体" w:hAnsi="宋体" w:cs="宋体"/>
          <w:color w:val="000000"/>
          <w:kern w:val="0"/>
          <w:lang w:bidi="ar"/>
        </w:rPr>
        <w:t>〕</w:t>
      </w:r>
      <w:r>
        <w:rPr>
          <w:rFonts w:cs="Times New Roman"/>
          <w:color w:val="000000"/>
          <w:kern w:val="0"/>
          <w:lang w:bidi="ar"/>
        </w:rPr>
        <w:t>97</w:t>
      </w:r>
      <w:r>
        <w:rPr>
          <w:rFonts w:hint="eastAsia" w:ascii="宋体" w:hAnsi="宋体" w:cs="宋体"/>
          <w:color w:val="000000"/>
          <w:kern w:val="0"/>
          <w:lang w:bidi="ar"/>
        </w:rPr>
        <w:t>号）。因集聚区规划即将到期，平顶山尼龙新材料产业集聚区管理委员会委托石油和化学工业规划院编制了《平顶山尼龙新材料产业集聚区总体发展规划（</w:t>
      </w:r>
      <w:r>
        <w:rPr>
          <w:rFonts w:cs="Times New Roman"/>
          <w:color w:val="000000"/>
          <w:kern w:val="0"/>
          <w:lang w:bidi="ar"/>
        </w:rPr>
        <w:t>2021-2030</w:t>
      </w:r>
      <w:r>
        <w:rPr>
          <w:rFonts w:hint="eastAsia" w:ascii="宋体" w:hAnsi="宋体" w:cs="宋体"/>
          <w:color w:val="000000"/>
          <w:kern w:val="0"/>
          <w:lang w:bidi="ar"/>
        </w:rPr>
        <w:t>）》。目前集聚区开发强度超过</w:t>
      </w:r>
      <w:r>
        <w:rPr>
          <w:rFonts w:cs="Times New Roman"/>
          <w:color w:val="000000"/>
          <w:kern w:val="0"/>
          <w:lang w:bidi="ar"/>
        </w:rPr>
        <w:t>70%</w:t>
      </w:r>
      <w:r>
        <w:rPr>
          <w:rFonts w:hint="eastAsia" w:ascii="宋体" w:hAnsi="宋体" w:cs="宋体"/>
          <w:color w:val="000000"/>
          <w:kern w:val="0"/>
          <w:lang w:bidi="ar"/>
        </w:rPr>
        <w:t>，为保障集聚区发展用地需求，集聚区边界拟向东、向南扩展，北边界根据路网规划建设情况对规划边界进行微调，扩区后的规划范围包括东区与西区，东区为规划的化工园区，规划范围东至国道</w:t>
      </w:r>
      <w:r>
        <w:rPr>
          <w:rFonts w:cs="Times New Roman"/>
          <w:color w:val="000000"/>
          <w:kern w:val="0"/>
          <w:lang w:bidi="ar"/>
        </w:rPr>
        <w:t>G311</w:t>
      </w:r>
      <w:r>
        <w:rPr>
          <w:rFonts w:hint="eastAsia" w:ascii="宋体" w:hAnsi="宋体" w:cs="宋体"/>
          <w:color w:val="000000"/>
          <w:kern w:val="0"/>
          <w:lang w:bidi="ar"/>
        </w:rPr>
        <w:t>，西至希望大道，北至沙河一路和发展二路，南至南外环路，规划用地面积约</w:t>
      </w:r>
      <w:r>
        <w:rPr>
          <w:rFonts w:cs="Times New Roman"/>
          <w:color w:val="000000"/>
          <w:kern w:val="0"/>
          <w:lang w:bidi="ar"/>
        </w:rPr>
        <w:t>23.16</w:t>
      </w:r>
      <w:r>
        <w:rPr>
          <w:rFonts w:hint="eastAsia" w:ascii="宋体" w:hAnsi="宋体" w:cs="宋体"/>
          <w:color w:val="000000"/>
          <w:kern w:val="0"/>
          <w:lang w:bidi="ar"/>
        </w:rPr>
        <w:t>平方公里；西区为规划的生活服务区，规划用地面积约</w:t>
      </w:r>
      <w:r>
        <w:rPr>
          <w:rFonts w:cs="Times New Roman"/>
          <w:color w:val="000000"/>
          <w:kern w:val="0"/>
          <w:lang w:bidi="ar"/>
        </w:rPr>
        <w:t>6.65</w:t>
      </w:r>
      <w:r>
        <w:rPr>
          <w:rFonts w:hint="eastAsia" w:ascii="宋体" w:hAnsi="宋体" w:cs="宋体"/>
          <w:color w:val="000000"/>
          <w:kern w:val="0"/>
          <w:lang w:bidi="ar"/>
        </w:rPr>
        <w:t>平方公里，规划面积</w:t>
      </w:r>
      <w:r>
        <w:rPr>
          <w:rFonts w:cs="Times New Roman"/>
          <w:color w:val="000000"/>
          <w:kern w:val="0"/>
          <w:lang w:bidi="ar"/>
        </w:rPr>
        <w:t>29.81</w:t>
      </w:r>
      <w:r>
        <w:rPr>
          <w:rFonts w:hint="eastAsia" w:ascii="宋体" w:hAnsi="宋体" w:cs="宋体"/>
          <w:color w:val="000000"/>
          <w:kern w:val="0"/>
          <w:lang w:bidi="ar"/>
        </w:rPr>
        <w:t>平方公里，较上版规划面积增加</w:t>
      </w:r>
      <w:r>
        <w:rPr>
          <w:rFonts w:cs="Times New Roman"/>
          <w:color w:val="000000"/>
          <w:kern w:val="0"/>
          <w:lang w:bidi="ar"/>
        </w:rPr>
        <w:t>18.35</w:t>
      </w:r>
      <w:r>
        <w:rPr>
          <w:rFonts w:hint="eastAsia" w:ascii="宋体" w:hAnsi="宋体" w:cs="宋体"/>
          <w:color w:val="000000"/>
          <w:kern w:val="0"/>
          <w:lang w:bidi="ar"/>
        </w:rPr>
        <w:t>平方公里。规划的主导产业为化工、医药、尼龙新材料等。</w:t>
      </w:r>
    </w:p>
    <w:p>
      <w:pPr>
        <w:widowControl/>
        <w:ind w:firstLine="480"/>
      </w:pPr>
      <w:r>
        <w:rPr>
          <w:rFonts w:cs="Times New Roman"/>
          <w:color w:val="000000"/>
          <w:kern w:val="0"/>
          <w:lang w:bidi="ar"/>
        </w:rPr>
        <w:t>为保证集聚区规划与环境的协调性，从源头减轻区域开发的环境污染与生态风险，促进集聚区健康可持续发展，根据《中华人民共和国环境影响评价法》和国务院令第559号《规划环境影响评价条例》等的有关规定和要求，平顶山尼龙新材料产业集聚区管理委员会委托河南省科悦环境技术研究院有限公司编制了《平顶山尼龙新材料产业集聚区总体发展规划（2021-2030）环境影响报告书》。并于2022年3月通过了河南省环境保护厅的审查（豫环函〔2022〕19号）。</w:t>
      </w:r>
    </w:p>
    <w:p>
      <w:pPr>
        <w:ind w:firstLine="0" w:firstLineChars="0"/>
        <w:rPr>
          <w:b/>
          <w:bCs/>
        </w:rPr>
      </w:pPr>
      <w:r>
        <w:rPr>
          <w:rFonts w:hint="eastAsia"/>
          <w:b/>
          <w:bCs/>
        </w:rPr>
        <w:t>2.6.2.1规划范围</w:t>
      </w:r>
    </w:p>
    <w:p>
      <w:pPr>
        <w:ind w:firstLine="480"/>
      </w:pPr>
      <w:r>
        <w:rPr>
          <w:rFonts w:hint="eastAsia"/>
        </w:rPr>
        <w:t>平顶山尼龙新材料产业集聚区规划包括东区与西区，东区为规划的化工园区，规划范围东至国道</w:t>
      </w:r>
      <w:r>
        <w:t>G311</w:t>
      </w:r>
      <w:r>
        <w:rPr>
          <w:rFonts w:hint="eastAsia"/>
        </w:rPr>
        <w:t>，西至希望大道，北至沙河一路和发展二路，南至南外环路，规划用地面积约</w:t>
      </w:r>
      <w:r>
        <w:t>23.16</w:t>
      </w:r>
      <w:r>
        <w:rPr>
          <w:rFonts w:hint="eastAsia"/>
        </w:rPr>
        <w:t>平方公里；西区为规划的生活服务区，规划用地面积约</w:t>
      </w:r>
      <w:r>
        <w:t>6.65</w:t>
      </w:r>
      <w:r>
        <w:rPr>
          <w:rFonts w:hint="eastAsia"/>
        </w:rPr>
        <w:t>平方公里，总规划面积</w:t>
      </w:r>
      <w:r>
        <w:t>29.81</w:t>
      </w:r>
      <w:r>
        <w:rPr>
          <w:rFonts w:hint="eastAsia"/>
        </w:rPr>
        <w:t>平方公里。</w:t>
      </w:r>
    </w:p>
    <w:p>
      <w:pPr>
        <w:ind w:firstLine="0" w:firstLineChars="0"/>
        <w:rPr>
          <w:b/>
          <w:bCs/>
        </w:rPr>
      </w:pPr>
      <w:r>
        <w:rPr>
          <w:rFonts w:hint="eastAsia"/>
          <w:b/>
          <w:bCs/>
        </w:rPr>
        <w:t>2.6.2.2产业发展规划与布局</w:t>
      </w:r>
    </w:p>
    <w:p>
      <w:pPr>
        <w:ind w:firstLine="480"/>
      </w:pPr>
      <w:r>
        <w:rPr>
          <w:rFonts w:hint="eastAsia"/>
        </w:rPr>
        <w:t>平顶山尼龙新材料产业集聚区产业发展定位为：依托平顶山焦煤资源和煤化工、盐化工、尼龙化工</w:t>
      </w:r>
      <w:r>
        <w:rPr>
          <w:rFonts w:hint="eastAsia"/>
          <w:lang w:eastAsia="zh-CN"/>
        </w:rPr>
        <w:t>“</w:t>
      </w:r>
      <w:r>
        <w:rPr>
          <w:rFonts w:hint="eastAsia"/>
        </w:rPr>
        <w:t>三化一体</w:t>
      </w:r>
      <w:r>
        <w:rPr>
          <w:rFonts w:hint="eastAsia"/>
          <w:lang w:eastAsia="zh-CN"/>
        </w:rPr>
        <w:t>”</w:t>
      </w:r>
      <w:r>
        <w:rPr>
          <w:rFonts w:hint="eastAsia"/>
        </w:rPr>
        <w:t>协同发展优势，补足上游、夯实中游、延伸下游，做强尼龙新材料主导产业，培育发展精细化工等特色产业，建设</w:t>
      </w:r>
      <w:r>
        <w:rPr>
          <w:rFonts w:hint="eastAsia"/>
          <w:lang w:eastAsia="zh-CN"/>
        </w:rPr>
        <w:t>“</w:t>
      </w:r>
      <w:r>
        <w:rPr>
          <w:rFonts w:hint="eastAsia"/>
        </w:rPr>
        <w:t>世界一流、优势突出、延链补链</w:t>
      </w:r>
      <w:r>
        <w:rPr>
          <w:rFonts w:hint="eastAsia"/>
          <w:lang w:eastAsia="zh-CN"/>
        </w:rPr>
        <w:t>”</w:t>
      </w:r>
      <w:r>
        <w:rPr>
          <w:rFonts w:hint="eastAsia"/>
        </w:rPr>
        <w:t>的尼龙新材料产业集聚区。</w:t>
      </w:r>
    </w:p>
    <w:p>
      <w:pPr>
        <w:ind w:firstLine="480"/>
      </w:pPr>
      <w:r>
        <w:rPr>
          <w:rFonts w:hint="eastAsia"/>
        </w:rPr>
        <w:t>集聚区总体上规划为</w:t>
      </w:r>
      <w:r>
        <w:rPr>
          <w:rFonts w:hint="eastAsia"/>
          <w:lang w:eastAsia="zh-CN"/>
        </w:rPr>
        <w:t>“</w:t>
      </w:r>
      <w:r>
        <w:rPr>
          <w:rFonts w:hint="eastAsia"/>
        </w:rPr>
        <w:t>一廊、两轴、四区、多点</w:t>
      </w:r>
      <w:r>
        <w:rPr>
          <w:rFonts w:hint="eastAsia"/>
          <w:lang w:eastAsia="zh-CN"/>
        </w:rPr>
        <w:t>”</w:t>
      </w:r>
      <w:r>
        <w:rPr>
          <w:rFonts w:hint="eastAsia"/>
        </w:rPr>
        <w:t>的空间结构。</w:t>
      </w:r>
      <w:r>
        <w:rPr>
          <w:rFonts w:hint="eastAsia"/>
          <w:lang w:eastAsia="zh-CN"/>
        </w:rPr>
        <w:t>“</w:t>
      </w:r>
      <w:r>
        <w:rPr>
          <w:rFonts w:hint="eastAsia"/>
        </w:rPr>
        <w:t>一廊</w:t>
      </w:r>
      <w:r>
        <w:rPr>
          <w:rFonts w:hint="eastAsia"/>
          <w:lang w:eastAsia="zh-CN"/>
        </w:rPr>
        <w:t>”</w:t>
      </w:r>
      <w:r>
        <w:rPr>
          <w:rFonts w:hint="eastAsia"/>
        </w:rPr>
        <w:t>即集聚区沿南干渠设置的核心发展走廊。</w:t>
      </w:r>
      <w:r>
        <w:rPr>
          <w:rFonts w:hint="eastAsia"/>
          <w:lang w:eastAsia="zh-CN"/>
        </w:rPr>
        <w:t>“</w:t>
      </w:r>
      <w:r>
        <w:rPr>
          <w:rFonts w:hint="eastAsia"/>
        </w:rPr>
        <w:t>两轴</w:t>
      </w:r>
      <w:r>
        <w:rPr>
          <w:rFonts w:hint="eastAsia"/>
          <w:lang w:eastAsia="zh-CN"/>
        </w:rPr>
        <w:t>”</w:t>
      </w:r>
      <w:r>
        <w:rPr>
          <w:rFonts w:hint="eastAsia"/>
        </w:rPr>
        <w:t>即沿神马大道和盐神大道打造的两条产业发展轴，将整个集聚区串联发展。</w:t>
      </w:r>
      <w:r>
        <w:rPr>
          <w:rFonts w:hint="eastAsia"/>
          <w:lang w:eastAsia="zh-CN"/>
        </w:rPr>
        <w:t>“</w:t>
      </w:r>
      <w:r>
        <w:rPr>
          <w:rFonts w:hint="eastAsia"/>
        </w:rPr>
        <w:t>四区</w:t>
      </w:r>
      <w:r>
        <w:rPr>
          <w:rFonts w:hint="eastAsia"/>
          <w:lang w:eastAsia="zh-CN"/>
        </w:rPr>
        <w:t>”</w:t>
      </w:r>
      <w:r>
        <w:rPr>
          <w:rFonts w:hint="eastAsia"/>
        </w:rPr>
        <w:t>即尼龙材料及原料配套产业区、尼龙深加工产业区、精细化工及医药产业区、预留发展区，各片区内部以用地有效集聚为原则，保持内部小组团的完整，利于开发的弹性和可持续性。</w:t>
      </w:r>
    </w:p>
    <w:p>
      <w:pPr>
        <w:ind w:firstLine="480"/>
      </w:pPr>
      <w:r>
        <w:rPr>
          <w:rFonts w:hint="eastAsia"/>
          <w:lang w:eastAsia="zh-CN"/>
        </w:rPr>
        <w:t>“</w:t>
      </w:r>
      <w:r>
        <w:rPr>
          <w:rFonts w:hint="eastAsia"/>
        </w:rPr>
        <w:t>多点</w:t>
      </w:r>
      <w:r>
        <w:rPr>
          <w:rFonts w:hint="eastAsia"/>
          <w:lang w:eastAsia="zh-CN"/>
        </w:rPr>
        <w:t>”</w:t>
      </w:r>
      <w:r>
        <w:rPr>
          <w:rFonts w:hint="eastAsia"/>
        </w:rPr>
        <w:t>即</w:t>
      </w:r>
      <w:r>
        <w:rPr>
          <w:rFonts w:hint="eastAsia"/>
          <w:lang w:eastAsia="zh-CN"/>
        </w:rPr>
        <w:t>“</w:t>
      </w:r>
      <w:r>
        <w:rPr>
          <w:rFonts w:hint="eastAsia"/>
        </w:rPr>
        <w:t>一体化</w:t>
      </w:r>
      <w:r>
        <w:rPr>
          <w:rFonts w:hint="eastAsia"/>
          <w:lang w:eastAsia="zh-CN"/>
        </w:rPr>
        <w:t>”</w:t>
      </w:r>
      <w:r>
        <w:rPr>
          <w:rFonts w:hint="eastAsia"/>
        </w:rPr>
        <w:t>配套服务的公用工程及辅助设施。包括管理服务区、净水厂、污水处理、热电中心、变电站、消防站、危废处理等。根据集聚区产业发展规划，结合集聚区现状，综合规划区地理位置、自然条件、环境保护、安全卫生及生产运营对周边生态环境的影响程度，围绕集聚区主导产业，结合国内外尼龙产业发展的趋势及新材料产业发展诉求，立足于集聚、创新、协调的总思路，重点建设尼龙材料及原料配套产业区、尼龙深加工产业区、精细化工产业区及材料增值产业区。</w:t>
      </w:r>
    </w:p>
    <w:p>
      <w:pPr>
        <w:ind w:firstLine="480"/>
      </w:pPr>
      <w:r>
        <w:rPr>
          <w:rFonts w:hint="eastAsia"/>
        </w:rPr>
        <w:t>（</w:t>
      </w:r>
      <w:r>
        <w:t>1</w:t>
      </w:r>
      <w:r>
        <w:rPr>
          <w:rFonts w:hint="eastAsia"/>
        </w:rPr>
        <w:t>）煤化工产业</w:t>
      </w:r>
    </w:p>
    <w:p>
      <w:pPr>
        <w:ind w:firstLine="480"/>
      </w:pPr>
      <w:r>
        <w:rPr>
          <w:rFonts w:hint="eastAsia"/>
        </w:rPr>
        <w:t>为满足尼龙新材料产业发展需求，配套建设煤化工产业项目，重点发展以煤制合成气平台为依托，合成气下游延伸布局以尼龙化工及新材料为核心的煤基尼龙新材料、煤基尼龙化学品等化工产业。按照河南省尼龙新材料产业规划，未来要实现己内酰胺产能</w:t>
      </w:r>
      <w:r>
        <w:t>100</w:t>
      </w:r>
      <w:r>
        <w:rPr>
          <w:rFonts w:hint="eastAsia"/>
        </w:rPr>
        <w:t>万吨、己二酸产能</w:t>
      </w:r>
      <w:r>
        <w:t>60</w:t>
      </w:r>
      <w:r>
        <w:rPr>
          <w:rFonts w:hint="eastAsia"/>
        </w:rPr>
        <w:t>万吨。随着己内酰胺、己二酸、己二胺等原料及中间体产能的逐步扩大，上游基础原料合成氨和氢气来源日趋紧张。初步估算，平顶山尼龙新材料产业目前对合成氨和氢气的总需求分别达到</w:t>
      </w:r>
      <w:r>
        <w:t>36</w:t>
      </w:r>
      <w:r>
        <w:rPr>
          <w:rFonts w:hint="eastAsia"/>
        </w:rPr>
        <w:t>万吨</w:t>
      </w:r>
      <w:r>
        <w:t>/</w:t>
      </w:r>
      <w:r>
        <w:rPr>
          <w:rFonts w:hint="eastAsia"/>
        </w:rPr>
        <w:t>年和</w:t>
      </w:r>
      <w:r>
        <w:t>6.67</w:t>
      </w:r>
      <w:r>
        <w:rPr>
          <w:rFonts w:hint="eastAsia"/>
        </w:rPr>
        <w:t>万</w:t>
      </w:r>
      <w:r>
        <w:t>Nm</w:t>
      </w:r>
      <w:r>
        <w:rPr>
          <w:vertAlign w:val="superscript"/>
        </w:rPr>
        <w:t>3</w:t>
      </w:r>
      <w:r>
        <w:t>/h</w:t>
      </w:r>
      <w:r>
        <w:rPr>
          <w:rFonts w:hint="eastAsia"/>
        </w:rPr>
        <w:t>，未来将达</w:t>
      </w:r>
      <w:r>
        <w:t>52.22</w:t>
      </w:r>
      <w:r>
        <w:rPr>
          <w:rFonts w:hint="eastAsia"/>
        </w:rPr>
        <w:t>万吨和</w:t>
      </w:r>
      <w:r>
        <w:t>11.43</w:t>
      </w:r>
      <w:r>
        <w:rPr>
          <w:rFonts w:hint="eastAsia"/>
        </w:rPr>
        <w:t>万</w:t>
      </w:r>
      <w:r>
        <w:t>Nm</w:t>
      </w:r>
      <w:r>
        <w:rPr>
          <w:vertAlign w:val="superscript"/>
        </w:rPr>
        <w:t>3</w:t>
      </w:r>
      <w:r>
        <w:t>/h</w:t>
      </w:r>
      <w:r>
        <w:rPr>
          <w:rFonts w:hint="eastAsia"/>
        </w:rPr>
        <w:t>。现状合成氨需求全部依靠外部采购，氢气仍有较大缺口。</w:t>
      </w:r>
    </w:p>
    <w:p>
      <w:pPr>
        <w:ind w:firstLine="480"/>
      </w:pPr>
      <w:r>
        <w:rPr>
          <w:rFonts w:hint="eastAsia"/>
        </w:rPr>
        <w:t>集聚区尼龙化工产业配套氢氨项目即将开工建设，项目建设规模为</w:t>
      </w:r>
      <w:r>
        <w:t>40</w:t>
      </w:r>
      <w:r>
        <w:rPr>
          <w:rFonts w:hint="eastAsia"/>
        </w:rPr>
        <w:t>万吨</w:t>
      </w:r>
      <w:r>
        <w:t>/</w:t>
      </w:r>
      <w:r>
        <w:rPr>
          <w:rFonts w:hint="eastAsia"/>
        </w:rPr>
        <w:t>年合成氨和</w:t>
      </w:r>
      <w:r>
        <w:t>5</w:t>
      </w:r>
      <w:r>
        <w:rPr>
          <w:rFonts w:hint="eastAsia"/>
        </w:rPr>
        <w:t>万</w:t>
      </w:r>
      <w:r>
        <w:t>m</w:t>
      </w:r>
      <w:r>
        <w:rPr>
          <w:vertAlign w:val="superscript"/>
        </w:rPr>
        <w:t>3</w:t>
      </w:r>
      <w:r>
        <w:t>/h</w:t>
      </w:r>
      <w:r>
        <w:rPr>
          <w:rFonts w:hint="eastAsia"/>
        </w:rPr>
        <w:t>氢气。同时，考虑己内酰胺及己二酸产能扩大，对液氨与氢气的需求也将快速提升，规划在远期扩建合成氨产能</w:t>
      </w:r>
      <w:r>
        <w:t>40</w:t>
      </w:r>
      <w:r>
        <w:rPr>
          <w:rFonts w:hint="eastAsia"/>
        </w:rPr>
        <w:t>万吨</w:t>
      </w:r>
      <w:r>
        <w:t>/</w:t>
      </w:r>
      <w:r>
        <w:rPr>
          <w:rFonts w:hint="eastAsia"/>
        </w:rPr>
        <w:t>年，并根据需要建设制氢装置。</w:t>
      </w:r>
    </w:p>
    <w:p>
      <w:pPr>
        <w:ind w:firstLine="480"/>
      </w:pPr>
      <w:r>
        <w:rPr>
          <w:rFonts w:hint="eastAsia"/>
        </w:rPr>
        <w:t>（</w:t>
      </w:r>
      <w:r>
        <w:t>2</w:t>
      </w:r>
      <w:r>
        <w:rPr>
          <w:rFonts w:hint="eastAsia"/>
        </w:rPr>
        <w:t>）尼龙化工产业</w:t>
      </w:r>
    </w:p>
    <w:p>
      <w:pPr>
        <w:ind w:firstLine="480"/>
      </w:pPr>
      <w:r>
        <w:rPr>
          <w:rFonts w:hint="eastAsia"/>
        </w:rPr>
        <w:t>从整个尼龙新材料产业链的上下游分析，目前集聚区已经具备了发展尼龙新材料产业的中游原料基础，己内酰胺产能已达到</w:t>
      </w:r>
      <w:r>
        <w:t>30</w:t>
      </w:r>
      <w:r>
        <w:rPr>
          <w:rFonts w:hint="eastAsia"/>
        </w:rPr>
        <w:t>万吨</w:t>
      </w:r>
      <w:r>
        <w:t>/</w:t>
      </w:r>
      <w:r>
        <w:rPr>
          <w:rFonts w:hint="eastAsia"/>
        </w:rPr>
        <w:t>年，精己二酸产能已达到</w:t>
      </w:r>
      <w:r>
        <w:t>15</w:t>
      </w:r>
      <w:r>
        <w:rPr>
          <w:rFonts w:hint="eastAsia"/>
        </w:rPr>
        <w:t>万吨</w:t>
      </w:r>
      <w:r>
        <w:t>/</w:t>
      </w:r>
      <w:r>
        <w:rPr>
          <w:rFonts w:hint="eastAsia"/>
        </w:rPr>
        <w:t>年。从推动全产业链的现代化与高端化的要求出发，一方面需要依托平顶山煤焦化工产业基础和氢气、粗苯等初级原料资源优势，大力推动重大项目建设和原有生产线技术改造，不断扩大己内酰胺和高品质己二酸产能；另一方面，巩固提升上游关键原料保障能力，补齐短板，发展与中游原料的产能相匹配的煤制氢氨等上游原料产业。</w:t>
      </w:r>
    </w:p>
    <w:p>
      <w:pPr>
        <w:ind w:firstLine="480"/>
      </w:pPr>
      <w:r>
        <w:rPr>
          <w:rFonts w:hint="eastAsia"/>
        </w:rPr>
        <w:t>①己内酰胺</w:t>
      </w:r>
    </w:p>
    <w:p>
      <w:pPr>
        <w:ind w:firstLine="480"/>
      </w:pPr>
      <w:r>
        <w:rPr>
          <w:rFonts w:hint="eastAsia"/>
        </w:rPr>
        <w:t>顺应国内己内酰胺市场快速增长趋势，以新工艺研发、技术改造和重大项目建设为重点，全面推动项目建成投用、实现满负荷生产运行，大力推动尼龙城己内酰胺增加产能，建成国内规模最大的己内酰胺生产基地。加快实施尼龙科技己内酰胺技改项目，将产能扩展至</w:t>
      </w:r>
      <w:r>
        <w:t>18</w:t>
      </w:r>
      <w:r>
        <w:rPr>
          <w:rFonts w:hint="eastAsia"/>
        </w:rPr>
        <w:t>万吨</w:t>
      </w:r>
      <w:r>
        <w:t>/</w:t>
      </w:r>
      <w:r>
        <w:rPr>
          <w:rFonts w:hint="eastAsia"/>
        </w:rPr>
        <w:t>年；有序推进尼龙科技二期己内酰胺成套装置改造，推动产能提升至</w:t>
      </w:r>
      <w:r>
        <w:t>42</w:t>
      </w:r>
      <w:r>
        <w:rPr>
          <w:rFonts w:hint="eastAsia"/>
        </w:rPr>
        <w:t>万吨；加快推进尼龙科技</w:t>
      </w:r>
      <w:r>
        <w:t>40</w:t>
      </w:r>
      <w:r>
        <w:rPr>
          <w:rFonts w:hint="eastAsia"/>
        </w:rPr>
        <w:t>万吨</w:t>
      </w:r>
      <w:r>
        <w:t>/</w:t>
      </w:r>
      <w:r>
        <w:rPr>
          <w:rFonts w:hint="eastAsia"/>
        </w:rPr>
        <w:t>年己内酰胺一体化项目，尽快建成投产。积极推动煤制氢氨、尼龙催化剂等项目</w:t>
      </w:r>
      <w:r>
        <w:t>平顶山尼龙新材料产业集聚区总体发展规划（2021-2030</w:t>
      </w:r>
      <w:r>
        <w:rPr>
          <w:rFonts w:hint="eastAsia"/>
        </w:rPr>
        <w:t>）环境影响报告书</w:t>
      </w:r>
      <w:r>
        <w:t>107</w:t>
      </w:r>
      <w:r>
        <w:rPr>
          <w:rFonts w:hint="eastAsia"/>
        </w:rPr>
        <w:t>建设。规划到</w:t>
      </w:r>
      <w:r>
        <w:t>2030</w:t>
      </w:r>
      <w:r>
        <w:rPr>
          <w:rFonts w:hint="eastAsia"/>
        </w:rPr>
        <w:t>年，集聚区己内酰胺产能达到</w:t>
      </w:r>
      <w:r>
        <w:t>100</w:t>
      </w:r>
      <w:r>
        <w:rPr>
          <w:rFonts w:hint="eastAsia"/>
        </w:rPr>
        <w:t>万吨</w:t>
      </w:r>
      <w:r>
        <w:t>/</w:t>
      </w:r>
      <w:r>
        <w:rPr>
          <w:rFonts w:hint="eastAsia"/>
        </w:rPr>
        <w:t>年。</w:t>
      </w:r>
    </w:p>
    <w:p>
      <w:pPr>
        <w:ind w:firstLine="480"/>
      </w:pPr>
      <w:r>
        <w:rPr>
          <w:rFonts w:hint="eastAsia"/>
        </w:rPr>
        <w:t>②顺应国内己二酸企业竞争加剧和产业集中度提高趋势，充分发挥尼龙科技有限公司精己二酸技术优势，做大产能、降低成本、做优品质，不断满足尼龙城下游产品精深加工需求，实现本地高效转化，提高行业市场占有率。在尼龙科技年产</w:t>
      </w:r>
      <w:r>
        <w:t>15</w:t>
      </w:r>
      <w:r>
        <w:rPr>
          <w:rFonts w:hint="eastAsia"/>
        </w:rPr>
        <w:t>万吨精己二酸满产满销基础上，加快推动尼龙科技年产</w:t>
      </w:r>
      <w:r>
        <w:t>15</w:t>
      </w:r>
      <w:r>
        <w:rPr>
          <w:rFonts w:hint="eastAsia"/>
        </w:rPr>
        <w:t>万吨精己二酸二期工程项目建设，尽快建成投产满负荷运行。同时积极谋划</w:t>
      </w:r>
      <w:r>
        <w:t>30</w:t>
      </w:r>
      <w:r>
        <w:rPr>
          <w:rFonts w:hint="eastAsia"/>
        </w:rPr>
        <w:t>万吨精己二酸项目。规划到</w:t>
      </w:r>
      <w:r>
        <w:t>2030</w:t>
      </w:r>
      <w:r>
        <w:rPr>
          <w:rFonts w:hint="eastAsia"/>
        </w:rPr>
        <w:t>年，集聚区精己二酸产能达到</w:t>
      </w:r>
      <w:r>
        <w:t>60</w:t>
      </w:r>
      <w:r>
        <w:rPr>
          <w:rFonts w:hint="eastAsia"/>
        </w:rPr>
        <w:t>万吨</w:t>
      </w:r>
      <w:r>
        <w:t>/</w:t>
      </w:r>
      <w:r>
        <w:rPr>
          <w:rFonts w:hint="eastAsia"/>
        </w:rPr>
        <w:t>年。</w:t>
      </w:r>
    </w:p>
    <w:p>
      <w:pPr>
        <w:ind w:firstLine="480"/>
      </w:pPr>
      <w:r>
        <w:rPr>
          <w:rFonts w:hint="eastAsia"/>
        </w:rPr>
        <w:t>（</w:t>
      </w:r>
      <w:r>
        <w:t>3</w:t>
      </w:r>
      <w:r>
        <w:rPr>
          <w:rFonts w:hint="eastAsia"/>
        </w:rPr>
        <w:t>）尼龙深加工产业</w:t>
      </w:r>
    </w:p>
    <w:p>
      <w:pPr>
        <w:ind w:firstLine="480"/>
      </w:pPr>
      <w:r>
        <w:rPr>
          <w:rFonts w:hint="eastAsia"/>
        </w:rPr>
        <w:t>一方面，将己内酰胺全部延伸生产尼龙</w:t>
      </w:r>
      <w:r>
        <w:t>6</w:t>
      </w:r>
      <w:r>
        <w:rPr>
          <w:rFonts w:hint="eastAsia"/>
        </w:rPr>
        <w:t>切片，再进一步加工成锦纶</w:t>
      </w:r>
      <w:r>
        <w:t>6</w:t>
      </w:r>
      <w:r>
        <w:rPr>
          <w:rFonts w:hint="eastAsia"/>
        </w:rPr>
        <w:t>纤维和尼龙</w:t>
      </w:r>
      <w:r>
        <w:t>6</w:t>
      </w:r>
      <w:r>
        <w:rPr>
          <w:rFonts w:hint="eastAsia"/>
        </w:rPr>
        <w:t>工程塑料。同时，己二酸作为原料可以进一步向下游延伸生产尼龙</w:t>
      </w:r>
      <w:r>
        <w:t>66</w:t>
      </w:r>
      <w:r>
        <w:rPr>
          <w:rFonts w:hint="eastAsia"/>
        </w:rPr>
        <w:t>切片，为下游尼龙</w:t>
      </w:r>
      <w:r>
        <w:t>66</w:t>
      </w:r>
      <w:r>
        <w:rPr>
          <w:rFonts w:hint="eastAsia"/>
        </w:rPr>
        <w:t>工程塑料、锦纶</w:t>
      </w:r>
      <w:r>
        <w:t>66</w:t>
      </w:r>
      <w:r>
        <w:rPr>
          <w:rFonts w:hint="eastAsia"/>
        </w:rPr>
        <w:t>民用长丝以及锦纶</w:t>
      </w:r>
      <w:r>
        <w:t>66</w:t>
      </w:r>
      <w:r>
        <w:rPr>
          <w:rFonts w:hint="eastAsia"/>
        </w:rPr>
        <w:t>工业丝提供产业基础。另一方面，还可作为聚酰胺</w:t>
      </w:r>
      <w:r>
        <w:t>56</w:t>
      </w:r>
      <w:r>
        <w:rPr>
          <w:rFonts w:hint="eastAsia"/>
        </w:rPr>
        <w:t>的合成材料，与生物尼龙形成产业链互补。</w:t>
      </w:r>
    </w:p>
    <w:p>
      <w:pPr>
        <w:ind w:firstLine="480"/>
      </w:pPr>
      <w:r>
        <w:rPr>
          <w:rFonts w:hint="eastAsia"/>
        </w:rPr>
        <w:t>（</w:t>
      </w:r>
      <w:r>
        <w:t>4</w:t>
      </w:r>
      <w:r>
        <w:rPr>
          <w:rFonts w:hint="eastAsia"/>
        </w:rPr>
        <w:t>）尼龙新品种</w:t>
      </w:r>
    </w:p>
    <w:p>
      <w:pPr>
        <w:ind w:firstLine="480"/>
      </w:pPr>
      <w:r>
        <w:rPr>
          <w:rFonts w:hint="eastAsia"/>
        </w:rPr>
        <w:t>为进一步延伸产业链，提高产品附加值，布局</w:t>
      </w:r>
      <w:r>
        <w:t>5</w:t>
      </w:r>
      <w:r>
        <w:rPr>
          <w:rFonts w:hint="eastAsia"/>
        </w:rPr>
        <w:t>万吨</w:t>
      </w:r>
      <w:r>
        <w:t>/</w:t>
      </w:r>
      <w:r>
        <w:rPr>
          <w:rFonts w:hint="eastAsia"/>
        </w:rPr>
        <w:t>年长链二元酸、</w:t>
      </w:r>
      <w:r>
        <w:t>0.3</w:t>
      </w:r>
      <w:r>
        <w:rPr>
          <w:rFonts w:hint="eastAsia"/>
        </w:rPr>
        <w:t>万吨</w:t>
      </w:r>
      <w:r>
        <w:t>/</w:t>
      </w:r>
      <w:r>
        <w:rPr>
          <w:rFonts w:hint="eastAsia"/>
        </w:rPr>
        <w:t>年戊二胺产业基础，打造生物长链二元酸特种生物尼龙产业。立足碳链结构与应用功能导向，在传统</w:t>
      </w:r>
      <w:r>
        <w:t>C10—C18</w:t>
      </w:r>
      <w:r>
        <w:rPr>
          <w:rFonts w:hint="eastAsia"/>
        </w:rPr>
        <w:t>基材基础上，积极拓展短链与超长链二元酸的产品系列，重点对接高端医疗、特种聚氨酯涂料等应用领域。积极布局发展生物基聚酰胺材料，在聚酰胺</w:t>
      </w:r>
      <w:r>
        <w:t>56</w:t>
      </w:r>
      <w:r>
        <w:rPr>
          <w:rFonts w:hint="eastAsia"/>
        </w:rPr>
        <w:t>产品开发成功的基础上，根据工程塑料、食品级包装材料、高档汽车制造、高端织物材料等应用领域等下游高端细分市场的需求，积极推进定制材料</w:t>
      </w:r>
      <w:r>
        <w:t>510</w:t>
      </w:r>
      <w:r>
        <w:rPr>
          <w:rFonts w:hint="eastAsia"/>
        </w:rPr>
        <w:t>、</w:t>
      </w:r>
      <w:r>
        <w:t>512</w:t>
      </w:r>
      <w:r>
        <w:rPr>
          <w:rFonts w:hint="eastAsia"/>
        </w:rPr>
        <w:t>、</w:t>
      </w:r>
      <w:r>
        <w:t>514</w:t>
      </w:r>
      <w:r>
        <w:rPr>
          <w:rFonts w:hint="eastAsia"/>
        </w:rPr>
        <w:t>等</w:t>
      </w:r>
      <w:r>
        <w:t>5X</w:t>
      </w:r>
      <w:r>
        <w:rPr>
          <w:rFonts w:hint="eastAsia"/>
        </w:rPr>
        <w:t>聚酰胺产业的发展。</w:t>
      </w:r>
    </w:p>
    <w:p>
      <w:pPr>
        <w:ind w:firstLine="0" w:firstLineChars="0"/>
        <w:rPr>
          <w:b/>
          <w:bCs/>
        </w:rPr>
      </w:pPr>
      <w:r>
        <w:rPr>
          <w:rFonts w:hint="eastAsia"/>
          <w:b/>
          <w:bCs/>
        </w:rPr>
        <w:t>2.2.2.3土地利用规划</w:t>
      </w:r>
    </w:p>
    <w:p>
      <w:pPr>
        <w:ind w:firstLine="480"/>
      </w:pPr>
      <w:r>
        <w:rPr>
          <w:rFonts w:hint="eastAsia"/>
        </w:rPr>
        <w:t>园区规划总用地</w:t>
      </w:r>
      <w:r>
        <w:t>29</w:t>
      </w:r>
      <w:r>
        <w:rPr>
          <w:rFonts w:hint="eastAsia"/>
        </w:rPr>
        <w:t>平方公里。用地结构主要分为工业用地（</w:t>
      </w:r>
      <w:r>
        <w:t>M</w:t>
      </w:r>
      <w:r>
        <w:rPr>
          <w:rFonts w:hint="eastAsia"/>
        </w:rPr>
        <w:t>）、公共设施用地（</w:t>
      </w:r>
      <w:r>
        <w:t>U</w:t>
      </w:r>
      <w:r>
        <w:rPr>
          <w:rFonts w:hint="eastAsia"/>
        </w:rPr>
        <w:t>）、道路与交通设施用地（</w:t>
      </w:r>
      <w:r>
        <w:t>S</w:t>
      </w:r>
      <w:r>
        <w:rPr>
          <w:rFonts w:hint="eastAsia"/>
        </w:rPr>
        <w:t>）、绿地与广场用地（</w:t>
      </w:r>
      <w:r>
        <w:t>G</w:t>
      </w:r>
      <w:r>
        <w:rPr>
          <w:rFonts w:hint="eastAsia"/>
        </w:rPr>
        <w:t>）、公共管理与公共服务设施用地（</w:t>
      </w:r>
      <w:r>
        <w:t>A</w:t>
      </w:r>
      <w:r>
        <w:rPr>
          <w:rFonts w:hint="eastAsia"/>
        </w:rPr>
        <w:t>）。</w:t>
      </w:r>
    </w:p>
    <w:p>
      <w:pPr>
        <w:ind w:firstLine="480"/>
      </w:pPr>
      <w:r>
        <w:rPr>
          <w:rFonts w:hint="eastAsia"/>
        </w:rPr>
        <w:t>（1）工业用地</w:t>
      </w:r>
    </w:p>
    <w:p>
      <w:pPr>
        <w:ind w:firstLine="480"/>
      </w:pPr>
      <w:r>
        <w:rPr>
          <w:rFonts w:hint="eastAsia"/>
        </w:rPr>
        <w:t>工业用地规划区内的化工生产、供热系统和维修企业用地均属此类。规划工业用地共1817.83公顷，占规划城市建设用地的78.60%。</w:t>
      </w:r>
    </w:p>
    <w:p>
      <w:pPr>
        <w:ind w:firstLine="480"/>
      </w:pPr>
      <w:r>
        <w:rPr>
          <w:rFonts w:hint="eastAsia"/>
        </w:rPr>
        <w:t>（2）公共管理与公共服务设施用地</w:t>
      </w:r>
    </w:p>
    <w:p>
      <w:pPr>
        <w:ind w:firstLine="480"/>
      </w:pPr>
      <w:r>
        <w:rPr>
          <w:rFonts w:hint="eastAsia"/>
        </w:rPr>
        <w:t>规划在集聚区北设置公共管理与公共服务设施用地，集聚区中行政、文化、科研、卫生等机构和设施的用地。规划公共管理与公共服务设施用地6.59公顷，占城市建设用地的0.28%。</w:t>
      </w:r>
    </w:p>
    <w:p>
      <w:pPr>
        <w:ind w:firstLine="480"/>
      </w:pPr>
      <w:r>
        <w:rPr>
          <w:rFonts w:hint="eastAsia"/>
        </w:rPr>
        <w:t>（3）道路与交通设施用地</w:t>
      </w:r>
    </w:p>
    <w:p>
      <w:pPr>
        <w:ind w:firstLine="480"/>
      </w:pPr>
      <w:r>
        <w:rPr>
          <w:rFonts w:hint="eastAsia"/>
        </w:rPr>
        <w:t>集聚区内道路和交通场站等设施的建设用地。规划道路与交通设施用地 249.62 公顷，占城市建设用地的10.79%。</w:t>
      </w:r>
    </w:p>
    <w:p>
      <w:pPr>
        <w:ind w:firstLine="480"/>
      </w:pPr>
      <w:r>
        <w:rPr>
          <w:rFonts w:hint="eastAsia"/>
        </w:rPr>
        <w:t>（4）公用设施用地</w:t>
      </w:r>
    </w:p>
    <w:p>
      <w:pPr>
        <w:ind w:firstLine="480"/>
      </w:pPr>
      <w:r>
        <w:rPr>
          <w:rFonts w:hint="eastAsia"/>
        </w:rPr>
        <w:t>变电站、消防站、工业水厂、雨水污水泵站、污水处理厂、垃圾站、危废处理等均包括在内。规划公用设施用地43.4公顷，占城市建设用地的1.88%。</w:t>
      </w:r>
    </w:p>
    <w:p>
      <w:pPr>
        <w:ind w:firstLine="480"/>
      </w:pPr>
      <w:r>
        <w:rPr>
          <w:rFonts w:hint="eastAsia"/>
        </w:rPr>
        <w:t>（5）绿地与广场用地</w:t>
      </w:r>
    </w:p>
    <w:p>
      <w:pPr>
        <w:ind w:firstLine="480"/>
      </w:pPr>
      <w:r>
        <w:rPr>
          <w:rFonts w:hint="eastAsia"/>
        </w:rPr>
        <w:t>主要指防护绿地，即具有卫生、隔离和安全防护功能的绿地。规划公用设施用地195.2公顷，占城市建设用地的8.44%。</w:t>
      </w:r>
    </w:p>
    <w:p>
      <w:pPr>
        <w:ind w:firstLine="480"/>
      </w:pPr>
      <w:r>
        <w:t>平顶山尼龙新材料产业集聚区土地利用规划图见附图</w:t>
      </w:r>
      <w:r>
        <w:rPr>
          <w:rFonts w:hint="eastAsia"/>
        </w:rPr>
        <w:t>8</w:t>
      </w:r>
      <w:r>
        <w:t>。</w:t>
      </w:r>
    </w:p>
    <w:p>
      <w:pPr>
        <w:ind w:firstLine="0" w:firstLineChars="0"/>
        <w:rPr>
          <w:b/>
          <w:bCs/>
        </w:rPr>
      </w:pPr>
      <w:r>
        <w:rPr>
          <w:rFonts w:hint="eastAsia"/>
          <w:b/>
          <w:bCs/>
        </w:rPr>
        <w:t>2.2.2.4基础设施规划</w:t>
      </w:r>
    </w:p>
    <w:p>
      <w:pPr>
        <w:ind w:firstLine="480"/>
      </w:pPr>
      <w:r>
        <w:t>（1）供水</w:t>
      </w:r>
    </w:p>
    <w:p>
      <w:pPr>
        <w:ind w:firstLine="480"/>
      </w:pPr>
      <w:r>
        <w:t>近期：选择水源有白龟山水库、沙河取水及化工城自身中水回用。</w:t>
      </w:r>
    </w:p>
    <w:p>
      <w:pPr>
        <w:ind w:firstLine="480"/>
      </w:pPr>
      <w:r>
        <w:t>远期：选择水源有沙河取水、昭平台水库供水、南水北调工程供水、市政污水处理厂中水。</w:t>
      </w:r>
    </w:p>
    <w:p>
      <w:pPr>
        <w:ind w:firstLine="480"/>
      </w:pPr>
      <w:r>
        <w:t>规划中集聚区内水厂建设规模按40万m</w:t>
      </w:r>
      <w:r>
        <w:rPr>
          <w:vertAlign w:val="superscript"/>
        </w:rPr>
        <w:t>3</w:t>
      </w:r>
      <w:r>
        <w:t>/d考虑，可根据需要分期建设，一期20万m</w:t>
      </w:r>
      <w:r>
        <w:rPr>
          <w:vertAlign w:val="superscript"/>
        </w:rPr>
        <w:t>3</w:t>
      </w:r>
      <w:r>
        <w:t>/d，二期20万m</w:t>
      </w:r>
      <w:r>
        <w:rPr>
          <w:vertAlign w:val="superscript"/>
        </w:rPr>
        <w:t>3</w:t>
      </w:r>
      <w:r>
        <w:t>/d。目前集聚区内未建水厂，集聚区实际供水由平顶山自来水公司供水，其水源为白龟山水库，平顶山自来水公司负责承建集聚区供水管网，供水能力</w:t>
      </w:r>
      <w:r>
        <w:rPr>
          <w:rFonts w:hint="eastAsia"/>
          <w:lang w:eastAsia="zh-CN"/>
        </w:rPr>
        <w:t>10万~15万</w:t>
      </w:r>
      <w:r>
        <w:t>t/d，管道沿神马大道敷设至产业集聚区，本项目用水管道由此主管道接出。目前管网已经接通通水。</w:t>
      </w:r>
    </w:p>
    <w:p>
      <w:pPr>
        <w:ind w:firstLine="480"/>
      </w:pPr>
      <w:r>
        <w:t>本项目用水多为循环水，新鲜水补充量较小，集聚区供水能够满足本项目用水需求。</w:t>
      </w:r>
    </w:p>
    <w:p>
      <w:pPr>
        <w:ind w:firstLine="480"/>
      </w:pPr>
      <w:r>
        <w:t>（2）排水</w:t>
      </w:r>
    </w:p>
    <w:p>
      <w:pPr>
        <w:ind w:firstLine="480"/>
      </w:pPr>
      <w:r>
        <w:t>根据调查，集聚区已建设平顶山第三污水处理厂（以下简称</w:t>
      </w:r>
      <w:r>
        <w:rPr>
          <w:rFonts w:hint="eastAsia"/>
          <w:lang w:eastAsia="zh-CN"/>
        </w:rPr>
        <w:t>“</w:t>
      </w:r>
      <w:r>
        <w:t>集聚区污水处理厂</w:t>
      </w:r>
      <w:r>
        <w:rPr>
          <w:rFonts w:hint="eastAsia"/>
          <w:lang w:eastAsia="zh-CN"/>
        </w:rPr>
        <w:t>”</w:t>
      </w:r>
      <w:r>
        <w:t>）。根据《叶县飞宇清泉水务有限公司平顶山第三污水处理厂项目环境影响报告书》（报批版，中铁工程设计咨询集团有限公司，2013年8月），集聚区规划建设15万t/d污水处理厂，其中近期3万t/d，服务范围为竹园五路以西的产业集聚区（8.01km</w:t>
      </w:r>
      <w:r>
        <w:rPr>
          <w:vertAlign w:val="superscript"/>
        </w:rPr>
        <w:t>2</w:t>
      </w:r>
      <w:r>
        <w:t>），采用改良型卡鲁塞尔氧化沟工艺，设计进水指标COD400mg/L、BOD</w:t>
      </w:r>
      <w:r>
        <w:rPr>
          <w:vertAlign w:val="subscript"/>
        </w:rPr>
        <w:t>5</w:t>
      </w:r>
      <w:r>
        <w:t>150mg/L、SS300mg/L、NH3-N35mg/L、总氮50mg/L，设计排水指标为《城镇污水处理厂污染物排放标准》（GB19818-2002）一级A标准，排水路线为经关庙沟进入灰河-沙河。</w:t>
      </w:r>
    </w:p>
    <w:p>
      <w:pPr>
        <w:ind w:firstLine="480"/>
      </w:pPr>
      <w:r>
        <w:t>（3）供电</w:t>
      </w:r>
    </w:p>
    <w:p>
      <w:pPr>
        <w:ind w:firstLine="480"/>
      </w:pPr>
      <w:r>
        <w:t>集聚区近期规划电源引自220KV贾庄变电站和计山变电站，远期集聚区自备热电站内建一座220KV变电站，自备热电站220KV。</w:t>
      </w:r>
    </w:p>
    <w:p>
      <w:pPr>
        <w:ind w:firstLine="480"/>
      </w:pPr>
      <w:r>
        <w:t>目前，集聚区110kV节庄变电站和220kV常李变电站已建成投运，集聚区供电工程能够满足本项目需求。</w:t>
      </w:r>
    </w:p>
    <w:p>
      <w:pPr>
        <w:ind w:firstLine="480"/>
      </w:pPr>
      <w:r>
        <w:t>（4）供热</w:t>
      </w:r>
    </w:p>
    <w:p>
      <w:pPr>
        <w:ind w:firstLine="480"/>
      </w:pPr>
      <w:r>
        <w:t>根据平顶山化工产业集聚区管委会相关文件，集聚区内蒸汽工程由神马尼龙科技项目承担，厂内现有工程批复锅炉为一期建设3×260t/h，二期建设1×260t/h和2×480t/h。目前全厂一期3台260t/h锅炉已建成。</w:t>
      </w:r>
    </w:p>
    <w:p>
      <w:pPr>
        <w:ind w:firstLine="480"/>
      </w:pPr>
      <w:r>
        <w:t>（5）居民安置规划</w:t>
      </w:r>
    </w:p>
    <w:p>
      <w:pPr>
        <w:ind w:firstLine="480"/>
      </w:pPr>
      <w:r>
        <w:t>目前项目东北侧常李村、竹园村均已拆迁。项目周边范围内不涉及搬迁。</w:t>
      </w:r>
    </w:p>
    <w:p>
      <w:pPr>
        <w:ind w:firstLine="480"/>
      </w:pPr>
      <w:r>
        <w:rPr>
          <w:rFonts w:hint="eastAsia"/>
        </w:rPr>
        <w:t>综上所述，本项目符合平顶山尼龙新材料产业集聚区总体发展规划。</w:t>
      </w:r>
    </w:p>
    <w:p>
      <w:pPr>
        <w:ind w:firstLine="480"/>
        <w:sectPr>
          <w:headerReference r:id="rId14" w:type="default"/>
          <w:footerReference r:id="rId15" w:type="default"/>
          <w:pgSz w:w="11905" w:h="16839"/>
          <w:pgMar w:top="1117" w:right="1502" w:bottom="1211" w:left="1587" w:header="454" w:footer="1085" w:gutter="0"/>
          <w:pgBorders>
            <w:top w:val="none" w:sz="0" w:space="0"/>
            <w:left w:val="none" w:sz="0" w:space="0"/>
            <w:bottom w:val="none" w:sz="0" w:space="0"/>
            <w:right w:val="none" w:sz="0" w:space="0"/>
          </w:pgBorders>
          <w:cols w:space="720" w:num="1"/>
        </w:sectPr>
      </w:pPr>
    </w:p>
    <w:p>
      <w:pPr>
        <w:ind w:firstLine="0" w:firstLineChars="0"/>
        <w:rPr>
          <w:b/>
          <w:bCs/>
        </w:rPr>
      </w:pPr>
      <w:r>
        <w:rPr>
          <w:b/>
          <w:bCs/>
        </w:rPr>
        <w:t>2.6.</w:t>
      </w:r>
      <w:r>
        <w:rPr>
          <w:rFonts w:hint="eastAsia"/>
          <w:b/>
          <w:bCs/>
        </w:rPr>
        <w:t>2.5</w:t>
      </w:r>
      <w:r>
        <w:rPr>
          <w:b/>
          <w:bCs/>
        </w:rPr>
        <w:t>与《平顶山化工城总体规划环境影响技术报告（报批版）》及审查意见的相符性分析</w:t>
      </w:r>
    </w:p>
    <w:p>
      <w:pPr>
        <w:ind w:firstLine="480"/>
      </w:pPr>
      <w:r>
        <w:t>平顶山市政府于2006年委托中国环境科学研究院就平顶山化工城总体规划开展环境影响评价工作，评价单位于2007年3月编制完成了《平顶山化工城总体规划环境影响技术报告》，国家环保总局以《关于平顶山化工城总体规划环境影响报告书的审查意见》（环审〔2007〕103号）对报告书进行了批复。对照《平顶山化工城总体规划环境影响报告书》中化工城环境准入条件，项目建设符合相关要求，具体分析详见下表。</w:t>
      </w:r>
    </w:p>
    <w:p>
      <w:pPr>
        <w:ind w:firstLine="0" w:firstLineChars="0"/>
        <w:jc w:val="center"/>
        <w:rPr>
          <w:b/>
          <w:bCs/>
        </w:rPr>
      </w:pPr>
      <w:r>
        <w:rPr>
          <w:rFonts w:hint="eastAsia"/>
          <w:b/>
          <w:bCs/>
        </w:rPr>
        <w:t>表2.6-1  环境准入条件相符性一览表</w:t>
      </w:r>
    </w:p>
    <w:tbl>
      <w:tblPr>
        <w:tblStyle w:val="51"/>
        <w:tblW w:w="875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4"/>
        <w:gridCol w:w="4657"/>
        <w:gridCol w:w="2000"/>
        <w:gridCol w:w="93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类别</w:t>
            </w: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准入要求</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Merge w:val="restart"/>
            <w:tcBorders>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产业</w:t>
            </w: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化工城为平顶山市化工产业聚集地，原则上仅允许化工产业进入区内。</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本项目属于化学原料和化学制品制造业</w:t>
            </w:r>
            <w:r>
              <w:rPr>
                <w:rFonts w:hint="eastAsia" w:cs="Times New Roman"/>
                <w:kern w:val="21"/>
                <w:sz w:val="21"/>
                <w:szCs w:val="21"/>
                <w:lang w:eastAsia="zh-CN"/>
              </w:rPr>
              <w:t>行业</w:t>
            </w:r>
            <w:r>
              <w:rPr>
                <w:rFonts w:hint="eastAsia" w:cs="Times New Roman"/>
                <w:kern w:val="21"/>
                <w:sz w:val="21"/>
                <w:szCs w:val="21"/>
              </w:rPr>
              <w:t>和橡胶和塑料制品业</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Merge w:val="continue"/>
            <w:tcBorders>
              <w:top w:val="nil"/>
              <w:bottom w:val="nil"/>
            </w:tcBorders>
            <w:vAlign w:val="center"/>
          </w:tcPr>
          <w:p>
            <w:pPr>
              <w:spacing w:line="240" w:lineRule="auto"/>
              <w:ind w:firstLine="0" w:firstLineChars="0"/>
              <w:jc w:val="center"/>
              <w:rPr>
                <w:rFonts w:cs="Times New Roman"/>
                <w:kern w:val="21"/>
                <w:sz w:val="21"/>
                <w:szCs w:val="21"/>
              </w:rPr>
            </w:pP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化工城的煤化工以发展新兴煤—气—化化工及其后续产业为主，不宜在化工城建设煤—焦—化化工产业链上游产业，下游深加工产业视其工艺先进水平和具体建设项目环境影响评价的结论而定。</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本项目不涉及煤—焦—化化工产业链上游产业</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Merge w:val="continue"/>
            <w:tcBorders>
              <w:top w:val="nil"/>
            </w:tcBorders>
            <w:vAlign w:val="center"/>
          </w:tcPr>
          <w:p>
            <w:pPr>
              <w:spacing w:line="240" w:lineRule="auto"/>
              <w:ind w:firstLine="0" w:firstLineChars="0"/>
              <w:jc w:val="center"/>
              <w:rPr>
                <w:rFonts w:cs="Times New Roman"/>
                <w:kern w:val="21"/>
                <w:sz w:val="21"/>
                <w:szCs w:val="21"/>
              </w:rPr>
            </w:pP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盐化工产业链中涉及的上游原料电石，不允许在化工城建厂生产。</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本项目不涉及电石生产</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3" w:hRule="atLeast"/>
          <w:jc w:val="center"/>
        </w:trPr>
        <w:tc>
          <w:tcPr>
            <w:tcW w:w="1164" w:type="dxa"/>
            <w:vMerge w:val="restart"/>
            <w:tcBorders>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生产规模和工艺技术先进性要求</w:t>
            </w: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在工艺技术水平上，要求入驻化工城的项目达到国内同行业领先水平</w:t>
            </w:r>
            <w:r>
              <w:rPr>
                <w:rFonts w:hint="eastAsia" w:cs="Times New Roman"/>
                <w:kern w:val="21"/>
                <w:sz w:val="21"/>
                <w:szCs w:val="21"/>
              </w:rPr>
              <w:t>或</w:t>
            </w:r>
            <w:r>
              <w:rPr>
                <w:rFonts w:cs="Times New Roman"/>
                <w:kern w:val="21"/>
                <w:sz w:val="21"/>
                <w:szCs w:val="21"/>
              </w:rPr>
              <w:t>具备国际先进水平；</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项目达到国内同行业领先水平</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Merge w:val="continue"/>
            <w:tcBorders>
              <w:top w:val="nil"/>
              <w:bottom w:val="nil"/>
            </w:tcBorders>
            <w:vAlign w:val="center"/>
          </w:tcPr>
          <w:p>
            <w:pPr>
              <w:spacing w:line="240" w:lineRule="auto"/>
              <w:ind w:firstLine="0" w:firstLineChars="0"/>
              <w:jc w:val="center"/>
              <w:rPr>
                <w:rFonts w:cs="Times New Roman"/>
                <w:kern w:val="21"/>
                <w:sz w:val="21"/>
                <w:szCs w:val="21"/>
              </w:rPr>
            </w:pP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建设规模应符合国家产业政策的最小经济规模要求</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项目所属行业无最小经济规模要求</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Merge w:val="continue"/>
            <w:tcBorders>
              <w:top w:val="nil"/>
            </w:tcBorders>
            <w:vAlign w:val="center"/>
          </w:tcPr>
          <w:p>
            <w:pPr>
              <w:spacing w:line="240" w:lineRule="auto"/>
              <w:ind w:firstLine="0" w:firstLineChars="0"/>
              <w:jc w:val="center"/>
              <w:rPr>
                <w:rFonts w:cs="Times New Roman"/>
                <w:kern w:val="21"/>
                <w:sz w:val="21"/>
                <w:szCs w:val="21"/>
              </w:rPr>
            </w:pP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市区环保搬迁</w:t>
            </w:r>
            <w:r>
              <w:rPr>
                <w:rFonts w:hint="eastAsia" w:cs="Times New Roman"/>
                <w:kern w:val="21"/>
                <w:sz w:val="21"/>
                <w:szCs w:val="21"/>
              </w:rPr>
              <w:t>入驻</w:t>
            </w:r>
            <w:r>
              <w:rPr>
                <w:rFonts w:cs="Times New Roman"/>
                <w:kern w:val="21"/>
                <w:sz w:val="21"/>
                <w:szCs w:val="21"/>
              </w:rPr>
              <w:t>化工城的企业应进行产品和生产技术的升级改造，达到国家相关规定的要求</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本项目为新建</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Merge w:val="restart"/>
            <w:tcBorders>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清洁生产水平</w:t>
            </w: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应选择使用原料和产品为环境友好型的项目，避免化工城大规模建设造成的不良辐射效应，诱使国家明令禁止项目在化工城周边出现</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项目原料与产品均为环境友好型，项目不属</w:t>
            </w:r>
          </w:p>
          <w:p>
            <w:pPr>
              <w:spacing w:line="240" w:lineRule="auto"/>
              <w:ind w:firstLine="0" w:firstLineChars="0"/>
              <w:jc w:val="center"/>
              <w:rPr>
                <w:rFonts w:cs="Times New Roman"/>
                <w:kern w:val="21"/>
                <w:sz w:val="21"/>
                <w:szCs w:val="21"/>
              </w:rPr>
            </w:pPr>
            <w:r>
              <w:rPr>
                <w:rFonts w:cs="Times New Roman"/>
                <w:kern w:val="21"/>
                <w:sz w:val="21"/>
                <w:szCs w:val="21"/>
              </w:rPr>
              <w:t>于国家明令禁止项目</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Merge w:val="continue"/>
            <w:tcBorders>
              <w:top w:val="nil"/>
              <w:bottom w:val="nil"/>
            </w:tcBorders>
            <w:vAlign w:val="center"/>
          </w:tcPr>
          <w:p>
            <w:pPr>
              <w:spacing w:line="240" w:lineRule="auto"/>
              <w:ind w:firstLine="0" w:firstLineChars="0"/>
              <w:jc w:val="center"/>
              <w:rPr>
                <w:rFonts w:cs="Times New Roman"/>
                <w:kern w:val="21"/>
                <w:sz w:val="21"/>
                <w:szCs w:val="21"/>
              </w:rPr>
            </w:pP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入化工城的新建项目的单位产品水耗、单位产品污染物排放量等清洁生产指标应达到国内同行业领先或国际先进水平</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项目清洁生产水平达到行业领先水平</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3" w:hRule="atLeast"/>
          <w:jc w:val="center"/>
        </w:trPr>
        <w:tc>
          <w:tcPr>
            <w:tcW w:w="1164" w:type="dxa"/>
            <w:vMerge w:val="continue"/>
            <w:tcBorders>
              <w:top w:val="nil"/>
            </w:tcBorders>
            <w:vAlign w:val="center"/>
          </w:tcPr>
          <w:p>
            <w:pPr>
              <w:spacing w:line="240" w:lineRule="auto"/>
              <w:ind w:firstLine="0" w:firstLineChars="0"/>
              <w:jc w:val="center"/>
              <w:rPr>
                <w:rFonts w:cs="Times New Roman"/>
                <w:kern w:val="21"/>
                <w:sz w:val="21"/>
                <w:szCs w:val="21"/>
              </w:rPr>
            </w:pP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市区环保搬迁企业的清洁生产指标应达到国内同行业先进或领先水平</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本项目为新建</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Merge w:val="restart"/>
            <w:tcBorders>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污染物排放总量控制</w:t>
            </w: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新建项目的大气和水污染物排放指标必须在提高区域内现有工业污染负荷削减量或城市污染负荷削减量中调剂；</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本项目新增污染物在区域削减量中调剂</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64" w:type="dxa"/>
            <w:vMerge w:val="continue"/>
            <w:tcBorders>
              <w:top w:val="nil"/>
            </w:tcBorders>
            <w:vAlign w:val="center"/>
          </w:tcPr>
          <w:p>
            <w:pPr>
              <w:spacing w:line="240" w:lineRule="auto"/>
              <w:ind w:firstLine="0" w:firstLineChars="0"/>
              <w:jc w:val="center"/>
              <w:rPr>
                <w:rFonts w:cs="Times New Roman"/>
                <w:kern w:val="21"/>
                <w:sz w:val="21"/>
                <w:szCs w:val="21"/>
              </w:rPr>
            </w:pPr>
          </w:p>
        </w:tc>
        <w:tc>
          <w:tcPr>
            <w:tcW w:w="465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属于环保搬迁的项目，污染物排放指标不能超过2005年现状污染物排放量（以达标排放计）。</w:t>
            </w:r>
          </w:p>
        </w:tc>
        <w:tc>
          <w:tcPr>
            <w:tcW w:w="200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本项目为新建</w:t>
            </w:r>
          </w:p>
        </w:tc>
        <w:tc>
          <w:tcPr>
            <w:tcW w:w="931"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bl>
    <w:p>
      <w:pPr>
        <w:ind w:firstLine="0" w:firstLineChars="0"/>
        <w:rPr>
          <w:b/>
          <w:bCs/>
        </w:rPr>
      </w:pPr>
      <w:r>
        <w:rPr>
          <w:b/>
          <w:bCs/>
        </w:rPr>
        <w:t>2.6.</w:t>
      </w:r>
      <w:r>
        <w:rPr>
          <w:rFonts w:hint="eastAsia"/>
          <w:b/>
          <w:bCs/>
        </w:rPr>
        <w:t>2.6</w:t>
      </w:r>
      <w:r>
        <w:rPr>
          <w:b/>
          <w:bCs/>
        </w:rPr>
        <w:t xml:space="preserve"> 与《平顶山尼龙新材料产业集聚区总体发展规划（2021-2030）环境影响报告书》及审查意见的相符性分析</w:t>
      </w:r>
    </w:p>
    <w:p>
      <w:pPr>
        <w:autoSpaceDE w:val="0"/>
        <w:autoSpaceDN w:val="0"/>
        <w:ind w:firstLine="480"/>
      </w:pPr>
      <w:r>
        <w:rPr>
          <w:rFonts w:hint="eastAsia"/>
        </w:rPr>
        <w:t>根据河南省生态环境厅关于《平顶山尼龙新材料产业集聚区总体发展规划（2021-2030）环境影响报告书》（豫环函〔2022〕19号）的审查意见内容，项目与产业集聚区准入清单复合型分析。</w:t>
      </w:r>
    </w:p>
    <w:p>
      <w:pPr>
        <w:ind w:firstLine="0" w:firstLineChars="0"/>
        <w:jc w:val="center"/>
        <w:rPr>
          <w:b/>
          <w:bCs/>
        </w:rPr>
      </w:pPr>
      <w:r>
        <w:rPr>
          <w:rFonts w:hint="eastAsia"/>
          <w:b/>
          <w:bCs/>
        </w:rPr>
        <w:t>表2.6-2  与集聚区生态环境准入清单的符合性</w:t>
      </w:r>
    </w:p>
    <w:tbl>
      <w:tblPr>
        <w:tblStyle w:val="28"/>
        <w:tblW w:w="4997" w:type="pct"/>
        <w:jc w:val="center"/>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autofit"/>
        <w:tblCellMar>
          <w:top w:w="0" w:type="dxa"/>
          <w:left w:w="10" w:type="dxa"/>
          <w:bottom w:w="0" w:type="dxa"/>
          <w:right w:w="10" w:type="dxa"/>
        </w:tblCellMar>
      </w:tblPr>
      <w:tblGrid>
        <w:gridCol w:w="687"/>
        <w:gridCol w:w="813"/>
        <w:gridCol w:w="5929"/>
        <w:gridCol w:w="1658"/>
      </w:tblGrid>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shd w:val="clear" w:color="auto" w:fill="FFFFFF"/>
            <w:vAlign w:val="center"/>
          </w:tcPr>
          <w:p>
            <w:pPr>
              <w:pStyle w:val="61"/>
              <w:spacing w:line="240" w:lineRule="auto"/>
              <w:ind w:firstLine="0" w:firstLineChars="0"/>
              <w:jc w:val="center"/>
              <w:rPr>
                <w:sz w:val="21"/>
                <w:szCs w:val="21"/>
              </w:rPr>
            </w:pPr>
            <w:r>
              <w:rPr>
                <w:b/>
                <w:bCs/>
                <w:color w:val="000000"/>
                <w:sz w:val="21"/>
                <w:szCs w:val="21"/>
              </w:rPr>
              <w:t>序号</w:t>
            </w:r>
          </w:p>
        </w:tc>
        <w:tc>
          <w:tcPr>
            <w:tcW w:w="447" w:type="pct"/>
            <w:tcBorders>
              <w:left w:val="single" w:color="auto" w:sz="4" w:space="0"/>
            </w:tcBorders>
            <w:shd w:val="clear" w:color="auto" w:fill="FFFFFF"/>
            <w:vAlign w:val="center"/>
          </w:tcPr>
          <w:p>
            <w:pPr>
              <w:pStyle w:val="61"/>
              <w:spacing w:line="240" w:lineRule="auto"/>
              <w:ind w:firstLine="0" w:firstLineChars="0"/>
              <w:jc w:val="center"/>
              <w:rPr>
                <w:sz w:val="21"/>
                <w:szCs w:val="21"/>
              </w:rPr>
            </w:pPr>
            <w:r>
              <w:rPr>
                <w:b/>
                <w:bCs/>
                <w:color w:val="000000"/>
                <w:sz w:val="21"/>
                <w:szCs w:val="21"/>
              </w:rPr>
              <w:t>类别</w:t>
            </w:r>
          </w:p>
        </w:tc>
        <w:tc>
          <w:tcPr>
            <w:tcW w:w="3261" w:type="pct"/>
            <w:tcBorders>
              <w:left w:val="single" w:color="auto" w:sz="4" w:space="0"/>
            </w:tcBorders>
            <w:shd w:val="clear" w:color="auto" w:fill="FFFFFF"/>
            <w:vAlign w:val="center"/>
          </w:tcPr>
          <w:p>
            <w:pPr>
              <w:pStyle w:val="61"/>
              <w:spacing w:line="240" w:lineRule="auto"/>
              <w:ind w:firstLine="0" w:firstLineChars="0"/>
              <w:jc w:val="center"/>
              <w:rPr>
                <w:sz w:val="21"/>
                <w:szCs w:val="21"/>
              </w:rPr>
            </w:pPr>
            <w:r>
              <w:rPr>
                <w:b/>
                <w:bCs/>
                <w:color w:val="000000"/>
                <w:sz w:val="21"/>
                <w:szCs w:val="21"/>
              </w:rPr>
              <w:t>负面清单</w:t>
            </w:r>
          </w:p>
        </w:tc>
        <w:tc>
          <w:tcPr>
            <w:tcW w:w="912" w:type="pct"/>
            <w:tcBorders>
              <w:left w:val="single" w:color="auto" w:sz="4" w:space="0"/>
            </w:tcBorders>
            <w:shd w:val="clear" w:color="auto" w:fill="FFFFFF"/>
            <w:vAlign w:val="center"/>
          </w:tcPr>
          <w:p>
            <w:pPr>
              <w:pStyle w:val="61"/>
              <w:spacing w:line="240" w:lineRule="auto"/>
              <w:ind w:firstLine="0" w:firstLineChars="0"/>
              <w:jc w:val="center"/>
              <w:rPr>
                <w:sz w:val="21"/>
                <w:szCs w:val="21"/>
              </w:rPr>
            </w:pPr>
            <w:r>
              <w:rPr>
                <w:b/>
                <w:bCs/>
                <w:color w:val="000000"/>
                <w:sz w:val="21"/>
                <w:szCs w:val="21"/>
              </w:rPr>
              <w:t>确定依据</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w:t>
            </w:r>
          </w:p>
        </w:tc>
        <w:tc>
          <w:tcPr>
            <w:tcW w:w="447"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行业清单</w:t>
            </w: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原则上不符合园区规划主导产业或围绕主导产业的相关配套产业项目禁止入驻。</w:t>
            </w:r>
          </w:p>
        </w:tc>
        <w:tc>
          <w:tcPr>
            <w:tcW w:w="912"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lang w:val="en-US" w:eastAsia="zh-CN"/>
              </w:rPr>
            </w:pPr>
            <w:r>
              <w:rPr>
                <w:rFonts w:hint="eastAsia"/>
                <w:sz w:val="21"/>
                <w:szCs w:val="21"/>
                <w:lang w:eastAsia="zh-CN"/>
              </w:rPr>
              <w:t>本项目属于化学原料和化学制品制造业行业和橡胶和塑料制品业，不属于负面清单中禁止的行业</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禁止入驻《产业结构调整指导目录》中淘汰类项目。</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3</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禁止建设列入《环境保护综合目录》的高污染、高风险产品（采用附录中工艺且符合园区产业定位的项目除外）。</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4</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禁止新建高毒性农药、农药原药制造、发酵类及合成类制药等项目。</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5</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集聚区原则上禁止新建小燃煤锅炉及燃重油、渣油锅炉和直接燃用生物质锅炉，确有必要的应使用清洁能源。</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6</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拟入驻企业生产规模、工艺装备要求符合行业要求。</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7</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严格限制尿素、电石、烧碱、聚氯乙烯、纯碱、磷铵等过剩行业新增产能，对符合政策要求的先进工艺改造提升项目实行等量或减量置换。</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8</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严格限制新建光气、氰化钠、氟乙酸甲酯等剧毒化学品以及硝酸铵、硝化棉等易制爆化学品项目。</w:t>
            </w:r>
          </w:p>
        </w:tc>
        <w:tc>
          <w:tcPr>
            <w:tcW w:w="912"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9</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原则上禁止新建、扩建单纯新增产能的传统煤化工项目（尼龙化工产业配套氢氨项目除外），严禁各地擅自建设不符合产业布局规划要求的煤化工项目。</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10</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按照《河南省产业集聚区企业分类综合评价办法（试行）》对入驻项目进行分类评级，优先引入</w:t>
            </w:r>
            <w:r>
              <w:rPr>
                <w:rFonts w:eastAsia="Times New Roman" w:cs="Times New Roman"/>
                <w:color w:val="000000"/>
                <w:sz w:val="21"/>
                <w:szCs w:val="21"/>
                <w:lang w:val="en-US" w:eastAsia="zh-CN" w:bidi="en-US"/>
              </w:rPr>
              <w:t>A</w:t>
            </w:r>
            <w:r>
              <w:rPr>
                <w:color w:val="000000"/>
                <w:sz w:val="21"/>
                <w:szCs w:val="21"/>
              </w:rPr>
              <w:t>类（优先发展类）企业，限制</w:t>
            </w:r>
            <w:r>
              <w:rPr>
                <w:rFonts w:eastAsia="Times New Roman" w:cs="Times New Roman"/>
                <w:color w:val="000000"/>
                <w:sz w:val="21"/>
                <w:szCs w:val="21"/>
                <w:lang w:val="en-US" w:eastAsia="zh-CN" w:bidi="en-US"/>
              </w:rPr>
              <w:t>B</w:t>
            </w:r>
            <w:r>
              <w:rPr>
                <w:color w:val="000000"/>
                <w:sz w:val="21"/>
                <w:szCs w:val="21"/>
              </w:rPr>
              <w:t>类（鼓励提升类）企业，禁止</w:t>
            </w:r>
            <w:r>
              <w:rPr>
                <w:rFonts w:eastAsia="Times New Roman" w:cs="Times New Roman"/>
                <w:color w:val="000000"/>
                <w:sz w:val="21"/>
                <w:szCs w:val="21"/>
                <w:lang w:val="en-US" w:eastAsia="zh-CN" w:bidi="en-US"/>
              </w:rPr>
              <w:t>C</w:t>
            </w:r>
            <w:r>
              <w:rPr>
                <w:color w:val="000000"/>
                <w:sz w:val="21"/>
                <w:szCs w:val="21"/>
              </w:rPr>
              <w:t>类（倒逼转型类）企业入驻。</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11</w:t>
            </w:r>
          </w:p>
        </w:tc>
        <w:tc>
          <w:tcPr>
            <w:tcW w:w="447"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生产工艺及装备水平</w:t>
            </w: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禁止建设废水含超过规定浓度的难降解的有机污染物、</w:t>
            </w:r>
            <w:r>
              <w:rPr>
                <w:rFonts w:hint="eastAsia"/>
                <w:color w:val="000000"/>
                <w:sz w:val="21"/>
                <w:szCs w:val="21"/>
                <w:lang w:val="zh-CN" w:eastAsia="zh-CN" w:bidi="zh-CN"/>
              </w:rPr>
              <w:t>“</w:t>
            </w:r>
            <w:r>
              <w:rPr>
                <w:color w:val="000000"/>
                <w:sz w:val="21"/>
                <w:szCs w:val="21"/>
                <w:lang w:val="zh-CN" w:eastAsia="zh-CN" w:bidi="zh-CN"/>
              </w:rPr>
              <w:t>三致</w:t>
            </w:r>
            <w:r>
              <w:rPr>
                <w:rFonts w:hint="eastAsia"/>
                <w:color w:val="000000"/>
                <w:sz w:val="21"/>
                <w:szCs w:val="21"/>
                <w:lang w:val="zh-CN" w:eastAsia="zh-CN" w:bidi="zh-CN"/>
              </w:rPr>
              <w:t>”</w:t>
            </w:r>
            <w:r>
              <w:rPr>
                <w:color w:val="000000"/>
                <w:sz w:val="21"/>
                <w:szCs w:val="21"/>
                <w:lang w:val="zh-CN" w:eastAsia="zh-CN" w:bidi="zh-CN"/>
              </w:rPr>
              <w:t>（致</w:t>
            </w:r>
            <w:r>
              <w:rPr>
                <w:color w:val="000000"/>
                <w:sz w:val="21"/>
                <w:szCs w:val="21"/>
              </w:rPr>
              <w:t>畸、致癌、致突变）污染物、高盐（总盐超</w:t>
            </w:r>
            <w:r>
              <w:rPr>
                <w:rFonts w:hint="eastAsia"/>
                <w:color w:val="000000"/>
                <w:sz w:val="21"/>
                <w:szCs w:val="21"/>
                <w:lang w:eastAsia="zh-CN"/>
              </w:rPr>
              <w:t>出</w:t>
            </w:r>
            <w:r>
              <w:rPr>
                <w:color w:val="000000"/>
                <w:sz w:val="21"/>
                <w:szCs w:val="21"/>
              </w:rPr>
              <w:t>园区纳管标准）以及重点重金属污染物汞、镉、铬、铅、碑的项目。</w:t>
            </w:r>
          </w:p>
        </w:tc>
        <w:tc>
          <w:tcPr>
            <w:tcW w:w="912"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lang w:val="en-US" w:eastAsia="zh-CN"/>
              </w:rPr>
            </w:pPr>
            <w:r>
              <w:rPr>
                <w:rFonts w:hint="eastAsia"/>
                <w:sz w:val="21"/>
                <w:szCs w:val="21"/>
                <w:lang w:eastAsia="zh-CN"/>
              </w:rPr>
              <w:t>项目废水水质较简单，经处理后排入污水处理厂，项目有机废气处理工艺采用</w:t>
            </w:r>
            <w:r>
              <w:rPr>
                <w:rFonts w:hint="eastAsia"/>
                <w:sz w:val="21"/>
                <w:szCs w:val="21"/>
                <w:lang w:val="en-US" w:eastAsia="zh-CN"/>
              </w:rPr>
              <w:t>RCO等国内先进的处理工，不涉及淘汰和落后生产工艺</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12</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入驻企业的生产工艺、设备、污染治理技术、清洁生产水平均需达到同行业国内先进水平，否则禁止入驻。</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bottom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13</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bottom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禁止建设列入《河南省部分工业行业淘汰落后生产工艺装备和产品目录》的落后生产工艺装备和落后产品</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14</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禁止不符合安全生产标准规范和不成熟工艺的危险化学品建设项目入驻。</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15</w:t>
            </w:r>
          </w:p>
        </w:tc>
        <w:tc>
          <w:tcPr>
            <w:tcW w:w="447"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清洁生产水平</w:t>
            </w: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禁止低于国家二级清洁生产标准要求的建设项目入驻。入驻项目在单位产品水耗、物耗、能耗、污染物排放量等指标应达到国内同行业先进水平。</w:t>
            </w:r>
          </w:p>
        </w:tc>
        <w:tc>
          <w:tcPr>
            <w:tcW w:w="912"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lang w:eastAsia="zh-CN"/>
              </w:rPr>
            </w:pPr>
            <w:r>
              <w:rPr>
                <w:rFonts w:hint="eastAsia"/>
                <w:sz w:val="21"/>
                <w:szCs w:val="21"/>
                <w:lang w:eastAsia="zh-CN"/>
              </w:rPr>
              <w:t>项目清洁生产水平达到国内同行业先进水平</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16</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鼓励现有企业进行工程工艺技术升级改造、污染治理设施升级改造、节能减排技术改造项目，提高现有企业清洁生产水平。</w:t>
            </w:r>
          </w:p>
        </w:tc>
        <w:tc>
          <w:tcPr>
            <w:tcW w:w="912"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17</w:t>
            </w:r>
          </w:p>
        </w:tc>
        <w:tc>
          <w:tcPr>
            <w:tcW w:w="447"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污染物排放管控</w:t>
            </w: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入驻企业应根据污染物排放标准和相关环境管理要求，适时对企业生产及治污设施进行升级改造，满足达标排放、总量控制等环境管理要求。</w:t>
            </w:r>
          </w:p>
        </w:tc>
        <w:tc>
          <w:tcPr>
            <w:tcW w:w="912"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rFonts w:hint="eastAsia" w:eastAsia="宋体"/>
                <w:sz w:val="21"/>
                <w:szCs w:val="21"/>
                <w:lang w:eastAsia="zh-CN"/>
              </w:rPr>
            </w:pPr>
            <w:r>
              <w:rPr>
                <w:rFonts w:hint="eastAsia"/>
                <w:sz w:val="21"/>
                <w:szCs w:val="21"/>
                <w:lang w:eastAsia="zh-CN"/>
              </w:rPr>
              <w:t>本项目为新建项目</w:t>
            </w:r>
            <w:r>
              <w:rPr>
                <w:rFonts w:eastAsia="Times New Roman" w:cs="Times New Roman"/>
                <w:color w:val="000000"/>
                <w:sz w:val="21"/>
                <w:szCs w:val="21"/>
                <w:lang w:val="en-US" w:eastAsia="zh-CN" w:bidi="en-US"/>
              </w:rPr>
              <w:t>VOCs</w:t>
            </w:r>
            <w:r>
              <w:rPr>
                <w:color w:val="000000"/>
                <w:sz w:val="21"/>
                <w:szCs w:val="21"/>
              </w:rPr>
              <w:t>排放需实行区域内倍量削减替代</w:t>
            </w:r>
            <w:r>
              <w:rPr>
                <w:rFonts w:hint="eastAsia"/>
                <w:color w:val="000000"/>
                <w:sz w:val="21"/>
                <w:szCs w:val="21"/>
                <w:lang w:eastAsia="zh-CN"/>
              </w:rPr>
              <w:t>，企业废水经处理后经</w:t>
            </w:r>
            <w:r>
              <w:rPr>
                <w:color w:val="000000"/>
                <w:sz w:val="21"/>
                <w:szCs w:val="21"/>
              </w:rPr>
              <w:t>污水管网排入</w:t>
            </w:r>
            <w:r>
              <w:rPr>
                <w:rFonts w:hint="eastAsia"/>
                <w:color w:val="000000"/>
                <w:sz w:val="21"/>
                <w:szCs w:val="21"/>
                <w:lang w:eastAsia="zh-CN"/>
              </w:rPr>
              <w:t>平顶山第三污水处理厂</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18</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鼓励现有项目及改扩建项目提标改造，控制增产不增污。</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19</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实行重点化工企业强制性清洁生产审核。</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20</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禁止污染物治理难度大，技术不稳定无法做到稳定达标排放的项目入驻。</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21</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禁止新增非集中供热性质的燃煤锅炉及燃重油、渣油锅炉和直接燃用生物质锅炉项目。</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22</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新建项目</w:t>
            </w:r>
            <w:r>
              <w:rPr>
                <w:rFonts w:eastAsia="Times New Roman" w:cs="Times New Roman"/>
                <w:color w:val="000000"/>
                <w:sz w:val="21"/>
                <w:szCs w:val="21"/>
                <w:lang w:val="en-US" w:eastAsia="zh-CN" w:bidi="en-US"/>
              </w:rPr>
              <w:t>VOCs</w:t>
            </w:r>
            <w:r>
              <w:rPr>
                <w:color w:val="000000"/>
                <w:sz w:val="21"/>
                <w:szCs w:val="21"/>
              </w:rPr>
              <w:t>排放需实行区域内等量或倍量削减替代，不能落实区域内等量或倍量削减替代的禁止入驻。</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23</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入区企业的废水需通过污水管网排入集聚区污水处理厂处理，在不具备接入污水管网的区域，禁止入驻涉及废水直接排放的企业。</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24</w:t>
            </w:r>
          </w:p>
        </w:tc>
        <w:tc>
          <w:tcPr>
            <w:tcW w:w="447"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环境风险</w:t>
            </w: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项目大气防护距离范围超越园区边界且涉及居民区、学校、医院等环境敏感点的项目，禁止新建。</w:t>
            </w:r>
          </w:p>
        </w:tc>
        <w:tc>
          <w:tcPr>
            <w:tcW w:w="912"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lang w:eastAsia="zh-CN"/>
              </w:rPr>
            </w:pPr>
            <w:r>
              <w:rPr>
                <w:rFonts w:hint="eastAsia"/>
                <w:sz w:val="21"/>
                <w:szCs w:val="21"/>
                <w:lang w:eastAsia="zh-CN"/>
              </w:rPr>
              <w:t>本项目大气不设置大气防护距离，涉及危险化学品按要求制定</w:t>
            </w:r>
            <w:r>
              <w:rPr>
                <w:color w:val="000000"/>
                <w:sz w:val="21"/>
                <w:szCs w:val="21"/>
              </w:rPr>
              <w:t>完善的环境应急预案</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25</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项目环境风险防范措施未严格按照环境影响评价文件要求落实的，应停产整改。</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90"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26</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涉及危险化学品、危险废物及可能发生突发环境事件的污染物排放企业，应按照突发环境事件应急预案备案管理办法的要求，制定完善的环境应急预案。</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27</w:t>
            </w:r>
          </w:p>
        </w:tc>
        <w:tc>
          <w:tcPr>
            <w:tcW w:w="447"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资源开发利用要求</w:t>
            </w: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根据区域环境承载力适度发展与尼龙新材料产业配套的煤化工。</w:t>
            </w:r>
          </w:p>
        </w:tc>
        <w:tc>
          <w:tcPr>
            <w:tcW w:w="912" w:type="pct"/>
            <w:vMerge w:val="restar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lang w:eastAsia="zh-CN"/>
              </w:rPr>
            </w:pPr>
            <w:r>
              <w:rPr>
                <w:rFonts w:hint="eastAsia"/>
                <w:sz w:val="21"/>
                <w:szCs w:val="21"/>
                <w:lang w:eastAsia="zh-CN"/>
              </w:rPr>
              <w:t>项目投资满足</w:t>
            </w:r>
            <w:r>
              <w:rPr>
                <w:color w:val="000000"/>
                <w:sz w:val="21"/>
                <w:szCs w:val="21"/>
              </w:rPr>
              <w:t>河南省工业项目建设用地控制指标</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378" w:type="pct"/>
            <w:tcBorders>
              <w:top w:val="single" w:color="auto" w:sz="4" w:space="0"/>
            </w:tcBorders>
            <w:shd w:val="clear" w:color="auto" w:fill="FFFFFF"/>
            <w:vAlign w:val="center"/>
          </w:tcPr>
          <w:p>
            <w:pPr>
              <w:pStyle w:val="61"/>
              <w:spacing w:line="240" w:lineRule="auto"/>
              <w:ind w:firstLine="0" w:firstLineChars="0"/>
              <w:jc w:val="center"/>
              <w:rPr>
                <w:sz w:val="21"/>
                <w:szCs w:val="21"/>
              </w:rPr>
            </w:pPr>
            <w:r>
              <w:rPr>
                <w:rFonts w:eastAsia="Times New Roman" w:cs="Times New Roman"/>
                <w:color w:val="000000"/>
                <w:sz w:val="21"/>
                <w:szCs w:val="21"/>
              </w:rPr>
              <w:t>28</w:t>
            </w:r>
          </w:p>
        </w:tc>
        <w:tc>
          <w:tcPr>
            <w:tcW w:w="447" w:type="pct"/>
            <w:vMerge w:val="continue"/>
            <w:tcBorders>
              <w:left w:val="single" w:color="auto" w:sz="4" w:space="0"/>
            </w:tcBorders>
            <w:shd w:val="clear" w:color="auto" w:fill="FFFFFF"/>
            <w:vAlign w:val="center"/>
          </w:tcPr>
          <w:p>
            <w:pPr>
              <w:spacing w:line="240" w:lineRule="auto"/>
              <w:ind w:firstLine="0" w:firstLineChars="0"/>
              <w:jc w:val="center"/>
              <w:rPr>
                <w:sz w:val="21"/>
                <w:szCs w:val="21"/>
              </w:rPr>
            </w:pPr>
          </w:p>
        </w:tc>
        <w:tc>
          <w:tcPr>
            <w:tcW w:w="3261" w:type="pct"/>
            <w:tcBorders>
              <w:top w:val="single" w:color="auto" w:sz="4" w:space="0"/>
              <w:left w:val="single" w:color="auto" w:sz="4" w:space="0"/>
            </w:tcBorders>
            <w:shd w:val="clear" w:color="auto" w:fill="FFFFFF"/>
            <w:vAlign w:val="center"/>
          </w:tcPr>
          <w:p>
            <w:pPr>
              <w:pStyle w:val="61"/>
              <w:spacing w:line="240" w:lineRule="auto"/>
              <w:ind w:firstLine="0" w:firstLineChars="0"/>
              <w:jc w:val="center"/>
              <w:rPr>
                <w:sz w:val="21"/>
                <w:szCs w:val="21"/>
              </w:rPr>
            </w:pPr>
            <w:r>
              <w:rPr>
                <w:color w:val="000000"/>
                <w:sz w:val="21"/>
                <w:szCs w:val="21"/>
              </w:rPr>
              <w:t>入驻项目用地必须达到《河南省工业项目建设用地控制指标》要求。</w:t>
            </w:r>
          </w:p>
        </w:tc>
        <w:tc>
          <w:tcPr>
            <w:tcW w:w="912" w:type="pct"/>
            <w:vMerge w:val="continue"/>
            <w:tcBorders>
              <w:left w:val="single" w:color="auto" w:sz="4" w:space="0"/>
            </w:tcBorders>
            <w:shd w:val="clear" w:color="auto" w:fill="FFFFFF"/>
            <w:vAlign w:val="center"/>
          </w:tcPr>
          <w:p>
            <w:pPr>
              <w:pStyle w:val="61"/>
              <w:spacing w:line="240" w:lineRule="auto"/>
              <w:ind w:firstLine="0" w:firstLineChars="0"/>
              <w:jc w:val="center"/>
              <w:rPr>
                <w:sz w:val="21"/>
                <w:szCs w:val="21"/>
              </w:rPr>
            </w:pPr>
          </w:p>
        </w:tc>
      </w:tr>
    </w:tbl>
    <w:p>
      <w:pPr>
        <w:ind w:firstLine="0" w:firstLineChars="0"/>
        <w:jc w:val="center"/>
        <w:rPr>
          <w:b/>
          <w:bCs/>
        </w:rPr>
      </w:pPr>
      <w:r>
        <w:rPr>
          <w:rFonts w:hint="eastAsia"/>
          <w:b/>
          <w:bCs/>
        </w:rPr>
        <w:t>表2.6-3  与集聚区负面清单的符合性</w:t>
      </w:r>
    </w:p>
    <w:tbl>
      <w:tblPr>
        <w:tblStyle w:val="51"/>
        <w:tblW w:w="503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906"/>
        <w:gridCol w:w="5432"/>
        <w:gridCol w:w="2002"/>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类别</w:t>
            </w:r>
          </w:p>
        </w:tc>
        <w:tc>
          <w:tcPr>
            <w:tcW w:w="2968"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负面清单</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管理要求</w:t>
            </w: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1</w:t>
            </w:r>
            <w:r>
              <w:rPr>
                <w:rFonts w:cs="Times New Roman"/>
                <w:kern w:val="21"/>
                <w:sz w:val="21"/>
                <w:szCs w:val="21"/>
              </w:rPr>
              <w:t>、禁止投资建设国家产业结构调整指导目录淘汰类项目；</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本项目为</w:t>
            </w:r>
            <w:r>
              <w:rPr>
                <w:rFonts w:hint="eastAsia" w:cs="Times New Roman"/>
                <w:kern w:val="21"/>
                <w:sz w:val="21"/>
                <w:szCs w:val="21"/>
              </w:rPr>
              <w:t>允许</w:t>
            </w:r>
            <w:r>
              <w:rPr>
                <w:rFonts w:cs="Times New Roman"/>
                <w:kern w:val="21"/>
                <w:sz w:val="21"/>
                <w:szCs w:val="21"/>
              </w:rPr>
              <w:t>类</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2</w:t>
            </w:r>
            <w:r>
              <w:rPr>
                <w:rFonts w:cs="Times New Roman"/>
                <w:kern w:val="21"/>
                <w:sz w:val="21"/>
                <w:szCs w:val="21"/>
              </w:rPr>
              <w:t>、禁止建设《国务院关于化解产能严重过剩矛盾的指导意见》（国发〔</w:t>
            </w:r>
            <w:r>
              <w:rPr>
                <w:rFonts w:eastAsia="Times New Roman" w:cs="Times New Roman"/>
                <w:kern w:val="21"/>
                <w:sz w:val="21"/>
                <w:szCs w:val="21"/>
              </w:rPr>
              <w:t>2013</w:t>
            </w:r>
            <w:r>
              <w:rPr>
                <w:rFonts w:cs="Times New Roman"/>
                <w:kern w:val="21"/>
                <w:sz w:val="21"/>
                <w:szCs w:val="21"/>
              </w:rPr>
              <w:t>〕</w:t>
            </w:r>
            <w:r>
              <w:rPr>
                <w:rFonts w:eastAsia="Times New Roman" w:cs="Times New Roman"/>
                <w:kern w:val="21"/>
                <w:sz w:val="21"/>
                <w:szCs w:val="21"/>
              </w:rPr>
              <w:t>41</w:t>
            </w:r>
            <w:r>
              <w:rPr>
                <w:rFonts w:cs="Times New Roman"/>
                <w:kern w:val="21"/>
                <w:sz w:val="21"/>
                <w:szCs w:val="21"/>
              </w:rPr>
              <w:t>号）明确产能严重过剩行业的新增产能项目；</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本项目不属于过剩产能</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3</w:t>
            </w:r>
            <w:r>
              <w:rPr>
                <w:rFonts w:cs="Times New Roman"/>
                <w:kern w:val="21"/>
                <w:sz w:val="21"/>
                <w:szCs w:val="21"/>
              </w:rPr>
              <w:t>、禁止污染严重，破坏自然生态和损害人体健康，公众反对意愿强烈的项目；</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项目不属于重污染项目</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4</w:t>
            </w:r>
            <w:r>
              <w:rPr>
                <w:rFonts w:cs="Times New Roman"/>
                <w:kern w:val="21"/>
                <w:sz w:val="21"/>
                <w:szCs w:val="21"/>
              </w:rPr>
              <w:t>、禁止建设列入《环境保护综合目录》（</w:t>
            </w:r>
            <w:r>
              <w:rPr>
                <w:rFonts w:eastAsia="Times New Roman" w:cs="Times New Roman"/>
                <w:kern w:val="21"/>
                <w:sz w:val="21"/>
                <w:szCs w:val="21"/>
              </w:rPr>
              <w:t>2017</w:t>
            </w:r>
            <w:r>
              <w:rPr>
                <w:rFonts w:cs="Times New Roman"/>
                <w:kern w:val="21"/>
                <w:sz w:val="21"/>
                <w:szCs w:val="21"/>
              </w:rPr>
              <w:t>年版）的高</w:t>
            </w:r>
          </w:p>
          <w:p>
            <w:pPr>
              <w:spacing w:line="240" w:lineRule="auto"/>
              <w:ind w:firstLine="0" w:firstLineChars="0"/>
              <w:jc w:val="center"/>
              <w:rPr>
                <w:rFonts w:cs="Times New Roman"/>
                <w:kern w:val="21"/>
                <w:sz w:val="21"/>
                <w:szCs w:val="21"/>
              </w:rPr>
            </w:pPr>
            <w:r>
              <w:rPr>
                <w:rFonts w:cs="Times New Roman"/>
                <w:kern w:val="21"/>
                <w:sz w:val="21"/>
                <w:szCs w:val="21"/>
              </w:rPr>
              <w:t>污染、高风险产品（采用附录中工艺且符合园区产业定位的 项目除外）；</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项目产品不属于《环境保护综合目录》（</w:t>
            </w:r>
            <w:r>
              <w:rPr>
                <w:rFonts w:eastAsia="Times New Roman" w:cs="Times New Roman"/>
                <w:kern w:val="21"/>
                <w:sz w:val="21"/>
                <w:szCs w:val="21"/>
              </w:rPr>
              <w:t>2017</w:t>
            </w:r>
            <w:r>
              <w:rPr>
                <w:rFonts w:cs="Times New Roman"/>
                <w:kern w:val="21"/>
                <w:sz w:val="21"/>
                <w:szCs w:val="21"/>
              </w:rPr>
              <w:t>年版）的高污染、高风险产品</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5</w:t>
            </w:r>
            <w:r>
              <w:rPr>
                <w:rFonts w:cs="Times New Roman"/>
                <w:kern w:val="21"/>
                <w:sz w:val="21"/>
                <w:szCs w:val="21"/>
              </w:rPr>
              <w:t>、禁止入驻投资强度不符合《工业项目建设用地控制指标》</w:t>
            </w:r>
          </w:p>
          <w:p>
            <w:pPr>
              <w:spacing w:line="240" w:lineRule="auto"/>
              <w:ind w:firstLine="0" w:firstLineChars="0"/>
              <w:jc w:val="center"/>
              <w:rPr>
                <w:rFonts w:cs="Times New Roman"/>
                <w:kern w:val="21"/>
                <w:sz w:val="21"/>
                <w:szCs w:val="21"/>
              </w:rPr>
            </w:pPr>
            <w:r>
              <w:rPr>
                <w:rFonts w:cs="Times New Roman"/>
                <w:kern w:val="21"/>
                <w:sz w:val="21"/>
                <w:szCs w:val="21"/>
              </w:rPr>
              <w:t>（国土资发</w:t>
            </w:r>
            <w:r>
              <w:rPr>
                <w:rFonts w:hint="eastAsia" w:cs="Times New Roman"/>
                <w:kern w:val="21"/>
                <w:sz w:val="21"/>
                <w:szCs w:val="21"/>
              </w:rPr>
              <w:t>〔</w:t>
            </w:r>
            <w:r>
              <w:rPr>
                <w:rFonts w:eastAsia="Times New Roman" w:cs="Times New Roman"/>
                <w:kern w:val="21"/>
                <w:sz w:val="21"/>
                <w:szCs w:val="21"/>
              </w:rPr>
              <w:t>2008</w:t>
            </w:r>
            <w:r>
              <w:rPr>
                <w:rFonts w:hint="eastAsia" w:cs="Times New Roman"/>
                <w:kern w:val="21"/>
                <w:sz w:val="21"/>
                <w:szCs w:val="21"/>
              </w:rPr>
              <w:t>〕</w:t>
            </w:r>
            <w:r>
              <w:rPr>
                <w:rFonts w:eastAsia="Times New Roman" w:cs="Times New Roman"/>
                <w:kern w:val="21"/>
                <w:sz w:val="21"/>
                <w:szCs w:val="21"/>
              </w:rPr>
              <w:t>24</w:t>
            </w:r>
            <w:r>
              <w:rPr>
                <w:rFonts w:cs="Times New Roman"/>
                <w:kern w:val="21"/>
                <w:sz w:val="21"/>
                <w:szCs w:val="21"/>
              </w:rPr>
              <w:t>号）和《河南省人民政府关于进一步加强节约集约用地的意见》（豫政</w:t>
            </w:r>
            <w:r>
              <w:rPr>
                <w:rFonts w:hint="eastAsia" w:ascii="宋体" w:hAnsi="宋体" w:eastAsia="宋体" w:cs="宋体"/>
                <w:kern w:val="21"/>
                <w:sz w:val="21"/>
                <w:szCs w:val="21"/>
              </w:rPr>
              <w:t>〔</w:t>
            </w:r>
            <w:r>
              <w:rPr>
                <w:rFonts w:eastAsia="Times New Roman" w:cs="Times New Roman"/>
                <w:kern w:val="21"/>
                <w:sz w:val="21"/>
                <w:szCs w:val="21"/>
              </w:rPr>
              <w:t>2015</w:t>
            </w:r>
            <w:r>
              <w:rPr>
                <w:rFonts w:hint="eastAsia" w:ascii="宋体" w:hAnsi="宋体" w:eastAsia="宋体" w:cs="宋体"/>
                <w:kern w:val="21"/>
                <w:sz w:val="21"/>
                <w:szCs w:val="21"/>
              </w:rPr>
              <w:t>〕</w:t>
            </w:r>
            <w:r>
              <w:rPr>
                <w:rFonts w:eastAsia="Times New Roman" w:cs="Times New Roman"/>
                <w:kern w:val="21"/>
                <w:sz w:val="21"/>
                <w:szCs w:val="21"/>
              </w:rPr>
              <w:t>66</w:t>
            </w:r>
            <w:r>
              <w:rPr>
                <w:rFonts w:cs="Times New Roman"/>
                <w:kern w:val="21"/>
                <w:sz w:val="21"/>
                <w:szCs w:val="21"/>
              </w:rPr>
              <w:t>号）文件要求的项目</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项目建设符合园区用地规划</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6</w:t>
            </w:r>
            <w:r>
              <w:rPr>
                <w:rFonts w:cs="Times New Roman"/>
                <w:kern w:val="21"/>
                <w:sz w:val="21"/>
                <w:szCs w:val="21"/>
              </w:rPr>
              <w:t>、禁止新增非集中供热性质的燃煤锅炉及燃重油、渣油锅 炉和直接燃用生物质锅炉项目</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w:t>
            </w:r>
            <w:r>
              <w:rPr>
                <w:rFonts w:hint="eastAsia" w:cs="Times New Roman"/>
                <w:kern w:val="21"/>
                <w:sz w:val="21"/>
                <w:szCs w:val="21"/>
              </w:rPr>
              <w:t>不</w:t>
            </w:r>
            <w:r>
              <w:rPr>
                <w:rFonts w:cs="Times New Roman"/>
                <w:kern w:val="21"/>
                <w:sz w:val="21"/>
                <w:szCs w:val="21"/>
              </w:rPr>
              <w:t>使用</w:t>
            </w:r>
            <w:r>
              <w:rPr>
                <w:rFonts w:hint="eastAsia" w:cs="Times New Roman"/>
                <w:kern w:val="21"/>
                <w:sz w:val="21"/>
                <w:szCs w:val="21"/>
              </w:rPr>
              <w:t>锅炉</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7</w:t>
            </w:r>
            <w:r>
              <w:rPr>
                <w:rFonts w:cs="Times New Roman"/>
                <w:kern w:val="21"/>
                <w:sz w:val="21"/>
                <w:szCs w:val="21"/>
              </w:rPr>
              <w:t>、禁止入驻低于国家二级清洁生产标准要求的建设项目</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项目清洁生产水平达到行业先进水平</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主导产业</w:t>
            </w: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1</w:t>
            </w:r>
            <w:r>
              <w:rPr>
                <w:rFonts w:cs="Times New Roman"/>
                <w:kern w:val="21"/>
                <w:sz w:val="21"/>
                <w:szCs w:val="21"/>
              </w:rPr>
              <w:t>、禁止入驻与集聚区产业定位不相符的项目</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项目属于园区主导产业</w:t>
            </w:r>
            <w:r>
              <w:rPr>
                <w:rFonts w:hint="eastAsia" w:cs="Times New Roman"/>
                <w:kern w:val="21"/>
                <w:sz w:val="21"/>
                <w:szCs w:val="21"/>
              </w:rPr>
              <w:t>上游产品</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2</w:t>
            </w:r>
            <w:r>
              <w:rPr>
                <w:rFonts w:cs="Times New Roman"/>
                <w:kern w:val="21"/>
                <w:sz w:val="21"/>
                <w:szCs w:val="21"/>
              </w:rPr>
              <w:t>、禁止污染物治理难度大，技术不稳定无法做到稳定达标排放的项目入驻。</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项目各项污染物稳定达标排放</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3</w:t>
            </w:r>
            <w:r>
              <w:rPr>
                <w:rFonts w:cs="Times New Roman"/>
                <w:kern w:val="21"/>
                <w:sz w:val="21"/>
                <w:szCs w:val="21"/>
              </w:rPr>
              <w:t>、禁止没有配套建设吹风气余热回收、造气炉渣综合利用装置的固定层间歇式煤气化装置有序退出单套装置</w:t>
            </w:r>
            <w:r>
              <w:rPr>
                <w:rFonts w:eastAsia="Times New Roman" w:cs="Times New Roman"/>
                <w:kern w:val="21"/>
                <w:sz w:val="21"/>
                <w:szCs w:val="21"/>
              </w:rPr>
              <w:t>30</w:t>
            </w:r>
            <w:r>
              <w:rPr>
                <w:rFonts w:cs="Times New Roman"/>
                <w:kern w:val="21"/>
                <w:sz w:val="21"/>
                <w:szCs w:val="21"/>
              </w:rPr>
              <w:t>万吨</w:t>
            </w:r>
            <w:r>
              <w:rPr>
                <w:rFonts w:eastAsia="Times New Roman" w:cs="Times New Roman"/>
                <w:kern w:val="21"/>
                <w:sz w:val="21"/>
                <w:szCs w:val="21"/>
              </w:rPr>
              <w:t>/</w:t>
            </w:r>
            <w:r>
              <w:rPr>
                <w:rFonts w:cs="Times New Roman"/>
                <w:kern w:val="21"/>
                <w:sz w:val="21"/>
                <w:szCs w:val="21"/>
              </w:rPr>
              <w:t>年以下的合成氨产能。</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项目不涉及合成氨生产</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4</w:t>
            </w:r>
            <w:r>
              <w:rPr>
                <w:rFonts w:cs="Times New Roman"/>
                <w:kern w:val="21"/>
                <w:sz w:val="21"/>
                <w:szCs w:val="21"/>
              </w:rPr>
              <w:t>、禁止半水煤气氨水液相脱硫、天然气常压间歇转化工艺  制合成氨；禁止一氧化碳常压变化及全中温变换（高温变换）</w:t>
            </w:r>
          </w:p>
          <w:p>
            <w:pPr>
              <w:spacing w:line="240" w:lineRule="auto"/>
              <w:ind w:firstLine="0" w:firstLineChars="0"/>
              <w:jc w:val="center"/>
              <w:rPr>
                <w:rFonts w:cs="Times New Roman"/>
                <w:kern w:val="21"/>
                <w:sz w:val="21"/>
                <w:szCs w:val="21"/>
              </w:rPr>
            </w:pPr>
            <w:r>
              <w:rPr>
                <w:rFonts w:cs="Times New Roman"/>
                <w:kern w:val="21"/>
                <w:sz w:val="21"/>
                <w:szCs w:val="21"/>
              </w:rPr>
              <w:t>工艺；禁止没有配套</w:t>
            </w:r>
            <w:r>
              <w:rPr>
                <w:rFonts w:hint="eastAsia" w:cs="Times New Roman"/>
                <w:kern w:val="21"/>
                <w:sz w:val="21"/>
                <w:szCs w:val="21"/>
                <w:lang w:eastAsia="zh-CN"/>
              </w:rPr>
              <w:t>硫磺回收装置</w:t>
            </w:r>
            <w:r>
              <w:rPr>
                <w:rFonts w:cs="Times New Roman"/>
                <w:kern w:val="21"/>
                <w:sz w:val="21"/>
                <w:szCs w:val="21"/>
              </w:rPr>
              <w:t>的湿法脱硫工艺（末端治 理除外）；</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项目不涉及合成氨生产</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95" w:type="pct"/>
            <w:vMerge w:val="continue"/>
            <w:vAlign w:val="center"/>
          </w:tcPr>
          <w:p>
            <w:pPr>
              <w:spacing w:line="240" w:lineRule="auto"/>
              <w:ind w:firstLine="0" w:firstLineChars="0"/>
              <w:jc w:val="center"/>
              <w:rPr>
                <w:rFonts w:cs="Times New Roman"/>
                <w:kern w:val="21"/>
                <w:sz w:val="21"/>
                <w:szCs w:val="21"/>
              </w:rPr>
            </w:pPr>
          </w:p>
        </w:tc>
        <w:tc>
          <w:tcPr>
            <w:tcW w:w="2968" w:type="pct"/>
            <w:vAlign w:val="center"/>
          </w:tcPr>
          <w:p>
            <w:pPr>
              <w:spacing w:line="240" w:lineRule="auto"/>
              <w:ind w:firstLine="0" w:firstLineChars="0"/>
              <w:jc w:val="center"/>
              <w:rPr>
                <w:rFonts w:cs="Times New Roman"/>
                <w:kern w:val="21"/>
                <w:sz w:val="21"/>
                <w:szCs w:val="21"/>
              </w:rPr>
            </w:pPr>
            <w:r>
              <w:rPr>
                <w:rFonts w:eastAsia="Times New Roman" w:cs="Times New Roman"/>
                <w:kern w:val="21"/>
                <w:sz w:val="21"/>
                <w:szCs w:val="21"/>
              </w:rPr>
              <w:t>5</w:t>
            </w:r>
            <w:r>
              <w:rPr>
                <w:rFonts w:cs="Times New Roman"/>
                <w:kern w:val="21"/>
                <w:sz w:val="21"/>
                <w:szCs w:val="21"/>
              </w:rPr>
              <w:t>、拟入驻企业生产规模、工艺装备要求符合行业要求。</w:t>
            </w:r>
          </w:p>
        </w:tc>
        <w:tc>
          <w:tcPr>
            <w:tcW w:w="109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项目生产规模、工艺装备符合行业要求</w:t>
            </w:r>
          </w:p>
        </w:tc>
        <w:tc>
          <w:tcPr>
            <w:tcW w:w="44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符合</w:t>
            </w:r>
          </w:p>
        </w:tc>
      </w:tr>
    </w:tbl>
    <w:p>
      <w:pPr>
        <w:pStyle w:val="7"/>
        <w:ind w:firstLine="562"/>
      </w:pPr>
      <w:r>
        <w:t>2.6.</w:t>
      </w:r>
      <w:r>
        <w:rPr>
          <w:rFonts w:hint="eastAsia"/>
        </w:rPr>
        <w:t>3</w:t>
      </w:r>
      <w:r>
        <w:t xml:space="preserve"> 饮用水源地保护规划</w:t>
      </w:r>
    </w:p>
    <w:p>
      <w:pPr>
        <w:ind w:firstLine="480"/>
        <w:rPr>
          <w:rFonts w:hint="eastAsia"/>
          <w:u w:val="single"/>
        </w:rPr>
      </w:pPr>
      <w:r>
        <w:rPr>
          <w:rFonts w:hint="eastAsia"/>
          <w:u w:val="single"/>
          <w:lang w:val="en-US" w:eastAsia="zh-CN"/>
        </w:rPr>
        <w:t>1</w:t>
      </w:r>
      <w:r>
        <w:rPr>
          <w:rFonts w:hint="eastAsia"/>
          <w:u w:val="single"/>
        </w:rPr>
        <w:t>、平顶山市饮用水源地保护区划</w:t>
      </w:r>
    </w:p>
    <w:p>
      <w:pPr>
        <w:ind w:firstLine="480"/>
        <w:rPr>
          <w:rFonts w:hint="eastAsia"/>
          <w:u w:val="single"/>
        </w:rPr>
      </w:pPr>
      <w:r>
        <w:rPr>
          <w:rFonts w:hint="eastAsia"/>
          <w:u w:val="single"/>
        </w:rPr>
        <w:t>根据《河南省人民政府关于调整取消部分集中式饮用水水源保护区的通知》（豫政文</w:t>
      </w:r>
      <w:r>
        <w:rPr>
          <w:rFonts w:hint="eastAsia" w:ascii="宋体" w:hAnsi="宋体" w:eastAsia="宋体" w:cs="宋体"/>
          <w:u w:val="single"/>
        </w:rPr>
        <w:t>〔</w:t>
      </w:r>
      <w:r>
        <w:rPr>
          <w:rFonts w:hint="eastAsia"/>
          <w:u w:val="single"/>
        </w:rPr>
        <w:t>2021</w:t>
      </w:r>
      <w:r>
        <w:rPr>
          <w:rFonts w:hint="eastAsia" w:ascii="宋体" w:hAnsi="宋体" w:eastAsia="宋体" w:cs="宋体"/>
          <w:u w:val="single"/>
        </w:rPr>
        <w:t>〕</w:t>
      </w:r>
      <w:r>
        <w:rPr>
          <w:rFonts w:hint="eastAsia"/>
          <w:u w:val="single"/>
        </w:rPr>
        <w:t>72号），平顶山市白龟山水库饮用水水源保护区的具体范围如下：</w:t>
      </w:r>
    </w:p>
    <w:p>
      <w:pPr>
        <w:ind w:firstLine="480"/>
        <w:rPr>
          <w:rFonts w:hint="eastAsia"/>
          <w:u w:val="single"/>
        </w:rPr>
      </w:pPr>
      <w:r>
        <w:rPr>
          <w:rFonts w:hint="eastAsia"/>
          <w:u w:val="single"/>
        </w:rPr>
        <w:t>一级保护区：水库大坝上游，水库高程103米以内的区域及平顶山学院取水口外围500米至湖滨路、平顶山市自来水有限公司取水口外围500米至平湖路以内的区域；沙河、应河、澎河、冷水河入库口至上游2000米的河道管理范围区域。</w:t>
      </w:r>
    </w:p>
    <w:p>
      <w:pPr>
        <w:ind w:firstLine="480"/>
        <w:rPr>
          <w:rFonts w:hint="eastAsia"/>
          <w:u w:val="single"/>
        </w:rPr>
      </w:pPr>
      <w:r>
        <w:rPr>
          <w:rFonts w:hint="eastAsia"/>
          <w:u w:val="single"/>
        </w:rPr>
        <w:t>二级保护区：一级保护区外，水库高程103米至水库高程104米-湖滨路以内的区域；沙河入库口至上游昭平台水库坝下的河道管理范围区域；澎河入库口至上游14000米（南水北调中线工程澎河退水闸）的河道管理范围区域；应河、冷水河入库口至上游4000米的河道管理范围区域；大浪河、将相河、七里河、瀼河、肥河入沙河口至上游1000米的河道管理范围区域。</w:t>
      </w:r>
    </w:p>
    <w:p>
      <w:pPr>
        <w:ind w:firstLine="480"/>
        <w:rPr>
          <w:rFonts w:hint="eastAsia"/>
          <w:u w:val="single"/>
        </w:rPr>
      </w:pPr>
      <w:r>
        <w:rPr>
          <w:rFonts w:hint="eastAsia"/>
          <w:u w:val="single"/>
        </w:rPr>
        <w:t>准保护区：一、二级保护区外，应河、澎河、冷水河河道管理范围外500米以内的区域。</w:t>
      </w:r>
    </w:p>
    <w:p>
      <w:pPr>
        <w:ind w:firstLine="480"/>
        <w:rPr>
          <w:rFonts w:hint="eastAsia"/>
          <w:u w:val="single"/>
        </w:rPr>
      </w:pPr>
      <w:r>
        <w:rPr>
          <w:rFonts w:hint="eastAsia"/>
          <w:u w:val="single"/>
        </w:rPr>
        <w:t>本项目选址在平顶山尼龙新材料产业集聚区内，项目选址不在平顶山市划定的一级、二级和准保护区范围内，符合平顶山市饮用水源地规划要求。</w:t>
      </w:r>
    </w:p>
    <w:p>
      <w:pPr>
        <w:ind w:firstLine="480"/>
      </w:pPr>
      <w:r>
        <w:rPr>
          <w:rFonts w:hint="eastAsia"/>
        </w:rPr>
        <w:t>3、与叶县乡镇集中式饮用水源保护区划协调性</w:t>
      </w:r>
    </w:p>
    <w:p>
      <w:pPr>
        <w:ind w:firstLine="480"/>
      </w:pPr>
      <w:r>
        <w:rPr>
          <w:rFonts w:hint="eastAsia"/>
        </w:rPr>
        <w:t>根据《河南省人民政府办公厅关于印发河南省乡镇集中式饮用水水源保护区划的通知》（豫政办</w:t>
      </w:r>
      <w:r>
        <w:rPr>
          <w:rFonts w:hint="eastAsia" w:ascii="宋体" w:hAnsi="宋体" w:cs="宋体"/>
        </w:rPr>
        <w:t>〔</w:t>
      </w:r>
      <w:r>
        <w:t>2016</w:t>
      </w:r>
      <w:r>
        <w:rPr>
          <w:rFonts w:hint="eastAsia" w:ascii="宋体" w:hAnsi="宋体" w:cs="宋体"/>
        </w:rPr>
        <w:t>〕</w:t>
      </w:r>
      <w:r>
        <w:t>23</w:t>
      </w:r>
      <w:r>
        <w:rPr>
          <w:rFonts w:hint="eastAsia"/>
        </w:rPr>
        <w:t>号），叶县乡镇集中式饮用水水源保护区划如下：</w:t>
      </w:r>
    </w:p>
    <w:p>
      <w:pPr>
        <w:ind w:firstLine="480"/>
      </w:pPr>
      <w:r>
        <w:rPr>
          <w:rFonts w:hint="eastAsia"/>
        </w:rPr>
        <w:t>①叶县任店镇水厂地下水井（共</w:t>
      </w:r>
      <w:r>
        <w:t>1</w:t>
      </w:r>
      <w:r>
        <w:rPr>
          <w:rFonts w:hint="eastAsia"/>
        </w:rPr>
        <w:t>眼井）</w:t>
      </w:r>
    </w:p>
    <w:p>
      <w:pPr>
        <w:ind w:firstLine="480"/>
      </w:pPr>
      <w:r>
        <w:rPr>
          <w:rFonts w:hint="eastAsia"/>
        </w:rPr>
        <w:t>一级保护区范围：水厂厂区及外围东</w:t>
      </w:r>
      <w:r>
        <w:t>25</w:t>
      </w:r>
      <w:r>
        <w:rPr>
          <w:rFonts w:hint="eastAsia"/>
        </w:rPr>
        <w:t>米、南</w:t>
      </w:r>
      <w:r>
        <w:t>11</w:t>
      </w:r>
      <w:r>
        <w:rPr>
          <w:rFonts w:hint="eastAsia"/>
        </w:rPr>
        <w:t>米、北</w:t>
      </w:r>
      <w:r>
        <w:t>29</w:t>
      </w:r>
      <w:r>
        <w:rPr>
          <w:rFonts w:hint="eastAsia"/>
        </w:rPr>
        <w:t>米的区域。</w:t>
      </w:r>
    </w:p>
    <w:p>
      <w:pPr>
        <w:ind w:firstLine="480"/>
      </w:pPr>
      <w:r>
        <w:rPr>
          <w:rFonts w:hint="eastAsia"/>
        </w:rPr>
        <w:t>②叶县龚店镇水厂地下水井（共</w:t>
      </w:r>
      <w:r>
        <w:t>1</w:t>
      </w:r>
      <w:r>
        <w:rPr>
          <w:rFonts w:hint="eastAsia"/>
        </w:rPr>
        <w:t>眼井）</w:t>
      </w:r>
    </w:p>
    <w:p>
      <w:pPr>
        <w:ind w:firstLine="480"/>
      </w:pPr>
      <w:r>
        <w:rPr>
          <w:rFonts w:hint="eastAsia"/>
        </w:rPr>
        <w:t>一级保护区范围：水厂厂区及外围东</w:t>
      </w:r>
      <w:r>
        <w:t>30</w:t>
      </w:r>
      <w:r>
        <w:rPr>
          <w:rFonts w:hint="eastAsia"/>
        </w:rPr>
        <w:t>米、西</w:t>
      </w:r>
      <w:r>
        <w:t>10</w:t>
      </w:r>
      <w:r>
        <w:rPr>
          <w:rFonts w:hint="eastAsia"/>
        </w:rPr>
        <w:t>米、南</w:t>
      </w:r>
      <w:r>
        <w:t>5</w:t>
      </w:r>
      <w:r>
        <w:rPr>
          <w:rFonts w:hint="eastAsia"/>
        </w:rPr>
        <w:t>米、北</w:t>
      </w:r>
      <w:r>
        <w:t>30</w:t>
      </w:r>
      <w:r>
        <w:rPr>
          <w:rFonts w:hint="eastAsia"/>
        </w:rPr>
        <w:t>米的区域。</w:t>
      </w:r>
    </w:p>
    <w:p>
      <w:pPr>
        <w:ind w:firstLine="480"/>
      </w:pPr>
      <w:r>
        <w:rPr>
          <w:rFonts w:hint="eastAsia"/>
        </w:rPr>
        <w:t>③叶县水寨乡蒋李水厂地下水井（共</w:t>
      </w:r>
      <w:r>
        <w:t>1</w:t>
      </w:r>
      <w:r>
        <w:rPr>
          <w:rFonts w:hint="eastAsia"/>
        </w:rPr>
        <w:t>眼井）</w:t>
      </w:r>
    </w:p>
    <w:p>
      <w:pPr>
        <w:ind w:firstLine="480"/>
      </w:pPr>
      <w:r>
        <w:rPr>
          <w:rFonts w:hint="eastAsia"/>
        </w:rPr>
        <w:t>一级保护区范围：水厂厂区及外围东</w:t>
      </w:r>
      <w:r>
        <w:t>10</w:t>
      </w:r>
      <w:r>
        <w:rPr>
          <w:rFonts w:hint="eastAsia"/>
        </w:rPr>
        <w:t>米、西</w:t>
      </w:r>
      <w:r>
        <w:t>30</w:t>
      </w:r>
      <w:r>
        <w:rPr>
          <w:rFonts w:hint="eastAsia"/>
        </w:rPr>
        <w:t>米、南</w:t>
      </w:r>
      <w:r>
        <w:t>10</w:t>
      </w:r>
      <w:r>
        <w:rPr>
          <w:rFonts w:hint="eastAsia"/>
        </w:rPr>
        <w:t>米、北</w:t>
      </w:r>
      <w:r>
        <w:t>30</w:t>
      </w:r>
      <w:r>
        <w:rPr>
          <w:rFonts w:hint="eastAsia"/>
        </w:rPr>
        <w:t>米的区域。</w:t>
      </w:r>
    </w:p>
    <w:p>
      <w:pPr>
        <w:ind w:firstLine="480"/>
      </w:pPr>
      <w:r>
        <w:rPr>
          <w:rFonts w:hint="eastAsia"/>
        </w:rPr>
        <w:t>④叶县保安镇水厂地下水井（共</w:t>
      </w:r>
      <w:r>
        <w:t>1</w:t>
      </w:r>
      <w:r>
        <w:rPr>
          <w:rFonts w:hint="eastAsia"/>
        </w:rPr>
        <w:t>眼井）</w:t>
      </w:r>
    </w:p>
    <w:p>
      <w:pPr>
        <w:ind w:firstLine="480"/>
      </w:pPr>
      <w:r>
        <w:rPr>
          <w:rFonts w:hint="eastAsia"/>
        </w:rPr>
        <w:t>一级保护区范围：水厂厂区及外围东</w:t>
      </w:r>
      <w:r>
        <w:t>10</w:t>
      </w:r>
      <w:r>
        <w:rPr>
          <w:rFonts w:hint="eastAsia"/>
        </w:rPr>
        <w:t>米、西</w:t>
      </w:r>
      <w:r>
        <w:t>30</w:t>
      </w:r>
      <w:r>
        <w:rPr>
          <w:rFonts w:hint="eastAsia"/>
        </w:rPr>
        <w:t>米、南</w:t>
      </w:r>
      <w:r>
        <w:t>15</w:t>
      </w:r>
      <w:r>
        <w:rPr>
          <w:rFonts w:hint="eastAsia"/>
        </w:rPr>
        <w:t>米、北</w:t>
      </w:r>
      <w:r>
        <w:t>30</w:t>
      </w:r>
      <w:r>
        <w:rPr>
          <w:rFonts w:hint="eastAsia"/>
        </w:rPr>
        <w:t>米的区域。</w:t>
      </w:r>
    </w:p>
    <w:p>
      <w:pPr>
        <w:ind w:firstLine="480"/>
      </w:pPr>
      <w:r>
        <w:rPr>
          <w:rFonts w:hint="eastAsia"/>
        </w:rPr>
        <w:t>二级保护区范围：一级保护区外围</w:t>
      </w:r>
      <w:r>
        <w:t>300</w:t>
      </w:r>
      <w:r>
        <w:rPr>
          <w:rFonts w:hint="eastAsia"/>
        </w:rPr>
        <w:t>米的区域。</w:t>
      </w:r>
    </w:p>
    <w:p>
      <w:pPr>
        <w:ind w:firstLine="480"/>
        <w:rPr>
          <w:u w:val="single"/>
        </w:rPr>
      </w:pPr>
      <w:r>
        <w:rPr>
          <w:rFonts w:hint="eastAsia"/>
          <w:u w:val="single"/>
        </w:rPr>
        <w:t>本项目选址位于平顶山尼龙新材料产业集聚区，距离东南叶县县城</w:t>
      </w:r>
      <w:r>
        <w:rPr>
          <w:rFonts w:hint="eastAsia"/>
          <w:u w:val="single"/>
          <w:lang w:val="en-US" w:eastAsia="zh-CN"/>
        </w:rPr>
        <w:t>6.7</w:t>
      </w:r>
      <w:r>
        <w:rPr>
          <w:rFonts w:hint="eastAsia"/>
          <w:u w:val="single"/>
        </w:rPr>
        <w:t>km，不在其划定的一级保护区范围内，符合叶县县级集中式饮用水水源保护区划要求。</w:t>
      </w:r>
    </w:p>
    <w:p>
      <w:pPr>
        <w:ind w:firstLine="480"/>
      </w:pPr>
      <w:r>
        <w:rPr>
          <w:rFonts w:hint="eastAsia"/>
        </w:rPr>
        <w:t>4、与叶县集中式饮用水源保护区划的协调性</w:t>
      </w:r>
    </w:p>
    <w:p>
      <w:pPr>
        <w:ind w:firstLine="480"/>
      </w:pPr>
      <w:r>
        <w:rPr>
          <w:rFonts w:hint="eastAsia"/>
        </w:rPr>
        <w:t>根据《河南省县级集中式饮用水水源保护区划》豫政办〔2013〕107号文，叶县地下水源保护区主要包括叶县盐都水务地下水井群、自由路地下水井群和东升洁地下水井群：</w:t>
      </w:r>
    </w:p>
    <w:p>
      <w:pPr>
        <w:ind w:firstLine="480"/>
      </w:pPr>
      <w:r>
        <w:rPr>
          <w:rFonts w:hint="eastAsia"/>
        </w:rPr>
        <w:t>（1）叶县盐都水务地下水井群（昆鲁大道以北、昆阳大道以西，共3眼井）</w:t>
      </w:r>
    </w:p>
    <w:p>
      <w:pPr>
        <w:ind w:firstLine="480"/>
      </w:pPr>
      <w:r>
        <w:rPr>
          <w:rFonts w:hint="eastAsia"/>
        </w:rPr>
        <w:t>一级保护区范围：取水井外围30米的区域。</w:t>
      </w:r>
    </w:p>
    <w:p>
      <w:pPr>
        <w:ind w:firstLine="480"/>
      </w:pPr>
      <w:r>
        <w:rPr>
          <w:rFonts w:hint="eastAsia"/>
        </w:rPr>
        <w:t>二级保护区范围：一级保护区外，1～2号取水井外围330米外公切线所包含的区域。</w:t>
      </w:r>
    </w:p>
    <w:p>
      <w:pPr>
        <w:ind w:firstLine="480"/>
      </w:pPr>
      <w:r>
        <w:rPr>
          <w:rFonts w:hint="eastAsia"/>
        </w:rPr>
        <w:t>准保护区范围：二级保护区外，东至新建街、西至北关大街、南至文化路、北至昆鲁大道的区域。</w:t>
      </w:r>
    </w:p>
    <w:p>
      <w:pPr>
        <w:ind w:firstLine="480"/>
      </w:pPr>
      <w:r>
        <w:rPr>
          <w:rFonts w:hint="eastAsia"/>
        </w:rPr>
        <w:t>（2）叶县自由路地下水井群（共2眼井）</w:t>
      </w:r>
    </w:p>
    <w:p>
      <w:pPr>
        <w:ind w:firstLine="480"/>
      </w:pPr>
      <w:r>
        <w:rPr>
          <w:rFonts w:hint="eastAsia"/>
        </w:rPr>
        <w:t>一级保护区范围：取水井外围200米外公切线所包含的区域。</w:t>
      </w:r>
    </w:p>
    <w:p>
      <w:pPr>
        <w:ind w:firstLine="480"/>
      </w:pPr>
      <w:r>
        <w:rPr>
          <w:rFonts w:hint="eastAsia"/>
        </w:rPr>
        <w:t>（3）叶县东升街地下水井群（昆鲁大道以南、昆阳大道以东、中心路以北，共6眼井）</w:t>
      </w:r>
    </w:p>
    <w:p>
      <w:pPr>
        <w:ind w:firstLine="480"/>
      </w:pPr>
      <w:r>
        <w:rPr>
          <w:rFonts w:hint="eastAsia"/>
        </w:rPr>
        <w:t>一级保护区范围：取水井外围30米的区域。</w:t>
      </w:r>
    </w:p>
    <w:p>
      <w:pPr>
        <w:ind w:firstLine="480"/>
        <w:rPr>
          <w:u w:val="single"/>
        </w:rPr>
      </w:pPr>
      <w:r>
        <w:rPr>
          <w:rFonts w:hint="eastAsia"/>
          <w:u w:val="single"/>
        </w:rPr>
        <w:t>本项目位于平顶山尼龙新材料产业集聚区，距离北侧叶县县城最近为6.7km，不在其划定的一级、二级保护区和准保护区范围内，符合叶县县级集中式饮用水水源保护区划要求。</w:t>
      </w:r>
    </w:p>
    <w:p>
      <w:pPr>
        <w:pStyle w:val="7"/>
        <w:ind w:firstLine="562"/>
      </w:pPr>
      <w:r>
        <w:rPr>
          <w:rFonts w:hint="eastAsia"/>
        </w:rPr>
        <w:t xml:space="preserve">2.6.4 </w:t>
      </w:r>
      <w:r>
        <w:rPr>
          <w:rFonts w:hint="eastAsia"/>
          <w:lang w:eastAsia="zh-CN"/>
        </w:rPr>
        <w:t>“</w:t>
      </w:r>
      <w:r>
        <w:rPr>
          <w:rFonts w:hint="eastAsia"/>
        </w:rPr>
        <w:t>三线一单</w:t>
      </w:r>
      <w:r>
        <w:rPr>
          <w:rFonts w:hint="eastAsia"/>
          <w:lang w:eastAsia="zh-CN"/>
        </w:rPr>
        <w:t>”</w:t>
      </w:r>
      <w:r>
        <w:rPr>
          <w:rFonts w:hint="eastAsia"/>
        </w:rPr>
        <w:t>环境保护管理要求</w:t>
      </w:r>
    </w:p>
    <w:p>
      <w:pPr>
        <w:ind w:firstLine="480"/>
      </w:pPr>
      <w:r>
        <w:rPr>
          <w:rFonts w:hint="eastAsia" w:ascii="宋体" w:hAnsi="宋体"/>
        </w:rPr>
        <w:t>①</w:t>
      </w:r>
      <w:r>
        <w:rPr>
          <w:rFonts w:hint="eastAsia"/>
        </w:rPr>
        <w:t>生态保护红线</w:t>
      </w:r>
    </w:p>
    <w:p>
      <w:pPr>
        <w:ind w:firstLine="480"/>
      </w:pPr>
      <w:r>
        <w:rPr>
          <w:rFonts w:hint="eastAsia"/>
        </w:rPr>
        <w:t>为深入贯彻《中共中央国务院关于全面加强生态环境保护坚决打好污染防治攻坚战的意见》和《河南省人民政府关于实施</w:t>
      </w:r>
      <w:r>
        <w:rPr>
          <w:rFonts w:hint="eastAsia"/>
          <w:lang w:eastAsia="zh-CN"/>
        </w:rPr>
        <w:t>“</w:t>
      </w:r>
      <w:r>
        <w:rPr>
          <w:rFonts w:hint="eastAsia"/>
        </w:rPr>
        <w:t>三线一单</w:t>
      </w:r>
      <w:r>
        <w:rPr>
          <w:rFonts w:hint="eastAsia"/>
          <w:lang w:eastAsia="zh-CN"/>
        </w:rPr>
        <w:t>”</w:t>
      </w:r>
      <w:r>
        <w:rPr>
          <w:rFonts w:hint="eastAsia"/>
        </w:rPr>
        <w:t>生态环境分区管控的意见》（豫政〔2020〕37号），平顶山市编制发布了《平顶山市人民政府关于实施</w:t>
      </w:r>
      <w:r>
        <w:rPr>
          <w:rFonts w:hint="eastAsia"/>
          <w:lang w:eastAsia="zh-CN"/>
        </w:rPr>
        <w:t>“</w:t>
      </w:r>
      <w:r>
        <w:rPr>
          <w:rFonts w:hint="eastAsia"/>
        </w:rPr>
        <w:t>三线一单</w:t>
      </w:r>
      <w:r>
        <w:rPr>
          <w:rFonts w:hint="eastAsia"/>
          <w:lang w:eastAsia="zh-CN"/>
        </w:rPr>
        <w:t>”</w:t>
      </w:r>
      <w:r>
        <w:rPr>
          <w:rFonts w:hint="eastAsia"/>
        </w:rPr>
        <w:t>生态环境分区管控的意见》（平政〔2021〕10号）。</w:t>
      </w:r>
    </w:p>
    <w:p>
      <w:pPr>
        <w:ind w:firstLine="480"/>
      </w:pPr>
      <w:r>
        <w:rPr>
          <w:rFonts w:hint="eastAsia"/>
        </w:rPr>
        <w:t>本项目位于河南省</w:t>
      </w:r>
      <w:r>
        <w:rPr>
          <w:rFonts w:hint="eastAsia"/>
          <w:lang w:eastAsia="zh-CN"/>
        </w:rPr>
        <w:t>平顶山市尼龙新材料产业集聚区</w:t>
      </w:r>
      <w:r>
        <w:rPr>
          <w:rFonts w:hint="eastAsia"/>
          <w:lang w:val="zh-CN"/>
        </w:rPr>
        <w:t>，根据平顶山市《</w:t>
      </w:r>
      <w:r>
        <w:rPr>
          <w:rFonts w:hint="eastAsia"/>
        </w:rPr>
        <w:t>县（市、区）环境管控单元生态环境准入清单》，本项目所在地不在准入清单内。因此执行《平顶山市生态环境总体准入要求》。具体要求如下：</w:t>
      </w:r>
    </w:p>
    <w:p>
      <w:pPr>
        <w:ind w:firstLine="0" w:firstLineChars="0"/>
        <w:jc w:val="center"/>
        <w:rPr>
          <w:b/>
          <w:bCs/>
          <w:lang w:val="zh-CN"/>
        </w:rPr>
      </w:pPr>
      <w:r>
        <w:rPr>
          <w:rFonts w:hint="eastAsia"/>
          <w:b/>
          <w:bCs/>
          <w:lang w:val="zh-CN"/>
        </w:rPr>
        <w:t>表</w:t>
      </w:r>
      <w:r>
        <w:rPr>
          <w:rFonts w:hint="eastAsia"/>
          <w:b/>
          <w:bCs/>
        </w:rPr>
        <w:t>2.6-4</w:t>
      </w:r>
      <w:r>
        <w:rPr>
          <w:rFonts w:hint="eastAsia"/>
          <w:b/>
          <w:bCs/>
          <w:lang w:val="zh-CN"/>
        </w:rPr>
        <w:t xml:space="preserve">  项目与河南省生态环境准入清单相符性分析一览表</w:t>
      </w:r>
    </w:p>
    <w:tbl>
      <w:tblPr>
        <w:tblStyle w:val="28"/>
        <w:tblW w:w="5000" w:type="pct"/>
        <w:jc w:val="center"/>
        <w:tblLayout w:type="autofit"/>
        <w:tblCellMar>
          <w:top w:w="0" w:type="dxa"/>
          <w:left w:w="108" w:type="dxa"/>
          <w:bottom w:w="0" w:type="dxa"/>
          <w:right w:w="108" w:type="dxa"/>
        </w:tblCellMar>
      </w:tblPr>
      <w:tblGrid>
        <w:gridCol w:w="850"/>
        <w:gridCol w:w="5220"/>
        <w:gridCol w:w="2120"/>
        <w:gridCol w:w="1098"/>
      </w:tblGrid>
      <w:tr>
        <w:tblPrEx>
          <w:tblCellMar>
            <w:top w:w="0" w:type="dxa"/>
            <w:left w:w="108" w:type="dxa"/>
            <w:bottom w:w="0" w:type="dxa"/>
            <w:right w:w="108" w:type="dxa"/>
          </w:tblCellMar>
        </w:tblPrEx>
        <w:trPr>
          <w:trHeight w:val="23" w:hRule="atLeast"/>
          <w:jc w:val="center"/>
        </w:trPr>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黑体"/>
                <w:color w:val="000000"/>
                <w:sz w:val="21"/>
                <w:szCs w:val="21"/>
              </w:rPr>
            </w:pPr>
            <w:r>
              <w:rPr>
                <w:rFonts w:hint="eastAsia" w:cs="黑体"/>
                <w:color w:val="000000"/>
                <w:kern w:val="0"/>
                <w:sz w:val="21"/>
                <w:szCs w:val="21"/>
                <w:lang w:bidi="ar"/>
              </w:rPr>
              <w:t>维度</w:t>
            </w:r>
          </w:p>
        </w:tc>
        <w:tc>
          <w:tcPr>
            <w:tcW w:w="5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黑体"/>
                <w:color w:val="000000"/>
                <w:sz w:val="21"/>
                <w:szCs w:val="21"/>
              </w:rPr>
            </w:pPr>
            <w:r>
              <w:rPr>
                <w:rFonts w:hint="eastAsia" w:cs="黑体"/>
                <w:color w:val="000000"/>
                <w:kern w:val="0"/>
                <w:sz w:val="21"/>
                <w:szCs w:val="21"/>
                <w:lang w:bidi="ar"/>
              </w:rPr>
              <w:t>管控要求</w:t>
            </w:r>
          </w:p>
        </w:tc>
        <w:tc>
          <w:tcPr>
            <w:tcW w:w="21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黑体"/>
                <w:color w:val="000000"/>
                <w:kern w:val="0"/>
                <w:sz w:val="21"/>
                <w:szCs w:val="21"/>
                <w:lang w:bidi="ar"/>
              </w:rPr>
            </w:pPr>
            <w:r>
              <w:rPr>
                <w:rFonts w:hint="eastAsia" w:cs="黑体"/>
                <w:color w:val="000000"/>
                <w:kern w:val="0"/>
                <w:sz w:val="21"/>
                <w:szCs w:val="21"/>
                <w:lang w:bidi="ar"/>
              </w:rPr>
              <w:t>项目情况</w:t>
            </w:r>
          </w:p>
        </w:tc>
        <w:tc>
          <w:tcPr>
            <w:tcW w:w="109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黑体"/>
                <w:color w:val="000000"/>
                <w:kern w:val="0"/>
                <w:sz w:val="21"/>
                <w:szCs w:val="21"/>
                <w:lang w:bidi="ar"/>
              </w:rPr>
            </w:pPr>
            <w:r>
              <w:rPr>
                <w:rFonts w:hint="eastAsia" w:cs="黑体"/>
                <w:color w:val="000000"/>
                <w:kern w:val="0"/>
                <w:sz w:val="21"/>
                <w:szCs w:val="21"/>
                <w:lang w:bidi="ar"/>
              </w:rPr>
              <w:t>相符性</w:t>
            </w:r>
          </w:p>
        </w:tc>
      </w:tr>
      <w:tr>
        <w:tblPrEx>
          <w:tblCellMar>
            <w:top w:w="0" w:type="dxa"/>
            <w:left w:w="108" w:type="dxa"/>
            <w:bottom w:w="0" w:type="dxa"/>
            <w:right w:w="108" w:type="dxa"/>
          </w:tblCellMar>
        </w:tblPrEx>
        <w:trPr>
          <w:trHeight w:val="23" w:hRule="atLeast"/>
          <w:jc w:val="center"/>
        </w:trPr>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sz w:val="21"/>
                <w:szCs w:val="21"/>
              </w:rPr>
            </w:pPr>
            <w:r>
              <w:rPr>
                <w:rFonts w:hint="eastAsia" w:cs="宋体"/>
                <w:color w:val="000000"/>
                <w:sz w:val="21"/>
                <w:szCs w:val="21"/>
              </w:rPr>
              <w:t>产业发展准入</w:t>
            </w:r>
          </w:p>
        </w:tc>
        <w:tc>
          <w:tcPr>
            <w:tcW w:w="522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ind w:firstLine="0" w:firstLineChars="0"/>
              <w:jc w:val="center"/>
              <w:textAlignment w:val="center"/>
              <w:rPr>
                <w:rFonts w:cs="宋体"/>
                <w:color w:val="000000"/>
                <w:sz w:val="21"/>
                <w:szCs w:val="21"/>
              </w:rPr>
            </w:pPr>
            <w:r>
              <w:rPr>
                <w:rFonts w:hint="eastAsia" w:cs="宋体"/>
                <w:color w:val="000000"/>
                <w:sz w:val="21"/>
                <w:szCs w:val="21"/>
              </w:rPr>
              <w:t>1.推进全省产业高质量发展。培育壮大人工智能及新能源等新兴产业；持续巩固提升装备、食品、新型材料、汽车、电子信息等五大制造业主导产业优势地位；深入推进钢铁、铝工业、水泥、煤化工、煤电等传统产业减量、延长链条、提质发展；加快生产性服务业发展，提升科技支撑能力。做好产业链、创新链、供应链、价值链、制度链</w:t>
            </w:r>
            <w:r>
              <w:rPr>
                <w:rFonts w:hint="eastAsia" w:cs="宋体"/>
                <w:color w:val="000000"/>
                <w:sz w:val="21"/>
                <w:szCs w:val="21"/>
                <w:lang w:eastAsia="zh-CN"/>
              </w:rPr>
              <w:t>“</w:t>
            </w:r>
            <w:r>
              <w:rPr>
                <w:rFonts w:hint="eastAsia" w:cs="宋体"/>
                <w:color w:val="000000"/>
                <w:sz w:val="21"/>
                <w:szCs w:val="21"/>
              </w:rPr>
              <w:t>五链</w:t>
            </w:r>
            <w:r>
              <w:rPr>
                <w:rFonts w:hint="eastAsia" w:cs="宋体"/>
                <w:color w:val="000000"/>
                <w:sz w:val="21"/>
                <w:szCs w:val="21"/>
                <w:lang w:eastAsia="zh-CN"/>
              </w:rPr>
              <w:t>”</w:t>
            </w:r>
            <w:r>
              <w:rPr>
                <w:rFonts w:hint="eastAsia" w:cs="宋体"/>
                <w:color w:val="000000"/>
                <w:sz w:val="21"/>
                <w:szCs w:val="21"/>
              </w:rPr>
              <w:t>耦合，把新基建、新技术、新材料、新装备、新产品、新业态作为高质量发展的主攻方向。2.支持各省辖市、省直管县（市）大力推动焦炭、铸造、碳素、耐火材料、铁合金、棕刚玉等产业整合，加快集中集群集约发展。3.禁止新建、扩建《产业结构调整指导目录（2019年本）》明确的淘汰类项目。禁止引入《市场准入负面清单（2020年版）》禁止准入类事项。4.禁止耐火材料、陶瓷等行业新建、扩建以煤炭为燃料的项目和企业。禁止建设生产和使用高VOCs含量的溶剂型涂料、油墨、胶粘剂等项目。全面取缔露天和敞开式喷涂作业，有条件的工业集聚区建设集中喷涂工程中心。禁止新建采用含汞工艺的电石法聚氯乙烯生产项目，禁止新建原生汞矿，逐步停止原生汞开采。5.原则上不再新建天然气热电联产和天然气化工项目。原则上禁止新建、扩建单纯新增产能的钢铁、电解铝、水泥、平板玻璃、传统煤化工（甲醇、合成氨）、焦化、铸造、铝用炭素、耐火材料制品、砖瓦窑、铅锌冶炼（含再生铅）等行业产能。原则上京津冀及周边地区禁止新建露天矿山建设项目。6.严把</w:t>
            </w:r>
            <w:r>
              <w:rPr>
                <w:rFonts w:hint="eastAsia" w:cs="宋体"/>
                <w:color w:val="000000"/>
                <w:sz w:val="21"/>
                <w:szCs w:val="21"/>
                <w:lang w:eastAsia="zh-CN"/>
              </w:rPr>
              <w:t>“</w:t>
            </w:r>
            <w:r>
              <w:rPr>
                <w:rFonts w:hint="eastAsia" w:cs="宋体"/>
                <w:color w:val="000000"/>
                <w:sz w:val="21"/>
                <w:szCs w:val="21"/>
              </w:rPr>
              <w:t>两高</w:t>
            </w:r>
            <w:r>
              <w:rPr>
                <w:rFonts w:hint="eastAsia" w:cs="宋体"/>
                <w:color w:val="000000"/>
                <w:sz w:val="21"/>
                <w:szCs w:val="21"/>
                <w:lang w:eastAsia="zh-CN"/>
              </w:rPr>
              <w:t>”</w:t>
            </w:r>
            <w:r>
              <w:rPr>
                <w:rFonts w:hint="eastAsia" w:cs="宋体"/>
                <w:color w:val="000000"/>
                <w:sz w:val="21"/>
                <w:szCs w:val="21"/>
              </w:rPr>
              <w:t>项目生态环境准入关，严格限制</w:t>
            </w:r>
            <w:r>
              <w:rPr>
                <w:rFonts w:hint="eastAsia" w:cs="宋体"/>
                <w:color w:val="000000"/>
                <w:sz w:val="21"/>
                <w:szCs w:val="21"/>
                <w:lang w:eastAsia="zh-CN"/>
              </w:rPr>
              <w:t>“</w:t>
            </w:r>
            <w:r>
              <w:rPr>
                <w:rFonts w:hint="eastAsia" w:cs="宋体"/>
                <w:color w:val="000000"/>
                <w:sz w:val="21"/>
                <w:szCs w:val="21"/>
              </w:rPr>
              <w:t>两高</w:t>
            </w:r>
            <w:r>
              <w:rPr>
                <w:rFonts w:hint="eastAsia" w:cs="宋体"/>
                <w:color w:val="000000"/>
                <w:sz w:val="21"/>
                <w:szCs w:val="21"/>
                <w:lang w:eastAsia="zh-CN"/>
              </w:rPr>
              <w:t>”</w:t>
            </w:r>
            <w:r>
              <w:rPr>
                <w:rFonts w:hint="eastAsia" w:cs="宋体"/>
                <w:color w:val="000000"/>
                <w:sz w:val="21"/>
                <w:szCs w:val="21"/>
              </w:rPr>
              <w:t>项目盲目发展。新建、改建、扩建</w:t>
            </w:r>
            <w:r>
              <w:rPr>
                <w:rFonts w:hint="eastAsia" w:cs="宋体"/>
                <w:color w:val="000000"/>
                <w:sz w:val="21"/>
                <w:szCs w:val="21"/>
                <w:lang w:eastAsia="zh-CN"/>
              </w:rPr>
              <w:t>“</w:t>
            </w:r>
            <w:r>
              <w:rPr>
                <w:rFonts w:hint="eastAsia" w:cs="宋体"/>
                <w:color w:val="000000"/>
                <w:sz w:val="21"/>
                <w:szCs w:val="21"/>
              </w:rPr>
              <w:t>两高</w:t>
            </w:r>
            <w:r>
              <w:rPr>
                <w:rFonts w:hint="eastAsia" w:cs="宋体"/>
                <w:color w:val="000000"/>
                <w:sz w:val="21"/>
                <w:szCs w:val="21"/>
                <w:lang w:eastAsia="zh-CN"/>
              </w:rPr>
              <w:t>”</w:t>
            </w:r>
            <w:r>
              <w:rPr>
                <w:rFonts w:hint="eastAsia" w:cs="宋体"/>
                <w:color w:val="000000"/>
                <w:sz w:val="21"/>
                <w:szCs w:val="21"/>
              </w:rPr>
              <w:t>项目须符合生态环境保护法律法规和相关法定规划，符合产业政策规划、国土空间规划、</w:t>
            </w:r>
            <w:r>
              <w:rPr>
                <w:rFonts w:hint="eastAsia" w:cs="宋体"/>
                <w:color w:val="000000"/>
                <w:sz w:val="21"/>
                <w:szCs w:val="21"/>
                <w:lang w:eastAsia="zh-CN"/>
              </w:rPr>
              <w:t>“</w:t>
            </w:r>
            <w:r>
              <w:rPr>
                <w:rFonts w:hint="eastAsia" w:cs="宋体"/>
                <w:color w:val="000000"/>
                <w:sz w:val="21"/>
                <w:szCs w:val="21"/>
              </w:rPr>
              <w:t>三线一单</w:t>
            </w:r>
            <w:r>
              <w:rPr>
                <w:rFonts w:hint="eastAsia" w:cs="宋体"/>
                <w:color w:val="000000"/>
                <w:sz w:val="21"/>
                <w:szCs w:val="21"/>
                <w:lang w:eastAsia="zh-CN"/>
              </w:rPr>
              <w:t>”</w:t>
            </w:r>
            <w:r>
              <w:rPr>
                <w:rFonts w:hint="eastAsia" w:cs="宋体"/>
                <w:color w:val="000000"/>
                <w:sz w:val="21"/>
                <w:szCs w:val="21"/>
              </w:rPr>
              <w:t>、能耗</w:t>
            </w:r>
            <w:r>
              <w:rPr>
                <w:rFonts w:hint="eastAsia" w:cs="宋体"/>
                <w:color w:val="000000"/>
                <w:sz w:val="21"/>
                <w:szCs w:val="21"/>
                <w:lang w:eastAsia="zh-CN"/>
              </w:rPr>
              <w:t>“</w:t>
            </w:r>
            <w:r>
              <w:rPr>
                <w:rFonts w:hint="eastAsia" w:cs="宋体"/>
                <w:color w:val="000000"/>
                <w:sz w:val="21"/>
                <w:szCs w:val="21"/>
              </w:rPr>
              <w:t>双控</w:t>
            </w:r>
            <w:r>
              <w:rPr>
                <w:rFonts w:hint="eastAsia" w:cs="宋体"/>
                <w:color w:val="000000"/>
                <w:sz w:val="21"/>
                <w:szCs w:val="21"/>
                <w:lang w:eastAsia="zh-CN"/>
              </w:rPr>
              <w:t>”</w:t>
            </w:r>
            <w:r>
              <w:rPr>
                <w:rFonts w:hint="eastAsia" w:cs="宋体"/>
                <w:color w:val="000000"/>
                <w:sz w:val="21"/>
                <w:szCs w:val="21"/>
              </w:rPr>
              <w:t>、煤炭消费减量替代、碳排放、污染物排放等约束性要求。按照《河南省淘汰落后产能综合标准体系（2020 年本）》，严格执行能耗、环保、质量、安全、技术等法规标准。</w:t>
            </w:r>
          </w:p>
        </w:tc>
        <w:tc>
          <w:tcPr>
            <w:tcW w:w="212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ind w:firstLine="0" w:firstLineChars="0"/>
              <w:jc w:val="center"/>
              <w:textAlignment w:val="center"/>
              <w:rPr>
                <w:rFonts w:cs="宋体"/>
                <w:color w:val="000000"/>
                <w:kern w:val="0"/>
                <w:sz w:val="21"/>
                <w:szCs w:val="21"/>
                <w:lang w:bidi="ar"/>
              </w:rPr>
            </w:pPr>
            <w:r>
              <w:rPr>
                <w:rFonts w:hint="eastAsia" w:cs="宋体"/>
                <w:color w:val="000000"/>
                <w:kern w:val="0"/>
                <w:sz w:val="21"/>
                <w:szCs w:val="21"/>
                <w:lang w:bidi="ar"/>
              </w:rPr>
              <w:t>1、本项目属于化学原料和化学制品制造业</w:t>
            </w:r>
            <w:r>
              <w:rPr>
                <w:rFonts w:hint="eastAsia" w:cs="宋体"/>
                <w:color w:val="000000"/>
                <w:kern w:val="0"/>
                <w:sz w:val="21"/>
                <w:szCs w:val="21"/>
                <w:lang w:eastAsia="zh-CN" w:bidi="ar"/>
              </w:rPr>
              <w:t>行业</w:t>
            </w:r>
            <w:r>
              <w:rPr>
                <w:rFonts w:hint="eastAsia" w:cs="宋体"/>
                <w:color w:val="000000"/>
                <w:kern w:val="0"/>
                <w:sz w:val="21"/>
                <w:szCs w:val="21"/>
                <w:lang w:bidi="ar"/>
              </w:rPr>
              <w:t>和橡胶和塑料制品业，不属于高耗能、高排放和产能过剩的产业项目。</w:t>
            </w:r>
            <w:r>
              <w:rPr>
                <w:rFonts w:hint="eastAsia" w:cs="宋体"/>
                <w:color w:val="000000"/>
                <w:sz w:val="21"/>
                <w:szCs w:val="21"/>
              </w:rPr>
              <w:t>符合产业政策规划、国土空间规划、</w:t>
            </w:r>
            <w:r>
              <w:rPr>
                <w:rFonts w:hint="eastAsia" w:cs="宋体"/>
                <w:color w:val="000000"/>
                <w:sz w:val="21"/>
                <w:szCs w:val="21"/>
                <w:lang w:eastAsia="zh-CN"/>
              </w:rPr>
              <w:t>“</w:t>
            </w:r>
            <w:r>
              <w:rPr>
                <w:rFonts w:hint="eastAsia" w:cs="宋体"/>
                <w:color w:val="000000"/>
                <w:sz w:val="21"/>
                <w:szCs w:val="21"/>
              </w:rPr>
              <w:t>三线一单</w:t>
            </w:r>
            <w:r>
              <w:rPr>
                <w:rFonts w:hint="eastAsia" w:cs="宋体"/>
                <w:color w:val="000000"/>
                <w:sz w:val="21"/>
                <w:szCs w:val="21"/>
                <w:lang w:eastAsia="zh-CN"/>
              </w:rPr>
              <w:t>”</w:t>
            </w:r>
            <w:r>
              <w:rPr>
                <w:rFonts w:hint="eastAsia" w:cs="宋体"/>
                <w:color w:val="000000"/>
                <w:sz w:val="21"/>
                <w:szCs w:val="21"/>
              </w:rPr>
              <w:t>要求</w:t>
            </w:r>
          </w:p>
        </w:tc>
        <w:tc>
          <w:tcPr>
            <w:tcW w:w="1098"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240" w:lineRule="auto"/>
              <w:ind w:firstLine="0" w:firstLineChars="0"/>
              <w:jc w:val="center"/>
              <w:textAlignment w:val="center"/>
              <w:rPr>
                <w:rFonts w:cs="宋体"/>
                <w:color w:val="000000"/>
                <w:kern w:val="0"/>
                <w:sz w:val="21"/>
                <w:szCs w:val="21"/>
                <w:lang w:bidi="ar"/>
              </w:rPr>
            </w:pPr>
            <w:r>
              <w:rPr>
                <w:rFonts w:hint="eastAsia" w:cs="宋体"/>
                <w:color w:val="000000"/>
                <w:kern w:val="0"/>
                <w:sz w:val="21"/>
                <w:szCs w:val="21"/>
                <w:lang w:bidi="ar"/>
              </w:rPr>
              <w:t>相符</w:t>
            </w:r>
          </w:p>
        </w:tc>
      </w:tr>
      <w:tr>
        <w:tblPrEx>
          <w:tblCellMar>
            <w:top w:w="0" w:type="dxa"/>
            <w:left w:w="108" w:type="dxa"/>
            <w:bottom w:w="0" w:type="dxa"/>
            <w:right w:w="108" w:type="dxa"/>
          </w:tblCellMar>
        </w:tblPrEx>
        <w:trPr>
          <w:trHeight w:val="23" w:hRule="atLeast"/>
          <w:jc w:val="center"/>
        </w:trPr>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sz w:val="21"/>
                <w:szCs w:val="21"/>
              </w:rPr>
            </w:pPr>
            <w:r>
              <w:rPr>
                <w:rFonts w:hint="eastAsia" w:cs="宋体"/>
                <w:color w:val="000000"/>
                <w:sz w:val="21"/>
                <w:szCs w:val="21"/>
              </w:rPr>
              <w:t>生态空间总体管控</w:t>
            </w:r>
          </w:p>
        </w:tc>
        <w:tc>
          <w:tcPr>
            <w:tcW w:w="5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sz w:val="21"/>
                <w:szCs w:val="21"/>
              </w:rPr>
            </w:pPr>
            <w:r>
              <w:rPr>
                <w:rFonts w:hint="eastAsia" w:cs="宋体"/>
                <w:color w:val="000000"/>
                <w:sz w:val="21"/>
                <w:szCs w:val="21"/>
              </w:rPr>
              <w:t>1.除国家重大战略项目外，仅允许对生态功能不造成破坏的有限人为活动，主要包括：零星的在不扩大现有建设用地和耕地规模前提下，修缮生产生活设施，保留生活必需的少量种植、放牧、捕捞、养殖；因国家重大能源资源安全需要开展的战略性能源资源勘查，公益性自然资源调查和地质勘查；自然资源、生态环境监测和执法包括水文水资源监测及涉水违法事件的查处等，灾害防治和应急抢险活动；经依法批准进行的非破坏性科学研究观测、标本采集；经依法批准的考古调查发掘和文物保护活动；不破坏生态功能的适度参观旅游和相关的必要公共设施建设；必须且无法避让、符合县级以上国土空间规划的线性基础设施建设、防洪和供水设施建设与运行维护；重要生态修复工程。4.在饮用水水源保护区内，禁止设置排污口。禁止在饮用水水源一级保护区内新建、改建、扩建与供水设施和保护水源无关的建设项目；已建成的与供水设施和保护水源无关的建设项目，由县级以上人民政府责令拆除或者关闭。禁止在饮用水水源一级保护区内从事网箱养殖、旅游、游泳、垂钓或者其他可能污染饮用水水体的活动。5.南水北调中线干渠一级保护区内禁止新建、改建、扩建与供水设施和保护水源无关的建设项目。</w:t>
            </w:r>
          </w:p>
        </w:tc>
        <w:tc>
          <w:tcPr>
            <w:tcW w:w="21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kern w:val="0"/>
                <w:sz w:val="21"/>
                <w:szCs w:val="21"/>
                <w:lang w:bidi="ar"/>
              </w:rPr>
            </w:pPr>
            <w:r>
              <w:rPr>
                <w:rFonts w:hint="eastAsia" w:cs="宋体"/>
                <w:color w:val="000000"/>
                <w:kern w:val="0"/>
                <w:sz w:val="21"/>
                <w:szCs w:val="21"/>
                <w:lang w:bidi="ar"/>
              </w:rPr>
              <w:t>项目选址不在饮用水水源保护区。</w:t>
            </w:r>
            <w:r>
              <w:rPr>
                <w:rFonts w:hint="eastAsia" w:cs="宋体"/>
                <w:color w:val="000000"/>
                <w:kern w:val="0"/>
                <w:sz w:val="21"/>
                <w:szCs w:val="21"/>
                <w:lang w:eastAsia="zh-CN" w:bidi="ar"/>
              </w:rPr>
              <w:t>距离南水北调干渠较远，</w:t>
            </w:r>
            <w:r>
              <w:rPr>
                <w:rFonts w:hint="eastAsia" w:cs="宋体"/>
                <w:color w:val="000000"/>
                <w:kern w:val="0"/>
                <w:sz w:val="21"/>
                <w:szCs w:val="21"/>
                <w:lang w:bidi="ar"/>
              </w:rPr>
              <w:t>不在</w:t>
            </w:r>
            <w:r>
              <w:rPr>
                <w:rFonts w:hint="eastAsia" w:cs="宋体"/>
                <w:color w:val="000000"/>
                <w:sz w:val="21"/>
                <w:szCs w:val="21"/>
              </w:rPr>
              <w:t>南水北调中线干渠一级保护区内</w:t>
            </w:r>
          </w:p>
        </w:tc>
        <w:tc>
          <w:tcPr>
            <w:tcW w:w="109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kern w:val="0"/>
                <w:sz w:val="21"/>
                <w:szCs w:val="21"/>
                <w:lang w:bidi="ar"/>
              </w:rPr>
            </w:pPr>
            <w:r>
              <w:rPr>
                <w:rFonts w:hint="eastAsia" w:cs="宋体"/>
                <w:color w:val="000000"/>
                <w:kern w:val="0"/>
                <w:sz w:val="21"/>
                <w:szCs w:val="21"/>
                <w:lang w:bidi="ar"/>
              </w:rPr>
              <w:t>相符</w:t>
            </w:r>
          </w:p>
        </w:tc>
      </w:tr>
      <w:tr>
        <w:tblPrEx>
          <w:tblCellMar>
            <w:top w:w="0" w:type="dxa"/>
            <w:left w:w="108" w:type="dxa"/>
            <w:bottom w:w="0" w:type="dxa"/>
            <w:right w:w="108" w:type="dxa"/>
          </w:tblCellMar>
        </w:tblPrEx>
        <w:trPr>
          <w:trHeight w:val="23" w:hRule="atLeast"/>
          <w:jc w:val="center"/>
        </w:trPr>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sz w:val="21"/>
                <w:szCs w:val="21"/>
              </w:rPr>
            </w:pPr>
            <w:r>
              <w:rPr>
                <w:rFonts w:hint="eastAsia" w:cs="宋体"/>
                <w:color w:val="000000"/>
                <w:sz w:val="21"/>
                <w:szCs w:val="21"/>
              </w:rPr>
              <w:t>大气生态环境总体管控</w:t>
            </w:r>
          </w:p>
        </w:tc>
        <w:tc>
          <w:tcPr>
            <w:tcW w:w="5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sz w:val="21"/>
                <w:szCs w:val="21"/>
              </w:rPr>
            </w:pPr>
            <w:r>
              <w:rPr>
                <w:rFonts w:hint="eastAsia" w:cs="宋体"/>
                <w:color w:val="000000"/>
                <w:sz w:val="21"/>
                <w:szCs w:val="21"/>
              </w:rPr>
              <w:t>1. 集中供暖区禁止新建、扩建分散燃煤供热锅炉；已建成的不能达标排放的燃煤供热锅炉，应当期限内拆除。30万千瓦及以上热电联产电厂供热半径15公里范围内的燃煤锅炉和落后燃煤小热电全部关停整合。城市建成区生物质锅炉实施超低排放改造，燃气锅炉实施低氮改造。对不能稳定达标排放、改造升级无望的污染企业，依法依规停产限产、关停退出。2、不符合城市建设规划、行业发展规划、生态环境功能定位的重点污染企业退出城市建成区。城市建成区、人群密集区、重点流域的重污染企业和危险化学品等环境风险大的企业搬迁改造、关停退出。新建涉高VOCs排放的石化、化工、包装印刷、工业涂装等重点行业企业要</w:t>
            </w:r>
            <w:r>
              <w:rPr>
                <w:rFonts w:hint="eastAsia" w:cs="宋体"/>
                <w:color w:val="000000"/>
                <w:sz w:val="21"/>
                <w:szCs w:val="21"/>
                <w:lang w:eastAsia="zh-CN"/>
              </w:rPr>
              <w:t>进入</w:t>
            </w:r>
            <w:r>
              <w:rPr>
                <w:rFonts w:hint="eastAsia" w:cs="宋体"/>
                <w:color w:val="000000"/>
                <w:sz w:val="21"/>
                <w:szCs w:val="21"/>
              </w:rPr>
              <w:t>产业集聚区，实行区域内VOCs排放等量或倍量削减替代。5.强化项目环评及</w:t>
            </w:r>
            <w:r>
              <w:rPr>
                <w:rFonts w:hint="eastAsia" w:cs="宋体"/>
                <w:color w:val="000000"/>
                <w:sz w:val="21"/>
                <w:szCs w:val="21"/>
                <w:lang w:eastAsia="zh-CN"/>
              </w:rPr>
              <w:t>“</w:t>
            </w:r>
            <w:r>
              <w:rPr>
                <w:rFonts w:hint="eastAsia" w:cs="宋体"/>
                <w:color w:val="000000"/>
                <w:sz w:val="21"/>
                <w:szCs w:val="21"/>
              </w:rPr>
              <w:t>三同时</w:t>
            </w:r>
            <w:r>
              <w:rPr>
                <w:rFonts w:hint="eastAsia" w:cs="宋体"/>
                <w:color w:val="000000"/>
                <w:sz w:val="21"/>
                <w:szCs w:val="21"/>
                <w:lang w:eastAsia="zh-CN"/>
              </w:rPr>
              <w:t>”</w:t>
            </w:r>
            <w:r>
              <w:rPr>
                <w:rFonts w:hint="eastAsia" w:cs="宋体"/>
                <w:color w:val="000000"/>
                <w:sz w:val="21"/>
                <w:szCs w:val="21"/>
              </w:rPr>
              <w:t>管理，国家、省绩效分级重点行业的新建、改建、扩建项目达到B级以上要求。7.强化施工扬尘污染防治，将建筑、市政、拆除、公路、水利等各类施工工地扬尘污染防治纳入建筑施工安全生产文明施工管理范畴，严格执行开复工验收、</w:t>
            </w:r>
            <w:r>
              <w:rPr>
                <w:rFonts w:hint="eastAsia" w:cs="宋体"/>
                <w:color w:val="000000"/>
                <w:sz w:val="21"/>
                <w:szCs w:val="21"/>
                <w:lang w:eastAsia="zh-CN"/>
              </w:rPr>
              <w:t>“</w:t>
            </w:r>
            <w:r>
              <w:rPr>
                <w:rFonts w:hint="eastAsia" w:cs="宋体"/>
                <w:color w:val="000000"/>
                <w:sz w:val="21"/>
                <w:szCs w:val="21"/>
              </w:rPr>
              <w:t>三员</w:t>
            </w:r>
            <w:r>
              <w:rPr>
                <w:rFonts w:hint="eastAsia" w:cs="宋体"/>
                <w:color w:val="000000"/>
                <w:sz w:val="21"/>
                <w:szCs w:val="21"/>
                <w:lang w:eastAsia="zh-CN"/>
              </w:rPr>
              <w:t>”</w:t>
            </w:r>
            <w:r>
              <w:rPr>
                <w:rFonts w:hint="eastAsia" w:cs="宋体"/>
                <w:color w:val="000000"/>
                <w:sz w:val="21"/>
                <w:szCs w:val="21"/>
              </w:rPr>
              <w:t>（监督员、网络员、管理员）管理、城市建筑垃圾处置核准、扬尘防治预算管理等制度，做到工地周边围挡、物料堆放覆盖、土方开挖湿法作业、路面硬化、出入车辆清洗、渣土车辆密闭运输</w:t>
            </w:r>
            <w:r>
              <w:rPr>
                <w:rFonts w:hint="eastAsia" w:cs="宋体"/>
                <w:color w:val="000000"/>
                <w:sz w:val="21"/>
                <w:szCs w:val="21"/>
                <w:lang w:eastAsia="zh-CN"/>
              </w:rPr>
              <w:t>“</w:t>
            </w:r>
            <w:r>
              <w:rPr>
                <w:rFonts w:hint="eastAsia" w:cs="宋体"/>
                <w:color w:val="000000"/>
                <w:sz w:val="21"/>
                <w:szCs w:val="21"/>
              </w:rPr>
              <w:t>六个百分之百</w:t>
            </w:r>
            <w:r>
              <w:rPr>
                <w:rFonts w:hint="eastAsia" w:cs="宋体"/>
                <w:color w:val="000000"/>
                <w:sz w:val="21"/>
                <w:szCs w:val="21"/>
                <w:lang w:eastAsia="zh-CN"/>
              </w:rPr>
              <w:t>”</w:t>
            </w:r>
            <w:r>
              <w:rPr>
                <w:rFonts w:hint="eastAsia" w:cs="宋体"/>
                <w:color w:val="000000"/>
                <w:sz w:val="21"/>
                <w:szCs w:val="21"/>
              </w:rPr>
              <w:t>，禁止施工工地现场搅拌混凝土、现场配置砂浆。</w:t>
            </w:r>
          </w:p>
        </w:tc>
        <w:tc>
          <w:tcPr>
            <w:tcW w:w="21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kern w:val="0"/>
                <w:sz w:val="21"/>
                <w:szCs w:val="21"/>
                <w:lang w:bidi="ar"/>
              </w:rPr>
            </w:pPr>
            <w:r>
              <w:rPr>
                <w:rFonts w:hint="eastAsia" w:cs="宋体"/>
                <w:color w:val="000000" w:themeColor="text1"/>
                <w:kern w:val="0"/>
                <w:sz w:val="21"/>
                <w:szCs w:val="21"/>
                <w:lang w:bidi="ar"/>
                <w14:textFill>
                  <w14:solidFill>
                    <w14:schemeClr w14:val="tx1"/>
                  </w14:solidFill>
                </w14:textFill>
              </w:rPr>
              <w:t>本项目排放污染物主要为颗粒物、氨、硫化氢、丙烯酸、甲基丙烯酸甲酯、丙烯酸丁酯和非甲烷总烃，满足总量减排要求，其中非甲烷总烃实施区域内倍量削减替代，满足当地总量减排要求。企业</w:t>
            </w:r>
            <w:r>
              <w:rPr>
                <w:rFonts w:hint="eastAsia" w:cs="宋体"/>
                <w:color w:val="000000" w:themeColor="text1"/>
                <w:kern w:val="0"/>
                <w:sz w:val="21"/>
                <w:szCs w:val="21"/>
                <w:lang w:eastAsia="zh-CN" w:bidi="ar"/>
                <w14:textFill>
                  <w14:solidFill>
                    <w14:schemeClr w14:val="tx1"/>
                  </w14:solidFill>
                </w14:textFill>
              </w:rPr>
              <w:t>建成后</w:t>
            </w:r>
            <w:r>
              <w:rPr>
                <w:rFonts w:hint="eastAsia" w:cs="宋体"/>
                <w:color w:val="000000" w:themeColor="text1"/>
                <w:kern w:val="0"/>
                <w:sz w:val="21"/>
                <w:szCs w:val="21"/>
                <w:lang w:bidi="ar"/>
                <w14:textFill>
                  <w14:solidFill>
                    <w14:schemeClr w14:val="tx1"/>
                  </w14:solidFill>
                </w14:textFill>
              </w:rPr>
              <w:t>达到生态环境部重点行业</w:t>
            </w:r>
            <w:r>
              <w:rPr>
                <w:rFonts w:hint="eastAsia" w:cs="宋体"/>
                <w:color w:val="000000" w:themeColor="text1"/>
                <w:kern w:val="0"/>
                <w:sz w:val="21"/>
                <w:szCs w:val="21"/>
                <w:lang w:eastAsia="zh-CN" w:bidi="ar"/>
                <w14:textFill>
                  <w14:solidFill>
                    <w14:schemeClr w14:val="tx1"/>
                  </w14:solidFill>
                </w14:textFill>
              </w:rPr>
              <w:t>橡胶制品制造企业</w:t>
            </w:r>
            <w:r>
              <w:rPr>
                <w:rFonts w:hint="eastAsia" w:cs="宋体"/>
                <w:color w:val="000000" w:themeColor="text1"/>
                <w:kern w:val="0"/>
                <w:sz w:val="21"/>
                <w:szCs w:val="21"/>
                <w:lang w:val="en-US" w:eastAsia="zh-CN" w:bidi="ar"/>
                <w14:textFill>
                  <w14:solidFill>
                    <w14:schemeClr w14:val="tx1"/>
                  </w14:solidFill>
                </w14:textFill>
              </w:rPr>
              <w:t>A级指标、</w:t>
            </w:r>
            <w:r>
              <w:rPr>
                <w:rFonts w:hint="eastAsia" w:cs="宋体"/>
                <w:color w:val="000000" w:themeColor="text1"/>
                <w:kern w:val="0"/>
                <w:sz w:val="21"/>
                <w:szCs w:val="21"/>
                <w:lang w:bidi="ar"/>
                <w14:textFill>
                  <w14:solidFill>
                    <w14:schemeClr w14:val="tx1"/>
                  </w14:solidFill>
                </w14:textFill>
              </w:rPr>
              <w:t>河南省重污染天气重点行业有机化工行业绩效分级指标A级企业要求</w:t>
            </w:r>
            <w:r>
              <w:rPr>
                <w:rFonts w:hint="eastAsia" w:cs="宋体"/>
                <w:color w:val="000000" w:themeColor="text1"/>
                <w:kern w:val="0"/>
                <w:sz w:val="21"/>
                <w:szCs w:val="21"/>
                <w:lang w:eastAsia="zh-CN" w:bidi="ar"/>
                <w14:textFill>
                  <w14:solidFill>
                    <w14:schemeClr w14:val="tx1"/>
                  </w14:solidFill>
                </w14:textFill>
              </w:rPr>
              <w:t>、</w:t>
            </w:r>
            <w:r>
              <w:rPr>
                <w:rFonts w:hint="eastAsia" w:cs="宋体"/>
                <w:color w:val="000000" w:themeColor="text1"/>
                <w:kern w:val="0"/>
                <w:sz w:val="21"/>
                <w:szCs w:val="21"/>
                <w:lang w:val="en-US" w:eastAsia="zh-CN" w:bidi="ar"/>
                <w14:textFill>
                  <w14:solidFill>
                    <w14:schemeClr w14:val="tx1"/>
                  </w14:solidFill>
                </w14:textFill>
              </w:rPr>
              <w:t>塑料制品企业A级指标</w:t>
            </w:r>
            <w:r>
              <w:rPr>
                <w:rFonts w:hint="eastAsia" w:cs="宋体"/>
                <w:color w:val="000000" w:themeColor="text1"/>
                <w:sz w:val="21"/>
                <w:szCs w:val="21"/>
                <w14:textFill>
                  <w14:solidFill>
                    <w14:schemeClr w14:val="tx1"/>
                  </w14:solidFill>
                </w14:textFill>
              </w:rPr>
              <w:t>，强化施工期污染控制</w:t>
            </w:r>
          </w:p>
        </w:tc>
        <w:tc>
          <w:tcPr>
            <w:tcW w:w="109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kern w:val="0"/>
                <w:sz w:val="21"/>
                <w:szCs w:val="21"/>
                <w:lang w:bidi="ar"/>
              </w:rPr>
            </w:pPr>
            <w:r>
              <w:rPr>
                <w:rFonts w:hint="eastAsia" w:cs="宋体"/>
                <w:color w:val="000000"/>
                <w:kern w:val="0"/>
                <w:sz w:val="21"/>
                <w:szCs w:val="21"/>
                <w:lang w:bidi="ar"/>
              </w:rPr>
              <w:t>相符</w:t>
            </w:r>
          </w:p>
        </w:tc>
      </w:tr>
      <w:tr>
        <w:tblPrEx>
          <w:tblCellMar>
            <w:top w:w="0" w:type="dxa"/>
            <w:left w:w="108" w:type="dxa"/>
            <w:bottom w:w="0" w:type="dxa"/>
            <w:right w:w="108" w:type="dxa"/>
          </w:tblCellMar>
        </w:tblPrEx>
        <w:trPr>
          <w:trHeight w:val="23" w:hRule="atLeast"/>
          <w:jc w:val="center"/>
        </w:trPr>
        <w:tc>
          <w:tcPr>
            <w:tcW w:w="8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sz w:val="21"/>
                <w:szCs w:val="21"/>
              </w:rPr>
            </w:pPr>
            <w:r>
              <w:rPr>
                <w:rFonts w:hint="eastAsia" w:cs="宋体"/>
                <w:color w:val="000000"/>
                <w:sz w:val="21"/>
                <w:szCs w:val="21"/>
              </w:rPr>
              <w:t>水生态环境总体管控</w:t>
            </w:r>
          </w:p>
        </w:tc>
        <w:tc>
          <w:tcPr>
            <w:tcW w:w="5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sz w:val="21"/>
                <w:szCs w:val="21"/>
              </w:rPr>
            </w:pPr>
            <w:r>
              <w:rPr>
                <w:rFonts w:hint="eastAsia" w:cs="宋体"/>
                <w:color w:val="000000"/>
                <w:sz w:val="21"/>
                <w:szCs w:val="21"/>
              </w:rPr>
              <w:t>5.新建、改建、扩建造纸、焦化、氮肥、农副食品加工、毛皮制革、印染、有色金属、原料药制造、电镀等重点水污染物排放行业建设项目实行主要污染物排放等量或减量置换。9.按照</w:t>
            </w:r>
            <w:r>
              <w:rPr>
                <w:rFonts w:hint="eastAsia" w:cs="宋体"/>
                <w:color w:val="000000"/>
                <w:sz w:val="21"/>
                <w:szCs w:val="21"/>
                <w:lang w:eastAsia="zh-CN"/>
              </w:rPr>
              <w:t>“</w:t>
            </w:r>
            <w:r>
              <w:rPr>
                <w:rFonts w:hint="eastAsia" w:cs="宋体"/>
                <w:color w:val="000000"/>
                <w:sz w:val="21"/>
                <w:szCs w:val="21"/>
              </w:rPr>
              <w:t>减量化、稳定化、无害化、资源化</w:t>
            </w:r>
            <w:r>
              <w:rPr>
                <w:rFonts w:hint="eastAsia" w:cs="宋体"/>
                <w:color w:val="000000"/>
                <w:sz w:val="21"/>
                <w:szCs w:val="21"/>
                <w:lang w:eastAsia="zh-CN"/>
              </w:rPr>
              <w:t>”</w:t>
            </w:r>
            <w:r>
              <w:rPr>
                <w:rFonts w:hint="eastAsia" w:cs="宋体"/>
                <w:color w:val="000000"/>
                <w:sz w:val="21"/>
                <w:szCs w:val="21"/>
              </w:rPr>
              <w:t>要求，加快推进城镇污水处理厂污泥无害化处理处置和资源化利用。依法查处取缔非法污泥堆放点，禁止重金属等污染物不达标的污泥进行土地利用。2021年年底，全省城市和县城污泥无害化处置率分别达到95%以上和85%以上。</w:t>
            </w:r>
          </w:p>
        </w:tc>
        <w:tc>
          <w:tcPr>
            <w:tcW w:w="21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kern w:val="0"/>
                <w:sz w:val="21"/>
                <w:szCs w:val="21"/>
                <w:lang w:bidi="ar"/>
              </w:rPr>
            </w:pPr>
            <w:r>
              <w:rPr>
                <w:rFonts w:hint="eastAsia" w:cs="宋体"/>
                <w:color w:val="000000"/>
                <w:kern w:val="0"/>
                <w:sz w:val="21"/>
                <w:szCs w:val="21"/>
                <w:lang w:bidi="ar"/>
              </w:rPr>
              <w:t>项目不属于重点水污染行业，</w:t>
            </w:r>
            <w:r>
              <w:rPr>
                <w:rFonts w:hint="eastAsia" w:cs="宋体"/>
                <w:color w:val="000000"/>
                <w:kern w:val="0"/>
                <w:sz w:val="21"/>
                <w:szCs w:val="21"/>
                <w:lang w:eastAsia="zh-CN" w:bidi="ar"/>
              </w:rPr>
              <w:t>厂区废水</w:t>
            </w:r>
            <w:r>
              <w:rPr>
                <w:rFonts w:hint="eastAsia" w:cs="宋体"/>
                <w:color w:val="000000"/>
                <w:kern w:val="0"/>
                <w:sz w:val="21"/>
                <w:szCs w:val="21"/>
                <w:lang w:bidi="ar"/>
              </w:rPr>
              <w:t>经处理后排放至集中污水处理厂</w:t>
            </w:r>
          </w:p>
        </w:tc>
        <w:tc>
          <w:tcPr>
            <w:tcW w:w="109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textAlignment w:val="center"/>
              <w:rPr>
                <w:rFonts w:cs="宋体"/>
                <w:color w:val="000000"/>
                <w:kern w:val="0"/>
                <w:sz w:val="21"/>
                <w:szCs w:val="21"/>
                <w:lang w:bidi="ar"/>
              </w:rPr>
            </w:pPr>
            <w:r>
              <w:rPr>
                <w:rFonts w:hint="eastAsia" w:cs="宋体"/>
                <w:color w:val="000000"/>
                <w:kern w:val="0"/>
                <w:sz w:val="21"/>
                <w:szCs w:val="21"/>
                <w:lang w:bidi="ar"/>
              </w:rPr>
              <w:t>相符</w:t>
            </w:r>
          </w:p>
        </w:tc>
      </w:tr>
    </w:tbl>
    <w:p>
      <w:pPr>
        <w:ind w:firstLine="0" w:firstLineChars="0"/>
        <w:jc w:val="center"/>
        <w:rPr>
          <w:b/>
          <w:bCs/>
          <w:lang w:val="zh-CN"/>
        </w:rPr>
      </w:pPr>
      <w:r>
        <w:rPr>
          <w:rFonts w:hint="eastAsia"/>
          <w:b/>
          <w:bCs/>
          <w:lang w:val="zh-CN"/>
        </w:rPr>
        <w:t>表</w:t>
      </w:r>
      <w:r>
        <w:rPr>
          <w:rFonts w:hint="eastAsia"/>
          <w:b/>
          <w:bCs/>
        </w:rPr>
        <w:t>2.6-5</w:t>
      </w:r>
      <w:r>
        <w:rPr>
          <w:rFonts w:hint="eastAsia"/>
          <w:b/>
          <w:bCs/>
          <w:lang w:val="zh-CN"/>
        </w:rPr>
        <w:t xml:space="preserve">  项目与平顶山尼龙新材料产业集聚区生态环境准入清单相符性分析</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9"/>
        <w:gridCol w:w="647"/>
        <w:gridCol w:w="795"/>
        <w:gridCol w:w="3800"/>
        <w:gridCol w:w="2650"/>
        <w:gridCol w:w="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序号</w:t>
            </w:r>
          </w:p>
        </w:tc>
        <w:tc>
          <w:tcPr>
            <w:tcW w:w="3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分区</w:t>
            </w:r>
          </w:p>
        </w:tc>
        <w:tc>
          <w:tcPr>
            <w:tcW w:w="42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类别</w:t>
            </w: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环境准入清单</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本项目情况</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是否符合准入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w:t>
            </w:r>
          </w:p>
        </w:tc>
        <w:tc>
          <w:tcPr>
            <w:tcW w:w="3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保护区域</w:t>
            </w:r>
          </w:p>
        </w:tc>
        <w:tc>
          <w:tcPr>
            <w:tcW w:w="42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望娘楼、常李东南岗遗址</w:t>
            </w: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在文物保护单位的保护范围和建设控制地带内，不得建设污染文物保护单位及其环境的设施，不得进行可能影响文物保护单位安全及其环境的活动。对已有的污染文物保护单位及其环境的设施，应当限期治理。</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本项目距离望娘楼1</w:t>
            </w:r>
            <w:r>
              <w:rPr>
                <w:rFonts w:hint="eastAsia" w:ascii="Times New Roman" w:hAnsi="Times New Roman" w:eastAsia="宋体" w:cs="Times New Roman"/>
                <w:sz w:val="21"/>
                <w:szCs w:val="21"/>
                <w:lang w:val="en-US" w:eastAsia="zh-CN"/>
              </w:rPr>
              <w:t>270</w:t>
            </w:r>
            <w:r>
              <w:rPr>
                <w:rFonts w:hint="default" w:ascii="Times New Roman" w:hAnsi="Times New Roman" w:eastAsia="宋体" w:cs="Times New Roman"/>
                <w:sz w:val="21"/>
                <w:szCs w:val="21"/>
              </w:rPr>
              <w:t>m，不在遗址文物保护单位的保护范围和建设控制地带内</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2</w:t>
            </w:r>
          </w:p>
        </w:tc>
        <w:tc>
          <w:tcPr>
            <w:tcW w:w="3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一般管控区域</w:t>
            </w:r>
          </w:p>
        </w:tc>
        <w:tc>
          <w:tcPr>
            <w:tcW w:w="42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环境敏感目标</w:t>
            </w: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在大气环境防护距离和大气毒性终点浓度-1范围内禁止建设居住、教育、医疗等环境敏感区。</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本项目不涉及</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3</w:t>
            </w:r>
          </w:p>
        </w:tc>
        <w:tc>
          <w:tcPr>
            <w:tcW w:w="348"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重点管控区域</w:t>
            </w:r>
          </w:p>
        </w:tc>
        <w:tc>
          <w:tcPr>
            <w:tcW w:w="428"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产业发展</w:t>
            </w: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禁止入驻《产业结构调整指导目录》中淘汰类项目。</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本项目不属于《产业结构调整指导目录》（2019）中淘汰类项目</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4</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禁止新建高毒性农药、农药原药制造等项目</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本项目不属于高毒性农药、农药原药制造等项目</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5</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原则上禁止新建、扩建单纯新增产能的传统煤化工项目。</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本项目为列净类有机化学原料制造项目，不属于传统煤化工项目</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6</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新建、改建、扩建“两高”项目应采用先进的工艺技术和装备，国家、省绩效分级重点行业新建、扩建项目达到A级水平，改建项目达到B级以上水平。</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本项目不属于“两高”项目，绩效分级本项目可达到A级水平</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7</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耗煤项目建设单位应当编制煤炭替代方案，作为节能报告编制及审查的重要内容。因建设内容调整造成煤炭消费量增加的，项目建设单位应在项目投产前，按相关要求落实煤炭替代新增量，编制煤炭替代补充方案，报送有权限的节能主管部门审查。耗煤项目投入生产使用前，建设单位应按照煤炭替代方案落实全部煤炭替代量，并经所在地人民政府相关部门审查认定出具意见。</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项目运营过程中的能源消耗种类为电力、蒸汽，耗能工质为水，不涉及耗煤</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8</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鼓励中水回用、污水深度治理等基础设施、资源综合利用项目入驻。</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9</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生产工艺与装备水平</w:t>
            </w: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新建企业的生产工艺、设备、污染治理技术、清洁生产水平均需达到同行业国内先进水平，否则禁止入驻。</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本项目生产工艺、设备、污染治理技术、清洁生产水平均需达到同行业国内先进水平</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10</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空间布局约束</w:t>
            </w: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禁止新建选址不符合“三线一单”和规划环评空间管控要求的项目入驻。</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本项目符合叶县“三线一单”和规划环评管控要求</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11</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禁止入驻大气环境防护距离和大气毒性终点浓度-1范围内涉及现有未搬迁和规划的居住、教育、医疗等用地的项目。</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w:t>
            </w:r>
            <w:r>
              <w:rPr>
                <w:rFonts w:hint="eastAsia" w:ascii="Times New Roman" w:hAnsi="Times New Roman" w:eastAsia="宋体" w:cs="Times New Roman"/>
                <w:caps/>
                <w:sz w:val="21"/>
                <w:szCs w:val="21"/>
                <w:lang w:eastAsia="zh-CN"/>
              </w:rPr>
              <w:t>项目环境</w:t>
            </w:r>
            <w:r>
              <w:rPr>
                <w:rFonts w:hint="default" w:ascii="Times New Roman" w:hAnsi="Times New Roman" w:eastAsia="宋体" w:cs="Times New Roman"/>
                <w:caps/>
                <w:sz w:val="21"/>
                <w:szCs w:val="21"/>
              </w:rPr>
              <w:t>风险物质最大储存量较少，且生产过程中不涉及高风险生产工艺，环境风险对周围环境影响较小</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12</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被列入建设用地土壤污染风险管控和修复名录的地块，不得作为住宅、公共管理和公共服务设施用地。</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13</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污染物排放管控</w:t>
            </w: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入驻企业应根据污染物排放标准和相关环境管理要求，适时对企业生产及治污设施进行升级改造，满足达标排放、总量控制等环境管理要求，否则应予以逐步淘汰。</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根据污染物排放标准和相关环境管理要求，企业应及时对生产及治污设施进行升级改造，满足达标排放、总量控制等环境管理要求</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14</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新建项目VOC</w:t>
            </w:r>
            <w:r>
              <w:rPr>
                <w:rFonts w:hint="default" w:ascii="Times New Roman" w:hAnsi="Times New Roman" w:eastAsia="宋体" w:cs="Times New Roman"/>
                <w:caps/>
                <w:sz w:val="21"/>
                <w:szCs w:val="21"/>
                <w:vertAlign w:val="subscript"/>
              </w:rPr>
              <w:t>s</w:t>
            </w:r>
            <w:r>
              <w:rPr>
                <w:rFonts w:hint="default" w:ascii="Times New Roman" w:hAnsi="Times New Roman" w:eastAsia="宋体" w:cs="Times New Roman"/>
                <w:caps/>
                <w:sz w:val="21"/>
                <w:szCs w:val="21"/>
              </w:rPr>
              <w:t>排放需实行区域内等量或倍量削减替代。园区内涉及VOC</w:t>
            </w:r>
            <w:r>
              <w:rPr>
                <w:rFonts w:hint="default" w:ascii="Times New Roman" w:hAnsi="Times New Roman" w:eastAsia="宋体" w:cs="Times New Roman"/>
                <w:caps/>
                <w:sz w:val="21"/>
                <w:szCs w:val="21"/>
                <w:vertAlign w:val="subscript"/>
              </w:rPr>
              <w:t>s</w:t>
            </w:r>
            <w:r>
              <w:rPr>
                <w:rFonts w:hint="default" w:ascii="Times New Roman" w:hAnsi="Times New Roman" w:eastAsia="宋体" w:cs="Times New Roman"/>
                <w:caps/>
                <w:sz w:val="21"/>
                <w:szCs w:val="21"/>
              </w:rPr>
              <w:t>废气排放的企业废气治理措施采用低温等离子体技术、UV光催化氧化技术、活性炭吸附技术等两种或两种以上组合工艺，禁止使用单一吸附、催化氧化等处理技术。</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Times New Roman"/>
                <w:caps/>
                <w:sz w:val="21"/>
                <w:szCs w:val="21"/>
                <w:lang w:eastAsia="zh-CN"/>
              </w:rPr>
            </w:pPr>
            <w:r>
              <w:rPr>
                <w:rFonts w:hint="eastAsia"/>
                <w:sz w:val="21"/>
                <w:szCs w:val="21"/>
                <w:lang w:eastAsia="zh-CN"/>
              </w:rPr>
              <w:t>项目有机废气处理工艺采用</w:t>
            </w:r>
            <w:r>
              <w:rPr>
                <w:rFonts w:hint="eastAsia"/>
                <w:sz w:val="21"/>
                <w:szCs w:val="21"/>
                <w:lang w:val="en-US" w:eastAsia="zh-CN"/>
              </w:rPr>
              <w:t>RCO等国内先进的处理工，不涉及淘汰和落后生产工艺</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15</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禁止新增非集中供热性质的燃煤锅炉及燃重油、渣油锅炉和直接燃用生物质的锅炉项目。</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本项目生产过程中不使用锅炉</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16</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入区企业的废水需通过污水管网排入集聚区污水处理厂处理，在不具备接入污水管网的区域，禁止入驻涉及废水直接排放的企业。</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本项目西侧化工一路已经铺设了污水管网，厂区废水经自建污水处理站处理后排入市政管网进入集聚区第三污水处理厂。</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17</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新增污染物排放总量的项目，需满足国家、省、市等区域或行业替代的相关要求。</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新增污染物排放总量需满足国家、省、市等区域或行业替代的相关要求。</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18</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环境风险防控</w:t>
            </w: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禁止新建大气防护距离范围超越园区边界且涉及居民区、学校、医院等环境敏感点的项目。</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本项目未设置大气防护距离</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19</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项目应严格按照环境影响评价文件要求落实环境风险防范措施。</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严格按照环境影响评价文件要求落实环境风险防范措施</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20</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涉及危险化学品、危险废物及可能发生突发环境事件的污染物排放企业，应按照突发环境事件应急预案备案管理办法的要求，制定完善的环境应急预案。</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项目投运后，</w:t>
            </w:r>
            <w:r>
              <w:rPr>
                <w:rFonts w:hint="eastAsia" w:ascii="Times New Roman" w:hAnsi="Times New Roman" w:eastAsia="宋体" w:cs="Times New Roman"/>
                <w:caps/>
                <w:sz w:val="21"/>
                <w:szCs w:val="21"/>
                <w:lang w:eastAsia="zh-CN"/>
              </w:rPr>
              <w:t>将按照</w:t>
            </w:r>
            <w:r>
              <w:rPr>
                <w:rFonts w:hint="default" w:ascii="Times New Roman" w:hAnsi="Times New Roman" w:eastAsia="宋体" w:cs="Times New Roman"/>
                <w:caps/>
                <w:sz w:val="21"/>
                <w:szCs w:val="21"/>
              </w:rPr>
              <w:t>突发环境事件应急预案备案管理办法的要求，制定完善的环境应急预案，并报环境管理部门备案管理。</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21</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资源开发利用</w:t>
            </w: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入驻项目应采用集聚区集中供水，工业用水应优先使用污水处理厂中水</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项目采用集聚区集中供水</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aps/>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37"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22</w:t>
            </w:r>
          </w:p>
        </w:tc>
        <w:tc>
          <w:tcPr>
            <w:tcW w:w="34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42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p>
        </w:tc>
        <w:tc>
          <w:tcPr>
            <w:tcW w:w="204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caps/>
                <w:sz w:val="21"/>
                <w:szCs w:val="21"/>
              </w:rPr>
              <w:t>入驻项目用地必须达到《河南省工业项目建设用地控制指标》要求。</w:t>
            </w:r>
          </w:p>
        </w:tc>
        <w:tc>
          <w:tcPr>
            <w:tcW w:w="142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sz w:val="21"/>
                <w:szCs w:val="21"/>
              </w:rPr>
            </w:pPr>
            <w:r>
              <w:rPr>
                <w:rFonts w:hint="default" w:ascii="Times New Roman" w:hAnsi="Times New Roman" w:eastAsia="宋体" w:cs="Times New Roman"/>
                <w:sz w:val="21"/>
                <w:szCs w:val="21"/>
              </w:rPr>
              <w:t>项目投资强度、容积率、建筑系数、行政办公及生活服务设施用地所占比重、绿地率五项指标均满足</w:t>
            </w:r>
            <w:r>
              <w:rPr>
                <w:rFonts w:hint="default" w:ascii="Times New Roman" w:hAnsi="Times New Roman" w:eastAsia="宋体" w:cs="Times New Roman"/>
                <w:caps/>
                <w:sz w:val="21"/>
                <w:szCs w:val="21"/>
              </w:rPr>
              <w:t>《河南省工业项目建设用地控制指标》要求。</w:t>
            </w:r>
          </w:p>
        </w:tc>
        <w:tc>
          <w:tcPr>
            <w:tcW w:w="5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aps/>
                <w:sz w:val="21"/>
                <w:szCs w:val="21"/>
              </w:rPr>
              <w:t>相符</w:t>
            </w:r>
          </w:p>
        </w:tc>
      </w:tr>
    </w:tbl>
    <w:p>
      <w:pPr>
        <w:widowControl/>
        <w:ind w:firstLine="480"/>
        <w:rPr>
          <w:rFonts w:ascii="Calibri" w:hAnsi="Calibri" w:cs="Calibri"/>
        </w:rPr>
      </w:pPr>
      <w:r>
        <w:rPr>
          <w:rFonts w:hint="eastAsia" w:ascii="宋体" w:hAnsi="宋体" w:cs="宋体"/>
        </w:rPr>
        <w:t>②</w:t>
      </w:r>
      <w:r>
        <w:rPr>
          <w:rFonts w:ascii="Calibri" w:hAnsi="Calibri" w:cs="Calibri"/>
        </w:rPr>
        <w:t>资源利用上线</w:t>
      </w:r>
    </w:p>
    <w:p>
      <w:pPr>
        <w:widowControl/>
        <w:ind w:firstLine="480"/>
        <w:rPr>
          <w:rFonts w:hAnsi="宋体" w:cs="宋体"/>
          <w:color w:val="000000" w:themeColor="text1"/>
          <w14:textFill>
            <w14:solidFill>
              <w14:schemeClr w14:val="tx1"/>
            </w14:solidFill>
          </w14:textFill>
        </w:rPr>
      </w:pPr>
      <w:r>
        <w:rPr>
          <w:rFonts w:hint="default" w:ascii="Times New Roman" w:hAnsi="Times New Roman" w:cs="Times New Roman"/>
          <w:kern w:val="0"/>
        </w:rPr>
        <w:t>本项目属于化学原料和化学制品制造业</w:t>
      </w:r>
      <w:r>
        <w:rPr>
          <w:rFonts w:hint="default" w:ascii="Times New Roman" w:hAnsi="Times New Roman" w:cs="Times New Roman"/>
          <w:kern w:val="0"/>
          <w:lang w:eastAsia="zh-CN"/>
        </w:rPr>
        <w:t>行业</w:t>
      </w:r>
      <w:r>
        <w:rPr>
          <w:rFonts w:hint="default" w:ascii="Times New Roman" w:hAnsi="Times New Roman" w:cs="Times New Roman"/>
          <w:kern w:val="0"/>
        </w:rPr>
        <w:t>和橡胶和塑料制品业，所用原料来源于成品原料</w:t>
      </w:r>
      <w:r>
        <w:rPr>
          <w:rFonts w:hint="default" w:ascii="Times New Roman" w:hAnsi="Times New Roman" w:cs="Times New Roman"/>
        </w:rPr>
        <w:t>。生</w:t>
      </w:r>
      <w:r>
        <w:rPr>
          <w:rFonts w:hint="default" w:ascii="Times New Roman" w:hAnsi="Times New Roman" w:cs="Times New Roman"/>
          <w:kern w:val="0"/>
        </w:rPr>
        <w:t>产过程中生活污水经</w:t>
      </w:r>
      <w:r>
        <w:rPr>
          <w:rFonts w:hint="default" w:ascii="Times New Roman" w:hAnsi="Times New Roman" w:cs="Times New Roman"/>
          <w:kern w:val="0"/>
          <w:lang w:eastAsia="zh-CN"/>
        </w:rPr>
        <w:t>隔油池、</w:t>
      </w:r>
      <w:r>
        <w:rPr>
          <w:rFonts w:hint="default" w:ascii="Times New Roman" w:hAnsi="Times New Roman" w:cs="Times New Roman"/>
          <w:kern w:val="0"/>
        </w:rPr>
        <w:t>化粪池预处理后进入厂区污水处理站，厂区内设置1个50t/d污水站，</w:t>
      </w:r>
      <w:r>
        <w:rPr>
          <w:rFonts w:hint="default" w:ascii="Times New Roman" w:hAnsi="Times New Roman" w:cs="Times New Roman"/>
          <w:kern w:val="0"/>
          <w:lang w:eastAsia="zh-CN"/>
        </w:rPr>
        <w:t>汇同</w:t>
      </w:r>
      <w:r>
        <w:rPr>
          <w:rFonts w:hint="default" w:ascii="Times New Roman" w:hAnsi="Times New Roman" w:cs="Times New Roman"/>
          <w:kern w:val="0"/>
        </w:rPr>
        <w:t>项目生产废水经厂内污水站处置达标后排入平顶山第三污水处理厂</w:t>
      </w:r>
      <w:r>
        <w:rPr>
          <w:rFonts w:hint="default" w:ascii="Times New Roman" w:hAnsi="Times New Roman" w:cs="Times New Roman"/>
          <w:kern w:val="0"/>
          <w:lang w:eastAsia="zh-CN"/>
        </w:rPr>
        <w:t>处理</w:t>
      </w:r>
      <w:r>
        <w:rPr>
          <w:rFonts w:hint="default" w:ascii="Times New Roman" w:hAnsi="Times New Roman" w:cs="Times New Roman"/>
          <w:kern w:val="0"/>
        </w:rPr>
        <w:t>。</w:t>
      </w:r>
      <w:r>
        <w:rPr>
          <w:rFonts w:hint="eastAsia" w:ascii="Calibri" w:hAnsi="Calibri" w:cs="宋体"/>
          <w:kern w:val="0"/>
        </w:rPr>
        <w:t>整个生产过程中注重节水，提高了水的重复</w:t>
      </w:r>
      <w:r>
        <w:rPr>
          <w:rFonts w:hint="eastAsia" w:ascii="Calibri" w:hAnsi="Calibri" w:cs="宋体"/>
          <w:color w:val="000000" w:themeColor="text1"/>
          <w:kern w:val="0"/>
          <w14:textFill>
            <w14:solidFill>
              <w14:schemeClr w14:val="tx1"/>
            </w14:solidFill>
          </w14:textFill>
        </w:rPr>
        <w:t>利用率，符合水资源利用总量要求。本项目用水采用自来水，生产过程中采用电能，符合能源利用总量要求</w:t>
      </w:r>
      <w:r>
        <w:rPr>
          <w:rFonts w:hint="eastAsia" w:hAnsi="宋体" w:cs="宋体"/>
          <w:color w:val="000000" w:themeColor="text1"/>
          <w14:textFill>
            <w14:solidFill>
              <w14:schemeClr w14:val="tx1"/>
            </w14:solidFill>
          </w14:textFill>
        </w:rPr>
        <w:t>；</w:t>
      </w:r>
      <w:r>
        <w:rPr>
          <w:rFonts w:hint="eastAsia"/>
          <w:color w:val="000000" w:themeColor="text1"/>
          <w14:textFill>
            <w14:solidFill>
              <w14:schemeClr w14:val="tx1"/>
            </w14:solidFill>
          </w14:textFill>
        </w:rPr>
        <w:t>用地为预留工业用地，新建标准化厂房及配套办公生活建筑，</w:t>
      </w:r>
      <w:r>
        <w:rPr>
          <w:rFonts w:hint="eastAsia" w:hAnsi="宋体" w:cs="宋体"/>
          <w:color w:val="000000" w:themeColor="text1"/>
          <w14:textFill>
            <w14:solidFill>
              <w14:schemeClr w14:val="tx1"/>
            </w14:solidFill>
          </w14:textFill>
        </w:rPr>
        <w:t>符合土地资源开发规模要求。由此可知，本项目符合资源利用上线要求。</w:t>
      </w:r>
    </w:p>
    <w:p>
      <w:pPr>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③</w:t>
      </w:r>
      <w:r>
        <w:rPr>
          <w:color w:val="000000" w:themeColor="text1"/>
          <w14:textFill>
            <w14:solidFill>
              <w14:schemeClr w14:val="tx1"/>
            </w14:solidFill>
          </w14:textFill>
        </w:rPr>
        <w:t>环境质量底线</w:t>
      </w:r>
    </w:p>
    <w:p>
      <w:pPr>
        <w:ind w:firstLine="480"/>
      </w:pPr>
      <w:r>
        <w:rPr>
          <w:rFonts w:hint="eastAsia"/>
        </w:rPr>
        <w:t>根据《河南省</w:t>
      </w:r>
      <w:r>
        <w:rPr>
          <w:rFonts w:hint="eastAsia"/>
          <w:lang w:eastAsia="zh-CN"/>
        </w:rPr>
        <w:t>“</w:t>
      </w:r>
      <w:r>
        <w:rPr>
          <w:rFonts w:hint="eastAsia"/>
        </w:rPr>
        <w:t>三线一单</w:t>
      </w:r>
      <w:r>
        <w:rPr>
          <w:rFonts w:hint="eastAsia"/>
          <w:lang w:eastAsia="zh-CN"/>
        </w:rPr>
        <w:t>”</w:t>
      </w:r>
      <w:r>
        <w:rPr>
          <w:rFonts w:hint="eastAsia"/>
        </w:rPr>
        <w:t>研究报告》和《河南省</w:t>
      </w:r>
      <w:r>
        <w:rPr>
          <w:rFonts w:hint="eastAsia"/>
          <w:lang w:eastAsia="zh-CN"/>
        </w:rPr>
        <w:t>“</w:t>
      </w:r>
      <w:r>
        <w:rPr>
          <w:rFonts w:hint="eastAsia"/>
        </w:rPr>
        <w:t>三线一单</w:t>
      </w:r>
      <w:r>
        <w:rPr>
          <w:rFonts w:hint="eastAsia"/>
          <w:lang w:eastAsia="zh-CN"/>
        </w:rPr>
        <w:t>”</w:t>
      </w:r>
      <w:r>
        <w:rPr>
          <w:rFonts w:hint="eastAsia"/>
        </w:rPr>
        <w:t>文本》中环境质量底线及环境分区管控要求，河南省水环境管控分区共1528个，其中优先保护区523个，面积11940.52km</w:t>
      </w:r>
      <w:r>
        <w:rPr>
          <w:rFonts w:hint="eastAsia"/>
          <w:vertAlign w:val="superscript"/>
        </w:rPr>
        <w:t>2</w:t>
      </w:r>
      <w:r>
        <w:rPr>
          <w:rFonts w:hint="eastAsia"/>
        </w:rPr>
        <w:t>，占全省面积比例约7.2%；重点管控区463个，面积18745.20km</w:t>
      </w:r>
      <w:r>
        <w:rPr>
          <w:rFonts w:hint="eastAsia"/>
          <w:vertAlign w:val="superscript"/>
        </w:rPr>
        <w:t>2</w:t>
      </w:r>
      <w:r>
        <w:rPr>
          <w:rFonts w:hint="eastAsia"/>
        </w:rPr>
        <w:t>，占全省面积比例约11.31%；一般管控区542个，面积135050.41km</w:t>
      </w:r>
      <w:r>
        <w:rPr>
          <w:rFonts w:hint="eastAsia"/>
          <w:vertAlign w:val="superscript"/>
        </w:rPr>
        <w:t>2</w:t>
      </w:r>
      <w:r>
        <w:rPr>
          <w:rFonts w:hint="eastAsia"/>
        </w:rPr>
        <w:t>，占全省面积比例约81.49%。大气环境重点管控区包括大气环境的高排放区、弱扩散区、受体敏感区及布局敏感区四大类，最后划定的大气环境重点管控区按照受体敏感区＞高排放区＞布局敏感区＞弱扩散区的原则，对重叠区域进行聚合处理。河南省重点管控区739个，面积约42731.06km</w:t>
      </w:r>
      <w:r>
        <w:rPr>
          <w:rFonts w:hint="eastAsia"/>
          <w:vertAlign w:val="superscript"/>
        </w:rPr>
        <w:t>2</w:t>
      </w:r>
      <w:r>
        <w:rPr>
          <w:rFonts w:hint="eastAsia"/>
        </w:rPr>
        <w:t>，占河南全省面积的25.78%，其中受体敏感区、高排放区、布局敏感区、弱扩散区占河南全省面积的比例分别为4.73%、6.81%、12.12%和12.42%；在聚合处理大气环境优先管控区和重点管控区后，河南省大气环境一般管控区121个，面积约为109520.89km</w:t>
      </w:r>
      <w:r>
        <w:rPr>
          <w:rFonts w:hint="eastAsia"/>
          <w:vertAlign w:val="superscript"/>
        </w:rPr>
        <w:t>2</w:t>
      </w:r>
      <w:r>
        <w:rPr>
          <w:rFonts w:hint="eastAsia"/>
        </w:rPr>
        <w:t>，占全省面积的66.08%。全省土壤环境共划定优先保护区158个，面积82839.7km</w:t>
      </w:r>
      <w:r>
        <w:rPr>
          <w:rFonts w:hint="eastAsia"/>
          <w:vertAlign w:val="superscript"/>
        </w:rPr>
        <w:t>2</w:t>
      </w:r>
      <w:r>
        <w:rPr>
          <w:rFonts w:hint="eastAsia"/>
        </w:rPr>
        <w:t>，占全省面积的49.98%；重点管控区3176个，其中面状管控区245个、点状管控区2931个，面积1931.54km</w:t>
      </w:r>
      <w:r>
        <w:rPr>
          <w:rFonts w:hint="eastAsia"/>
          <w:vertAlign w:val="superscript"/>
        </w:rPr>
        <w:t>2</w:t>
      </w:r>
      <w:r>
        <w:rPr>
          <w:rFonts w:hint="eastAsia"/>
        </w:rPr>
        <w:t>，占全省面积的1.17%；一般管控区158个，面积80964.88km</w:t>
      </w:r>
      <w:r>
        <w:rPr>
          <w:rFonts w:hint="eastAsia"/>
          <w:vertAlign w:val="superscript"/>
        </w:rPr>
        <w:t>2</w:t>
      </w:r>
      <w:r>
        <w:rPr>
          <w:rFonts w:hint="eastAsia"/>
        </w:rPr>
        <w:t>，占全省面积的48.85%。</w:t>
      </w:r>
    </w:p>
    <w:p>
      <w:pPr>
        <w:ind w:firstLine="480"/>
        <w:rPr>
          <w:lang w:val="zh-CN"/>
        </w:rPr>
      </w:pPr>
      <w:r>
        <w:rPr>
          <w:rFonts w:hint="eastAsia"/>
        </w:rPr>
        <w:t>经调查，本项目选址位于水环境重点管控区和大气环境高排放区。本项目属于橡胶和塑料制品、基础化学品和专用化学品生产项目，其营运污染物排放量小，可以实现达标排放；</w:t>
      </w:r>
      <w:r>
        <w:rPr>
          <w:rFonts w:hint="eastAsia"/>
          <w:lang w:eastAsia="zh-CN"/>
        </w:rPr>
        <w:t>EPDM颗粒</w:t>
      </w:r>
      <w:r>
        <w:rPr>
          <w:rFonts w:hint="eastAsia"/>
        </w:rPr>
        <w:t>硫化废气、人造草坪生产</w:t>
      </w:r>
      <w:r>
        <w:rPr>
          <w:rFonts w:hint="eastAsia"/>
          <w:lang w:eastAsia="zh-CN"/>
        </w:rPr>
        <w:t>挤塑</w:t>
      </w:r>
      <w:r>
        <w:rPr>
          <w:rFonts w:hint="eastAsia"/>
        </w:rPr>
        <w:t>、涂胶废气收集后经水喷淋、除雾器后，</w:t>
      </w:r>
      <w:r>
        <w:rPr>
          <w:rFonts w:hint="eastAsia"/>
          <w:u w:val="single"/>
        </w:rPr>
        <w:t>排入</w:t>
      </w:r>
      <w:r>
        <w:rPr>
          <w:rFonts w:hint="eastAsia"/>
          <w:u w:val="single"/>
          <w:lang w:eastAsia="zh-CN"/>
        </w:rPr>
        <w:t>“</w:t>
      </w:r>
      <w:r>
        <w:rPr>
          <w:rFonts w:hint="eastAsia"/>
          <w:u w:val="single"/>
          <w:lang w:val="en-US" w:eastAsia="zh-CN"/>
        </w:rPr>
        <w:t>活性炭吸附箱+RCO废气处理工艺”</w:t>
      </w:r>
      <w:r>
        <w:rPr>
          <w:rFonts w:hint="eastAsia"/>
          <w:u w:val="single"/>
        </w:rPr>
        <w:t>处置后经15米DA001排气筒排放；</w:t>
      </w:r>
      <w:r>
        <w:rPr>
          <w:rFonts w:hint="eastAsia"/>
          <w:u w:val="single"/>
          <w:lang w:eastAsia="zh-CN"/>
        </w:rPr>
        <w:t>水性</w:t>
      </w:r>
      <w:r>
        <w:rPr>
          <w:rFonts w:hint="eastAsia"/>
          <w:u w:val="single"/>
        </w:rPr>
        <w:t>树脂</w:t>
      </w:r>
      <w:r>
        <w:rPr>
          <w:rFonts w:hint="eastAsia"/>
          <w:u w:val="single"/>
          <w:lang w:eastAsia="zh-CN"/>
        </w:rPr>
        <w:t>、单组份胶水、双组份胶水和专用跑道面漆</w:t>
      </w:r>
      <w:r>
        <w:rPr>
          <w:rFonts w:hint="eastAsia"/>
          <w:u w:val="single"/>
        </w:rPr>
        <w:t>生产反应釜投料口、卸料口及排气口废气收集后通过</w:t>
      </w:r>
      <w:r>
        <w:rPr>
          <w:rFonts w:hint="eastAsia"/>
          <w:u w:val="single"/>
          <w:lang w:val="en-US" w:eastAsia="zh-CN"/>
        </w:rPr>
        <w:t>水喷淋洗涤塔+干式分离器+活性炭吸附箱+RCO废气处理工艺</w:t>
      </w:r>
      <w:r>
        <w:rPr>
          <w:rFonts w:hint="eastAsia"/>
          <w:u w:val="single"/>
        </w:rPr>
        <w:t>处理后经15米DA002排气筒排放；</w:t>
      </w:r>
      <w:r>
        <w:rPr>
          <w:rFonts w:hint="eastAsia"/>
        </w:rPr>
        <w:t>食堂油烟经油烟净化器处理后烟道排放；</w:t>
      </w:r>
      <w:r>
        <w:rPr>
          <w:rFonts w:hint="eastAsia"/>
          <w:u w:val="single"/>
        </w:rPr>
        <w:t>污水处理站废气经两级活性炭吸附后</w:t>
      </w:r>
      <w:r>
        <w:rPr>
          <w:rFonts w:hint="eastAsia"/>
          <w:u w:val="single"/>
          <w:lang w:eastAsia="zh-CN"/>
        </w:rPr>
        <w:t>经</w:t>
      </w:r>
      <w:r>
        <w:rPr>
          <w:rFonts w:hint="eastAsia"/>
          <w:u w:val="single"/>
        </w:rPr>
        <w:t>15米</w:t>
      </w:r>
      <w:r>
        <w:rPr>
          <w:rFonts w:hint="eastAsia"/>
          <w:u w:val="single"/>
          <w:lang w:val="en-US" w:eastAsia="zh-CN"/>
        </w:rPr>
        <w:t>DA003排气筒</w:t>
      </w:r>
      <w:r>
        <w:rPr>
          <w:rFonts w:hint="eastAsia"/>
          <w:u w:val="single"/>
        </w:rPr>
        <w:t>高空排放</w:t>
      </w:r>
      <w:r>
        <w:rPr>
          <w:rFonts w:hint="eastAsia"/>
        </w:rPr>
        <w:t>，生产过程中生活污水经</w:t>
      </w:r>
      <w:r>
        <w:rPr>
          <w:rFonts w:hint="eastAsia"/>
          <w:lang w:eastAsia="zh-CN"/>
        </w:rPr>
        <w:t>隔油池、</w:t>
      </w:r>
      <w:r>
        <w:rPr>
          <w:rFonts w:hint="eastAsia"/>
        </w:rPr>
        <w:t>化粪池预处理后进入厂区污水处理站，厂区内设置1个50t/d污水站，</w:t>
      </w:r>
      <w:r>
        <w:rPr>
          <w:rFonts w:hint="eastAsia"/>
          <w:lang w:eastAsia="zh-CN"/>
        </w:rPr>
        <w:t>汇同</w:t>
      </w:r>
      <w:r>
        <w:rPr>
          <w:rFonts w:hint="eastAsia"/>
        </w:rPr>
        <w:t>项目生产废水经厂内污水站处置达标后排入平顶山第三污水处理厂</w:t>
      </w:r>
      <w:r>
        <w:rPr>
          <w:rFonts w:hint="eastAsia"/>
          <w:lang w:eastAsia="zh-CN"/>
        </w:rPr>
        <w:t>处理</w:t>
      </w:r>
      <w:r>
        <w:rPr>
          <w:rFonts w:hint="eastAsia"/>
        </w:rPr>
        <w:t>，由此可知，本项目建设符合环境质量底线要求。</w:t>
      </w:r>
    </w:p>
    <w:p>
      <w:pPr>
        <w:pStyle w:val="25"/>
        <w:widowControl/>
        <w:spacing w:beforeAutospacing="0" w:afterAutospacing="0"/>
        <w:ind w:firstLine="480"/>
        <w:jc w:val="both"/>
      </w:pPr>
      <w:r>
        <w:rPr>
          <w:rFonts w:hint="eastAsia"/>
          <w:lang w:val="zh-CN"/>
        </w:rPr>
        <w:t>②</w:t>
      </w:r>
      <w:r>
        <w:t>负面清单</w:t>
      </w:r>
      <w:r>
        <w:rPr>
          <w:rFonts w:hint="eastAsia"/>
        </w:rPr>
        <w:t>：</w:t>
      </w:r>
      <w:r>
        <w:t>本项目符合国家当前产业政策，且已通过</w:t>
      </w:r>
      <w:r>
        <w:rPr>
          <w:rFonts w:hint="eastAsia"/>
        </w:rPr>
        <w:t>平顶山尼龙新材料产业集聚区管理委员会</w:t>
      </w:r>
      <w:r>
        <w:t>备案</w:t>
      </w:r>
      <w:r>
        <w:rPr>
          <w:rFonts w:hint="eastAsia"/>
        </w:rPr>
        <w:t>，不在负面清单内</w:t>
      </w:r>
      <w:r>
        <w:t>。</w:t>
      </w:r>
    </w:p>
    <w:p>
      <w:pPr>
        <w:pStyle w:val="7"/>
        <w:ind w:firstLine="562"/>
      </w:pPr>
      <w:r>
        <w:rPr>
          <w:rFonts w:hint="eastAsia"/>
        </w:rPr>
        <w:t>2.6.5 关于平顶山市2022年大气、水、土壤污染防治攻坚战实施方案和农村农业污染治理实施方案的通知（平环委办〔2022〕19号）相符性分析</w:t>
      </w:r>
    </w:p>
    <w:p>
      <w:pPr>
        <w:ind w:firstLine="480"/>
      </w:pPr>
      <w:r>
        <w:rPr>
          <w:rFonts w:hint="eastAsia"/>
        </w:rPr>
        <w:t>一、</w:t>
      </w:r>
      <w:r>
        <w:t>本项目与</w:t>
      </w:r>
      <w:r>
        <w:rPr>
          <w:color w:val="000000" w:themeColor="text1"/>
          <w14:textFill>
            <w14:solidFill>
              <w14:schemeClr w14:val="tx1"/>
            </w14:solidFill>
          </w14:textFill>
        </w:rPr>
        <w:t>平顶山202</w:t>
      </w:r>
      <w:r>
        <w:rPr>
          <w:rFonts w:hint="eastAsia"/>
          <w:color w:val="000000" w:themeColor="text1"/>
          <w14:textFill>
            <w14:solidFill>
              <w14:schemeClr w14:val="tx1"/>
            </w14:solidFill>
          </w14:textFill>
        </w:rPr>
        <w:t>2</w:t>
      </w:r>
      <w:r>
        <w:rPr>
          <w:color w:val="000000" w:themeColor="text1"/>
          <w14:textFill>
            <w14:solidFill>
              <w14:schemeClr w14:val="tx1"/>
            </w14:solidFill>
          </w14:textFill>
        </w:rPr>
        <w:t>年大气污染防治攻坚战实施方案</w:t>
      </w:r>
      <w:r>
        <w:t>相关部分相符性分析见表2.</w:t>
      </w:r>
      <w:r>
        <w:rPr>
          <w:rFonts w:hint="eastAsia"/>
        </w:rPr>
        <w:t>6</w:t>
      </w:r>
      <w:r>
        <w:t>-</w:t>
      </w:r>
      <w:r>
        <w:rPr>
          <w:rFonts w:hint="eastAsia"/>
          <w:lang w:val="en-US" w:eastAsia="zh-CN"/>
        </w:rPr>
        <w:t>6</w:t>
      </w:r>
      <w:r>
        <w:t>。</w:t>
      </w:r>
    </w:p>
    <w:p>
      <w:pPr>
        <w:ind w:firstLine="0" w:firstLineChars="0"/>
        <w:jc w:val="center"/>
        <w:rPr>
          <w:b/>
          <w:bCs/>
          <w:lang w:val="zh-CN"/>
        </w:rPr>
      </w:pPr>
      <w:r>
        <w:rPr>
          <w:rFonts w:hint="eastAsia"/>
          <w:b/>
          <w:bCs/>
          <w:lang w:val="zh-CN"/>
        </w:rPr>
        <w:t>表2.</w:t>
      </w:r>
      <w:r>
        <w:rPr>
          <w:rFonts w:hint="eastAsia"/>
          <w:b/>
          <w:bCs/>
        </w:rPr>
        <w:t>6</w:t>
      </w:r>
      <w:r>
        <w:rPr>
          <w:rFonts w:hint="eastAsia"/>
          <w:b/>
          <w:bCs/>
          <w:lang w:val="zh-CN"/>
        </w:rPr>
        <w:t>-</w:t>
      </w:r>
      <w:r>
        <w:rPr>
          <w:rFonts w:hint="eastAsia"/>
          <w:b/>
          <w:bCs/>
          <w:lang w:val="en-US" w:eastAsia="zh-CN"/>
        </w:rPr>
        <w:t>6</w:t>
      </w:r>
      <w:r>
        <w:rPr>
          <w:rFonts w:hint="eastAsia"/>
          <w:b/>
          <w:bCs/>
        </w:rPr>
        <w:t xml:space="preserve">  </w:t>
      </w:r>
      <w:r>
        <w:rPr>
          <w:rFonts w:hint="eastAsia"/>
          <w:b/>
          <w:bCs/>
          <w:lang w:val="zh-CN"/>
        </w:rPr>
        <w:t>本项目与《平顶山202</w:t>
      </w:r>
      <w:r>
        <w:rPr>
          <w:rFonts w:hint="eastAsia"/>
          <w:b/>
          <w:bCs/>
        </w:rPr>
        <w:t>2</w:t>
      </w:r>
      <w:r>
        <w:rPr>
          <w:rFonts w:hint="eastAsia"/>
          <w:b/>
          <w:bCs/>
          <w:lang w:val="zh-CN"/>
        </w:rPr>
        <w:t>年大气污染防治攻坚战实施方案》相符性分析</w:t>
      </w:r>
    </w:p>
    <w:tbl>
      <w:tblPr>
        <w:tblStyle w:val="28"/>
        <w:tblW w:w="5085"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34"/>
        <w:gridCol w:w="5440"/>
        <w:gridCol w:w="1719"/>
        <w:gridCol w:w="10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33" w:type="dxa"/>
            <w:vAlign w:val="center"/>
          </w:tcPr>
          <w:p>
            <w:pPr>
              <w:pStyle w:val="38"/>
              <w:rPr>
                <w:rFonts w:hint="default"/>
              </w:rPr>
            </w:pPr>
            <w:r>
              <w:t>项目</w:t>
            </w:r>
          </w:p>
        </w:tc>
        <w:tc>
          <w:tcPr>
            <w:tcW w:w="5435" w:type="dxa"/>
            <w:vAlign w:val="center"/>
          </w:tcPr>
          <w:p>
            <w:pPr>
              <w:pStyle w:val="38"/>
              <w:rPr>
                <w:rFonts w:hint="default"/>
              </w:rPr>
            </w:pPr>
            <w:r>
              <w:t>攻坚行动方案要求</w:t>
            </w:r>
          </w:p>
        </w:tc>
        <w:tc>
          <w:tcPr>
            <w:tcW w:w="1717" w:type="dxa"/>
            <w:vAlign w:val="center"/>
          </w:tcPr>
          <w:p>
            <w:pPr>
              <w:pStyle w:val="38"/>
              <w:rPr>
                <w:rFonts w:hint="default"/>
              </w:rPr>
            </w:pPr>
            <w:r>
              <w:t>本项目情况</w:t>
            </w:r>
          </w:p>
        </w:tc>
        <w:tc>
          <w:tcPr>
            <w:tcW w:w="1042" w:type="dxa"/>
            <w:vAlign w:val="center"/>
          </w:tcPr>
          <w:p>
            <w:pPr>
              <w:pStyle w:val="38"/>
              <w:rPr>
                <w:rFonts w:hint="default"/>
              </w:rPr>
            </w:pPr>
            <w:r>
              <w:t>相符性分析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7" w:hRule="atLeast"/>
          <w:jc w:val="center"/>
        </w:trPr>
        <w:tc>
          <w:tcPr>
            <w:tcW w:w="1033" w:type="dxa"/>
            <w:vAlign w:val="center"/>
          </w:tcPr>
          <w:p>
            <w:pPr>
              <w:pStyle w:val="38"/>
              <w:rPr>
                <w:rFonts w:hint="default"/>
              </w:rPr>
            </w:pPr>
            <w:r>
              <w:rPr>
                <w:rFonts w:hint="default"/>
              </w:rPr>
              <w:t>提升产业集群绿色化水平</w:t>
            </w:r>
          </w:p>
        </w:tc>
        <w:tc>
          <w:tcPr>
            <w:tcW w:w="5435" w:type="dxa"/>
            <w:vAlign w:val="center"/>
          </w:tcPr>
          <w:p>
            <w:pPr>
              <w:pStyle w:val="38"/>
              <w:rPr>
                <w:rFonts w:hint="default"/>
              </w:rPr>
            </w:pPr>
            <w:r>
              <w:rPr>
                <w:rFonts w:hint="default"/>
              </w:rPr>
              <w:t>实施节能降碳增效行动，支持节能降碳技术研发、示范应用。根据产业集群特点，支持建设集中的热、气供应中心；推进涂装工艺企业集中、活性炭使用量大、有机溶剂使用量多的园区和集群，统筹规划建设集中涂装中心、活性炭集中再生处理中心、有机溶剂回收中心。重点开展化工行业产业园区提升行动，相关县（市、区）制定</w:t>
            </w:r>
            <w:r>
              <w:rPr>
                <w:rFonts w:hint="eastAsia"/>
                <w:lang w:eastAsia="zh-CN"/>
              </w:rPr>
              <w:t>“</w:t>
            </w:r>
            <w:r>
              <w:rPr>
                <w:rFonts w:hint="default"/>
              </w:rPr>
              <w:t>一园一策</w:t>
            </w:r>
            <w:r>
              <w:rPr>
                <w:rFonts w:hint="eastAsia"/>
                <w:lang w:eastAsia="zh-CN"/>
              </w:rPr>
              <w:t>”</w:t>
            </w:r>
            <w:r>
              <w:rPr>
                <w:rFonts w:hint="default"/>
              </w:rPr>
              <w:t>提升工作方案，明确生产工艺、产品质量、产能规模、能耗水平、燃料类型、原辅材料替代、污染治理和区域环境综合治理标准，提升园区产业发展质量和环保治理水平。</w:t>
            </w:r>
          </w:p>
        </w:tc>
        <w:tc>
          <w:tcPr>
            <w:tcW w:w="1717" w:type="dxa"/>
            <w:vAlign w:val="center"/>
          </w:tcPr>
          <w:p>
            <w:pPr>
              <w:pStyle w:val="38"/>
              <w:rPr>
                <w:rFonts w:hint="default"/>
              </w:rPr>
            </w:pPr>
            <w:r>
              <w:t>本项位于化工园区，使用集中供热符合产业集群绿色化水平</w:t>
            </w:r>
          </w:p>
        </w:tc>
        <w:tc>
          <w:tcPr>
            <w:tcW w:w="1042" w:type="dxa"/>
            <w:vAlign w:val="center"/>
          </w:tcPr>
          <w:p>
            <w:pPr>
              <w:pStyle w:val="38"/>
              <w:rPr>
                <w:rFonts w:hint="default"/>
              </w:rPr>
            </w:pPr>
            <w:r>
              <w:t>相符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5" w:hRule="atLeast"/>
          <w:jc w:val="center"/>
        </w:trPr>
        <w:tc>
          <w:tcPr>
            <w:tcW w:w="1033" w:type="dxa"/>
            <w:vAlign w:val="center"/>
          </w:tcPr>
          <w:p>
            <w:pPr>
              <w:pStyle w:val="38"/>
              <w:rPr>
                <w:rFonts w:hint="default"/>
              </w:rPr>
            </w:pPr>
            <w:r>
              <w:t>推进绿色低碳产业发展</w:t>
            </w:r>
          </w:p>
        </w:tc>
        <w:tc>
          <w:tcPr>
            <w:tcW w:w="5435" w:type="dxa"/>
            <w:vAlign w:val="center"/>
          </w:tcPr>
          <w:p>
            <w:pPr>
              <w:pStyle w:val="38"/>
              <w:rPr>
                <w:rFonts w:hint="default"/>
              </w:rPr>
            </w:pPr>
            <w:r>
              <w:rPr>
                <w:rFonts w:hint="default"/>
              </w:rPr>
              <w:t>落实国家产业规划、产业政策、</w:t>
            </w:r>
            <w:r>
              <w:rPr>
                <w:rFonts w:hint="eastAsia"/>
                <w:lang w:eastAsia="zh-CN"/>
              </w:rPr>
              <w:t>“</w:t>
            </w:r>
            <w:r>
              <w:rPr>
                <w:rFonts w:hint="default"/>
              </w:rPr>
              <w:t>三线一单</w:t>
            </w:r>
            <w:r>
              <w:rPr>
                <w:rFonts w:hint="eastAsia"/>
                <w:lang w:eastAsia="zh-CN"/>
              </w:rPr>
              <w:t>”</w:t>
            </w:r>
            <w:r>
              <w:rPr>
                <w:rFonts w:hint="default"/>
              </w:rPr>
              <w:t>、规划环评，以及产能置换、煤炭消费减量替代、区域污染物削减等相关要求，积极支持节能环保、新能源等战略性新兴产业发展，坚决遏制高耗能、高排放项目盲目建设。落实</w:t>
            </w:r>
            <w:r>
              <w:rPr>
                <w:rFonts w:hint="eastAsia"/>
                <w:lang w:eastAsia="zh-CN"/>
              </w:rPr>
              <w:t>“</w:t>
            </w:r>
            <w:r>
              <w:rPr>
                <w:rFonts w:hint="default"/>
              </w:rPr>
              <w:t>两高</w:t>
            </w:r>
            <w:r>
              <w:rPr>
                <w:rFonts w:hint="eastAsia"/>
                <w:lang w:eastAsia="zh-CN"/>
              </w:rPr>
              <w:t>”</w:t>
            </w:r>
            <w:r>
              <w:rPr>
                <w:rFonts w:hint="default"/>
              </w:rPr>
              <w:t>项目会商联审机制，强化项目环评及</w:t>
            </w:r>
            <w:r>
              <w:rPr>
                <w:rFonts w:hint="eastAsia"/>
                <w:lang w:eastAsia="zh-CN"/>
              </w:rPr>
              <w:t>“</w:t>
            </w:r>
            <w:r>
              <w:rPr>
                <w:rFonts w:hint="default"/>
              </w:rPr>
              <w:t>三同时</w:t>
            </w:r>
            <w:r>
              <w:rPr>
                <w:rFonts w:hint="eastAsia"/>
                <w:lang w:eastAsia="zh-CN"/>
              </w:rPr>
              <w:t>”</w:t>
            </w:r>
            <w:r>
              <w:rPr>
                <w:rFonts w:hint="default"/>
              </w:rPr>
              <w:t>管理，重点行业企业新建、扩建项目达到A级绩效水平，改建项目达到B级以上绩效水平。按照全省统一要求，严禁新增钢铁、电解铝、水泥熟料、平板玻璃、煤化工（甲醇、合成氨）、氧化铝、焦化、铸造、铝用碳素、烧结砖瓦、铁合金等行业产能。禁止耐火材料、铅锌冶炼（含再生铅）行业单纯新增产能。水泥行业产能置换项目应实现矿石皮带廊密闭运输，大宗物料产品清洁运输。</w:t>
            </w:r>
          </w:p>
        </w:tc>
        <w:tc>
          <w:tcPr>
            <w:tcW w:w="1717" w:type="dxa"/>
            <w:vAlign w:val="center"/>
          </w:tcPr>
          <w:p>
            <w:pPr>
              <w:pStyle w:val="25"/>
              <w:tabs>
                <w:tab w:val="left" w:pos="4140"/>
              </w:tabs>
              <w:autoSpaceDE w:val="0"/>
              <w:autoSpaceDN w:val="0"/>
              <w:adjustRightInd w:val="0"/>
              <w:snapToGrid w:val="0"/>
              <w:spacing w:beforeAutospacing="0" w:afterAutospacing="0" w:line="240" w:lineRule="auto"/>
              <w:ind w:firstLine="0" w:firstLineChars="0"/>
              <w:jc w:val="center"/>
              <w:rPr>
                <w:sz w:val="21"/>
                <w:szCs w:val="21"/>
              </w:rPr>
            </w:pPr>
            <w:r>
              <w:rPr>
                <w:rFonts w:hint="eastAsia" w:cstheme="minorBidi"/>
                <w:color w:val="000000"/>
                <w:kern w:val="2"/>
                <w:sz w:val="21"/>
                <w:szCs w:val="21"/>
                <w:lang w:bidi="ar"/>
              </w:rPr>
              <w:t>本项目符合河南省和平顶山市</w:t>
            </w:r>
            <w:r>
              <w:rPr>
                <w:rFonts w:hint="eastAsia" w:cstheme="minorBidi"/>
                <w:color w:val="000000"/>
                <w:kern w:val="2"/>
                <w:sz w:val="21"/>
                <w:szCs w:val="21"/>
                <w:lang w:eastAsia="zh-CN" w:bidi="ar"/>
              </w:rPr>
              <w:t>“</w:t>
            </w:r>
            <w:r>
              <w:rPr>
                <w:rFonts w:hint="eastAsia" w:cstheme="minorBidi"/>
                <w:color w:val="000000"/>
                <w:kern w:val="2"/>
                <w:sz w:val="21"/>
                <w:szCs w:val="21"/>
                <w:lang w:bidi="ar"/>
              </w:rPr>
              <w:t>三线一单</w:t>
            </w:r>
            <w:r>
              <w:rPr>
                <w:rFonts w:hint="eastAsia" w:cstheme="minorBidi"/>
                <w:color w:val="000000"/>
                <w:kern w:val="2"/>
                <w:sz w:val="21"/>
                <w:szCs w:val="21"/>
                <w:lang w:eastAsia="zh-CN" w:bidi="ar"/>
              </w:rPr>
              <w:t>”</w:t>
            </w:r>
            <w:r>
              <w:rPr>
                <w:rFonts w:hint="eastAsia" w:cstheme="minorBidi"/>
                <w:color w:val="000000"/>
                <w:kern w:val="2"/>
                <w:sz w:val="21"/>
                <w:szCs w:val="21"/>
                <w:lang w:bidi="ar"/>
              </w:rPr>
              <w:t>，废水和废气污染控制因子实施总量替代，项目属于省级重点行业，新建项目达到A级绩效水平，不属于两高项目，不涉及大宗物料运输</w:t>
            </w:r>
          </w:p>
        </w:tc>
        <w:tc>
          <w:tcPr>
            <w:tcW w:w="1042" w:type="dxa"/>
            <w:vAlign w:val="center"/>
          </w:tcPr>
          <w:p>
            <w:pPr>
              <w:pStyle w:val="38"/>
              <w:rPr>
                <w:rFonts w:hint="default"/>
              </w:rPr>
            </w:pPr>
            <w:r>
              <w:t>相符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33" w:type="dxa"/>
            <w:vAlign w:val="center"/>
          </w:tcPr>
          <w:p>
            <w:pPr>
              <w:pStyle w:val="38"/>
              <w:rPr>
                <w:rFonts w:hint="default"/>
              </w:rPr>
            </w:pPr>
            <w:r>
              <w:rPr>
                <w:rFonts w:hint="default"/>
              </w:rPr>
              <w:t>实施清洁能源替代</w:t>
            </w:r>
          </w:p>
        </w:tc>
        <w:tc>
          <w:tcPr>
            <w:tcW w:w="5435" w:type="dxa"/>
            <w:vAlign w:val="center"/>
          </w:tcPr>
          <w:p>
            <w:pPr>
              <w:pStyle w:val="38"/>
              <w:rPr>
                <w:rFonts w:hint="default"/>
              </w:rPr>
            </w:pPr>
            <w:r>
              <w:rPr>
                <w:rFonts w:hint="default"/>
              </w:rPr>
              <w:t>大力推进清洁能源应用，鼓励支持现有使用高污染燃料的工业炉窑改用工业余热、电能、天然气等，对2024年10月底前完成拆改任务的工业炉窑，优先给予大气污染防治专项资金支持。新、改、扩建加热炉、热处理炉、干燥炉、熔化炉等工业窑炉，应采用清洁能源。全市禁止新建企业自备燃煤锅炉，全面淘汰35蒸吨/小时及以下的燃煤锅炉。淘汰方式主要包括拆除、实施集中供热替代、煤改气、煤改电等，以拆除方式淘汰的，必须拆除炉体或物理切断管道，使其不具备复产条件。</w:t>
            </w:r>
          </w:p>
        </w:tc>
        <w:tc>
          <w:tcPr>
            <w:tcW w:w="1717" w:type="dxa"/>
            <w:vAlign w:val="center"/>
          </w:tcPr>
          <w:p>
            <w:pPr>
              <w:pStyle w:val="38"/>
              <w:rPr>
                <w:rFonts w:hint="default"/>
              </w:rPr>
            </w:pPr>
            <w:r>
              <w:t>项目使用电能，使用园区集中供热</w:t>
            </w:r>
          </w:p>
        </w:tc>
        <w:tc>
          <w:tcPr>
            <w:tcW w:w="1042" w:type="dxa"/>
            <w:vAlign w:val="center"/>
          </w:tcPr>
          <w:p>
            <w:pPr>
              <w:pStyle w:val="38"/>
              <w:rPr>
                <w:rFonts w:hint="default"/>
              </w:rPr>
            </w:pPr>
            <w:r>
              <w:t>相符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33" w:type="dxa"/>
            <w:vAlign w:val="center"/>
          </w:tcPr>
          <w:p>
            <w:pPr>
              <w:pStyle w:val="38"/>
              <w:rPr>
                <w:rFonts w:hint="default"/>
              </w:rPr>
            </w:pPr>
            <w:r>
              <w:rPr>
                <w:rFonts w:hint="default"/>
              </w:rPr>
              <w:t>提升扬尘污染防治水平</w:t>
            </w:r>
          </w:p>
        </w:tc>
        <w:tc>
          <w:tcPr>
            <w:tcW w:w="5435" w:type="dxa"/>
            <w:vAlign w:val="center"/>
          </w:tcPr>
          <w:p>
            <w:pPr>
              <w:pStyle w:val="38"/>
              <w:rPr>
                <w:rFonts w:hint="default"/>
              </w:rPr>
            </w:pPr>
            <w:r>
              <w:rPr>
                <w:rFonts w:hint="default"/>
              </w:rPr>
              <w:t>实施扬尘治理智慧化提升工程，持续推进扬尘治理监控平台建设，加强国、省道道路扬尘监控能力建设，逐步纳入省级监控平台。深入开展扬尘治理专项行动，严格落实《城市房屋建筑和市政基础设施工程及道路扬尘污染差异化评价标准》《河南省房屋建筑和市政基础设施工程扬尘治理监控平台数据接入标准》要求，对扬尘重点污染源实行清单化动态管理，强化开复工验收、</w:t>
            </w:r>
            <w:r>
              <w:rPr>
                <w:rFonts w:hint="eastAsia"/>
                <w:lang w:eastAsia="zh-CN"/>
              </w:rPr>
              <w:t>“</w:t>
            </w:r>
            <w:r>
              <w:rPr>
                <w:rFonts w:hint="default"/>
              </w:rPr>
              <w:t>三员</w:t>
            </w:r>
            <w:r>
              <w:rPr>
                <w:rFonts w:hint="eastAsia"/>
                <w:lang w:eastAsia="zh-CN"/>
              </w:rPr>
              <w:t>”</w:t>
            </w:r>
            <w:r>
              <w:rPr>
                <w:rFonts w:hint="default"/>
              </w:rPr>
              <w:t>管理、</w:t>
            </w:r>
            <w:r>
              <w:rPr>
                <w:rFonts w:hint="eastAsia"/>
                <w:lang w:eastAsia="zh-CN"/>
              </w:rPr>
              <w:t>“</w:t>
            </w:r>
            <w:r>
              <w:rPr>
                <w:rFonts w:hint="default"/>
              </w:rPr>
              <w:t>两个禁止</w:t>
            </w:r>
            <w:r>
              <w:rPr>
                <w:rFonts w:hint="eastAsia"/>
                <w:lang w:eastAsia="zh-CN"/>
              </w:rPr>
              <w:t>”</w:t>
            </w:r>
            <w:r>
              <w:rPr>
                <w:rFonts w:hint="default"/>
              </w:rPr>
              <w:t>等扬尘治理制度机制，实施渣土车密闭运输、清洁运输，完善降尘监测和考评体系。持续做好城市公共道路清扫保洁，加大专业道路清扫机械的配备和使用，有效提升国省道、县乡道路、</w:t>
            </w:r>
            <w:r>
              <w:rPr>
                <w:rFonts w:hint="eastAsia"/>
                <w:lang w:eastAsia="zh-CN"/>
              </w:rPr>
              <w:t>城乡接合部</w:t>
            </w:r>
            <w:r>
              <w:rPr>
                <w:rFonts w:hint="default"/>
              </w:rPr>
              <w:t>和背街小巷等各类道路清扫保洁效果，对城市公共区域、长期未开发建设裸地，以及废旧厂区、物流园、大型货车停车场等进行排查建档并采取防尘措施。大型煤炭、矿石等干散货码头、物料堆场全面完成抑尘设施建设和物料输送系统封闭改造。加强餐饮油烟污染治理，强化日常监督管理，规范治理设施运行管理，现场监管月抽查率不低于</w:t>
            </w:r>
          </w:p>
          <w:p>
            <w:pPr>
              <w:pStyle w:val="38"/>
              <w:rPr>
                <w:rFonts w:hint="default"/>
              </w:rPr>
            </w:pPr>
            <w:r>
              <w:rPr>
                <w:rFonts w:hint="default"/>
              </w:rPr>
              <w:t>20%。</w:t>
            </w:r>
          </w:p>
        </w:tc>
        <w:tc>
          <w:tcPr>
            <w:tcW w:w="1717" w:type="dxa"/>
            <w:vAlign w:val="center"/>
          </w:tcPr>
          <w:p>
            <w:pPr>
              <w:pStyle w:val="38"/>
              <w:rPr>
                <w:rFonts w:hint="default"/>
              </w:rPr>
            </w:pPr>
            <w:r>
              <w:t>项目施工期严格执行施工期扬尘管控措施；运行期产尘部位设置二次密闭，食堂油烟采用油烟净化器处理后专用烟道排放</w:t>
            </w:r>
          </w:p>
        </w:tc>
        <w:tc>
          <w:tcPr>
            <w:tcW w:w="1042" w:type="dxa"/>
            <w:vAlign w:val="center"/>
          </w:tcPr>
          <w:p>
            <w:pPr>
              <w:pStyle w:val="38"/>
              <w:rPr>
                <w:rFonts w:hint="default"/>
              </w:rPr>
            </w:pPr>
            <w:r>
              <w:t>符合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33" w:type="dxa"/>
            <w:vAlign w:val="center"/>
          </w:tcPr>
          <w:p>
            <w:pPr>
              <w:pStyle w:val="38"/>
              <w:rPr>
                <w:rFonts w:hint="default"/>
              </w:rPr>
            </w:pPr>
            <w:r>
              <w:rPr>
                <w:rFonts w:hint="default"/>
              </w:rPr>
              <w:t>提升VOCs无组织排放治理水平</w:t>
            </w:r>
          </w:p>
        </w:tc>
        <w:tc>
          <w:tcPr>
            <w:tcW w:w="5435" w:type="dxa"/>
            <w:vAlign w:val="center"/>
          </w:tcPr>
          <w:p>
            <w:pPr>
              <w:pStyle w:val="38"/>
              <w:rPr>
                <w:rFonts w:hint="default"/>
              </w:rPr>
            </w:pPr>
            <w:r>
              <w:rPr>
                <w:rFonts w:hint="default"/>
              </w:rPr>
              <w:t>2022年5月底前，全面排查含VOCs物料储存、转移和输送、设备与管线组件、敞开液面以及工艺过程等环节无组织排放况，各县（市、区）要组织开展VOCs抽测，开展工业涂装、印刷行业挥发性有机物排放标准执行情况检查，对达不到相关标准要求的问题进行整治。石化、煤化工、制药、农药行业重点治理储罐配件失效，装载和污水处理密闭收集效果差，装置区废水预处理池、废水储罐废气未收集，LDAR工作不符合标准规范等问题；焦化行业重点治理酚氰废水处理无密闭、煤气管线及焦炉等装置泄露问题；工业涂装、包装印刷等行业重点治理集气罩收集效果差、含VOCs原辅材料和废料储存不密闭等问题。</w:t>
            </w:r>
          </w:p>
        </w:tc>
        <w:tc>
          <w:tcPr>
            <w:tcW w:w="1717" w:type="dxa"/>
            <w:vAlign w:val="center"/>
          </w:tcPr>
          <w:p>
            <w:pPr>
              <w:pStyle w:val="38"/>
              <w:rPr>
                <w:rFonts w:hint="default"/>
              </w:rPr>
            </w:pPr>
            <w:r>
              <w:t>运营期项目涉及VOCs物料储存、转运等全部密闭</w:t>
            </w:r>
          </w:p>
        </w:tc>
        <w:tc>
          <w:tcPr>
            <w:tcW w:w="1042" w:type="dxa"/>
            <w:vAlign w:val="center"/>
          </w:tcPr>
          <w:p>
            <w:pPr>
              <w:pStyle w:val="38"/>
              <w:rPr>
                <w:rFonts w:hint="default"/>
              </w:rPr>
            </w:pPr>
            <w:r>
              <w:t>符合</w:t>
            </w:r>
          </w:p>
        </w:tc>
      </w:tr>
    </w:tbl>
    <w:p>
      <w:pPr>
        <w:ind w:firstLine="480"/>
      </w:pPr>
      <w:r>
        <w:rPr>
          <w:rFonts w:hint="eastAsia"/>
        </w:rPr>
        <w:t>二、</w:t>
      </w:r>
      <w:r>
        <w:t>本项目与</w:t>
      </w:r>
      <w:r>
        <w:rPr>
          <w:rFonts w:hint="eastAsia"/>
        </w:rPr>
        <w:t>平顶山市2022年水污染防治攻坚战实施方案相符性</w:t>
      </w:r>
    </w:p>
    <w:p>
      <w:pPr>
        <w:pStyle w:val="25"/>
        <w:tabs>
          <w:tab w:val="left" w:pos="4140"/>
        </w:tabs>
        <w:autoSpaceDE w:val="0"/>
        <w:autoSpaceDN w:val="0"/>
        <w:spacing w:beforeAutospacing="0" w:afterAutospacing="0"/>
        <w:ind w:firstLine="480"/>
        <w:jc w:val="both"/>
        <w:rPr>
          <w:kern w:val="2"/>
          <w:lang w:bidi="ar"/>
        </w:rPr>
      </w:pPr>
      <w:r>
        <w:rPr>
          <w:rFonts w:hint="eastAsia"/>
          <w:kern w:val="2"/>
          <w:lang w:bidi="ar"/>
        </w:rPr>
        <w:t>为贯彻落实党中央、国务院和省委、省政府、市委、市政府关于深入打好污染防治攻坚战的决策部署，深入打好水污染防治攻坚战，持续改善全市水生态环境质量，制定本方案。与本项目相关的内容如下：</w:t>
      </w:r>
    </w:p>
    <w:p>
      <w:pPr>
        <w:pStyle w:val="25"/>
        <w:tabs>
          <w:tab w:val="left" w:pos="4140"/>
        </w:tabs>
        <w:autoSpaceDE w:val="0"/>
        <w:autoSpaceDN w:val="0"/>
        <w:spacing w:beforeAutospacing="0" w:afterAutospacing="0"/>
        <w:ind w:firstLine="480"/>
        <w:jc w:val="both"/>
        <w:rPr>
          <w:kern w:val="2"/>
          <w:lang w:bidi="ar"/>
        </w:rPr>
      </w:pPr>
      <w:r>
        <w:rPr>
          <w:rFonts w:hint="eastAsia"/>
          <w:kern w:val="2"/>
          <w:lang w:bidi="ar"/>
        </w:rPr>
        <w:t>1、工作目标</w:t>
      </w:r>
    </w:p>
    <w:p>
      <w:pPr>
        <w:pStyle w:val="25"/>
        <w:tabs>
          <w:tab w:val="left" w:pos="4140"/>
        </w:tabs>
        <w:autoSpaceDE w:val="0"/>
        <w:autoSpaceDN w:val="0"/>
        <w:spacing w:beforeAutospacing="0" w:afterAutospacing="0"/>
        <w:ind w:firstLine="480"/>
        <w:jc w:val="both"/>
        <w:rPr>
          <w:kern w:val="2"/>
          <w:lang w:bidi="ar"/>
        </w:rPr>
      </w:pPr>
      <w:r>
        <w:rPr>
          <w:rFonts w:hint="eastAsia"/>
          <w:kern w:val="2"/>
          <w:lang w:bidi="ar"/>
        </w:rPr>
        <w:t>完成省下达的地表水环境质量年度目标任务，全市断面水质总体达标率达到</w:t>
      </w:r>
      <w:r>
        <w:rPr>
          <w:kern w:val="2"/>
          <w:lang w:bidi="ar"/>
        </w:rPr>
        <w:t>68%以上（2022年平顶山市地表水环境质量考核断面和目标名单见附表1），县级以上城市集中式饮用水水源地取水水质达标率达到100%（自然本底值高除外）。</w:t>
      </w:r>
    </w:p>
    <w:p>
      <w:pPr>
        <w:pStyle w:val="25"/>
        <w:tabs>
          <w:tab w:val="left" w:pos="4140"/>
        </w:tabs>
        <w:autoSpaceDE w:val="0"/>
        <w:autoSpaceDN w:val="0"/>
        <w:spacing w:beforeAutospacing="0" w:afterAutospacing="0"/>
        <w:ind w:firstLine="480"/>
        <w:jc w:val="both"/>
        <w:rPr>
          <w:kern w:val="2"/>
          <w:lang w:bidi="ar"/>
        </w:rPr>
      </w:pPr>
      <w:r>
        <w:rPr>
          <w:rFonts w:hint="eastAsia"/>
          <w:kern w:val="2"/>
          <w:lang w:bidi="ar"/>
        </w:rPr>
        <w:t>2、主要任务</w:t>
      </w:r>
    </w:p>
    <w:p>
      <w:pPr>
        <w:pStyle w:val="25"/>
        <w:tabs>
          <w:tab w:val="left" w:pos="4140"/>
        </w:tabs>
        <w:autoSpaceDE w:val="0"/>
        <w:autoSpaceDN w:val="0"/>
        <w:spacing w:beforeAutospacing="0" w:afterAutospacing="0"/>
        <w:ind w:firstLine="480"/>
        <w:jc w:val="both"/>
        <w:rPr>
          <w:kern w:val="2"/>
          <w:lang w:bidi="ar"/>
        </w:rPr>
      </w:pPr>
      <w:r>
        <w:rPr>
          <w:rFonts w:hint="eastAsia"/>
          <w:kern w:val="2"/>
          <w:lang w:bidi="ar"/>
        </w:rPr>
        <w:t>（7）加快污染较重河流治理。以污染相对较重河流和不能稳定达标断面河流为重点，以</w:t>
      </w:r>
      <w:r>
        <w:rPr>
          <w:rFonts w:hint="eastAsia"/>
          <w:kern w:val="2"/>
          <w:lang w:eastAsia="zh-CN" w:bidi="ar"/>
        </w:rPr>
        <w:t>“</w:t>
      </w:r>
      <w:r>
        <w:rPr>
          <w:rFonts w:hint="eastAsia"/>
          <w:kern w:val="2"/>
          <w:lang w:bidi="ar"/>
        </w:rPr>
        <w:t>一河一策</w:t>
      </w:r>
      <w:r>
        <w:rPr>
          <w:rFonts w:hint="eastAsia"/>
          <w:kern w:val="2"/>
          <w:lang w:eastAsia="zh-CN" w:bidi="ar"/>
        </w:rPr>
        <w:t>”</w:t>
      </w:r>
      <w:r>
        <w:rPr>
          <w:rFonts w:hint="eastAsia"/>
          <w:kern w:val="2"/>
          <w:lang w:bidi="ar"/>
        </w:rPr>
        <w:t>为抓手，持续开展郏县北汝河、叶县澧河、叶县灰河、舞钢市八里河、湛河区三曹寨河、宝丰县净肠河、鲁山县金鸭河、鲁山县将相河、鲁山县大泥河、示范区贺营沟等河流综合治理，推动建设一批水环境综合治理工程，加大入河排污口排查整治力度，进一步提升水环境质量。</w:t>
      </w:r>
    </w:p>
    <w:p>
      <w:pPr>
        <w:pStyle w:val="25"/>
        <w:tabs>
          <w:tab w:val="left" w:pos="4140"/>
        </w:tabs>
        <w:autoSpaceDE w:val="0"/>
        <w:autoSpaceDN w:val="0"/>
        <w:spacing w:beforeAutospacing="0" w:afterAutospacing="0"/>
        <w:ind w:firstLine="480"/>
        <w:jc w:val="both"/>
        <w:rPr>
          <w:kern w:val="2"/>
          <w:lang w:bidi="ar"/>
        </w:rPr>
      </w:pPr>
      <w:r>
        <w:rPr>
          <w:rFonts w:hint="eastAsia"/>
          <w:kern w:val="2"/>
          <w:lang w:bidi="ar"/>
        </w:rPr>
        <w:t>（11）调整升级产业结构。落实</w:t>
      </w:r>
      <w:r>
        <w:rPr>
          <w:rFonts w:hint="eastAsia"/>
          <w:kern w:val="2"/>
          <w:lang w:eastAsia="zh-CN" w:bidi="ar"/>
        </w:rPr>
        <w:t>“</w:t>
      </w:r>
      <w:r>
        <w:rPr>
          <w:rFonts w:hint="eastAsia"/>
          <w:kern w:val="2"/>
          <w:lang w:bidi="ar"/>
        </w:rPr>
        <w:t>三线一单</w:t>
      </w:r>
      <w:r>
        <w:rPr>
          <w:rFonts w:hint="eastAsia"/>
          <w:kern w:val="2"/>
          <w:lang w:eastAsia="zh-CN" w:bidi="ar"/>
        </w:rPr>
        <w:t>”</w:t>
      </w:r>
      <w:r>
        <w:rPr>
          <w:rFonts w:hint="eastAsia"/>
          <w:kern w:val="2"/>
          <w:lang w:bidi="ar"/>
        </w:rPr>
        <w:t>生态环境分区管控体系，加强重点区域、重点流域、重点行业和产业布局规划环评。持续推进钢铁、有色、石化、化工、纺织印染、造纸、农副食品加工等行业绿色化改造转型升级，推进化工、印染等产业集群提升改造。推动重点行业、重点区域产业布局调整，实施传统产业兼并重组、城市建成区高污染企业退城入园和敏感区域、水污染严重地区高污染企业布局优化，制定实施落后产能淘汰方案。</w:t>
      </w:r>
    </w:p>
    <w:p>
      <w:pPr>
        <w:pStyle w:val="25"/>
        <w:tabs>
          <w:tab w:val="left" w:pos="4140"/>
        </w:tabs>
        <w:autoSpaceDE w:val="0"/>
        <w:autoSpaceDN w:val="0"/>
        <w:spacing w:beforeAutospacing="0" w:afterAutospacing="0"/>
        <w:ind w:firstLine="480"/>
        <w:jc w:val="both"/>
        <w:rPr>
          <w:kern w:val="2"/>
          <w:lang w:bidi="ar"/>
        </w:rPr>
      </w:pPr>
      <w:r>
        <w:rPr>
          <w:rFonts w:hint="eastAsia"/>
          <w:kern w:val="2"/>
          <w:lang w:bidi="ar"/>
        </w:rPr>
        <w:t>（12）推动企业绿色发展。在造纸、焦化、氮肥、农副食品加工、印染、有色、原料药制造、电镀等重点水污染物排放行业，推进清洁生产改造，减少单位产品耗水量和单位产品排污量。结合水环境容量、地表水环境目标、排污许可证要求，对直排企业污水处理设施适时进行提标改造。推进工业水循环利用和水循环梯级利用，在高耗水行业开展水效</w:t>
      </w:r>
      <w:r>
        <w:rPr>
          <w:rFonts w:hint="eastAsia"/>
          <w:kern w:val="2"/>
          <w:lang w:eastAsia="zh-CN" w:bidi="ar"/>
        </w:rPr>
        <w:t>“</w:t>
      </w:r>
      <w:r>
        <w:rPr>
          <w:rFonts w:hint="eastAsia"/>
          <w:kern w:val="2"/>
          <w:lang w:bidi="ar"/>
        </w:rPr>
        <w:t>领跑者</w:t>
      </w:r>
      <w:r>
        <w:rPr>
          <w:rFonts w:hint="eastAsia"/>
          <w:kern w:val="2"/>
          <w:lang w:eastAsia="zh-CN" w:bidi="ar"/>
        </w:rPr>
        <w:t>”</w:t>
      </w:r>
      <w:r>
        <w:rPr>
          <w:rFonts w:hint="eastAsia"/>
          <w:kern w:val="2"/>
          <w:lang w:bidi="ar"/>
        </w:rPr>
        <w:t>行动。电力企业严格落实环评审批的使用再生水要求。到2022年年底，万元工业增加值用水量较2020年下降约2%。</w:t>
      </w:r>
    </w:p>
    <w:p>
      <w:pPr>
        <w:pStyle w:val="25"/>
        <w:keepNext w:val="0"/>
        <w:keepLines w:val="0"/>
        <w:pageBreakBefore w:val="0"/>
        <w:widowControl w:val="0"/>
        <w:tabs>
          <w:tab w:val="left" w:pos="4140"/>
        </w:tabs>
        <w:kinsoku/>
        <w:wordWrap/>
        <w:overflowPunct/>
        <w:topLinePunct w:val="0"/>
        <w:autoSpaceDE w:val="0"/>
        <w:autoSpaceDN w:val="0"/>
        <w:bidi w:val="0"/>
        <w:spacing w:beforeAutospacing="0" w:afterAutospacing="0"/>
        <w:ind w:firstLine="480"/>
        <w:jc w:val="both"/>
        <w:textAlignment w:val="auto"/>
        <w:rPr>
          <w:kern w:val="2"/>
          <w:lang w:bidi="ar"/>
        </w:rPr>
      </w:pPr>
      <w:r>
        <w:rPr>
          <w:rFonts w:hint="eastAsia"/>
          <w:kern w:val="2"/>
          <w:lang w:bidi="ar"/>
        </w:rPr>
        <w:t>（14）加强水环境风险防控。以涉重金属、危险化学品、有毒有害等行业企业为重点，加强水环境风险日常监管，建设事故调蓄池、应急闸坝等预防性设施，开展尾矿库生态环境风险隐患排查整治，重点加强南水北调中线工程水源区</w:t>
      </w:r>
      <w:r>
        <w:rPr>
          <w:rFonts w:hint="eastAsia"/>
          <w:kern w:val="2"/>
          <w:lang w:eastAsia="zh-CN" w:bidi="ar"/>
        </w:rPr>
        <w:t>“</w:t>
      </w:r>
      <w:r>
        <w:rPr>
          <w:rFonts w:hint="eastAsia"/>
          <w:kern w:val="2"/>
          <w:lang w:bidi="ar"/>
        </w:rPr>
        <w:t>一废一品一库</w:t>
      </w:r>
      <w:r>
        <w:rPr>
          <w:rFonts w:hint="eastAsia"/>
          <w:kern w:val="2"/>
          <w:lang w:eastAsia="zh-CN" w:bidi="ar"/>
        </w:rPr>
        <w:t>”</w:t>
      </w:r>
      <w:r>
        <w:rPr>
          <w:rFonts w:hint="eastAsia"/>
          <w:kern w:val="2"/>
          <w:lang w:bidi="ar"/>
        </w:rPr>
        <w:t>监管。完善上下游政府及相关部门之间的联防联控、信息共享、闸坝调度机制，落实防范措施。加强重点饮用水水源地河流、重要跨界河流以及其他敏感水体风险防控，编制</w:t>
      </w:r>
      <w:r>
        <w:rPr>
          <w:rFonts w:hint="eastAsia"/>
          <w:kern w:val="2"/>
          <w:lang w:eastAsia="zh-CN" w:bidi="ar"/>
        </w:rPr>
        <w:t>“</w:t>
      </w:r>
      <w:r>
        <w:rPr>
          <w:rFonts w:hint="eastAsia"/>
          <w:kern w:val="2"/>
          <w:lang w:bidi="ar"/>
        </w:rPr>
        <w:t>一河一策一图</w:t>
      </w:r>
      <w:r>
        <w:rPr>
          <w:rFonts w:hint="eastAsia"/>
          <w:kern w:val="2"/>
          <w:lang w:eastAsia="zh-CN" w:bidi="ar"/>
        </w:rPr>
        <w:t>”</w:t>
      </w:r>
      <w:r>
        <w:rPr>
          <w:rFonts w:hint="eastAsia"/>
          <w:kern w:val="2"/>
          <w:lang w:bidi="ar"/>
        </w:rPr>
        <w:t>应急处置方案，强化应急演练，避免重、特大水污染事故发生。</w:t>
      </w:r>
    </w:p>
    <w:p>
      <w:pPr>
        <w:pStyle w:val="25"/>
        <w:keepNext w:val="0"/>
        <w:keepLines w:val="0"/>
        <w:pageBreakBefore w:val="0"/>
        <w:widowControl w:val="0"/>
        <w:tabs>
          <w:tab w:val="left" w:pos="4140"/>
        </w:tabs>
        <w:kinsoku/>
        <w:wordWrap/>
        <w:overflowPunct/>
        <w:topLinePunct w:val="0"/>
        <w:autoSpaceDE w:val="0"/>
        <w:autoSpaceDN w:val="0"/>
        <w:bidi w:val="0"/>
        <w:spacing w:beforeAutospacing="0" w:afterAutospacing="0"/>
        <w:ind w:firstLine="480"/>
        <w:jc w:val="both"/>
        <w:textAlignment w:val="auto"/>
        <w:rPr>
          <w:kern w:val="2"/>
          <w:lang w:bidi="ar"/>
        </w:rPr>
      </w:pPr>
      <w:r>
        <w:rPr>
          <w:rFonts w:hint="eastAsia"/>
          <w:kern w:val="2"/>
          <w:lang w:bidi="ar"/>
        </w:rPr>
        <w:t>……</w:t>
      </w:r>
    </w:p>
    <w:p>
      <w:pPr>
        <w:pStyle w:val="25"/>
        <w:keepNext w:val="0"/>
        <w:keepLines w:val="0"/>
        <w:pageBreakBefore w:val="0"/>
        <w:widowControl w:val="0"/>
        <w:tabs>
          <w:tab w:val="left" w:pos="4140"/>
        </w:tabs>
        <w:kinsoku/>
        <w:wordWrap/>
        <w:overflowPunct/>
        <w:topLinePunct w:val="0"/>
        <w:autoSpaceDE w:val="0"/>
        <w:autoSpaceDN w:val="0"/>
        <w:bidi w:val="0"/>
        <w:adjustRightInd w:val="0"/>
        <w:snapToGrid w:val="0"/>
        <w:spacing w:beforeAutospacing="0" w:afterAutospacing="0"/>
        <w:ind w:firstLine="480"/>
        <w:jc w:val="both"/>
        <w:textAlignment w:val="auto"/>
        <w:rPr>
          <w:kern w:val="2"/>
          <w:lang w:bidi="ar"/>
        </w:rPr>
      </w:pPr>
      <w:r>
        <w:rPr>
          <w:rFonts w:ascii="Calibri" w:hAnsi="Calibri" w:cs="Calibri"/>
        </w:rPr>
        <w:t>本项目</w:t>
      </w:r>
      <w:r>
        <w:rPr>
          <w:rFonts w:hint="eastAsia" w:ascii="Calibri" w:hAnsi="Calibri" w:cs="宋体"/>
        </w:rPr>
        <w:t>属于基础化学品和专业化学品制造，所用原料来源于成品原料</w:t>
      </w:r>
      <w:r>
        <w:rPr>
          <w:rFonts w:hint="eastAsia" w:hAnsi="宋体" w:cs="宋体"/>
        </w:rPr>
        <w:t>。</w:t>
      </w:r>
      <w:r>
        <w:rPr>
          <w:rFonts w:hint="eastAsia" w:hAnsi="宋体" w:cs="宋体"/>
          <w:u w:val="single"/>
        </w:rPr>
        <w:t>生产过程中生活污水经</w:t>
      </w:r>
      <w:r>
        <w:rPr>
          <w:rFonts w:hint="eastAsia" w:hAnsi="宋体" w:cs="宋体"/>
          <w:u w:val="single"/>
          <w:lang w:eastAsia="zh-CN"/>
        </w:rPr>
        <w:t>隔油池、</w:t>
      </w:r>
      <w:r>
        <w:rPr>
          <w:rFonts w:hint="eastAsia" w:hAnsi="宋体" w:cs="宋体"/>
          <w:u w:val="single"/>
        </w:rPr>
        <w:t>化粪池预处理后进入厂区污水处理站，厂区内设置1个50t/d污水站，</w:t>
      </w:r>
      <w:r>
        <w:rPr>
          <w:rFonts w:hint="eastAsia" w:hAnsi="宋体" w:cs="宋体"/>
          <w:u w:val="single"/>
          <w:lang w:eastAsia="zh-CN"/>
        </w:rPr>
        <w:t>汇同</w:t>
      </w:r>
      <w:r>
        <w:rPr>
          <w:rFonts w:hint="eastAsia" w:hAnsi="宋体" w:cs="宋体"/>
          <w:u w:val="single"/>
        </w:rPr>
        <w:t>项目生产废水经厂内污水站处置达标后排入平顶山第三污水处理厂</w:t>
      </w:r>
      <w:r>
        <w:rPr>
          <w:rFonts w:hint="eastAsia" w:hAnsi="宋体" w:cs="宋体"/>
          <w:u w:val="single"/>
          <w:lang w:eastAsia="zh-CN"/>
        </w:rPr>
        <w:t>处理</w:t>
      </w:r>
      <w:r>
        <w:rPr>
          <w:rFonts w:hint="eastAsia" w:ascii="Calibri" w:hAnsi="Calibri" w:cs="宋体"/>
          <w:u w:val="single"/>
        </w:rPr>
        <w:t>。</w:t>
      </w:r>
      <w:r>
        <w:rPr>
          <w:rFonts w:hint="eastAsia" w:ascii="Calibri" w:hAnsi="Calibri" w:cs="宋体"/>
        </w:rPr>
        <w:t>满足</w:t>
      </w:r>
      <w:r>
        <w:rPr>
          <w:rFonts w:hint="eastAsia"/>
        </w:rPr>
        <w:t>2022年水污染防治攻坚战实施方案的要求。</w:t>
      </w:r>
    </w:p>
    <w:p>
      <w:pPr>
        <w:pStyle w:val="25"/>
        <w:keepNext w:val="0"/>
        <w:keepLines w:val="0"/>
        <w:pageBreakBefore w:val="0"/>
        <w:widowControl w:val="0"/>
        <w:tabs>
          <w:tab w:val="left" w:pos="4140"/>
        </w:tabs>
        <w:kinsoku/>
        <w:wordWrap/>
        <w:overflowPunct/>
        <w:topLinePunct w:val="0"/>
        <w:autoSpaceDE w:val="0"/>
        <w:autoSpaceDN w:val="0"/>
        <w:bidi w:val="0"/>
        <w:spacing w:beforeAutospacing="0" w:afterAutospacing="0"/>
        <w:ind w:firstLine="480"/>
        <w:jc w:val="both"/>
        <w:textAlignment w:val="auto"/>
        <w:rPr>
          <w:kern w:val="2"/>
          <w:lang w:bidi="ar"/>
        </w:rPr>
      </w:pPr>
      <w:r>
        <w:rPr>
          <w:rFonts w:hint="eastAsia"/>
          <w:kern w:val="2"/>
          <w:lang w:bidi="ar"/>
        </w:rPr>
        <w:t>三、本项目与平顶山市2022年土壤污染防治攻坚战实施方案相符性</w:t>
      </w:r>
    </w:p>
    <w:p>
      <w:pPr>
        <w:pStyle w:val="25"/>
        <w:keepNext w:val="0"/>
        <w:keepLines w:val="0"/>
        <w:pageBreakBefore w:val="0"/>
        <w:widowControl w:val="0"/>
        <w:tabs>
          <w:tab w:val="left" w:pos="4140"/>
        </w:tabs>
        <w:kinsoku/>
        <w:wordWrap/>
        <w:overflowPunct/>
        <w:topLinePunct w:val="0"/>
        <w:autoSpaceDE w:val="0"/>
        <w:autoSpaceDN w:val="0"/>
        <w:bidi w:val="0"/>
        <w:spacing w:beforeAutospacing="0" w:afterAutospacing="0"/>
        <w:ind w:firstLine="480"/>
        <w:jc w:val="both"/>
        <w:textAlignment w:val="auto"/>
      </w:pPr>
      <w:r>
        <w:rPr>
          <w:rFonts w:hint="eastAsia"/>
        </w:rPr>
        <w:t>为贯彻落实党中央、国务院，省委、省政府和市委、市政府关于深入打好污染防治攻坚战的决策部署，持续深入打好土壤污染防治攻坚战，切实加强土壤生态环境保护，推进生态强市建设，制定本方案。与本项目相关的内容如下：</w:t>
      </w:r>
    </w:p>
    <w:p>
      <w:pPr>
        <w:pStyle w:val="25"/>
        <w:keepNext w:val="0"/>
        <w:keepLines w:val="0"/>
        <w:pageBreakBefore w:val="0"/>
        <w:widowControl w:val="0"/>
        <w:tabs>
          <w:tab w:val="left" w:pos="4140"/>
        </w:tabs>
        <w:kinsoku/>
        <w:wordWrap/>
        <w:overflowPunct/>
        <w:topLinePunct w:val="0"/>
        <w:autoSpaceDE w:val="0"/>
        <w:autoSpaceDN w:val="0"/>
        <w:bidi w:val="0"/>
        <w:spacing w:beforeAutospacing="0" w:afterAutospacing="0"/>
        <w:ind w:firstLine="480"/>
        <w:jc w:val="both"/>
        <w:textAlignment w:val="auto"/>
      </w:pPr>
      <w:r>
        <w:rPr>
          <w:rFonts w:hint="eastAsia"/>
        </w:rPr>
        <w:t>……</w:t>
      </w:r>
    </w:p>
    <w:p>
      <w:pPr>
        <w:pStyle w:val="25"/>
        <w:keepNext w:val="0"/>
        <w:keepLines w:val="0"/>
        <w:pageBreakBefore w:val="0"/>
        <w:widowControl w:val="0"/>
        <w:tabs>
          <w:tab w:val="left" w:pos="4140"/>
        </w:tabs>
        <w:kinsoku/>
        <w:wordWrap/>
        <w:overflowPunct/>
        <w:topLinePunct w:val="0"/>
        <w:autoSpaceDE w:val="0"/>
        <w:autoSpaceDN w:val="0"/>
        <w:bidi w:val="0"/>
        <w:spacing w:beforeAutospacing="0" w:afterAutospacing="0"/>
        <w:ind w:firstLine="480"/>
        <w:jc w:val="both"/>
        <w:textAlignment w:val="auto"/>
      </w:pPr>
      <w:r>
        <w:rPr>
          <w:rFonts w:hint="eastAsia"/>
        </w:rPr>
        <w:t>工作目标</w:t>
      </w:r>
    </w:p>
    <w:p>
      <w:pPr>
        <w:pStyle w:val="25"/>
        <w:tabs>
          <w:tab w:val="left" w:pos="4140"/>
        </w:tabs>
        <w:autoSpaceDE w:val="0"/>
        <w:autoSpaceDN w:val="0"/>
        <w:spacing w:beforeAutospacing="0" w:afterAutospacing="0"/>
        <w:ind w:firstLine="480"/>
        <w:jc w:val="both"/>
      </w:pPr>
      <w:r>
        <w:rPr>
          <w:rFonts w:hint="eastAsia"/>
        </w:rPr>
        <w:t>推动土壤资源永续利用，全市土壤和地下水环境质量总体保持稳定，土壤和地下水环境风险得到有效管控。土壤安全利用进一步巩固提升，受污染耕地安全利用率实现95%以上，重点建设用地安全利用有效保障。地下水国考区域点位V类水比例控制在25%以内，</w:t>
      </w:r>
      <w:r>
        <w:rPr>
          <w:rFonts w:hint="eastAsia"/>
          <w:lang w:eastAsia="zh-CN"/>
        </w:rPr>
        <w:t>“</w:t>
      </w:r>
      <w:r>
        <w:rPr>
          <w:rFonts w:hint="eastAsia"/>
        </w:rPr>
        <w:t>双源</w:t>
      </w:r>
      <w:r>
        <w:rPr>
          <w:rFonts w:hint="eastAsia"/>
          <w:lang w:eastAsia="zh-CN"/>
        </w:rPr>
        <w:t>”</w:t>
      </w:r>
      <w:r>
        <w:rPr>
          <w:rFonts w:hint="eastAsia"/>
        </w:rPr>
        <w:t>（地下水型饮用水水源、重点污染源）点位水质保持稳定。</w:t>
      </w:r>
    </w:p>
    <w:p>
      <w:pPr>
        <w:pStyle w:val="25"/>
        <w:tabs>
          <w:tab w:val="left" w:pos="4140"/>
        </w:tabs>
        <w:autoSpaceDE w:val="0"/>
        <w:autoSpaceDN w:val="0"/>
        <w:spacing w:beforeAutospacing="0" w:afterAutospacing="0"/>
        <w:ind w:firstLine="480"/>
        <w:jc w:val="both"/>
      </w:pPr>
      <w:r>
        <w:rPr>
          <w:rFonts w:hint="eastAsia"/>
        </w:rPr>
        <w:t>……</w:t>
      </w:r>
    </w:p>
    <w:p>
      <w:pPr>
        <w:pStyle w:val="25"/>
        <w:tabs>
          <w:tab w:val="left" w:pos="4140"/>
        </w:tabs>
        <w:autoSpaceDE w:val="0"/>
        <w:autoSpaceDN w:val="0"/>
        <w:spacing w:beforeAutospacing="0" w:afterAutospacing="0"/>
        <w:ind w:firstLine="480"/>
        <w:jc w:val="both"/>
      </w:pPr>
      <w:r>
        <w:rPr>
          <w:rFonts w:hint="eastAsia"/>
        </w:rPr>
        <w:t>本项目为新建项目，根据土壤检测报告，目前厂区内各</w:t>
      </w:r>
      <w:r>
        <w:rPr>
          <w:rFonts w:hint="eastAsia"/>
          <w:lang w:eastAsia="zh-CN"/>
        </w:rPr>
        <w:t>监测点位</w:t>
      </w:r>
      <w:r>
        <w:rPr>
          <w:rFonts w:hint="eastAsia"/>
        </w:rPr>
        <w:t>的检测值均满足《土壤环境质量标准  建设用地土壤污染风险管控标准（试行）》（GB36600-2018）中标准限值。运营期间将按照《平顶山市202</w:t>
      </w:r>
      <w:r>
        <w:rPr>
          <w:rFonts w:hint="eastAsia"/>
          <w:lang w:val="en-US" w:eastAsia="zh-CN"/>
        </w:rPr>
        <w:t>2</w:t>
      </w:r>
      <w:r>
        <w:rPr>
          <w:rFonts w:hint="eastAsia"/>
        </w:rPr>
        <w:t>年土壤污染防治攻坚战实施方案》中相关要求，做好土壤污染防治工作。</w:t>
      </w:r>
    </w:p>
    <w:p>
      <w:pPr>
        <w:pStyle w:val="7"/>
        <w:ind w:firstLine="562"/>
      </w:pPr>
      <w:r>
        <w:rPr>
          <w:rFonts w:hint="eastAsia"/>
        </w:rPr>
        <w:t>2.6.6 与《河南省重污染天气重点行业应急减排措施制定技术指南 （</w:t>
      </w:r>
      <w:r>
        <w:t>2021</w:t>
      </w:r>
      <w:r>
        <w:rPr>
          <w:rFonts w:hint="eastAsia"/>
        </w:rPr>
        <w:t>年修订版）》相符性分析</w:t>
      </w:r>
    </w:p>
    <w:p>
      <w:pPr>
        <w:pStyle w:val="25"/>
        <w:tabs>
          <w:tab w:val="left" w:pos="4140"/>
        </w:tabs>
        <w:autoSpaceDE w:val="0"/>
        <w:autoSpaceDN w:val="0"/>
        <w:adjustRightInd w:val="0"/>
        <w:snapToGrid w:val="0"/>
        <w:spacing w:beforeAutospacing="0" w:afterAutospacing="0"/>
        <w:ind w:firstLine="480"/>
        <w:jc w:val="both"/>
        <w:rPr>
          <w:kern w:val="2"/>
          <w:lang w:bidi="ar"/>
        </w:rPr>
      </w:pPr>
      <w:r>
        <w:rPr>
          <w:kern w:val="2"/>
          <w:lang w:bidi="ar"/>
        </w:rPr>
        <w:t>为提高重污染天气应对能力，提升精细化管控水平，保</w:t>
      </w:r>
      <w:r>
        <w:rPr>
          <w:rFonts w:hint="eastAsia"/>
          <w:kern w:val="2"/>
          <w:lang w:bidi="ar"/>
        </w:rPr>
        <w:t>障应急减排清单编制质量，统一和规范行业减排措施，实现工业减排全覆盖，根据生态环境部《重污染天气重点行业应急减排措施制定技术指南（</w:t>
      </w:r>
      <w:r>
        <w:rPr>
          <w:kern w:val="2"/>
          <w:lang w:bidi="ar"/>
        </w:rPr>
        <w:t>2020</w:t>
      </w:r>
      <w:r>
        <w:rPr>
          <w:rFonts w:hint="eastAsia"/>
          <w:kern w:val="2"/>
          <w:lang w:bidi="ar"/>
        </w:rPr>
        <w:t>年修订版）》相关要求，在生态环境部</w:t>
      </w:r>
      <w:r>
        <w:rPr>
          <w:kern w:val="2"/>
          <w:lang w:bidi="ar"/>
        </w:rPr>
        <w:t>39</w:t>
      </w:r>
      <w:r>
        <w:rPr>
          <w:rFonts w:hint="eastAsia"/>
          <w:kern w:val="2"/>
          <w:lang w:bidi="ar"/>
        </w:rPr>
        <w:t>个重点行业基础上，结合我省工业污染特征、企业治理水平、管理能力等，调整和新增了矿石（煤炭）采选与加工、纺织印染与服饰制造、有机化工、肥料制造（除煤制氮肥）、活性炭制造、塑料制品、珍珠岩加工、磨料磨具、金属表面处理及热处理加工、电池制造、汽修、商砼（沥青）搅拌站等</w:t>
      </w:r>
      <w:r>
        <w:rPr>
          <w:kern w:val="2"/>
          <w:lang w:bidi="ar"/>
        </w:rPr>
        <w:t>12</w:t>
      </w:r>
      <w:r>
        <w:rPr>
          <w:rFonts w:hint="eastAsia"/>
          <w:kern w:val="2"/>
          <w:lang w:bidi="ar"/>
        </w:rPr>
        <w:t>个省级重点行业绩效分级标准。对国家</w:t>
      </w:r>
      <w:r>
        <w:rPr>
          <w:kern w:val="2"/>
          <w:lang w:bidi="ar"/>
        </w:rPr>
        <w:t>39</w:t>
      </w:r>
      <w:r>
        <w:rPr>
          <w:rFonts w:hint="eastAsia"/>
          <w:kern w:val="2"/>
          <w:lang w:bidi="ar"/>
        </w:rPr>
        <w:t>个重点行业和省级</w:t>
      </w:r>
      <w:r>
        <w:rPr>
          <w:kern w:val="2"/>
          <w:lang w:bidi="ar"/>
        </w:rPr>
        <w:t>12</w:t>
      </w:r>
      <w:r>
        <w:rPr>
          <w:rFonts w:hint="eastAsia"/>
          <w:kern w:val="2"/>
          <w:lang w:bidi="ar"/>
        </w:rPr>
        <w:t>个重点行业外的其他行业，制定了通用行业绩效指标，将涉气企业分为三种污染排放类型，即涉</w:t>
      </w:r>
      <w:r>
        <w:rPr>
          <w:kern w:val="2"/>
          <w:lang w:bidi="ar"/>
        </w:rPr>
        <w:t>PM</w:t>
      </w:r>
      <w:r>
        <w:rPr>
          <w:rFonts w:hint="eastAsia"/>
          <w:kern w:val="2"/>
          <w:lang w:bidi="ar"/>
        </w:rPr>
        <w:t>、涉</w:t>
      </w:r>
      <w:r>
        <w:rPr>
          <w:kern w:val="2"/>
          <w:lang w:bidi="ar"/>
        </w:rPr>
        <w:t>VOCs</w:t>
      </w:r>
      <w:r>
        <w:rPr>
          <w:rFonts w:hint="eastAsia"/>
          <w:kern w:val="2"/>
          <w:lang w:bidi="ar"/>
        </w:rPr>
        <w:t>和涉锅炉</w:t>
      </w:r>
      <w:r>
        <w:rPr>
          <w:kern w:val="2"/>
          <w:lang w:bidi="ar"/>
        </w:rPr>
        <w:t>/</w:t>
      </w:r>
      <w:r>
        <w:rPr>
          <w:rFonts w:hint="eastAsia"/>
          <w:kern w:val="2"/>
          <w:lang w:bidi="ar"/>
        </w:rPr>
        <w:t>炉窑排放企业。对涉</w:t>
      </w:r>
      <w:r>
        <w:rPr>
          <w:kern w:val="2"/>
          <w:lang w:bidi="ar"/>
        </w:rPr>
        <w:t>PM</w:t>
      </w:r>
      <w:r>
        <w:rPr>
          <w:rFonts w:hint="eastAsia"/>
          <w:kern w:val="2"/>
          <w:lang w:bidi="ar"/>
        </w:rPr>
        <w:t>与涉</w:t>
      </w:r>
      <w:r>
        <w:rPr>
          <w:kern w:val="2"/>
          <w:lang w:bidi="ar"/>
        </w:rPr>
        <w:t>VOCs</w:t>
      </w:r>
      <w:r>
        <w:rPr>
          <w:rFonts w:hint="eastAsia"/>
          <w:kern w:val="2"/>
          <w:lang w:bidi="ar"/>
        </w:rPr>
        <w:t>企业的管控制定了基本要求，对涉锅炉</w:t>
      </w:r>
      <w:r>
        <w:rPr>
          <w:kern w:val="2"/>
          <w:lang w:bidi="ar"/>
        </w:rPr>
        <w:t>/</w:t>
      </w:r>
      <w:r>
        <w:rPr>
          <w:rFonts w:hint="eastAsia"/>
          <w:kern w:val="2"/>
          <w:lang w:bidi="ar"/>
        </w:rPr>
        <w:t>炉窑企业制定了差异化管控要求。</w:t>
      </w:r>
    </w:p>
    <w:p>
      <w:pPr>
        <w:pStyle w:val="25"/>
        <w:tabs>
          <w:tab w:val="left" w:pos="4140"/>
        </w:tabs>
        <w:autoSpaceDE w:val="0"/>
        <w:autoSpaceDN w:val="0"/>
        <w:adjustRightInd w:val="0"/>
        <w:snapToGrid w:val="0"/>
        <w:spacing w:beforeAutospacing="0" w:afterAutospacing="0"/>
        <w:ind w:firstLine="480"/>
        <w:jc w:val="both"/>
        <w:rPr>
          <w:rFonts w:hint="default" w:ascii="Times New Roman" w:hAnsi="Times New Roman" w:cs="Times New Roman"/>
          <w:kern w:val="2"/>
          <w:u w:val="single"/>
          <w:lang w:bidi="ar"/>
        </w:rPr>
      </w:pPr>
      <w:r>
        <w:rPr>
          <w:rFonts w:hint="eastAsia"/>
          <w:kern w:val="2"/>
          <w:lang w:bidi="ar"/>
        </w:rPr>
        <w:t>基本要求是指各类企业必须达到的最低要求，达不到要求的应限期整改，整改完成后才能按照绩效指标要求进行评定。未开展绩效评级的企业如无特殊原因应列入采暖季错峰停产减排清单，其他季节预警期间采取停产减排措施，并优先列入其他临时强化措施停产减排清单</w:t>
      </w:r>
      <w:r>
        <w:rPr>
          <w:rFonts w:hint="default" w:ascii="Times New Roman" w:hAnsi="Times New Roman" w:cs="Times New Roman"/>
          <w:kern w:val="2"/>
          <w:u w:val="single"/>
          <w:lang w:bidi="ar"/>
        </w:rPr>
        <w:t>。本项目与</w:t>
      </w:r>
      <w:r>
        <w:rPr>
          <w:rFonts w:hint="default" w:ascii="Times New Roman" w:hAnsi="Times New Roman" w:cs="Times New Roman"/>
          <w:kern w:val="2"/>
          <w:u w:val="single"/>
          <w:lang w:eastAsia="zh-CN" w:bidi="ar"/>
        </w:rPr>
        <w:t>《</w:t>
      </w:r>
      <w:r>
        <w:rPr>
          <w:rFonts w:hint="default" w:ascii="Times New Roman" w:hAnsi="Times New Roman" w:cs="Times New Roman"/>
          <w:kern w:val="2"/>
          <w:u w:val="single"/>
          <w:lang w:bidi="ar"/>
        </w:rPr>
        <w:t>生态环境部-重污染天气重点行业应急减排技术指南</w:t>
      </w:r>
      <w:r>
        <w:rPr>
          <w:rFonts w:hint="default" w:ascii="Times New Roman" w:hAnsi="Times New Roman" w:cs="Times New Roman"/>
          <w:kern w:val="2"/>
          <w:u w:val="single"/>
          <w:lang w:eastAsia="zh-CN" w:bidi="ar"/>
        </w:rPr>
        <w:t>（</w:t>
      </w:r>
      <w:r>
        <w:rPr>
          <w:rFonts w:hint="default" w:ascii="Times New Roman" w:hAnsi="Times New Roman" w:cs="Times New Roman"/>
          <w:kern w:val="2"/>
          <w:u w:val="single"/>
          <w:lang w:val="en-US" w:eastAsia="zh-CN" w:bidi="ar"/>
        </w:rPr>
        <w:t>2020年修订版</w:t>
      </w:r>
      <w:r>
        <w:rPr>
          <w:rFonts w:hint="default" w:ascii="Times New Roman" w:hAnsi="Times New Roman" w:cs="Times New Roman"/>
          <w:kern w:val="2"/>
          <w:u w:val="single"/>
          <w:lang w:eastAsia="zh-CN" w:bidi="ar"/>
        </w:rPr>
        <w:t>）》（环办大气函</w:t>
      </w:r>
      <w:r>
        <w:rPr>
          <w:rFonts w:hint="default" w:ascii="Times New Roman" w:hAnsi="Times New Roman" w:eastAsia="宋体" w:cs="Times New Roman"/>
          <w:kern w:val="2"/>
          <w:u w:val="single"/>
          <w:lang w:eastAsia="zh-CN" w:bidi="ar"/>
        </w:rPr>
        <w:t>〔</w:t>
      </w:r>
      <w:r>
        <w:rPr>
          <w:rFonts w:hint="default" w:ascii="Times New Roman" w:hAnsi="Times New Roman" w:eastAsia="宋体" w:cs="Times New Roman"/>
          <w:kern w:val="2"/>
          <w:u w:val="single"/>
          <w:lang w:val="en-US" w:eastAsia="zh-CN" w:bidi="ar"/>
        </w:rPr>
        <w:t>2020</w:t>
      </w:r>
      <w:r>
        <w:rPr>
          <w:rFonts w:hint="default" w:ascii="Times New Roman" w:hAnsi="Times New Roman" w:eastAsia="宋体" w:cs="Times New Roman"/>
          <w:kern w:val="2"/>
          <w:u w:val="single"/>
          <w:lang w:eastAsia="zh-CN" w:bidi="ar"/>
        </w:rPr>
        <w:t>〕</w:t>
      </w:r>
      <w:r>
        <w:rPr>
          <w:rFonts w:hint="default" w:ascii="Times New Roman" w:hAnsi="Times New Roman" w:eastAsia="宋体" w:cs="Times New Roman"/>
          <w:kern w:val="2"/>
          <w:u w:val="single"/>
          <w:lang w:val="en-US" w:eastAsia="zh-CN" w:bidi="ar"/>
        </w:rPr>
        <w:t>340号</w:t>
      </w:r>
      <w:r>
        <w:rPr>
          <w:rFonts w:hint="default" w:ascii="Times New Roman" w:hAnsi="Times New Roman" w:cs="Times New Roman"/>
          <w:kern w:val="2"/>
          <w:u w:val="single"/>
          <w:lang w:eastAsia="zh-CN" w:bidi="ar"/>
        </w:rPr>
        <w:t>）橡胶制品制造企业</w:t>
      </w:r>
      <w:r>
        <w:rPr>
          <w:rFonts w:hint="default" w:ascii="Times New Roman" w:hAnsi="Times New Roman" w:cs="Times New Roman"/>
          <w:kern w:val="2"/>
          <w:u w:val="single"/>
          <w:lang w:val="en-US" w:eastAsia="zh-CN" w:bidi="ar"/>
        </w:rPr>
        <w:t>A级</w:t>
      </w:r>
      <w:r>
        <w:rPr>
          <w:rFonts w:hint="default" w:ascii="Times New Roman" w:hAnsi="Times New Roman" w:cs="Times New Roman"/>
          <w:color w:val="000000" w:themeColor="text1"/>
          <w:kern w:val="2"/>
          <w:u w:val="single"/>
          <w:lang w:val="en-US" w:eastAsia="zh-CN" w:bidi="ar"/>
          <w14:textFill>
            <w14:solidFill>
              <w14:schemeClr w14:val="tx1"/>
            </w14:solidFill>
          </w14:textFill>
        </w:rPr>
        <w:t>指标、</w:t>
      </w:r>
      <w:r>
        <w:rPr>
          <w:rFonts w:hint="default" w:ascii="Times New Roman" w:hAnsi="Times New Roman" w:cs="Times New Roman"/>
          <w:kern w:val="2"/>
          <w:u w:val="single"/>
          <w:lang w:bidi="ar"/>
        </w:rPr>
        <w:t>《河南省重污染天气重点行业应急减排措施制定技术指南（2021年修订版）》中</w:t>
      </w:r>
      <w:r>
        <w:rPr>
          <w:rFonts w:hint="default" w:ascii="Times New Roman" w:hAnsi="Times New Roman" w:cs="Times New Roman"/>
          <w:color w:val="000000" w:themeColor="text1"/>
          <w:kern w:val="2"/>
          <w:u w:val="single"/>
          <w:lang w:bidi="ar"/>
          <w14:textFill>
            <w14:solidFill>
              <w14:schemeClr w14:val="tx1"/>
            </w14:solidFill>
          </w14:textFill>
        </w:rPr>
        <w:t>有机化工行业绩效分级指标A级企业要求</w:t>
      </w:r>
      <w:r>
        <w:rPr>
          <w:rFonts w:hint="default" w:ascii="Times New Roman" w:hAnsi="Times New Roman" w:cs="Times New Roman"/>
          <w:color w:val="000000" w:themeColor="text1"/>
          <w:kern w:val="2"/>
          <w:u w:val="single"/>
          <w:lang w:eastAsia="zh-CN" w:bidi="ar"/>
          <w14:textFill>
            <w14:solidFill>
              <w14:schemeClr w14:val="tx1"/>
            </w14:solidFill>
          </w14:textFill>
        </w:rPr>
        <w:t>、</w:t>
      </w:r>
      <w:r>
        <w:rPr>
          <w:rFonts w:hint="default" w:ascii="Times New Roman" w:hAnsi="Times New Roman" w:cs="Times New Roman"/>
          <w:color w:val="000000" w:themeColor="text1"/>
          <w:kern w:val="2"/>
          <w:u w:val="single"/>
          <w:lang w:val="en-US" w:eastAsia="zh-CN" w:bidi="ar"/>
          <w14:textFill>
            <w14:solidFill>
              <w14:schemeClr w14:val="tx1"/>
            </w14:solidFill>
          </w14:textFill>
        </w:rPr>
        <w:t>塑料制品企业A级指标</w:t>
      </w:r>
      <w:r>
        <w:rPr>
          <w:rFonts w:hint="default" w:ascii="Times New Roman" w:hAnsi="Times New Roman" w:cs="Times New Roman"/>
          <w:kern w:val="2"/>
          <w:u w:val="single"/>
          <w:lang w:bidi="ar"/>
        </w:rPr>
        <w:t>相符性分析见下表。</w:t>
      </w:r>
    </w:p>
    <w:p>
      <w:pPr>
        <w:pStyle w:val="25"/>
        <w:tabs>
          <w:tab w:val="left" w:pos="4140"/>
        </w:tabs>
        <w:autoSpaceDE w:val="0"/>
        <w:autoSpaceDN w:val="0"/>
        <w:adjustRightInd w:val="0"/>
        <w:snapToGrid w:val="0"/>
        <w:spacing w:beforeAutospacing="0" w:afterAutospacing="0"/>
        <w:ind w:firstLine="480"/>
        <w:jc w:val="both"/>
        <w:rPr>
          <w:kern w:val="2"/>
          <w:lang w:bidi="ar"/>
        </w:rPr>
      </w:pPr>
    </w:p>
    <w:p>
      <w:pPr>
        <w:pStyle w:val="25"/>
        <w:tabs>
          <w:tab w:val="left" w:pos="4140"/>
        </w:tabs>
        <w:autoSpaceDE w:val="0"/>
        <w:autoSpaceDN w:val="0"/>
        <w:adjustRightInd w:val="0"/>
        <w:snapToGrid w:val="0"/>
        <w:spacing w:beforeAutospacing="0" w:afterAutospacing="0"/>
        <w:ind w:firstLine="480"/>
        <w:jc w:val="both"/>
        <w:rPr>
          <w:kern w:val="2"/>
          <w:lang w:bidi="ar"/>
        </w:rPr>
        <w:sectPr>
          <w:pgSz w:w="11906" w:h="16838"/>
          <w:pgMar w:top="1417" w:right="1417" w:bottom="1417" w:left="1417" w:header="680" w:footer="794" w:gutter="0"/>
          <w:pgBorders>
            <w:top w:val="none" w:sz="0" w:space="0"/>
            <w:left w:val="none" w:sz="0" w:space="0"/>
            <w:bottom w:val="none" w:sz="0" w:space="0"/>
            <w:right w:val="none" w:sz="0" w:space="0"/>
          </w:pgBorders>
          <w:cols w:space="425" w:num="1"/>
          <w:docGrid w:type="lines" w:linePitch="312" w:charSpace="0"/>
        </w:sectPr>
      </w:pPr>
    </w:p>
    <w:p>
      <w:pPr>
        <w:ind w:firstLine="0" w:firstLineChars="0"/>
        <w:jc w:val="center"/>
        <w:rPr>
          <w:b/>
          <w:bCs/>
          <w:lang w:val="zh-CN"/>
        </w:rPr>
      </w:pPr>
      <w:r>
        <w:rPr>
          <w:b/>
          <w:bCs/>
          <w:lang w:val="zh-CN"/>
        </w:rPr>
        <w:t>表</w:t>
      </w:r>
      <w:r>
        <w:rPr>
          <w:b/>
          <w:bCs/>
        </w:rPr>
        <w:t>2.6-</w:t>
      </w:r>
      <w:r>
        <w:rPr>
          <w:rFonts w:hint="eastAsia"/>
          <w:b/>
          <w:bCs/>
        </w:rPr>
        <w:t>7</w:t>
      </w:r>
      <w:r>
        <w:rPr>
          <w:b/>
          <w:bCs/>
        </w:rPr>
        <w:t xml:space="preserve">  </w:t>
      </w:r>
      <w:r>
        <w:rPr>
          <w:rFonts w:hint="eastAsia"/>
          <w:b/>
          <w:bCs/>
          <w:lang w:val="zh-CN"/>
        </w:rPr>
        <w:t>项目与绩效分级指标要求相符性分析</w:t>
      </w:r>
    </w:p>
    <w:tbl>
      <w:tblPr>
        <w:tblStyle w:val="51"/>
        <w:tblW w:w="5055"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26"/>
        <w:gridCol w:w="289"/>
        <w:gridCol w:w="23"/>
        <w:gridCol w:w="742"/>
        <w:gridCol w:w="1113"/>
        <w:gridCol w:w="6252"/>
        <w:gridCol w:w="511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000" w:type="pct"/>
            <w:gridSpan w:val="7"/>
            <w:tcBorders>
              <w:bottom w:val="single" w:color="000000" w:sz="4" w:space="0"/>
            </w:tcBorders>
            <w:shd w:val="clear" w:color="auto" w:fill="BDD6EE" w:themeFill="accent1" w:themeFillTint="66"/>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b/>
                <w:bCs/>
                <w:kern w:val="21"/>
                <w:sz w:val="21"/>
                <w:szCs w:val="21"/>
                <w:lang w:val="zh-CN"/>
              </w:rPr>
              <w:t>有机化工企业绩效分级指标</w:t>
            </w:r>
            <w:r>
              <w:rPr>
                <w:rFonts w:hint="eastAsia"/>
                <w:b/>
                <w:bCs/>
                <w:kern w:val="21"/>
                <w:sz w:val="21"/>
                <w:szCs w:val="21"/>
              </w:rPr>
              <w:t>A</w:t>
            </w:r>
            <w:r>
              <w:rPr>
                <w:rFonts w:hint="eastAsia"/>
                <w:b/>
                <w:bCs/>
                <w:kern w:val="21"/>
                <w:sz w:val="21"/>
                <w:szCs w:val="21"/>
                <w:lang w:val="zh-CN"/>
              </w:rPr>
              <w:t>级企业要求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tcBorders>
              <w:top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项目</w:t>
            </w:r>
          </w:p>
        </w:tc>
        <w:tc>
          <w:tcPr>
            <w:tcW w:w="2600" w:type="pct"/>
            <w:gridSpan w:val="2"/>
            <w:tcBorders>
              <w:top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A</w:t>
            </w:r>
            <w:r>
              <w:rPr>
                <w:rFonts w:cs="Times New Roman"/>
                <w:kern w:val="21"/>
                <w:sz w:val="21"/>
                <w:szCs w:val="21"/>
              </w:rPr>
              <w:t>级企业</w:t>
            </w:r>
          </w:p>
        </w:tc>
        <w:tc>
          <w:tcPr>
            <w:tcW w:w="1805" w:type="pct"/>
            <w:tcBorders>
              <w:top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企业情况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源头控制</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反应尾气、蒸馏装置不凝尾气等工艺排气，工艺容器的置换气、吹扫气、抽真空排气等</w:t>
            </w:r>
            <w:r>
              <w:rPr>
                <w:rFonts w:hint="eastAsia" w:cs="Times New Roman"/>
                <w:kern w:val="21"/>
                <w:sz w:val="21"/>
                <w:szCs w:val="21"/>
              </w:rPr>
              <w:t>全部收集处理</w:t>
            </w:r>
            <w:r>
              <w:rPr>
                <w:rFonts w:cs="Times New Roman"/>
                <w:kern w:val="21"/>
                <w:sz w:val="21"/>
                <w:szCs w:val="21"/>
              </w:rPr>
              <w:t>。</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本项目产生的，各类废气做到应收尽收，收集治理率</w:t>
            </w:r>
            <w:r>
              <w:rPr>
                <w:rFonts w:hint="eastAsia" w:cs="Times New Roman"/>
                <w:kern w:val="21"/>
                <w:sz w:val="21"/>
                <w:szCs w:val="21"/>
                <w:lang w:eastAsia="zh-CN"/>
              </w:rPr>
              <w:t>为</w:t>
            </w:r>
            <w:r>
              <w:rPr>
                <w:rFonts w:hint="eastAsia" w:cs="Times New Roman"/>
                <w:kern w:val="21"/>
                <w:sz w:val="21"/>
                <w:szCs w:val="21"/>
              </w:rPr>
              <w:t>100</w:t>
            </w:r>
            <w:r>
              <w:rPr>
                <w:rFonts w:cs="Times New Roman"/>
                <w:kern w:val="21"/>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生产工艺及装备水平</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1.属于《产业结构调整指导目录（2019年本）》鼓励类和允许类；2.符合相关行业产业政策；3.符合河南省相关政策要求；4.符合市级规划。</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本项目属于鼓励类，符合国家及河南省相关产业政策，符合平顶山市相关规划要求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采用密闭化、管道化（液态物料）、全自动生产线（涉VOCs产生点）</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采用密闭化、自动化方式转移涉VOCs液态物料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工艺过程</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1.涉VOCs物料的投加和卸放、化学反应、萃取/提取、蒸馏/精馏、结晶以及配料、混合、搅拌、包装等过程，采用密闭设备或在密闭空间内操作，废气全部收集治理；</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2.涉VOCs物料的离心、过滤单元操作采用密闭式离心机、过滤机等设备，或在密闭空间内操作；干燥单元操作采用密闭干燥设备，或在密闭空间内操作，废气排至VOCs废气收集处理系统；</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3.载有VOCs物料的设备及其管道在开停工（车）、检维修、和清洗时，含VOCs 物料用密闭容器盛装，废气排至VOCs废气收集处理系统；</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4.液态VOCs物料采用高位槽（罐）、桶泵等给料方式密闭投加，进料时置换的废气应排至VOCs废气</w:t>
            </w:r>
            <w:r>
              <w:rPr>
                <w:rFonts w:hint="eastAsia" w:cs="Times New Roman"/>
                <w:kern w:val="21"/>
                <w:sz w:val="21"/>
                <w:szCs w:val="21"/>
              </w:rPr>
              <w:t>收集</w:t>
            </w:r>
            <w:r>
              <w:rPr>
                <w:rFonts w:cs="Times New Roman"/>
                <w:kern w:val="21"/>
                <w:sz w:val="21"/>
                <w:szCs w:val="21"/>
              </w:rPr>
              <w:t>处理系统或气相平衡系统。</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5.粉状、粒状物料采用气力输送方式或密闭固体投料器等给料方式投加，无法密闭投加的，应建密闭投料间或在密闭空间内操作。</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1.涉VOCs的原辅料投加均通过密闭管道进行，涉VOCs 聚合反应、配料等过程均在密闭反应设备内进行，废气全部收集治理；</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2.涉VOCs物料的过滤均采用密闭式过滤设备；</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3.载有VOCs物料的设备及其管道在开停工（车）、检维修、和清洗时，含VOCs物料用密闭容器盛装，废气排至VOCs废气收集处理系统；</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4.液态VOCs物料采用桶泵给料方式密闭投加，进料时置换的废气应排至VOCs废气</w:t>
            </w:r>
            <w:r>
              <w:rPr>
                <w:rFonts w:hint="eastAsia" w:cs="Times New Roman"/>
                <w:kern w:val="21"/>
                <w:sz w:val="21"/>
                <w:szCs w:val="21"/>
              </w:rPr>
              <w:t>收集</w:t>
            </w:r>
            <w:r>
              <w:rPr>
                <w:rFonts w:cs="Times New Roman"/>
                <w:kern w:val="21"/>
                <w:sz w:val="21"/>
                <w:szCs w:val="21"/>
              </w:rPr>
              <w:t>处理系统；</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5.固体颗粒物料、粉状物料采用密闭固体投料投加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泄漏检测与修复</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涉VOCs物料企业按照《挥发性有机物无组织排放控制标准</w:t>
            </w:r>
            <w:r>
              <w:rPr>
                <w:rFonts w:hint="eastAsia" w:cs="Times New Roman"/>
                <w:kern w:val="21"/>
                <w:sz w:val="21"/>
                <w:szCs w:val="21"/>
              </w:rPr>
              <w:t>》（</w:t>
            </w:r>
            <w:r>
              <w:rPr>
                <w:rFonts w:cs="Times New Roman"/>
                <w:kern w:val="21"/>
                <w:sz w:val="21"/>
                <w:szCs w:val="21"/>
              </w:rPr>
              <w:t>GB37822—2019）相关要求，开展泄漏检测与修复工作。动静密封点在1000个以上的企业建立LDAR管理平台，动静密封点在1000个点以下的企业建立LDAR电子台账。</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投产后企业按照《挥发性有机物无组织排放控制标准》（GB37822—2019）相关要求，开展泄漏检测与修复工作，并建立LDAR电子台账。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工艺有机废气治理</w:t>
            </w:r>
          </w:p>
        </w:tc>
        <w:tc>
          <w:tcPr>
            <w:tcW w:w="2600" w:type="pct"/>
            <w:gridSpan w:val="2"/>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cs="Times New Roman"/>
                <w:kern w:val="21"/>
                <w:sz w:val="21"/>
                <w:szCs w:val="21"/>
              </w:rPr>
            </w:pPr>
            <w:r>
              <w:rPr>
                <w:rFonts w:hint="eastAsia" w:cs="Times New Roman"/>
                <w:kern w:val="21"/>
                <w:sz w:val="21"/>
                <w:szCs w:val="21"/>
                <w:lang w:val="en-US" w:eastAsia="zh-CN"/>
              </w:rPr>
              <w:t>1.</w:t>
            </w:r>
            <w:r>
              <w:rPr>
                <w:rFonts w:cs="Times New Roman"/>
                <w:kern w:val="21"/>
                <w:sz w:val="21"/>
                <w:szCs w:val="21"/>
              </w:rPr>
              <w:t>配料、反应、分离、提取、精制、干燥、溶剂回收等工艺有机废气全部收集并引至有机废气治理设施，采用冷凝、吸收、吸附、低温等离子等组合处理工艺，处理效率不低于</w:t>
            </w:r>
            <w:r>
              <w:rPr>
                <w:rFonts w:hint="eastAsia" w:cs="Times New Roman"/>
                <w:kern w:val="21"/>
                <w:sz w:val="21"/>
                <w:szCs w:val="21"/>
              </w:rPr>
              <w:t>90</w:t>
            </w:r>
            <w:r>
              <w:rPr>
                <w:rFonts w:cs="Times New Roman"/>
                <w:kern w:val="21"/>
                <w:sz w:val="21"/>
                <w:szCs w:val="21"/>
              </w:rPr>
              <w:t>%。2.如有应急旁路，企业在排污许可证中进行申报（或向当地生态环境主管部门备案），在非紧急情况下保持关闭，每次开启后及时向当地生态环境部门报告。</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color w:val="000000" w:themeColor="text1"/>
                <w:kern w:val="21"/>
                <w:sz w:val="21"/>
                <w:szCs w:val="21"/>
                <w:shd w:val="clear" w:color="auto" w:fill="auto"/>
                <w14:textFill>
                  <w14:solidFill>
                    <w14:schemeClr w14:val="tx1"/>
                  </w14:solidFill>
                </w14:textFill>
              </w:rPr>
              <w:t>项目反应工序有机废气全部密闭收集并引至有机废气治理设施，采用的有机废气处理措施为</w:t>
            </w:r>
            <w:r>
              <w:rPr>
                <w:rFonts w:hint="eastAsia" w:cs="Times New Roman"/>
                <w:color w:val="000000" w:themeColor="text1"/>
                <w:kern w:val="21"/>
                <w:sz w:val="21"/>
                <w:szCs w:val="21"/>
                <w:shd w:val="clear" w:color="auto" w:fill="auto"/>
                <w:lang w:eastAsia="zh-CN"/>
                <w14:textFill>
                  <w14:solidFill>
                    <w14:schemeClr w14:val="tx1"/>
                  </w14:solidFill>
                </w14:textFill>
              </w:rPr>
              <w:t>催化燃烧</w:t>
            </w:r>
            <w:r>
              <w:rPr>
                <w:rFonts w:cs="Times New Roman"/>
                <w:color w:val="000000" w:themeColor="text1"/>
                <w:kern w:val="21"/>
                <w:sz w:val="21"/>
                <w:szCs w:val="21"/>
                <w:shd w:val="clear" w:color="auto" w:fill="auto"/>
                <w14:textFill>
                  <w14:solidFill>
                    <w14:schemeClr w14:val="tx1"/>
                  </w14:solidFill>
                </w14:textFill>
              </w:rPr>
              <w:t>工艺，效率高于</w:t>
            </w:r>
            <w:r>
              <w:rPr>
                <w:rFonts w:hint="eastAsia" w:cs="Times New Roman"/>
                <w:color w:val="000000" w:themeColor="text1"/>
                <w:kern w:val="21"/>
                <w:sz w:val="21"/>
                <w:szCs w:val="21"/>
                <w:shd w:val="clear" w:color="auto" w:fill="auto"/>
                <w14:textFill>
                  <w14:solidFill>
                    <w14:schemeClr w14:val="tx1"/>
                  </w14:solidFill>
                </w14:textFill>
              </w:rPr>
              <w:t>90</w:t>
            </w:r>
            <w:r>
              <w:rPr>
                <w:rFonts w:cs="Times New Roman"/>
                <w:color w:val="000000" w:themeColor="text1"/>
                <w:kern w:val="21"/>
                <w:sz w:val="21"/>
                <w:szCs w:val="21"/>
                <w:shd w:val="clear" w:color="auto" w:fill="auto"/>
                <w14:textFill>
                  <w14:solidFill>
                    <w14:schemeClr w14:val="tx1"/>
                  </w14:solidFill>
                </w14:textFill>
              </w:rPr>
              <w:t>%。本项目无应急旁路。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挥发性有机液体储罐</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对于储存物料的真实蒸气压≥76.6kPa的有机液体储罐采用压力罐或其他等效措施对储存物料的真实蒸气压≥27.6kPa但&lt;76.6kPa的有机液体储罐，采用高级密封方式的浮顶罐，或采用固定顶罐安装密闭排气系统至有机废气治理设施，或采用气相平衡系统，或其他等效措施；2.符合第1条的固定顶罐排气采用燃烧工艺（包括直接燃烧、催化燃烧和蓄热燃烧）进行最终处理，或送工艺加热</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炉、锅炉、焚烧炉等燃烧处理。</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企业储存物料无真实蒸气压≥766kPa的有机液体企业储存物料无真实蒸气压≥27.6kPa的有机液体</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挥发性有机液体装载</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对真实蒸气压≥2.8kPa但&lt;76.6kPa的挥发性有机液体采用底部装载或顶部浸没式装载（出料管口距离槽（罐）底部高度&lt;200mm）。排放的废气应收集处理</w:t>
            </w:r>
            <w:r>
              <w:rPr>
                <w:rFonts w:hint="eastAsia" w:cs="Times New Roman"/>
                <w:kern w:val="21"/>
                <w:sz w:val="21"/>
                <w:szCs w:val="21"/>
              </w:rPr>
              <w:t>，</w:t>
            </w:r>
            <w:r>
              <w:rPr>
                <w:rFonts w:cs="Times New Roman"/>
                <w:kern w:val="21"/>
                <w:sz w:val="21"/>
                <w:szCs w:val="21"/>
              </w:rPr>
              <w:t>处理效率不低于80%；如采用顶部装载作业，排气采用吸收、吸附、冷凝、膜分离、低温等离子、光催化氧化等组合处理工艺，处理效率不低于80%。</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企业储存物料无真实蒸气压≥2.8kPa的有机液体</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污水集输和处理</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1.含VOCs废水采用密闭管道输送，废水集输系统的接入口和排出口采取与空气隔离的措施；2.废水储存、处理设施加盖密闭或采取其他等效措施，并密闭排气至有机废气治理设施；3.</w:t>
            </w:r>
            <w:r>
              <w:rPr>
                <w:rFonts w:hint="eastAsia" w:cs="Times New Roman"/>
                <w:kern w:val="21"/>
                <w:sz w:val="21"/>
                <w:szCs w:val="21"/>
                <w:lang w:eastAsia="zh-CN"/>
              </w:rPr>
              <w:t>污水处理厂</w:t>
            </w:r>
            <w:r>
              <w:rPr>
                <w:rFonts w:cs="Times New Roman"/>
                <w:kern w:val="21"/>
                <w:sz w:val="21"/>
                <w:szCs w:val="21"/>
              </w:rPr>
              <w:t>集水井（池）、调节池、隔油池、气浮池、浓缩池等高浓度VOCs废气采用燃烧工艺或送加热炉、锅炉、焚烧炉燃烧处理；低浓度VOCs废气采用低温等离子、光催化、光氧化、活性炭吸附、生物法或其他等效两级及以上串联技术。</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kern w:val="21"/>
                <w:sz w:val="21"/>
                <w:szCs w:val="21"/>
                <w:lang w:val="en-US" w:eastAsia="zh-CN"/>
              </w:rPr>
            </w:pPr>
            <w:r>
              <w:rPr>
                <w:rFonts w:hint="eastAsia" w:cs="Times New Roman"/>
                <w:kern w:val="21"/>
                <w:sz w:val="21"/>
                <w:szCs w:val="21"/>
                <w:lang w:val="en-US" w:eastAsia="zh-CN"/>
              </w:rPr>
              <w:t>1、项目废水采用地埋管道收集；2、</w:t>
            </w:r>
            <w:r>
              <w:rPr>
                <w:rFonts w:hint="eastAsia" w:cs="Times New Roman"/>
                <w:kern w:val="21"/>
                <w:sz w:val="21"/>
                <w:szCs w:val="21"/>
                <w:lang w:eastAsia="zh-CN"/>
              </w:rPr>
              <w:t>废水</w:t>
            </w:r>
            <w:r>
              <w:rPr>
                <w:rFonts w:cs="Times New Roman"/>
                <w:kern w:val="21"/>
                <w:sz w:val="21"/>
                <w:szCs w:val="21"/>
              </w:rPr>
              <w:t>处理设施加盖密闭，并密闭排气至</w:t>
            </w:r>
            <w:r>
              <w:rPr>
                <w:rFonts w:hint="eastAsia" w:cs="Times New Roman"/>
                <w:kern w:val="21"/>
                <w:sz w:val="21"/>
                <w:szCs w:val="21"/>
                <w:lang w:eastAsia="zh-CN"/>
              </w:rPr>
              <w:t>二级活性炭吸附</w:t>
            </w:r>
            <w:r>
              <w:rPr>
                <w:rFonts w:cs="Times New Roman"/>
                <w:kern w:val="21"/>
                <w:sz w:val="21"/>
                <w:szCs w:val="21"/>
              </w:rPr>
              <w:t>治理设施</w:t>
            </w:r>
            <w:r>
              <w:rPr>
                <w:rFonts w:hint="eastAsia" w:cs="Times New Roman"/>
                <w:kern w:val="21"/>
                <w:sz w:val="21"/>
                <w:szCs w:val="21"/>
                <w:lang w:eastAsia="zh-CN"/>
              </w:rPr>
              <w:t>，处理后经</w:t>
            </w:r>
            <w:r>
              <w:rPr>
                <w:rFonts w:hint="eastAsia" w:cs="Times New Roman"/>
                <w:kern w:val="21"/>
                <w:sz w:val="21"/>
                <w:szCs w:val="21"/>
                <w:lang w:val="en-US" w:eastAsia="zh-CN"/>
              </w:rPr>
              <w:t>15m高排气筒排放</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加热炉/锅炉及其他</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PM治理采用覆膜袋式除尘器、滤筒除尘器、湿电除尘等高效除尘技术（除湿电除尘外，设计效率不低于99%）；2.脱硫采用石灰/石-石膏湿法、氨法、半干法/干法脱硫等；3.燃气锅炉（导热油炉）完成低氮燃烧改造；4.燃气炉窑采用低氮燃烧、SCR/SNCR等脱硝技术；5.生产工艺有机废气全部采用热力焚烧、催化燃烧、蓄热燃烧、吸附浓缩+催化燃烧等高效有机废气治理设施或送工艺加热炉、锅炉直接燃烧处理。6.其他废气处理采用酸雾净化塔等连续多级废气处理工</w:t>
            </w:r>
            <w:r>
              <w:rPr>
                <w:rFonts w:hint="eastAsia" w:cs="Times New Roman"/>
                <w:kern w:val="21"/>
                <w:sz w:val="21"/>
                <w:szCs w:val="21"/>
              </w:rPr>
              <w:t>艺</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1.破碎粉尘采用袋式除尘器吸收处理；</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kern w:val="21"/>
                <w:sz w:val="21"/>
                <w:szCs w:val="21"/>
                <w:lang w:val="en-US" w:eastAsia="zh-CN"/>
              </w:rPr>
            </w:pPr>
            <w:r>
              <w:rPr>
                <w:rFonts w:cs="Times New Roman"/>
                <w:kern w:val="21"/>
                <w:sz w:val="21"/>
                <w:szCs w:val="21"/>
              </w:rPr>
              <w:t>2.</w:t>
            </w:r>
            <w:r>
              <w:rPr>
                <w:rFonts w:hint="eastAsia" w:cs="Times New Roman"/>
                <w:kern w:val="21"/>
                <w:sz w:val="21"/>
                <w:szCs w:val="21"/>
                <w:lang w:eastAsia="zh-CN"/>
              </w:rPr>
              <w:t>不涉及燃气锅炉</w:t>
            </w:r>
            <w:r>
              <w:rPr>
                <w:rFonts w:cs="Times New Roman"/>
                <w:kern w:val="21"/>
                <w:sz w:val="21"/>
                <w:szCs w:val="21"/>
              </w:rPr>
              <w:t>；</w:t>
            </w:r>
            <w:r>
              <w:rPr>
                <w:rFonts w:hint="eastAsia" w:cs="Times New Roman"/>
                <w:kern w:val="21"/>
                <w:sz w:val="21"/>
                <w:szCs w:val="21"/>
                <w:lang w:val="en-US" w:eastAsia="zh-CN"/>
              </w:rPr>
              <w:t>3、4.企业不涉及锅炉</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kern w:val="21"/>
                <w:sz w:val="21"/>
                <w:szCs w:val="21"/>
                <w:lang w:val="en-US" w:eastAsia="zh-CN"/>
              </w:rPr>
            </w:pPr>
            <w:r>
              <w:rPr>
                <w:rFonts w:hint="eastAsia" w:cs="Times New Roman"/>
                <w:kern w:val="21"/>
                <w:sz w:val="21"/>
                <w:szCs w:val="21"/>
                <w:lang w:val="en-US" w:eastAsia="zh-CN"/>
              </w:rPr>
              <w:t>5</w:t>
            </w:r>
            <w:r>
              <w:rPr>
                <w:rFonts w:cs="Times New Roman"/>
                <w:kern w:val="21"/>
                <w:sz w:val="21"/>
                <w:szCs w:val="21"/>
              </w:rPr>
              <w:t>.生产工艺有机废气采用喷淋吸收</w:t>
            </w:r>
            <w:r>
              <w:rPr>
                <w:rFonts w:hint="eastAsia" w:cs="Times New Roman"/>
                <w:kern w:val="21"/>
                <w:sz w:val="21"/>
                <w:szCs w:val="21"/>
                <w:lang w:val="en-US" w:eastAsia="zh-CN"/>
              </w:rPr>
              <w:t>+催化燃烧</w:t>
            </w:r>
            <w:r>
              <w:rPr>
                <w:rFonts w:cs="Times New Roman"/>
                <w:kern w:val="21"/>
                <w:sz w:val="21"/>
                <w:szCs w:val="21"/>
              </w:rPr>
              <w:t>组合工艺处理，处理效率均高于</w:t>
            </w:r>
            <w:r>
              <w:rPr>
                <w:rFonts w:hint="eastAsia" w:cs="Times New Roman"/>
                <w:kern w:val="21"/>
                <w:sz w:val="21"/>
                <w:szCs w:val="21"/>
                <w:lang w:val="en-US" w:eastAsia="zh-CN"/>
              </w:rPr>
              <w:t>9</w:t>
            </w:r>
            <w:r>
              <w:rPr>
                <w:rFonts w:cs="Times New Roman"/>
                <w:kern w:val="21"/>
                <w:sz w:val="21"/>
                <w:szCs w:val="21"/>
              </w:rPr>
              <w:t>0%</w:t>
            </w:r>
            <w:r>
              <w:rPr>
                <w:rFonts w:hint="eastAsia" w:cs="Times New Roman"/>
                <w:kern w:val="21"/>
                <w:sz w:val="21"/>
                <w:szCs w:val="21"/>
                <w:lang w:eastAsia="zh-CN"/>
              </w:rPr>
              <w:t>；</w:t>
            </w:r>
            <w:r>
              <w:rPr>
                <w:rFonts w:hint="eastAsia" w:cs="Times New Roman"/>
                <w:kern w:val="21"/>
                <w:sz w:val="21"/>
                <w:szCs w:val="21"/>
                <w:lang w:val="en-US" w:eastAsia="zh-CN"/>
              </w:rPr>
              <w:t>6.企业其他废气为粉尘，采用高效脉冲袋式除尘器处理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无组织管控</w:t>
            </w:r>
          </w:p>
        </w:tc>
        <w:tc>
          <w:tcPr>
            <w:tcW w:w="2600" w:type="pct"/>
            <w:gridSpan w:val="2"/>
            <w:vAlign w:val="center"/>
          </w:tcPr>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生产过程所有物料采用密闭/封闭方式储存，含VOCs物料配备废气负压收集至VOCs处理设施。厂区内物料转移和输送采用气力输送、封闭皮带等，无法封闭的产尘点（物料转载、下料口等）应设置独立集气罩，配套的除尘设施不与室内通风除尘混用。3.含VOCs物料采用密闭输送、密闭投加或密闭操作间。4.车间产尘点和涉VOCs工序安装集气罩和治理设施。</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二、车间、料场环境1.生产车间地面干净，生产设施、设备材料表面无积料、积灰现象；2.封闭料场顶棚和四周围墙完整，料场内路面全部硬化，料场货物进出大门为硬质材料门或自动感应门；3.在确保安全的前提下，所有门窗应处于封闭状态；4.生产车间无可见烟粉尘外逸。三、其他1.厂区地面全部硬化或绿化，其中未利用地宜优先绿化，无成片裸露土地。</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一、生产过程1.所有物料采用密闭方式储存，含VOCs物料配备废气负压收集至VOCs处理设施。2.成品输送采用气力输送。3.液体物料均使用密闭管道输送，使用密闭管道投加。颗粒或粉状物料使用密闭投料器投加。</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二、车间、料场环境按照</w:t>
            </w:r>
            <w:r>
              <w:rPr>
                <w:rFonts w:hint="eastAsia" w:cs="Times New Roman"/>
                <w:kern w:val="21"/>
                <w:sz w:val="21"/>
                <w:szCs w:val="21"/>
                <w:lang w:val="en-US" w:eastAsia="zh-CN"/>
              </w:rPr>
              <w:t>A</w:t>
            </w:r>
            <w:r>
              <w:rPr>
                <w:rFonts w:cs="Times New Roman"/>
                <w:kern w:val="21"/>
                <w:sz w:val="21"/>
                <w:szCs w:val="21"/>
              </w:rPr>
              <w:t>级企业要求完善设施，保持车间、料场环境；确保料场顶棚和四周围墙完整，料场货物进出大门安装硬质材料门。</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三、其他厂区地面全部硬化或绿化，无成片裸露土地。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21" w:type="pct"/>
            <w:vMerge w:val="restart"/>
            <w:textDirection w:val="tbRlV"/>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排放限值</w:t>
            </w:r>
          </w:p>
        </w:tc>
        <w:tc>
          <w:tcPr>
            <w:tcW w:w="372" w:type="pct"/>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涉VOCs</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全厂有组织PM、NMHC有组织排放限值要求：10、</w:t>
            </w:r>
            <w:r>
              <w:rPr>
                <w:rFonts w:hint="eastAsia" w:cs="Times New Roman"/>
                <w:kern w:val="21"/>
                <w:sz w:val="21"/>
                <w:szCs w:val="21"/>
              </w:rPr>
              <w:t>2</w:t>
            </w:r>
            <w:r>
              <w:rPr>
                <w:rFonts w:cs="Times New Roman"/>
                <w:kern w:val="21"/>
                <w:sz w:val="21"/>
                <w:szCs w:val="21"/>
              </w:rPr>
              <w:t>0mg/m</w:t>
            </w:r>
            <w:r>
              <w:rPr>
                <w:rFonts w:cs="Times New Roman"/>
                <w:kern w:val="21"/>
                <w:sz w:val="21"/>
                <w:szCs w:val="21"/>
                <w:vertAlign w:val="superscript"/>
              </w:rPr>
              <w:t>3</w:t>
            </w:r>
            <w:r>
              <w:rPr>
                <w:rFonts w:cs="Times New Roman"/>
                <w:kern w:val="21"/>
                <w:sz w:val="21"/>
                <w:szCs w:val="21"/>
              </w:rPr>
              <w:t>，且其他污染物稳定达到国家/地方排放限值；2.VOCs治理设施同步运行率和去除率分别达到</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100%和80%；因废气收集、生产工艺原因去除率确实达不到的，在厂房外无组织排放监控点NMHC浓度低于4mg/m</w:t>
            </w:r>
            <w:r>
              <w:rPr>
                <w:rFonts w:hint="eastAsia" w:cs="Times New Roman"/>
                <w:kern w:val="21"/>
                <w:sz w:val="21"/>
                <w:szCs w:val="21"/>
                <w:vertAlign w:val="superscript"/>
              </w:rPr>
              <w:t>3</w:t>
            </w:r>
            <w:r>
              <w:rPr>
                <w:rFonts w:cs="Times New Roman"/>
                <w:kern w:val="21"/>
                <w:sz w:val="21"/>
                <w:szCs w:val="21"/>
              </w:rPr>
              <w:t>，企业边界1hNMHC平均浓度低于2mg/m³。3.污水</w:t>
            </w:r>
            <w:r>
              <w:rPr>
                <w:rFonts w:hint="eastAsia" w:cs="Times New Roman"/>
                <w:kern w:val="21"/>
                <w:sz w:val="21"/>
                <w:szCs w:val="21"/>
                <w:lang w:eastAsia="zh-CN"/>
              </w:rPr>
              <w:t>处理厂</w:t>
            </w:r>
            <w:r>
              <w:rPr>
                <w:rFonts w:cs="Times New Roman"/>
                <w:kern w:val="21"/>
                <w:sz w:val="21"/>
                <w:szCs w:val="21"/>
              </w:rPr>
              <w:t>周界监控点环境空气臭气浓度低于20，NH</w:t>
            </w:r>
            <w:r>
              <w:rPr>
                <w:rFonts w:cs="Times New Roman"/>
                <w:kern w:val="21"/>
                <w:sz w:val="21"/>
                <w:szCs w:val="21"/>
                <w:vertAlign w:val="subscript"/>
              </w:rPr>
              <w:t>3</w:t>
            </w:r>
            <w:r>
              <w:rPr>
                <w:rFonts w:cs="Times New Roman"/>
                <w:kern w:val="21"/>
                <w:sz w:val="21"/>
                <w:szCs w:val="21"/>
              </w:rPr>
              <w:t>、H</w:t>
            </w:r>
            <w:r>
              <w:rPr>
                <w:rFonts w:cs="Times New Roman"/>
                <w:kern w:val="21"/>
                <w:sz w:val="21"/>
                <w:szCs w:val="21"/>
                <w:vertAlign w:val="subscript"/>
              </w:rPr>
              <w:t>2</w:t>
            </w:r>
            <w:r>
              <w:rPr>
                <w:rFonts w:cs="Times New Roman"/>
                <w:kern w:val="21"/>
                <w:sz w:val="21"/>
                <w:szCs w:val="21"/>
              </w:rPr>
              <w:t>S浓度分别低于0.2mg/m</w:t>
            </w:r>
            <w:r>
              <w:rPr>
                <w:rFonts w:cs="Times New Roman"/>
                <w:kern w:val="21"/>
                <w:sz w:val="21"/>
                <w:szCs w:val="21"/>
                <w:vertAlign w:val="superscript"/>
              </w:rPr>
              <w:t>3</w:t>
            </w:r>
            <w:r>
              <w:rPr>
                <w:rFonts w:cs="Times New Roman"/>
                <w:kern w:val="21"/>
                <w:sz w:val="21"/>
                <w:szCs w:val="21"/>
              </w:rPr>
              <w:t>、0.02mg/m</w:t>
            </w:r>
            <w:r>
              <w:rPr>
                <w:rFonts w:cs="Times New Roman"/>
                <w:kern w:val="21"/>
                <w:sz w:val="21"/>
                <w:szCs w:val="21"/>
                <w:vertAlign w:val="superscript"/>
              </w:rPr>
              <w:t>3</w:t>
            </w:r>
            <w:r>
              <w:rPr>
                <w:rFonts w:cs="Times New Roman"/>
                <w:kern w:val="21"/>
                <w:sz w:val="21"/>
                <w:szCs w:val="21"/>
              </w:rPr>
              <w:t>，其他特征污染物满足排污许可证排放限值要求。</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1.全厂有组织PM、NMHC有组织排放值不高于10、</w:t>
            </w:r>
            <w:r>
              <w:rPr>
                <w:rFonts w:hint="eastAsia" w:cs="Times New Roman"/>
                <w:kern w:val="21"/>
                <w:sz w:val="21"/>
                <w:szCs w:val="21"/>
              </w:rPr>
              <w:t>2</w:t>
            </w:r>
            <w:r>
              <w:rPr>
                <w:rFonts w:cs="Times New Roman"/>
                <w:kern w:val="21"/>
                <w:sz w:val="21"/>
                <w:szCs w:val="21"/>
              </w:rPr>
              <w:t>0mg/m</w:t>
            </w:r>
            <w:r>
              <w:rPr>
                <w:rFonts w:cs="Times New Roman"/>
                <w:kern w:val="21"/>
                <w:sz w:val="21"/>
                <w:szCs w:val="21"/>
                <w:vertAlign w:val="superscript"/>
              </w:rPr>
              <w:t>3</w:t>
            </w:r>
            <w:r>
              <w:rPr>
                <w:rFonts w:cs="Times New Roman"/>
                <w:kern w:val="21"/>
                <w:sz w:val="21"/>
                <w:szCs w:val="21"/>
              </w:rPr>
              <w:t>，且其他污染物稳定达到国家/地方排放限值；2.VOCs治理设施同步运行率和去除率分别达到100%和</w:t>
            </w:r>
            <w:r>
              <w:rPr>
                <w:rFonts w:hint="eastAsia" w:cs="Times New Roman"/>
                <w:kern w:val="21"/>
                <w:sz w:val="21"/>
                <w:szCs w:val="21"/>
                <w:lang w:val="en-US" w:eastAsia="zh-CN"/>
              </w:rPr>
              <w:t>95</w:t>
            </w:r>
            <w:r>
              <w:rPr>
                <w:rFonts w:cs="Times New Roman"/>
                <w:kern w:val="21"/>
                <w:sz w:val="21"/>
                <w:szCs w:val="21"/>
              </w:rPr>
              <w:t>%。3.</w:t>
            </w:r>
            <w:r>
              <w:rPr>
                <w:rFonts w:hint="eastAsia" w:cs="Times New Roman"/>
                <w:kern w:val="21"/>
                <w:sz w:val="21"/>
                <w:szCs w:val="21"/>
                <w:lang w:eastAsia="zh-CN"/>
              </w:rPr>
              <w:t>经预测</w:t>
            </w:r>
            <w:r>
              <w:rPr>
                <w:rFonts w:cs="Times New Roman"/>
                <w:kern w:val="21"/>
                <w:sz w:val="21"/>
                <w:szCs w:val="21"/>
              </w:rPr>
              <w:t>项目污水</w:t>
            </w:r>
            <w:r>
              <w:rPr>
                <w:rFonts w:hint="eastAsia" w:cs="Times New Roman"/>
                <w:kern w:val="21"/>
                <w:sz w:val="21"/>
                <w:szCs w:val="21"/>
                <w:lang w:eastAsia="zh-CN"/>
              </w:rPr>
              <w:t>处理厂</w:t>
            </w:r>
            <w:r>
              <w:rPr>
                <w:rFonts w:cs="Times New Roman"/>
                <w:kern w:val="21"/>
                <w:sz w:val="21"/>
                <w:szCs w:val="21"/>
              </w:rPr>
              <w:t>周界监控点环境空气臭气浓度低于20，NH</w:t>
            </w:r>
            <w:r>
              <w:rPr>
                <w:rFonts w:cs="Times New Roman"/>
                <w:kern w:val="21"/>
                <w:sz w:val="21"/>
                <w:szCs w:val="21"/>
                <w:vertAlign w:val="subscript"/>
              </w:rPr>
              <w:t>3</w:t>
            </w:r>
            <w:r>
              <w:rPr>
                <w:rFonts w:cs="Times New Roman"/>
                <w:kern w:val="21"/>
                <w:sz w:val="21"/>
                <w:szCs w:val="21"/>
              </w:rPr>
              <w:t>、H</w:t>
            </w:r>
            <w:r>
              <w:rPr>
                <w:rFonts w:cs="Times New Roman"/>
                <w:kern w:val="21"/>
                <w:sz w:val="21"/>
                <w:szCs w:val="21"/>
                <w:vertAlign w:val="subscript"/>
              </w:rPr>
              <w:t>2</w:t>
            </w:r>
            <w:r>
              <w:rPr>
                <w:rFonts w:cs="Times New Roman"/>
                <w:kern w:val="21"/>
                <w:sz w:val="21"/>
                <w:szCs w:val="21"/>
              </w:rPr>
              <w:t>S浓度分别低于0.2mg/m</w:t>
            </w:r>
            <w:r>
              <w:rPr>
                <w:rFonts w:cs="Times New Roman"/>
                <w:kern w:val="21"/>
                <w:sz w:val="21"/>
                <w:szCs w:val="21"/>
                <w:vertAlign w:val="superscript"/>
              </w:rPr>
              <w:t>3</w:t>
            </w:r>
            <w:r>
              <w:rPr>
                <w:rFonts w:cs="Times New Roman"/>
                <w:kern w:val="21"/>
                <w:sz w:val="21"/>
                <w:szCs w:val="21"/>
              </w:rPr>
              <w:t>、0.02mg/m</w:t>
            </w:r>
            <w:r>
              <w:rPr>
                <w:rFonts w:cs="Times New Roman"/>
                <w:kern w:val="21"/>
                <w:sz w:val="21"/>
                <w:szCs w:val="21"/>
                <w:vertAlign w:val="superscript"/>
              </w:rPr>
              <w:t>3</w:t>
            </w:r>
            <w:r>
              <w:rPr>
                <w:rFonts w:cs="Times New Roman"/>
                <w:kern w:val="21"/>
                <w:sz w:val="21"/>
                <w:szCs w:val="21"/>
              </w:rPr>
              <w:t>，其他特征污染物满足排污许可证排放限值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21" w:type="pct"/>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c>
          <w:tcPr>
            <w:tcW w:w="372" w:type="pct"/>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锅炉</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新建燃气锅炉烟气PM、SO</w:t>
            </w:r>
            <w:r>
              <w:rPr>
                <w:rFonts w:cs="Times New Roman"/>
                <w:kern w:val="21"/>
                <w:sz w:val="21"/>
                <w:szCs w:val="21"/>
                <w:vertAlign w:val="subscript"/>
              </w:rPr>
              <w:t>2</w:t>
            </w:r>
            <w:r>
              <w:rPr>
                <w:rFonts w:cs="Times New Roman"/>
                <w:kern w:val="21"/>
                <w:sz w:val="21"/>
                <w:szCs w:val="21"/>
              </w:rPr>
              <w:t>、NOx排放限值要求：5、10、30mg/m</w:t>
            </w:r>
            <w:r>
              <w:rPr>
                <w:rFonts w:cs="Times New Roman"/>
                <w:kern w:val="21"/>
                <w:sz w:val="21"/>
                <w:szCs w:val="21"/>
                <w:vertAlign w:val="superscript"/>
              </w:rPr>
              <w:t>3</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项目</w:t>
            </w:r>
            <w:r>
              <w:rPr>
                <w:rFonts w:hint="eastAsia" w:cs="Times New Roman"/>
                <w:kern w:val="21"/>
                <w:sz w:val="21"/>
                <w:szCs w:val="21"/>
              </w:rPr>
              <w:t>不涉及锅炉</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21" w:type="pct"/>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c>
          <w:tcPr>
            <w:tcW w:w="372" w:type="pct"/>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工业炉窑</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燃气/燃油工业炉窑烟气PM、SO</w:t>
            </w:r>
            <w:r>
              <w:rPr>
                <w:rFonts w:cs="Times New Roman"/>
                <w:kern w:val="21"/>
                <w:sz w:val="21"/>
                <w:szCs w:val="21"/>
                <w:vertAlign w:val="subscript"/>
              </w:rPr>
              <w:t>2</w:t>
            </w:r>
            <w:r>
              <w:rPr>
                <w:rFonts w:cs="Times New Roman"/>
                <w:kern w:val="21"/>
                <w:sz w:val="21"/>
                <w:szCs w:val="21"/>
              </w:rPr>
              <w:t>、NOx排放限值要求：10、50、100mg/m</w:t>
            </w:r>
            <w:r>
              <w:rPr>
                <w:rFonts w:cs="Times New Roman"/>
                <w:kern w:val="21"/>
                <w:sz w:val="21"/>
                <w:szCs w:val="21"/>
                <w:vertAlign w:val="superscript"/>
              </w:rPr>
              <w:t>3</w:t>
            </w:r>
            <w:r>
              <w:rPr>
                <w:rFonts w:cs="Times New Roman"/>
                <w:kern w:val="21"/>
                <w:sz w:val="21"/>
                <w:szCs w:val="21"/>
              </w:rPr>
              <w:t>（基准氧含量：燃气/燃油3.5%，因工艺需要掺入空气/非密闭式生产的按实测浓度计）；氨逃逸排放浓度不高于8mg/m</w:t>
            </w:r>
            <w:r>
              <w:rPr>
                <w:rFonts w:cs="Times New Roman"/>
                <w:kern w:val="21"/>
                <w:sz w:val="21"/>
                <w:szCs w:val="21"/>
                <w:vertAlign w:val="superscript"/>
              </w:rPr>
              <w:t>3</w:t>
            </w:r>
            <w:r>
              <w:rPr>
                <w:rFonts w:cs="Times New Roman"/>
                <w:kern w:val="21"/>
                <w:sz w:val="21"/>
                <w:szCs w:val="21"/>
              </w:rPr>
              <w:t>（使用氨水、尿素作还原剂）。</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21" w:type="pct"/>
            <w:vMerge w:val="continue"/>
            <w:textDirection w:val="tbRlV"/>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c>
          <w:tcPr>
            <w:tcW w:w="372" w:type="pct"/>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其他</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1.各生产工序PM有组织排放限值要求：10mg/m</w:t>
            </w:r>
            <w:r>
              <w:rPr>
                <w:rFonts w:cs="Times New Roman"/>
                <w:kern w:val="21"/>
                <w:sz w:val="21"/>
                <w:szCs w:val="21"/>
                <w:vertAlign w:val="superscript"/>
              </w:rPr>
              <w:t>3</w:t>
            </w:r>
            <w:r>
              <w:rPr>
                <w:rFonts w:cs="Times New Roman"/>
                <w:kern w:val="21"/>
                <w:sz w:val="21"/>
                <w:szCs w:val="21"/>
              </w:rPr>
              <w:t>；2.厂界PM、VOCs排放限值要求：1、2mg/m</w:t>
            </w:r>
            <w:r>
              <w:rPr>
                <w:rFonts w:cs="Times New Roman"/>
                <w:kern w:val="21"/>
                <w:sz w:val="21"/>
                <w:szCs w:val="21"/>
                <w:vertAlign w:val="superscript"/>
              </w:rPr>
              <w:t>3</w:t>
            </w:r>
            <w:r>
              <w:rPr>
                <w:rFonts w:cs="Times New Roman"/>
                <w:kern w:val="21"/>
                <w:sz w:val="21"/>
                <w:szCs w:val="21"/>
              </w:rPr>
              <w:t>。</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1.各生产工序PM有组织排放浓度均不高于10mg/m</w:t>
            </w:r>
            <w:r>
              <w:rPr>
                <w:rFonts w:cs="Times New Roman"/>
                <w:kern w:val="21"/>
                <w:sz w:val="21"/>
                <w:szCs w:val="21"/>
                <w:vertAlign w:val="superscript"/>
              </w:rPr>
              <w:t>3</w:t>
            </w:r>
            <w:r>
              <w:rPr>
                <w:rFonts w:cs="Times New Roman"/>
                <w:kern w:val="21"/>
                <w:sz w:val="21"/>
                <w:szCs w:val="21"/>
              </w:rPr>
              <w:t>；2.厂界PM、VOCs排放浓度低于1</w:t>
            </w:r>
            <w:r>
              <w:rPr>
                <w:rFonts w:hint="eastAsia" w:cs="Times New Roman"/>
                <w:kern w:val="21"/>
                <w:sz w:val="21"/>
                <w:szCs w:val="21"/>
                <w:lang w:val="en-US" w:eastAsia="zh-CN"/>
              </w:rPr>
              <w:t>.0</w:t>
            </w:r>
            <w:r>
              <w:rPr>
                <w:rFonts w:cs="Times New Roman"/>
                <w:kern w:val="21"/>
                <w:sz w:val="21"/>
                <w:szCs w:val="21"/>
              </w:rPr>
              <w:t>mg/m</w:t>
            </w:r>
            <w:r>
              <w:rPr>
                <w:rFonts w:cs="Times New Roman"/>
                <w:kern w:val="21"/>
                <w:sz w:val="21"/>
                <w:szCs w:val="21"/>
                <w:vertAlign w:val="superscript"/>
              </w:rPr>
              <w:t>3</w:t>
            </w:r>
            <w:r>
              <w:rPr>
                <w:rFonts w:cs="Times New Roman"/>
                <w:kern w:val="21"/>
                <w:sz w:val="21"/>
                <w:szCs w:val="21"/>
              </w:rPr>
              <w:t>、2</w:t>
            </w:r>
            <w:r>
              <w:rPr>
                <w:rFonts w:hint="eastAsia" w:cs="Times New Roman"/>
                <w:kern w:val="21"/>
                <w:sz w:val="21"/>
                <w:szCs w:val="21"/>
                <w:lang w:val="en-US" w:eastAsia="zh-CN"/>
              </w:rPr>
              <w:t>.0</w:t>
            </w:r>
            <w:r>
              <w:rPr>
                <w:rFonts w:cs="Times New Roman"/>
                <w:kern w:val="21"/>
                <w:sz w:val="21"/>
                <w:szCs w:val="21"/>
              </w:rPr>
              <w:t>mg/m</w:t>
            </w:r>
            <w:r>
              <w:rPr>
                <w:rFonts w:cs="Times New Roman"/>
                <w:kern w:val="21"/>
                <w:sz w:val="21"/>
                <w:szCs w:val="21"/>
                <w:vertAlign w:val="superscript"/>
              </w:rPr>
              <w:t>3</w:t>
            </w:r>
            <w:r>
              <w:rPr>
                <w:rFonts w:cs="Times New Roman"/>
                <w:kern w:val="21"/>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监测监控水平</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有组织排放口按生态环境部门要求安装烟气排放自动监控设施（CEMS），并按要求联网；2.有组织排放口按照排污许可证要求开展自行监测；3.涉气生产工序、生产装置及污染治理设施按生态环境部门要求安装用电监管设备，用电监管设备与省、市生态环境部门用电监管平台联网；4.厂内未安装在线监控的涉气生产设施主要投料口安装高清视频监控系统，视频能够保存三个月 以上。</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1.后续根据排污许可证要求开展自行监测；2.根据要求整改、安装用电监管设备，并与省、市生态环境部门用电监管平台联网；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1" w:type="pct"/>
            <w:gridSpan w:val="3"/>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环境管理水平</w:t>
            </w:r>
          </w:p>
        </w:tc>
        <w:tc>
          <w:tcPr>
            <w:tcW w:w="262" w:type="pct"/>
            <w:textDirection w:val="tbRlV"/>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环保档案</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环评批复文件和竣工环保验收文件或环境现状评估备案证明；2.国家版排污许可证；3.环境管理制度（有组织、无组织排放长效管理机制，主要包括岗位责任制度、达标公示制度和定期巡查维护制度等）；4.废气治理设施运行管理规程；5.一年内废气监测报告（符合排污许可证监测项目及频次要求）。</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按照要求完善相关手续，制定管理制度，进行自行监测，并保留相关档案。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1" w:type="pct"/>
            <w:gridSpan w:val="3"/>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c>
          <w:tcPr>
            <w:tcW w:w="262" w:type="pct"/>
            <w:textDirection w:val="tbRlV"/>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台账记录</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1.生产设施运行管理信息（生产时间、运行负荷、产品产量等）；2.废气污染治理设施运行管理信息；3.监测记录信息（主要污染排放口废气排放记录等）；4.主要原辅材料消耗记录；5燃料消耗记录；</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建立台账，包括生产设施管理信息、废气污染治理设施管理信息、监测记录信息、原辅材料消耗记录、染料消耗记录等。</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1" w:type="pct"/>
            <w:gridSpan w:val="3"/>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c>
          <w:tcPr>
            <w:tcW w:w="262" w:type="pct"/>
            <w:textDirection w:val="tbRlV"/>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人员配置</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设置环保部门，配备专职环保人员，并具备相应的环境管理能力（学历、培训、从业经验等）。</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设置环保部门，配备专职环保人员，并具备相应的环境管理能力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运输方式</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1.物料、产品公路运输全部使用国五及以上排放标准的重型载货车辆（重型燃气车辆达到国六排放标准）或新能源车辆；2.厂区车辆全部达国五及以上排放标准（重型燃气车辆达到国六排放标准）使用新能源车辆；3.厂内非道路移动机械达到国三及以上排放标准或使用新能源机械。</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评价要求企业大宗物料和产品运输车辆达到国五及以上排放标准（重型燃气车辆达到国六排放标准）或使用新能源车辆</w:t>
            </w:r>
            <w:r>
              <w:rPr>
                <w:rFonts w:hint="eastAsia" w:cs="Times New Roman"/>
                <w:kern w:val="21"/>
                <w:sz w:val="21"/>
                <w:szCs w:val="21"/>
                <w:lang w:eastAsia="zh-CN"/>
              </w:rPr>
              <w:t>，</w:t>
            </w:r>
            <w:r>
              <w:rPr>
                <w:rFonts w:cs="Times New Roman"/>
                <w:kern w:val="21"/>
                <w:sz w:val="21"/>
                <w:szCs w:val="21"/>
              </w:rPr>
              <w:t>厂内非道路移动机械达到国三及以上排放标准或使用新能源机械。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运输监管</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cs="Times New Roman"/>
                <w:kern w:val="21"/>
                <w:sz w:val="21"/>
                <w:szCs w:val="21"/>
              </w:rPr>
              <w:t>日均进出货物150吨（或载货车辆日进出10辆次）及以上（货物包括原料、辅料、燃料、产品和其他与生产相关物料）的企业，或纳入我省重点行业年产值1000万及以上的企业，应参照《重污染天气重点行业移动源应急管理技术指南》建立门禁视频监控系统和电子台账；其他企业建立电子台账。</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评价要求企业参照《重污染天气重点行业移动源应急管理技术指南》建立门禁系统和电子台账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000" w:type="pct"/>
            <w:gridSpan w:val="7"/>
            <w:shd w:val="clear" w:color="auto" w:fill="BDD6EE" w:themeFill="accent1" w:themeFillTint="66"/>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b/>
                <w:bCs/>
                <w:kern w:val="21"/>
                <w:sz w:val="21"/>
                <w:szCs w:val="21"/>
                <w:lang w:val="zh-CN"/>
              </w:rPr>
              <w:t>橡胶制品行业</w:t>
            </w:r>
            <w:r>
              <w:rPr>
                <w:rFonts w:hint="eastAsia"/>
                <w:b/>
                <w:bCs/>
                <w:kern w:val="21"/>
                <w:sz w:val="21"/>
                <w:szCs w:val="21"/>
              </w:rPr>
              <w:t>A级</w:t>
            </w:r>
            <w:r>
              <w:rPr>
                <w:b/>
                <w:bCs/>
                <w:kern w:val="21"/>
                <w:sz w:val="21"/>
                <w:szCs w:val="21"/>
                <w:lang w:val="zh-CN"/>
              </w:rPr>
              <w:t>绩效分级指标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项目</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A</w:t>
            </w:r>
            <w:r>
              <w:rPr>
                <w:rFonts w:cs="Times New Roman"/>
                <w:kern w:val="21"/>
                <w:sz w:val="21"/>
                <w:szCs w:val="21"/>
              </w:rPr>
              <w:t>级企业</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企业情况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23" w:type="pct"/>
            <w:gridSpan w:val="2"/>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生产工艺</w:t>
            </w:r>
          </w:p>
        </w:tc>
        <w:tc>
          <w:tcPr>
            <w:tcW w:w="270" w:type="pct"/>
            <w:gridSpan w:val="2"/>
            <w:vMerge w:val="restart"/>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橡胶零件制造、</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运动场地用塑胶制造、</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其他橡胶制品制造</w:t>
            </w: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1、橡胶、粉体料、液体料配料系统采用管道密闭投加或采用自动配料秤计量后袋装投加；</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2、炼胶工序采用包含上辅机、下辅机、密炼机一体化的密炼中心混炼；密炼机投料橡胶投料口采用集气罩收集，废气排至废气收集处理系统；下辅机（挤出、压延）全部封闭，采用集气罩收集，废气排至废气收集处理系统；硫化工序采用集气罩收集，废气排至废气收集处理系统；企业无胶浆制备、浸浆、胶浆喷涂和涂胶工序；</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3、VOCs原料存储于密闭的容器、包装袋、储罐、储库、料仓中；盛装VOCs原料的容器或包装袋存放于室内；盛装VOCs物料的容器或包装袋在非取用状态时应加盖、封口，保持密闭；</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4、炼胶车间和硫化车间封闭a</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1、橡胶、粉体料、液体料配料系统采用管道密闭投料系统；2、项目密炼机投料橡胶投料口均采用集气收集，废气排至废气收集处理系统硫化工序采用集气罩收集，废气排至废气收集处理系统；3、VOCs原料存储于密闭的容器、包装袋、储罐、储库、料仓中；盛装VOCs原料的容器或包装袋存放于室内，盛装VOCs物料的容器或包装袋在非取用状态时应加盖、封口，保持密闭；4、硫化车间全密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23" w:type="pct"/>
            <w:gridSpan w:val="2"/>
            <w:tcBorders>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有机废气治理工艺</w:t>
            </w:r>
          </w:p>
        </w:tc>
        <w:tc>
          <w:tcPr>
            <w:tcW w:w="270" w:type="pct"/>
            <w:gridSpan w:val="2"/>
            <w:vMerge w:val="continue"/>
            <w:tcBorders>
              <w:lef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c>
          <w:tcPr>
            <w:tcW w:w="2600"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1、混炼、硫化废气，全部收集后，采用喷淋、吸附、低温等离子、生物法等二级及以上组合工艺处理，或采用燃烧工艺（热力燃烧、催化燃烧、蓄热燃烧）处理，或引至锅炉燃烧；</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2、胶浆制备、浸浆、胶浆喷涂和涂胶废气全部收集后，采用燃烧工艺（热力燃烧、催化燃烧、蓄热燃烧）处理，或引至锅炉燃烧；</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3、单根排气筒NMHC排放速率≥2kg/h的，处理效率≥80%</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u w:val="single"/>
              </w:rPr>
              <w:t>本项目硫化废气采用袋式除尘器+</w:t>
            </w:r>
            <w:r>
              <w:rPr>
                <w:rFonts w:hint="eastAsia"/>
                <w:color w:val="000000" w:themeColor="text1"/>
                <w:sz w:val="21"/>
                <w:szCs w:val="21"/>
                <w:u w:val="single"/>
                <w:lang w:val="en-US" w:eastAsia="zh-CN"/>
                <w14:textFill>
                  <w14:solidFill>
                    <w14:schemeClr w14:val="tx1"/>
                  </w14:solidFill>
                </w14:textFill>
              </w:rPr>
              <w:t>活性炭吸附箱+RCO废气处理工艺</w:t>
            </w:r>
            <w:r>
              <w:rPr>
                <w:rFonts w:hint="eastAsia" w:cs="Times New Roman"/>
                <w:kern w:val="21"/>
                <w:sz w:val="21"/>
                <w:szCs w:val="21"/>
                <w:u w:val="single"/>
              </w:rPr>
              <w:t>处理后高空排放；单根排气筒NMHC排放速率≥2kg/h的，处理效率≥</w:t>
            </w:r>
            <w:r>
              <w:rPr>
                <w:rFonts w:hint="eastAsia" w:cs="Times New Roman"/>
                <w:kern w:val="21"/>
                <w:sz w:val="21"/>
                <w:szCs w:val="21"/>
                <w:u w:val="single"/>
                <w:lang w:val="en-US" w:eastAsia="zh-CN"/>
              </w:rPr>
              <w:t>90</w:t>
            </w:r>
            <w:r>
              <w:rPr>
                <w:rFonts w:hint="eastAsia" w:cs="Times New Roman"/>
                <w:kern w:val="21"/>
                <w:sz w:val="21"/>
                <w:szCs w:val="21"/>
                <w:u w:val="single"/>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tcBorders>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宋体"/>
                <w:kern w:val="21"/>
                <w:sz w:val="21"/>
                <w:szCs w:val="21"/>
              </w:rPr>
              <w:t>排放限值</w:t>
            </w:r>
          </w:p>
        </w:tc>
        <w:tc>
          <w:tcPr>
            <w:tcW w:w="2600" w:type="pct"/>
            <w:gridSpan w:val="2"/>
            <w:tcBorders>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炼胶、硫化废气排放口NMHC浓度不高于10mg/m</w:t>
            </w:r>
            <w:r>
              <w:rPr>
                <w:rFonts w:hint="eastAsia" w:cs="Times New Roman"/>
                <w:kern w:val="21"/>
                <w:sz w:val="21"/>
                <w:szCs w:val="21"/>
                <w:vertAlign w:val="superscript"/>
              </w:rPr>
              <w:t>3</w:t>
            </w:r>
            <w:r>
              <w:rPr>
                <w:rFonts w:hint="eastAsia" w:cs="Times New Roman"/>
                <w:kern w:val="21"/>
                <w:sz w:val="21"/>
                <w:szCs w:val="21"/>
              </w:rPr>
              <w:t>；胶浆制备、浸浆、胶浆喷涂和涂胶废气排放口NMHC浓度不高于50mg/m</w:t>
            </w:r>
            <w:r>
              <w:rPr>
                <w:rFonts w:hint="eastAsia" w:cs="Times New Roman"/>
                <w:kern w:val="21"/>
                <w:sz w:val="21"/>
                <w:szCs w:val="21"/>
                <w:vertAlign w:val="superscript"/>
              </w:rPr>
              <w:t>3</w:t>
            </w:r>
            <w:r>
              <w:rPr>
                <w:rFonts w:hint="eastAsia" w:cs="Times New Roman"/>
                <w:kern w:val="21"/>
                <w:sz w:val="21"/>
                <w:szCs w:val="21"/>
              </w:rPr>
              <w:t>；其余排放口及各项污染物连续稳定达到《橡胶制品工业污染物排放标准》（GB27632—2011）排放限值，并满足相关地方排放标准要求（不要求基准排气量）；</w:t>
            </w:r>
          </w:p>
        </w:tc>
        <w:tc>
          <w:tcPr>
            <w:tcW w:w="1805" w:type="pct"/>
            <w:tcBorders>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本项目硫化废气排放口NMHC浓度不高于10mg/m</w:t>
            </w:r>
            <w:r>
              <w:rPr>
                <w:rFonts w:hint="eastAsia" w:cs="Times New Roman"/>
                <w:kern w:val="21"/>
                <w:sz w:val="21"/>
                <w:szCs w:val="21"/>
                <w:vertAlign w:val="superscript"/>
              </w:rPr>
              <w:t>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tcBorders>
              <w:top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宋体"/>
                <w:kern w:val="21"/>
                <w:sz w:val="21"/>
                <w:szCs w:val="21"/>
              </w:rPr>
            </w:pPr>
            <w:r>
              <w:rPr>
                <w:rFonts w:hint="eastAsia" w:cs="宋体"/>
                <w:kern w:val="21"/>
                <w:sz w:val="21"/>
                <w:szCs w:val="21"/>
              </w:rPr>
              <w:t>监测监控水平</w:t>
            </w:r>
          </w:p>
        </w:tc>
        <w:tc>
          <w:tcPr>
            <w:tcW w:w="2600" w:type="pct"/>
            <w:gridSpan w:val="2"/>
            <w:tcBorders>
              <w:top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重点排污企业主要排放口b安装CEMS（PM、NMHC），数据</w:t>
            </w:r>
            <w:r>
              <w:rPr>
                <w:rFonts w:hint="eastAsia" w:cs="Times New Roman"/>
                <w:kern w:val="21"/>
                <w:sz w:val="21"/>
                <w:szCs w:val="21"/>
                <w:lang w:eastAsia="zh-CN"/>
              </w:rPr>
              <w:t>至少保存一年</w:t>
            </w:r>
          </w:p>
        </w:tc>
        <w:tc>
          <w:tcPr>
            <w:tcW w:w="1805" w:type="pct"/>
            <w:tcBorders>
              <w:top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企业按要求建设在线监测系统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环境管理水平</w:t>
            </w:r>
          </w:p>
        </w:tc>
        <w:tc>
          <w:tcPr>
            <w:tcW w:w="2600" w:type="pct"/>
            <w:gridSpan w:val="2"/>
            <w:tcBorders>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环保档案齐全：1、环评批复文件；2、排污许可证及执行报告；3、竣工验收文件；4、废气治理设施运行管理规程；5、一年内废气监测报告</w:t>
            </w:r>
          </w:p>
        </w:tc>
        <w:tc>
          <w:tcPr>
            <w:tcW w:w="1805"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企业按要求建立环境管理制度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c>
          <w:tcPr>
            <w:tcW w:w="2600" w:type="pct"/>
            <w:gridSpan w:val="2"/>
            <w:tcBorders>
              <w:top w:val="single" w:color="000000" w:sz="4" w:space="0"/>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台账记录：1、生产设施运行管理信息（生产时间、运行负荷、产品产量等）；2、废气污染治理设施运行管理信息（除尘滤料更换量和时间、燃烧室温度、活性炭更换量和时间等）；3、监测记录信息（主要污染排放口废气排放记录（手工监测和在线监测）等）；4、主要原辅材料消耗记录；5、燃料消耗记录</w:t>
            </w:r>
          </w:p>
        </w:tc>
        <w:tc>
          <w:tcPr>
            <w:tcW w:w="1805"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c>
          <w:tcPr>
            <w:tcW w:w="2600" w:type="pct"/>
            <w:gridSpan w:val="2"/>
            <w:tcBorders>
              <w:top w:val="single" w:color="000000" w:sz="4" w:space="0"/>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人员配置：设置环保部门，配备专职环保人员，并具备相应的环境管理能力</w:t>
            </w:r>
          </w:p>
        </w:tc>
        <w:tc>
          <w:tcPr>
            <w:tcW w:w="1805"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运输方式</w:t>
            </w:r>
          </w:p>
        </w:tc>
        <w:tc>
          <w:tcPr>
            <w:tcW w:w="2600" w:type="pct"/>
            <w:gridSpan w:val="2"/>
            <w:tcBorders>
              <w:top w:val="single" w:color="000000" w:sz="4" w:space="0"/>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1、物料公路运输使用达到国五及以上排放标准重型载货车辆（含燃气）或新能源车辆占比不低于50%，其他车辆达到国四排放标准；</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2、厂内运输使用达到国五及以上排放标准车辆（含燃气）或新能源车辆比例不低于50%，其他车辆达到国四排放标准；</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3、厂内非道路移动机械使用达到国三及以上排放标准或新能源机械比例不低于50%</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评价要求企业大宗物料和产品运输车辆达到国五及以上排放标准（重型燃气车辆达到国六排放标准）或使用新能源车辆</w:t>
            </w:r>
            <w:r>
              <w:rPr>
                <w:rFonts w:hint="eastAsia" w:cs="Times New Roman"/>
                <w:kern w:val="21"/>
                <w:sz w:val="21"/>
                <w:szCs w:val="21"/>
                <w:lang w:eastAsia="zh-CN"/>
              </w:rPr>
              <w:t>，</w:t>
            </w:r>
            <w:r>
              <w:rPr>
                <w:rFonts w:cs="Times New Roman"/>
                <w:kern w:val="21"/>
                <w:sz w:val="21"/>
                <w:szCs w:val="21"/>
              </w:rPr>
              <w:t>厂内非道路移动机械达到国三及以上排放标准或使用新能源机械。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cs="Times New Roman"/>
                <w:kern w:val="21"/>
                <w:sz w:val="21"/>
                <w:szCs w:val="21"/>
              </w:rPr>
              <w:t>运输监管</w:t>
            </w:r>
          </w:p>
        </w:tc>
        <w:tc>
          <w:tcPr>
            <w:tcW w:w="2600" w:type="pct"/>
            <w:gridSpan w:val="2"/>
            <w:tcBorders>
              <w:top w:val="single" w:color="000000" w:sz="4" w:space="0"/>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cs="Times New Roman"/>
                <w:kern w:val="21"/>
                <w:sz w:val="21"/>
                <w:szCs w:val="21"/>
              </w:rPr>
            </w:pPr>
            <w:r>
              <w:rPr>
                <w:rFonts w:hint="eastAsia" w:cs="Times New Roman"/>
                <w:kern w:val="21"/>
                <w:sz w:val="21"/>
                <w:szCs w:val="21"/>
              </w:rPr>
              <w:t>参照《重污染天气重点行业移动源应急管理技术指南》建立门禁系统和电子台账</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eastAsia" w:cs="Times New Roman"/>
                <w:kern w:val="21"/>
                <w:sz w:val="21"/>
                <w:szCs w:val="21"/>
              </w:rPr>
              <w:t>企业参照《重污染天气重点行业移动源应急管理技术指南》建立门禁系统和电子台账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000" w:type="pct"/>
            <w:gridSpan w:val="7"/>
            <w:shd w:val="clear" w:color="auto" w:fill="BDD6EE" w:themeFill="accent1" w:themeFillTint="66"/>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cs="Times New Roman"/>
                <w:kern w:val="21"/>
                <w:sz w:val="21"/>
                <w:szCs w:val="21"/>
              </w:rPr>
            </w:pPr>
            <w:r>
              <w:rPr>
                <w:rFonts w:hint="eastAsia" w:ascii="Times New Roman" w:hAnsi="Times New Roman" w:eastAsia="宋体" w:cs="Times New Roman"/>
                <w:b/>
                <w:bCs/>
                <w:kern w:val="0"/>
                <w:sz w:val="24"/>
                <w:szCs w:val="24"/>
                <w:u w:val="single"/>
                <w:lang w:val="en-US" w:eastAsia="zh-CN"/>
              </w:rPr>
              <w:t>塑料制品企业</w:t>
            </w:r>
            <w:r>
              <w:rPr>
                <w:rFonts w:hint="eastAsia" w:cs="Times New Roman"/>
                <w:b/>
                <w:bCs/>
                <w:kern w:val="0"/>
                <w:sz w:val="24"/>
                <w:szCs w:val="24"/>
                <w:u w:val="single"/>
                <w:lang w:val="en-US" w:eastAsia="zh-CN"/>
              </w:rPr>
              <w:t>A</w:t>
            </w:r>
            <w:r>
              <w:rPr>
                <w:rFonts w:hint="eastAsia" w:ascii="Times New Roman" w:hAnsi="Times New Roman" w:eastAsia="宋体" w:cs="Times New Roman"/>
                <w:b/>
                <w:bCs/>
                <w:kern w:val="0"/>
                <w:sz w:val="24"/>
                <w:szCs w:val="24"/>
                <w:u w:val="single"/>
                <w:lang w:val="en-US" w:eastAsia="zh-CN"/>
              </w:rPr>
              <w:t>级指标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kern w:val="21"/>
                <w:sz w:val="21"/>
                <w:szCs w:val="21"/>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原料、能源类型</w:t>
            </w:r>
          </w:p>
        </w:tc>
        <w:tc>
          <w:tcPr>
            <w:tcW w:w="2600" w:type="pct"/>
            <w:gridSpan w:val="2"/>
            <w:tcBorders>
              <w:top w:val="single" w:color="000000" w:sz="4" w:space="0"/>
              <w:bottom w:val="single" w:color="000000" w:sz="4" w:space="0"/>
            </w:tcBorders>
            <w:vAlign w:val="center"/>
          </w:tcPr>
          <w:p>
            <w:pPr>
              <w:pStyle w:val="15"/>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1.原料全部使用非再生料（即使用原包料，非废旧塑料）；</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cs="Times New Roman"/>
                <w:kern w:val="21"/>
                <w:sz w:val="21"/>
                <w:szCs w:val="21"/>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2.能源使用电、天然气、液化石油气等能源。</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cs="Times New Roman"/>
                <w:kern w:val="21"/>
                <w:sz w:val="21"/>
                <w:szCs w:val="21"/>
                <w:lang w:val="en-US" w:eastAsia="zh-CN"/>
              </w:rPr>
            </w:pPr>
            <w:r>
              <w:rPr>
                <w:rFonts w:hint="eastAsia" w:cs="Times New Roman"/>
                <w:kern w:val="21"/>
                <w:sz w:val="21"/>
                <w:szCs w:val="21"/>
                <w:lang w:val="en-US" w:eastAsia="zh-CN"/>
              </w:rPr>
              <w:t>1、企业人造草坪原料为聚乙烯颗粒</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cs="Times New Roman"/>
                <w:kern w:val="21"/>
                <w:sz w:val="21"/>
                <w:szCs w:val="21"/>
              </w:rPr>
            </w:pPr>
            <w:r>
              <w:rPr>
                <w:rFonts w:hint="eastAsia" w:cs="Times New Roman"/>
                <w:kern w:val="21"/>
                <w:sz w:val="21"/>
                <w:szCs w:val="21"/>
                <w:lang w:val="en-US" w:eastAsia="zh-CN"/>
              </w:rPr>
              <w:t>2、企业使用电能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bidi w:val="0"/>
              <w:adjustRightInd w:val="0"/>
              <w:snapToGrid w:val="0"/>
              <w:spacing w:line="360" w:lineRule="exact"/>
              <w:ind w:left="0" w:leftChars="0" w:right="0" w:rightChars="0" w:firstLine="0" w:firstLineChars="0"/>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生产工艺及装备水平</w:t>
            </w:r>
          </w:p>
        </w:tc>
        <w:tc>
          <w:tcPr>
            <w:tcW w:w="2600" w:type="pct"/>
            <w:gridSpan w:val="2"/>
            <w:tcBorders>
              <w:top w:val="single" w:color="000000" w:sz="4" w:space="0"/>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1.属于《产业结构调整指导目录（2019年版）》鼓励类和允许类；2.符合相关行业产业政策；3.符合河南省相关政策要求；4.符合市级规划。</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cs="Times New Roman"/>
                <w:kern w:val="21"/>
                <w:sz w:val="21"/>
                <w:szCs w:val="21"/>
                <w:lang w:val="en-US" w:eastAsia="zh-CN"/>
              </w:rPr>
            </w:pPr>
            <w:r>
              <w:rPr>
                <w:rFonts w:hint="eastAsia" w:cs="Times New Roman"/>
                <w:kern w:val="21"/>
                <w:sz w:val="21"/>
                <w:szCs w:val="21"/>
                <w:lang w:val="en-US" w:eastAsia="zh-CN"/>
              </w:rPr>
              <w:t>企业符合相关规划</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bidi w:val="0"/>
              <w:adjustRightInd w:val="0"/>
              <w:snapToGrid w:val="0"/>
              <w:spacing w:line="360" w:lineRule="exact"/>
              <w:ind w:left="0" w:leftChars="0" w:right="0" w:rightChars="0" w:firstLine="0" w:firstLineChars="0"/>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废气收集及处理工艺</w:t>
            </w:r>
          </w:p>
        </w:tc>
        <w:tc>
          <w:tcPr>
            <w:tcW w:w="2600" w:type="pct"/>
            <w:gridSpan w:val="2"/>
            <w:tcBorders>
              <w:top w:val="single" w:color="000000" w:sz="4" w:space="0"/>
              <w:bottom w:val="single" w:color="000000" w:sz="4" w:space="0"/>
            </w:tcBorders>
            <w:vAlign w:val="center"/>
          </w:tcPr>
          <w:p>
            <w:pPr>
              <w:spacing w:line="240" w:lineRule="auto"/>
              <w:ind w:left="0" w:leftChars="0" w:firstLine="0" w:firstLineChars="0"/>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投料、挤塑、注塑、滚塑、吹塑、压延、挤出、造粒、热定型、冷却、发泡、熟化、干燥等涉VOCs序采用密闭设备或在密闭空间内操作，废气有效收集至VOCs废气处理系统，车间外无异味；采用局部集气罩的，距集气罩开口面最远处的VOCs无组织排放位置，控制风速不低于0.3米/秒；</w:t>
            </w:r>
          </w:p>
          <w:p>
            <w:pPr>
              <w:spacing w:line="240" w:lineRule="auto"/>
              <w:ind w:left="0" w:leftChars="0" w:firstLine="0" w:firstLineChars="0"/>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2.VOCs治理采用燃烧工艺（包括直接燃烧、催化燃烧和蓄热燃烧），或静电、吸附、低温等离子、生物法等两级及以上组合工艺处理（采用一次性活性炭吸附的，活性炭碘值在800mg/g及以上）；</w:t>
            </w:r>
          </w:p>
          <w:p>
            <w:pPr>
              <w:spacing w:line="240" w:lineRule="auto"/>
              <w:ind w:left="0" w:leftChars="0" w:firstLine="0" w:firstLineChars="0"/>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3.粉状、粒状物料采用自动投料器投加和配混，投加和混配工序在封闭车间内进行，PM有效收集，采用覆膜滤袋、滤筒等高效除尘技术；</w:t>
            </w:r>
          </w:p>
          <w:p>
            <w:pPr>
              <w:spacing w:line="240" w:lineRule="auto"/>
              <w:ind w:left="0" w:leftChars="0" w:firstLine="0" w:firstLineChars="0"/>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4.废吸附剂应密闭的包装袋或容器储存、转运，并建立储存、处置台账；</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5.NOx治理采用低氮燃烧、SNCR/SCR等适宜技术。</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Times New Roman"/>
                <w:kern w:val="21"/>
                <w:sz w:val="21"/>
                <w:szCs w:val="21"/>
                <w:lang w:val="en-US" w:eastAsia="zh-CN"/>
              </w:rPr>
            </w:pPr>
            <w:r>
              <w:rPr>
                <w:rFonts w:hint="eastAsia" w:ascii="Times New Roman" w:hAnsi="Times New Roman" w:eastAsia="宋体" w:cs="Times New Roman"/>
                <w:kern w:val="21"/>
                <w:sz w:val="21"/>
                <w:szCs w:val="21"/>
                <w:lang w:val="en-US" w:eastAsia="zh-CN"/>
              </w:rPr>
              <w:t>1和2、</w:t>
            </w:r>
            <w:r>
              <w:rPr>
                <w:rFonts w:hint="default" w:ascii="Times New Roman" w:hAnsi="Times New Roman" w:eastAsia="宋体" w:cs="Times New Roman"/>
                <w:kern w:val="21"/>
                <w:sz w:val="21"/>
                <w:szCs w:val="21"/>
                <w:lang w:val="en-US" w:eastAsia="zh-CN"/>
              </w:rPr>
              <w:t>投料、挤塑</w:t>
            </w:r>
            <w:r>
              <w:rPr>
                <w:rFonts w:hint="eastAsia" w:ascii="Times New Roman" w:hAnsi="Times New Roman" w:eastAsia="宋体" w:cs="Times New Roman"/>
                <w:kern w:val="21"/>
                <w:sz w:val="21"/>
                <w:szCs w:val="21"/>
                <w:lang w:val="en-US" w:eastAsia="zh-CN"/>
              </w:rPr>
              <w:t>工序采用二次密闭措施，废气经负压收集后经</w:t>
            </w:r>
            <w:r>
              <w:rPr>
                <w:rFonts w:hint="eastAsia" w:cs="Times New Roman"/>
                <w:kern w:val="21"/>
                <w:sz w:val="21"/>
                <w:szCs w:val="21"/>
                <w:lang w:val="en-US" w:eastAsia="zh-CN"/>
              </w:rPr>
              <w:t>活性炭吸附箱+RCO废气处理工艺</w:t>
            </w:r>
            <w:r>
              <w:rPr>
                <w:rFonts w:hint="eastAsia" w:ascii="Times New Roman" w:hAnsi="Times New Roman" w:eastAsia="宋体" w:cs="Times New Roman"/>
                <w:kern w:val="21"/>
                <w:sz w:val="21"/>
                <w:szCs w:val="21"/>
                <w:lang w:val="en-US" w:eastAsia="zh-CN"/>
              </w:rPr>
              <w:t>处理，加强收集和密闭措施减少无组织排放。</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Times New Roman"/>
                <w:kern w:val="21"/>
                <w:sz w:val="21"/>
                <w:szCs w:val="21"/>
                <w:lang w:val="en-US" w:eastAsia="zh-CN"/>
              </w:rPr>
            </w:pPr>
            <w:r>
              <w:rPr>
                <w:rFonts w:hint="eastAsia" w:ascii="Times New Roman" w:hAnsi="Times New Roman" w:eastAsia="宋体" w:cs="Times New Roman"/>
                <w:kern w:val="21"/>
                <w:sz w:val="21"/>
                <w:szCs w:val="21"/>
                <w:lang w:val="en-US" w:eastAsia="zh-CN"/>
              </w:rPr>
              <w:t>3、企业颗粒状原料采用密闭上料间，然后经高效脉冲袋式除尘器处理后排放</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eastAsia="宋体" w:cs="Times New Roman"/>
                <w:kern w:val="21"/>
                <w:sz w:val="21"/>
                <w:szCs w:val="21"/>
                <w:lang w:val="en-US" w:eastAsia="zh-CN"/>
              </w:rPr>
              <w:t>4、</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废吸附剂</w:t>
            </w: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经密闭</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容器储存、转运，并建立储存、处置台账</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lang w:val="en-US" w:eastAsia="zh-CN"/>
              </w:rPr>
            </w:pPr>
            <w:r>
              <w:rPr>
                <w:rFonts w:hint="eastAsia" w:ascii="Times New Roman" w:hAnsi="Times New Roman" w:eastAsia="宋体" w:cs="Times New Roman"/>
                <w:kern w:val="21"/>
                <w:sz w:val="21"/>
                <w:szCs w:val="21"/>
                <w:lang w:val="en-US" w:eastAsia="zh-CN"/>
              </w:rPr>
              <w:t>5、企业不涉及</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NOx</w:t>
            </w: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排放</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无组织管控</w:t>
            </w:r>
          </w:p>
        </w:tc>
        <w:tc>
          <w:tcPr>
            <w:tcW w:w="2600" w:type="pct"/>
            <w:gridSpan w:val="2"/>
            <w:tcBorders>
              <w:top w:val="single" w:color="000000" w:sz="4" w:space="0"/>
              <w:bottom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1.VOCs物料存储于密闭的容器、包装袋、储罐、储库、料仓中；盛装VOCs物料的容器或包装袋存放于室内；盛装VOCs物料的容器或包装袋在非取用状态时应加盖、封口，保持密闭；</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2.粉状物料采用气力输送、管状带式输送机、螺旋输送机等自动化、密闭输送方式；粒状物料采用封闭皮带等自动化、封闭输送方式；液态VOCs物料采用密闭管道输送；</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3.产生VOCs的生产工序和装置应设置有效集气装置并引至VOCs末端处理设施；</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4.厂区道路及车间地面硬化，车间地面、墙壁、设备顶部整洁无积尘；厂内地面全部硬化或绿化，无成片裸露土地。</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Times New Roman"/>
                <w:kern w:val="21"/>
                <w:sz w:val="21"/>
                <w:szCs w:val="21"/>
                <w:lang w:val="en-US" w:eastAsia="zh-CN"/>
              </w:rPr>
            </w:pPr>
            <w:r>
              <w:rPr>
                <w:rFonts w:hint="eastAsia" w:ascii="Times New Roman" w:hAnsi="Times New Roman" w:eastAsia="宋体" w:cs="Times New Roman"/>
                <w:kern w:val="21"/>
                <w:sz w:val="21"/>
                <w:szCs w:val="21"/>
                <w:lang w:val="en-US" w:eastAsia="zh-CN"/>
              </w:rPr>
              <w:t>1、企业VOCs物料全部储存于</w:t>
            </w:r>
            <w:r>
              <w:rPr>
                <w:rFonts w:hint="eastAsia" w:cs="Times New Roman"/>
                <w:kern w:val="21"/>
                <w:sz w:val="21"/>
                <w:szCs w:val="21"/>
                <w:lang w:val="en-US" w:eastAsia="zh-CN"/>
              </w:rPr>
              <w:t>储桶</w:t>
            </w:r>
            <w:r>
              <w:rPr>
                <w:rFonts w:hint="eastAsia" w:ascii="Times New Roman" w:hAnsi="Times New Roman" w:eastAsia="宋体" w:cs="Times New Roman"/>
                <w:kern w:val="21"/>
                <w:sz w:val="21"/>
                <w:szCs w:val="21"/>
                <w:lang w:val="en-US" w:eastAsia="zh-CN"/>
              </w:rPr>
              <w:t>和密闭塑料桶等密闭容器；</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宋体" w:cs="Times New Roman"/>
                <w:kern w:val="21"/>
                <w:sz w:val="21"/>
                <w:szCs w:val="21"/>
                <w:lang w:val="en-US" w:eastAsia="zh-CN"/>
              </w:rPr>
            </w:pPr>
            <w:r>
              <w:rPr>
                <w:rFonts w:hint="eastAsia" w:ascii="Times New Roman" w:hAnsi="Times New Roman" w:eastAsia="宋体" w:cs="Times New Roman"/>
                <w:kern w:val="21"/>
                <w:sz w:val="21"/>
                <w:szCs w:val="21"/>
                <w:lang w:val="en-US" w:eastAsia="zh-CN"/>
              </w:rPr>
              <w:t>2、粉状物料采用气力输送，颗粒物装物料采用密闭上料，管道输送方式，液体VOCs物料采用管道泵输送。</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lang w:val="en-US" w:eastAsia="zh-CN"/>
              </w:rPr>
            </w:pPr>
            <w:r>
              <w:rPr>
                <w:rFonts w:hint="eastAsia"/>
                <w:lang w:val="en-US" w:eastAsia="zh-CN"/>
              </w:rPr>
              <w:t>3、</w:t>
            </w:r>
            <w:r>
              <w:rPr>
                <w:rFonts w:hint="eastAsia"/>
                <w:color w:val="000000" w:themeColor="text1"/>
                <w:sz w:val="21"/>
                <w:szCs w:val="21"/>
                <w:u w:val="none"/>
                <w:lang w:eastAsia="zh-CN"/>
                <w14:textFill>
                  <w14:solidFill>
                    <w14:schemeClr w14:val="tx1"/>
                  </w14:solidFill>
                </w14:textFill>
              </w:rPr>
              <w:t>硫化废气、上料、密炼和粉碎废气收集后先经袋式除尘器处理，排入1#“</w:t>
            </w:r>
            <w:r>
              <w:rPr>
                <w:rFonts w:hint="eastAsia"/>
                <w:color w:val="000000" w:themeColor="text1"/>
                <w:sz w:val="21"/>
                <w:szCs w:val="21"/>
                <w:u w:val="none"/>
                <w:lang w:val="en-US" w:eastAsia="zh-CN"/>
                <w14:textFill>
                  <w14:solidFill>
                    <w14:schemeClr w14:val="tx1"/>
                  </w14:solidFill>
                </w14:textFill>
              </w:rPr>
              <w:t>活性炭吸附箱+RCO废气处理工艺</w:t>
            </w:r>
            <w:r>
              <w:rPr>
                <w:rFonts w:hint="eastAsia"/>
                <w:color w:val="000000" w:themeColor="text1"/>
                <w:sz w:val="21"/>
                <w:szCs w:val="21"/>
                <w:u w:val="none"/>
                <w:lang w:eastAsia="zh-CN"/>
                <w14:textFill>
                  <w14:solidFill>
                    <w14:schemeClr w14:val="tx1"/>
                  </w14:solidFill>
                </w14:textFill>
              </w:rPr>
              <w:t>”处置后经15米排气筒排放；其他工艺废气经</w:t>
            </w:r>
            <w:r>
              <w:rPr>
                <w:rFonts w:hint="eastAsia"/>
                <w:color w:val="000000" w:themeColor="text1"/>
                <w:sz w:val="21"/>
                <w:szCs w:val="21"/>
                <w:u w:val="none"/>
                <w:lang w:val="en-US" w:eastAsia="zh-CN"/>
                <w14:textFill>
                  <w14:solidFill>
                    <w14:schemeClr w14:val="tx1"/>
                  </w14:solidFill>
                </w14:textFill>
              </w:rPr>
              <w:t>水喷淋洗涤塔+干式分离器+活性炭吸附箱+RCO废气处理工艺+15m排气筒高空排放</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eastAsia="zh-CN"/>
                <w14:textFill>
                  <w14:solidFill>
                    <w14:schemeClr w14:val="tx1"/>
                  </w14:solidFill>
                </w14:textFill>
              </w:rPr>
              <w:t>排放限值</w:t>
            </w:r>
          </w:p>
        </w:tc>
        <w:tc>
          <w:tcPr>
            <w:tcW w:w="2600" w:type="pct"/>
            <w:gridSpan w:val="2"/>
            <w:tcBorders>
              <w:top w:val="single" w:color="000000" w:sz="4" w:space="0"/>
              <w:bottom w:val="single" w:color="000000" w:sz="4" w:space="0"/>
            </w:tcBorders>
            <w:vAlign w:val="center"/>
          </w:tcPr>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1.全厂有组织PM、NMHC有组织排放浓度分别不高于10、10mg/m</w:t>
            </w:r>
            <w:r>
              <w:rPr>
                <w:rFonts w:hint="default" w:ascii="Times New Roman" w:hAnsi="Times New Roman" w:cs="Times New Roman" w:eastAsiaTheme="minorEastAsia"/>
                <w:color w:val="000000" w:themeColor="text1"/>
                <w:sz w:val="21"/>
                <w:szCs w:val="21"/>
                <w:vertAlign w:val="superscript"/>
                <w:lang w:val="en-US" w:eastAsia="zh-CN"/>
                <w14:textFill>
                  <w14:solidFill>
                    <w14:schemeClr w14:val="tx1"/>
                  </w14:solidFill>
                </w14:textFill>
              </w:rPr>
              <w:t>3</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w:t>
            </w:r>
          </w:p>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2.VOCs治理设施同步运行率和去除率分别达到100%和80%；去除率确实达不到的，生产车间或生产设备的无组织排放监控点NMHC浓度低于4mg/m³，企业边界1hNMHC平均浓度低于2mg/m³；</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3.锅炉烟气排放限值要求：燃气锅炉PM、SO</w:t>
            </w:r>
            <w:r>
              <w:rPr>
                <w:rFonts w:hint="default" w:ascii="Times New Roman" w:hAnsi="Times New Roman" w:cs="Times New Roman" w:eastAsiaTheme="minorEastAsia"/>
                <w:color w:val="000000" w:themeColor="text1"/>
                <w:sz w:val="21"/>
                <w:szCs w:val="21"/>
                <w:vertAlign w:val="subscript"/>
                <w:lang w:val="en-US" w:eastAsia="zh-CN"/>
                <w14:textFill>
                  <w14:solidFill>
                    <w14:schemeClr w14:val="tx1"/>
                  </w14:solidFill>
                </w14:textFill>
              </w:rPr>
              <w:t>2</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、NOx排放浓度分别不高于：5、10、50/30【1】mg/m</w:t>
            </w:r>
            <w:r>
              <w:rPr>
                <w:rFonts w:hint="default" w:ascii="Times New Roman" w:hAnsi="Times New Roman" w:cs="Times New Roman" w:eastAsiaTheme="minorEastAsia"/>
                <w:color w:val="000000" w:themeColor="text1"/>
                <w:sz w:val="21"/>
                <w:szCs w:val="21"/>
                <w:vertAlign w:val="superscript"/>
                <w:lang w:val="en-US" w:eastAsia="zh-CN"/>
                <w14:textFill>
                  <w14:solidFill>
                    <w14:schemeClr w14:val="tx1"/>
                  </w14:solidFill>
                </w14:textFill>
              </w:rPr>
              <w:t>3</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lang w:val="en-US" w:eastAsia="zh-CN"/>
              </w:rPr>
            </w:pPr>
            <w:r>
              <w:rPr>
                <w:rFonts w:hint="eastAsia" w:ascii="Times New Roman" w:hAnsi="Times New Roman" w:eastAsia="宋体" w:cs="Times New Roman"/>
                <w:kern w:val="21"/>
                <w:sz w:val="21"/>
                <w:szCs w:val="21"/>
                <w:lang w:val="en-US" w:eastAsia="zh-CN"/>
              </w:rPr>
              <w:t>经预测PM、NMHC排放浓度达到A级要求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监测监控水平</w:t>
            </w:r>
          </w:p>
        </w:tc>
        <w:tc>
          <w:tcPr>
            <w:tcW w:w="2600" w:type="pct"/>
            <w:gridSpan w:val="2"/>
            <w:tcBorders>
              <w:top w:val="single" w:color="000000" w:sz="4" w:space="0"/>
              <w:bottom w:val="single" w:color="000000" w:sz="4" w:space="0"/>
            </w:tcBorders>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1.有组织排放口按生态环境部门要求安装烟气排放自动监控设施（CEMS），并按要求联网；</w:t>
            </w:r>
          </w:p>
          <w:p>
            <w:pPr>
              <w:keepNext w:val="0"/>
              <w:keepLines w:val="0"/>
              <w:pageBreakBefore w:val="0"/>
              <w:widowControl w:val="0"/>
              <w:kinsoku/>
              <w:wordWrap/>
              <w:overflowPunct/>
              <w:topLinePunct w:val="0"/>
              <w:autoSpaceDE w:val="0"/>
              <w:autoSpaceDN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2.有组织排放口按照排污许可证要求开展自行监测；</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3.涉气生产工序、生产装置及污染治理设施按生态环境部门要求安装用电监管设备，用电监管设备与省、市生态环境部门用电监管平台联网。</w:t>
            </w:r>
          </w:p>
        </w:tc>
        <w:tc>
          <w:tcPr>
            <w:tcW w:w="180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lang w:val="en-US" w:eastAsia="zh-CN"/>
              </w:rPr>
            </w:pP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企业未建设，运营期按照A级要求完善监测监控水平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eastAsia="zh-CN"/>
                <w14:textFill>
                  <w14:solidFill>
                    <w14:schemeClr w14:val="tx1"/>
                  </w14:solidFill>
                </w14:textFill>
              </w:rPr>
              <w:t>环境管理水平</w:t>
            </w:r>
          </w:p>
        </w:tc>
        <w:tc>
          <w:tcPr>
            <w:tcW w:w="393" w:type="pct"/>
            <w:tcBorders>
              <w:top w:val="single" w:color="000000" w:sz="4" w:space="0"/>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val="0"/>
              <w:snapToGrid w:val="0"/>
              <w:spacing w:line="360" w:lineRule="exact"/>
              <w:ind w:left="0" w:leftChars="0" w:right="0" w:rightChars="0" w:firstLine="0" w:firstLineChars="0"/>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环保档案</w:t>
            </w:r>
          </w:p>
        </w:tc>
        <w:tc>
          <w:tcPr>
            <w:tcW w:w="2207" w:type="pct"/>
            <w:tcBorders>
              <w:top w:val="single" w:color="000000" w:sz="4" w:space="0"/>
              <w:left w:val="single" w:color="auto" w:sz="4" w:space="0"/>
              <w:bottom w:val="single" w:color="auto" w:sz="4" w:space="0"/>
            </w:tcBorders>
            <w:vAlign w:val="center"/>
          </w:tcPr>
          <w:p>
            <w:pPr>
              <w:keepNext w:val="0"/>
              <w:keepLines w:val="0"/>
              <w:pageBreakBefore w:val="0"/>
              <w:widowControl w:val="0"/>
              <w:kinsoku/>
              <w:wordWrap/>
              <w:overflowPunct/>
              <w:topLinePunct w:val="0"/>
              <w:autoSpaceDE w:val="0"/>
              <w:autoSpaceDN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1.环评批复文件和竣工环保验收文件或环境现状评估备案证明；</w:t>
            </w:r>
          </w:p>
          <w:p>
            <w:pPr>
              <w:keepNext w:val="0"/>
              <w:keepLines w:val="0"/>
              <w:pageBreakBefore w:val="0"/>
              <w:widowControl w:val="0"/>
              <w:kinsoku/>
              <w:wordWrap/>
              <w:overflowPunct/>
              <w:topLinePunct w:val="0"/>
              <w:autoSpaceDE w:val="0"/>
              <w:autoSpaceDN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2.国家版排污许可证；</w:t>
            </w:r>
          </w:p>
          <w:p>
            <w:pPr>
              <w:keepNext w:val="0"/>
              <w:keepLines w:val="0"/>
              <w:pageBreakBefore w:val="0"/>
              <w:widowControl w:val="0"/>
              <w:kinsoku/>
              <w:wordWrap/>
              <w:overflowPunct/>
              <w:topLinePunct w:val="0"/>
              <w:autoSpaceDE w:val="0"/>
              <w:autoSpaceDN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3.环境管理制度（有组织、无组织排放长效管理机制，主要包括岗位责任制度、达标公示制度和定期巡查维护制度等）；</w:t>
            </w:r>
          </w:p>
          <w:p>
            <w:pPr>
              <w:keepNext w:val="0"/>
              <w:keepLines w:val="0"/>
              <w:pageBreakBefore w:val="0"/>
              <w:widowControl w:val="0"/>
              <w:kinsoku/>
              <w:wordWrap/>
              <w:overflowPunct/>
              <w:topLinePunct w:val="0"/>
              <w:autoSpaceDE w:val="0"/>
              <w:autoSpaceDN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4.</w:t>
            </w: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废气治理设施运行管理规程；</w:t>
            </w:r>
          </w:p>
          <w:p>
            <w:pPr>
              <w:keepNext w:val="0"/>
              <w:keepLines w:val="0"/>
              <w:pageBreakBefore w:val="0"/>
              <w:widowControl w:val="0"/>
              <w:kinsoku/>
              <w:wordWrap/>
              <w:overflowPunct/>
              <w:topLinePunct w:val="0"/>
              <w:autoSpaceDE w:val="0"/>
              <w:autoSpaceDN w:val="0"/>
              <w:bidi w:val="0"/>
              <w:adjustRightInd w:val="0"/>
              <w:snapToGrid w:val="0"/>
              <w:spacing w:line="360" w:lineRule="exact"/>
              <w:ind w:left="0" w:leftChars="0" w:right="0" w:rightChars="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5.</w:t>
            </w: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一年内废气监测报告（符合排污许可证监测项目及频次要求）。</w:t>
            </w:r>
          </w:p>
        </w:tc>
        <w:tc>
          <w:tcPr>
            <w:tcW w:w="1805"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企业按照A级</w:t>
            </w:r>
            <w:r>
              <w:rPr>
                <w:rFonts w:hint="eastAsia" w:cs="Times New Roman" w:eastAsiaTheme="minorEastAsia"/>
                <w:color w:val="000000" w:themeColor="text1"/>
                <w:sz w:val="21"/>
                <w:szCs w:val="21"/>
                <w:lang w:val="en-US" w:eastAsia="zh-CN"/>
                <w14:textFill>
                  <w14:solidFill>
                    <w14:schemeClr w14:val="tx1"/>
                  </w14:solidFill>
                </w14:textFill>
              </w:rPr>
              <w:t>要求</w:t>
            </w: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建立环保档案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eastAsia="zh-CN"/>
                <w14:textFill>
                  <w14:solidFill>
                    <w14:schemeClr w14:val="tx1"/>
                  </w14:solidFill>
                </w14:textFill>
              </w:rPr>
            </w:pPr>
          </w:p>
        </w:tc>
        <w:tc>
          <w:tcPr>
            <w:tcW w:w="393" w:type="pct"/>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val="0"/>
              <w:snapToGrid w:val="0"/>
              <w:spacing w:line="360" w:lineRule="exact"/>
              <w:ind w:left="0" w:leftChars="0" w:right="0" w:rightChars="0" w:firstLine="0" w:firstLineChars="0"/>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eastAsia="zh-CN"/>
                <w14:textFill>
                  <w14:solidFill>
                    <w14:schemeClr w14:val="tx1"/>
                  </w14:solidFill>
                </w14:textFill>
              </w:rPr>
              <w:t>台账记录</w:t>
            </w:r>
          </w:p>
        </w:tc>
        <w:tc>
          <w:tcPr>
            <w:tcW w:w="2207" w:type="pct"/>
            <w:tcBorders>
              <w:top w:val="single" w:color="auto" w:sz="4" w:space="0"/>
              <w:left w:val="single" w:color="auto" w:sz="4" w:space="0"/>
              <w:bottom w:val="single" w:color="auto" w:sz="4" w:space="0"/>
            </w:tcBorders>
            <w:vAlign w:val="center"/>
          </w:tcPr>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1.生产设施运行管理信息（生产时间、运行负荷、产品产量等）；</w:t>
            </w:r>
          </w:p>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2.废气污染治理设施运行管理信息；</w:t>
            </w:r>
          </w:p>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3.监测记录信息（主要污染排放口废气排放记录等）；</w:t>
            </w:r>
          </w:p>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4.主要原辅材料消耗记录；</w:t>
            </w:r>
          </w:p>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5.燃料消耗记录；</w:t>
            </w:r>
          </w:p>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6.固废、危废处理记录；</w:t>
            </w:r>
          </w:p>
          <w:p>
            <w:pPr>
              <w:keepNext w:val="0"/>
              <w:keepLines w:val="0"/>
              <w:pageBreakBefore w:val="0"/>
              <w:widowControl w:val="0"/>
              <w:kinsoku/>
              <w:wordWrap/>
              <w:overflowPunct/>
              <w:topLinePunct w:val="0"/>
              <w:bidi w:val="0"/>
              <w:adjustRightInd w:val="0"/>
              <w:snapToGrid w:val="0"/>
              <w:spacing w:line="360" w:lineRule="exact"/>
              <w:ind w:left="0" w:leftChars="0" w:right="0" w:rightChars="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7.运输车辆、厂内车辆、非道路移动机械电子台账（进出场时间、车辆或非道路移动机械信息、运送货物名称及运量等）。</w:t>
            </w:r>
          </w:p>
        </w:tc>
        <w:tc>
          <w:tcPr>
            <w:tcW w:w="1805"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企业按照A级要求建立台账记录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eastAsia="zh-CN"/>
                <w14:textFill>
                  <w14:solidFill>
                    <w14:schemeClr w14:val="tx1"/>
                  </w14:solidFill>
                </w14:textFill>
              </w:rPr>
            </w:pPr>
          </w:p>
        </w:tc>
        <w:tc>
          <w:tcPr>
            <w:tcW w:w="393" w:type="pct"/>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bidi w:val="0"/>
              <w:adjustRightInd w:val="0"/>
              <w:snapToGrid w:val="0"/>
              <w:spacing w:line="360" w:lineRule="exact"/>
              <w:ind w:left="0" w:leftChars="0" w:right="0" w:rightChars="0" w:firstLine="0" w:firstLineChars="0"/>
              <w:jc w:val="center"/>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eastAsia="zh-CN"/>
                <w14:textFill>
                  <w14:solidFill>
                    <w14:schemeClr w14:val="tx1"/>
                  </w14:solidFill>
                </w14:textFill>
              </w:rPr>
              <w:t>人员配置</w:t>
            </w:r>
          </w:p>
        </w:tc>
        <w:tc>
          <w:tcPr>
            <w:tcW w:w="2207" w:type="pct"/>
            <w:tcBorders>
              <w:top w:val="single" w:color="auto" w:sz="4" w:space="0"/>
              <w:left w:val="single" w:color="auto" w:sz="4" w:space="0"/>
              <w:bottom w:val="single" w:color="auto" w:sz="4" w:space="0"/>
            </w:tcBorders>
            <w:vAlign w:val="center"/>
          </w:tcPr>
          <w:p>
            <w:pPr>
              <w:keepNext w:val="0"/>
              <w:keepLines w:val="0"/>
              <w:pageBreakBefore w:val="0"/>
              <w:widowControl w:val="0"/>
              <w:kinsoku/>
              <w:wordWrap/>
              <w:overflowPunct/>
              <w:topLinePunct w:val="0"/>
              <w:bidi w:val="0"/>
              <w:adjustRightInd w:val="0"/>
              <w:snapToGrid w:val="0"/>
              <w:spacing w:line="360" w:lineRule="exact"/>
              <w:ind w:left="0" w:leftChars="0" w:right="0" w:rightChars="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配备专职环保人员，并具备相应的环境管理能力（学历、培训、从业经验等）。</w:t>
            </w:r>
          </w:p>
        </w:tc>
        <w:tc>
          <w:tcPr>
            <w:tcW w:w="1805"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企业按照A级要求配备专门的环保人员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eastAsia="zh-CN"/>
                <w14:textFill>
                  <w14:solidFill>
                    <w14:schemeClr w14:val="tx1"/>
                  </w14:solidFill>
                </w14:textFill>
              </w:rPr>
              <w:t>运输方式</w:t>
            </w:r>
          </w:p>
        </w:tc>
        <w:tc>
          <w:tcPr>
            <w:tcW w:w="2600" w:type="pct"/>
            <w:gridSpan w:val="2"/>
            <w:tcBorders>
              <w:top w:val="single" w:color="auto" w:sz="4" w:space="0"/>
              <w:bottom w:val="single" w:color="auto" w:sz="4" w:space="0"/>
            </w:tcBorders>
            <w:vAlign w:val="center"/>
          </w:tcPr>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1.物料、产品运输全部使用国五及以上排放标准的重型载货车辆（重型燃气车辆达到国六排放标准）或新能源车辆；</w:t>
            </w:r>
          </w:p>
          <w:p>
            <w:pPr>
              <w:keepNext w:val="0"/>
              <w:keepLines w:val="0"/>
              <w:pageBreakBefore w:val="0"/>
              <w:widowControl w:val="0"/>
              <w:kinsoku/>
              <w:wordWrap/>
              <w:overflowPunct/>
              <w:topLinePunct w:val="0"/>
              <w:bidi w:val="0"/>
              <w:adjustRightInd w:val="0"/>
              <w:snapToGrid w:val="0"/>
              <w:spacing w:line="360" w:lineRule="exact"/>
              <w:ind w:left="0" w:right="0" w:firstLine="0" w:firstLineChars="0"/>
              <w:jc w:val="both"/>
              <w:textAlignment w:val="auto"/>
              <w:rPr>
                <w:rFonts w:hint="default" w:ascii="Times New Roman" w:hAnsi="Times New Roman" w:cs="Times New Roman" w:eastAsiaTheme="minorEastAsia"/>
                <w:color w:val="000000" w:themeColor="text1"/>
                <w:sz w:val="21"/>
                <w:szCs w:val="21"/>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2.厂区车辆全部达国五及以上排放标准（重型燃气车辆达到国六排放标准）或使用新能源车辆；</w:t>
            </w:r>
          </w:p>
          <w:p>
            <w:pPr>
              <w:keepNext w:val="0"/>
              <w:keepLines w:val="0"/>
              <w:pageBreakBefore w:val="0"/>
              <w:widowControl w:val="0"/>
              <w:kinsoku/>
              <w:wordWrap/>
              <w:overflowPunct/>
              <w:topLinePunct w:val="0"/>
              <w:bidi w:val="0"/>
              <w:adjustRightInd w:val="0"/>
              <w:snapToGrid w:val="0"/>
              <w:spacing w:line="360" w:lineRule="exact"/>
              <w:ind w:left="0" w:leftChars="0" w:right="0" w:rightChars="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3.厂内非道路移动机械达到国三及以上排放标准或使用新能源</w:t>
            </w: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机械</w:t>
            </w:r>
          </w:p>
        </w:tc>
        <w:tc>
          <w:tcPr>
            <w:tcW w:w="1805"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t>企业厂区内转运采用国三以上的叉车；车辆运输采用委托第三方运输</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全部使用国五及以上排放标准的重型载货车辆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93" w:type="pct"/>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eastAsia="zh-CN"/>
                <w14:textFill>
                  <w14:solidFill>
                    <w14:schemeClr w14:val="tx1"/>
                  </w14:solidFill>
                </w14:textFill>
              </w:rPr>
            </w:pPr>
            <w:r>
              <w:rPr>
                <w:rFonts w:hint="default" w:ascii="Times New Roman" w:hAnsi="Times New Roman" w:cs="Times New Roman" w:eastAsiaTheme="minorEastAsia"/>
                <w:color w:val="000000" w:themeColor="text1"/>
                <w:sz w:val="21"/>
                <w:szCs w:val="21"/>
                <w14:textFill>
                  <w14:solidFill>
                    <w14:schemeClr w14:val="tx1"/>
                  </w14:solidFill>
                </w14:textFill>
              </w:rPr>
              <w:t>运输监管要求</w:t>
            </w:r>
          </w:p>
        </w:tc>
        <w:tc>
          <w:tcPr>
            <w:tcW w:w="2600" w:type="pct"/>
            <w:gridSpan w:val="2"/>
            <w:tcBorders>
              <w:top w:val="single" w:color="auto" w:sz="4" w:space="0"/>
            </w:tcBorders>
            <w:vAlign w:val="center"/>
          </w:tcPr>
          <w:p>
            <w:pPr>
              <w:keepNext w:val="0"/>
              <w:keepLines w:val="0"/>
              <w:pageBreakBefore w:val="0"/>
              <w:widowControl w:val="0"/>
              <w:kinsoku/>
              <w:wordWrap/>
              <w:overflowPunct/>
              <w:topLinePunct w:val="0"/>
              <w:bidi w:val="0"/>
              <w:adjustRightInd w:val="0"/>
              <w:snapToGrid w:val="0"/>
              <w:spacing w:line="360" w:lineRule="exact"/>
              <w:ind w:left="0" w:leftChars="0" w:right="0" w:rightChars="0" w:firstLine="0" w:firstLineChars="0"/>
              <w:jc w:val="both"/>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日均进出货物150吨（或载货车辆日进出10辆次）及以上（货物包括原料、辅料、燃料、产品和其他与生产相关物料）的企业，或纳入我省重点行业年产值1000万及以上的企业，应参照《重污染天气重点行业移动源应急管理技术指南》建立门禁视频监控系统和电子台账；其他企业建立电子台账。</w:t>
            </w:r>
          </w:p>
        </w:tc>
        <w:tc>
          <w:tcPr>
            <w:tcW w:w="1805"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cs="Times New Roman"/>
                <w:kern w:val="21"/>
                <w:sz w:val="21"/>
                <w:szCs w:val="21"/>
              </w:rPr>
              <w:t>评价要求企业参照《重污染天气重点行业移动源应急管理技术指南》建立门禁系统和电子台账</w:t>
            </w:r>
          </w:p>
        </w:tc>
      </w:tr>
    </w:tbl>
    <w:p>
      <w:pPr>
        <w:pStyle w:val="27"/>
        <w:spacing w:after="0"/>
        <w:ind w:left="0" w:leftChars="0" w:firstLine="480"/>
      </w:pPr>
      <w:r>
        <w:rPr>
          <w:rFonts w:hint="eastAsia"/>
        </w:rPr>
        <w:t>本项目为基础化学原料和专用化学品制造，符合可达到有机化工企业绩效分级指标A级企业</w:t>
      </w:r>
      <w:r>
        <w:rPr>
          <w:rFonts w:hint="eastAsia"/>
          <w:lang w:eastAsia="zh-CN"/>
        </w:rPr>
        <w:t>、</w:t>
      </w:r>
      <w:r>
        <w:rPr>
          <w:rFonts w:hint="eastAsia"/>
          <w:lang w:val="en-US" w:eastAsia="zh-CN"/>
        </w:rPr>
        <w:t>塑料制品企业A级指标</w:t>
      </w:r>
      <w:r>
        <w:rPr>
          <w:rFonts w:hint="eastAsia"/>
        </w:rPr>
        <w:t>和</w:t>
      </w:r>
      <w:r>
        <w:rPr>
          <w:rFonts w:hint="eastAsia"/>
          <w:lang w:val="zh-CN"/>
        </w:rPr>
        <w:t>橡胶制品行业</w:t>
      </w:r>
      <w:r>
        <w:rPr>
          <w:rFonts w:hint="eastAsia"/>
        </w:rPr>
        <w:t>A级</w:t>
      </w:r>
      <w:r>
        <w:rPr>
          <w:rFonts w:hint="eastAsia"/>
          <w:lang w:val="zh-CN"/>
        </w:rPr>
        <w:t>绩效分级指标</w:t>
      </w:r>
      <w:r>
        <w:rPr>
          <w:rFonts w:hint="eastAsia"/>
        </w:rPr>
        <w:t>要求。</w:t>
      </w:r>
    </w:p>
    <w:p>
      <w:pPr>
        <w:pStyle w:val="25"/>
        <w:tabs>
          <w:tab w:val="left" w:pos="4140"/>
        </w:tabs>
        <w:autoSpaceDE w:val="0"/>
        <w:autoSpaceDN w:val="0"/>
        <w:adjustRightInd w:val="0"/>
        <w:snapToGrid w:val="0"/>
        <w:spacing w:beforeAutospacing="0" w:afterAutospacing="0"/>
        <w:ind w:firstLine="480"/>
        <w:jc w:val="both"/>
        <w:rPr>
          <w:kern w:val="2"/>
          <w:lang w:bidi="ar"/>
        </w:rPr>
        <w:sectPr>
          <w:pgSz w:w="16838" w:h="11906" w:orient="landscape"/>
          <w:pgMar w:top="1417" w:right="1417" w:bottom="1417" w:left="1417" w:header="680" w:footer="737" w:gutter="0"/>
          <w:pgBorders>
            <w:top w:val="none" w:sz="0" w:space="0"/>
            <w:left w:val="none" w:sz="0" w:space="0"/>
            <w:bottom w:val="none" w:sz="0" w:space="0"/>
            <w:right w:val="none" w:sz="0" w:space="0"/>
          </w:pgBorders>
          <w:cols w:space="425" w:num="1"/>
          <w:docGrid w:type="lines" w:linePitch="312" w:charSpace="0"/>
        </w:sectPr>
      </w:pPr>
    </w:p>
    <w:p>
      <w:pPr>
        <w:pStyle w:val="7"/>
        <w:ind w:firstLine="562"/>
      </w:pPr>
      <w:r>
        <w:rPr>
          <w:rFonts w:hint="eastAsia"/>
        </w:rPr>
        <w:t xml:space="preserve">2.6.7 </w:t>
      </w:r>
      <w:r>
        <w:t>与《关于印发河南省2022年大气、水、土壤污染防治攻坚战实施方案的通知》（豫环委办〔2022〕9号）相符性分析</w:t>
      </w:r>
    </w:p>
    <w:p>
      <w:pPr>
        <w:autoSpaceDE w:val="0"/>
        <w:autoSpaceDN w:val="0"/>
        <w:ind w:firstLine="480"/>
        <w:rPr>
          <w:rFonts w:cs="Times New Roman"/>
          <w:bCs/>
        </w:rPr>
      </w:pPr>
      <w:r>
        <w:rPr>
          <w:rFonts w:cs="Times New Roman"/>
          <w:bCs/>
        </w:rPr>
        <w:t>本项目与《关于印发河南省2022年大气、水、土壤污染防治攻坚战实施方案的通知》（豫环委办〔2022〕9号）中相关内容相符性分析见下表。</w:t>
      </w:r>
    </w:p>
    <w:p>
      <w:pPr>
        <w:autoSpaceDE w:val="0"/>
        <w:autoSpaceDN w:val="0"/>
        <w:ind w:firstLine="0" w:firstLineChars="0"/>
        <w:jc w:val="center"/>
        <w:rPr>
          <w:rFonts w:cs="Times New Roman"/>
          <w:spacing w:val="4"/>
        </w:rPr>
      </w:pPr>
      <w:r>
        <w:rPr>
          <w:b/>
          <w:bCs/>
          <w:lang w:val="zh-CN"/>
        </w:rPr>
        <w:t>表</w:t>
      </w:r>
      <w:r>
        <w:rPr>
          <w:rFonts w:hint="eastAsia"/>
          <w:b/>
          <w:bCs/>
        </w:rPr>
        <w:t>2.6-8</w:t>
      </w:r>
      <w:r>
        <w:rPr>
          <w:b/>
          <w:bCs/>
          <w:lang w:val="zh-CN"/>
        </w:rPr>
        <w:t xml:space="preserve"> </w:t>
      </w:r>
      <w:r>
        <w:rPr>
          <w:rFonts w:hint="eastAsia"/>
          <w:b/>
          <w:bCs/>
        </w:rPr>
        <w:t xml:space="preserve"> </w:t>
      </w:r>
      <w:r>
        <w:rPr>
          <w:b/>
          <w:bCs/>
          <w:lang w:val="zh-CN"/>
        </w:rPr>
        <w:t>本项目建设与（豫环委办〔2022〕9号）相符性分析表</w:t>
      </w:r>
    </w:p>
    <w:tbl>
      <w:tblPr>
        <w:tblStyle w:val="28"/>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1179"/>
        <w:gridCol w:w="5037"/>
        <w:gridCol w:w="1989"/>
        <w:gridCol w:w="10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Align w:val="center"/>
          </w:tcPr>
          <w:p>
            <w:pPr>
              <w:spacing w:line="240" w:lineRule="auto"/>
              <w:ind w:firstLine="0" w:firstLineChars="0"/>
              <w:jc w:val="center"/>
              <w:rPr>
                <w:rFonts w:cs="Times New Roman"/>
                <w:kern w:val="0"/>
                <w:sz w:val="21"/>
                <w:szCs w:val="21"/>
              </w:rPr>
            </w:pPr>
            <w:r>
              <w:rPr>
                <w:rFonts w:cs="Times New Roman"/>
                <w:sz w:val="21"/>
                <w:szCs w:val="21"/>
              </w:rPr>
              <w:t>项目</w:t>
            </w:r>
          </w:p>
        </w:tc>
        <w:tc>
          <w:tcPr>
            <w:tcW w:w="2712" w:type="pct"/>
            <w:vAlign w:val="center"/>
          </w:tcPr>
          <w:p>
            <w:pPr>
              <w:spacing w:line="240" w:lineRule="auto"/>
              <w:ind w:firstLine="0" w:firstLineChars="0"/>
              <w:jc w:val="center"/>
              <w:rPr>
                <w:rFonts w:cs="Times New Roman"/>
                <w:kern w:val="0"/>
                <w:sz w:val="21"/>
                <w:szCs w:val="21"/>
              </w:rPr>
            </w:pPr>
            <w:r>
              <w:rPr>
                <w:rFonts w:cs="Times New Roman"/>
                <w:sz w:val="21"/>
                <w:szCs w:val="21"/>
              </w:rPr>
              <w:t>攻坚行动方案要求</w:t>
            </w:r>
          </w:p>
        </w:tc>
        <w:tc>
          <w:tcPr>
            <w:tcW w:w="1071" w:type="pct"/>
            <w:vAlign w:val="center"/>
          </w:tcPr>
          <w:p>
            <w:pPr>
              <w:spacing w:line="240" w:lineRule="auto"/>
              <w:ind w:firstLine="0" w:firstLineChars="0"/>
              <w:jc w:val="center"/>
              <w:rPr>
                <w:rFonts w:cs="Times New Roman"/>
                <w:kern w:val="0"/>
                <w:sz w:val="21"/>
                <w:szCs w:val="21"/>
              </w:rPr>
            </w:pPr>
            <w:r>
              <w:rPr>
                <w:rFonts w:cs="Times New Roman"/>
                <w:sz w:val="21"/>
                <w:szCs w:val="21"/>
              </w:rPr>
              <w:t>本项目情况</w:t>
            </w:r>
          </w:p>
        </w:tc>
        <w:tc>
          <w:tcPr>
            <w:tcW w:w="580"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相符性分析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5000" w:type="pct"/>
            <w:gridSpan w:val="4"/>
            <w:vAlign w:val="center"/>
          </w:tcPr>
          <w:p>
            <w:pPr>
              <w:spacing w:line="240" w:lineRule="auto"/>
              <w:ind w:firstLine="0" w:firstLineChars="0"/>
              <w:jc w:val="center"/>
              <w:rPr>
                <w:rFonts w:cs="Times New Roman"/>
                <w:kern w:val="0"/>
                <w:sz w:val="21"/>
                <w:szCs w:val="21"/>
              </w:rPr>
            </w:pPr>
            <w:r>
              <w:rPr>
                <w:rFonts w:cs="Times New Roman"/>
                <w:kern w:val="0"/>
                <w:sz w:val="21"/>
                <w:szCs w:val="21"/>
              </w:rPr>
              <w:t>河南省2022年大气污染防治攻坚战实施方案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Merge w:val="restart"/>
            <w:vAlign w:val="center"/>
          </w:tcPr>
          <w:p>
            <w:pPr>
              <w:spacing w:line="240" w:lineRule="auto"/>
              <w:ind w:firstLine="0" w:firstLineChars="0"/>
              <w:jc w:val="center"/>
              <w:rPr>
                <w:rFonts w:cs="Times New Roman"/>
                <w:kern w:val="0"/>
                <w:sz w:val="21"/>
                <w:szCs w:val="21"/>
              </w:rPr>
            </w:pPr>
            <w:r>
              <w:rPr>
                <w:rFonts w:cs="Times New Roman"/>
                <w:sz w:val="21"/>
                <w:szCs w:val="21"/>
              </w:rPr>
              <w:t>调整优化产业结构，推动绿色低碳转型发展</w:t>
            </w:r>
          </w:p>
        </w:tc>
        <w:tc>
          <w:tcPr>
            <w:tcW w:w="2712" w:type="pct"/>
            <w:vAlign w:val="center"/>
          </w:tcPr>
          <w:p>
            <w:pPr>
              <w:spacing w:line="240" w:lineRule="auto"/>
              <w:ind w:firstLine="0" w:firstLineChars="0"/>
              <w:jc w:val="center"/>
              <w:rPr>
                <w:rFonts w:cs="Times New Roman"/>
                <w:kern w:val="0"/>
                <w:sz w:val="21"/>
                <w:szCs w:val="21"/>
              </w:rPr>
            </w:pPr>
            <w:r>
              <w:rPr>
                <w:rFonts w:cs="Times New Roman"/>
                <w:sz w:val="21"/>
                <w:szCs w:val="21"/>
              </w:rPr>
              <w:t>加快传统产业转型升级：支持重点行业通过产能置换、装备大型化改造、重组整合，实施绿色转型升级。制定2022年度淘汰落后产能工作方案，落实国家《产业结构调整指导目录</w:t>
            </w:r>
            <w:r>
              <w:rPr>
                <w:rFonts w:hint="eastAsia" w:cs="Times New Roman"/>
                <w:sz w:val="21"/>
                <w:szCs w:val="21"/>
              </w:rPr>
              <w:t>（</w:t>
            </w:r>
            <w:r>
              <w:rPr>
                <w:rFonts w:cs="Times New Roman"/>
                <w:sz w:val="21"/>
                <w:szCs w:val="21"/>
              </w:rPr>
              <w:t>2019年本</w:t>
            </w:r>
            <w:r>
              <w:rPr>
                <w:rFonts w:hint="eastAsia" w:cs="Times New Roman"/>
                <w:sz w:val="21"/>
                <w:szCs w:val="21"/>
              </w:rPr>
              <w:t>）</w:t>
            </w:r>
            <w:r>
              <w:rPr>
                <w:rFonts w:cs="Times New Roman"/>
                <w:sz w:val="21"/>
                <w:szCs w:val="21"/>
              </w:rPr>
              <w:t>、河南省淘汰落后产能综合标准体系</w:t>
            </w:r>
            <w:r>
              <w:rPr>
                <w:rFonts w:hint="eastAsia" w:cs="Times New Roman"/>
                <w:sz w:val="21"/>
                <w:szCs w:val="21"/>
              </w:rPr>
              <w:t>（</w:t>
            </w:r>
            <w:r>
              <w:rPr>
                <w:rFonts w:cs="Times New Roman"/>
                <w:sz w:val="21"/>
                <w:szCs w:val="21"/>
              </w:rPr>
              <w:t>2020年本</w:t>
            </w:r>
            <w:r>
              <w:rPr>
                <w:rFonts w:hint="eastAsia" w:cs="Times New Roman"/>
                <w:sz w:val="21"/>
                <w:szCs w:val="21"/>
              </w:rPr>
              <w:t>）</w:t>
            </w:r>
            <w:r>
              <w:rPr>
                <w:rFonts w:cs="Times New Roman"/>
                <w:sz w:val="21"/>
                <w:szCs w:val="21"/>
              </w:rPr>
              <w:t>》，组织开展排查整治专项行动，按期完成年度淘汰落后产能目标任务，对于落后产能和</w:t>
            </w:r>
            <w:r>
              <w:rPr>
                <w:rFonts w:hint="eastAsia" w:cs="Times New Roman"/>
                <w:sz w:val="21"/>
                <w:szCs w:val="21"/>
                <w:lang w:eastAsia="zh-CN"/>
              </w:rPr>
              <w:t>“</w:t>
            </w:r>
            <w:r>
              <w:rPr>
                <w:rFonts w:cs="Times New Roman"/>
                <w:sz w:val="21"/>
                <w:szCs w:val="21"/>
              </w:rPr>
              <w:t>散乱污</w:t>
            </w:r>
            <w:r>
              <w:rPr>
                <w:rFonts w:hint="eastAsia" w:cs="Times New Roman"/>
                <w:sz w:val="21"/>
                <w:szCs w:val="21"/>
                <w:lang w:eastAsia="zh-CN"/>
              </w:rPr>
              <w:t>”</w:t>
            </w:r>
            <w:r>
              <w:rPr>
                <w:rFonts w:cs="Times New Roman"/>
                <w:sz w:val="21"/>
                <w:szCs w:val="21"/>
              </w:rPr>
              <w:t>企业，实施动态</w:t>
            </w:r>
            <w:r>
              <w:rPr>
                <w:rFonts w:hint="eastAsia" w:cs="Times New Roman"/>
                <w:sz w:val="21"/>
                <w:szCs w:val="21"/>
                <w:lang w:eastAsia="zh-CN"/>
              </w:rPr>
              <w:t>“</w:t>
            </w:r>
            <w:r>
              <w:rPr>
                <w:rFonts w:cs="Times New Roman"/>
                <w:sz w:val="21"/>
                <w:szCs w:val="21"/>
              </w:rPr>
              <w:t>清零</w:t>
            </w:r>
            <w:r>
              <w:rPr>
                <w:rFonts w:hint="eastAsia" w:cs="Times New Roman"/>
                <w:sz w:val="21"/>
                <w:szCs w:val="21"/>
                <w:lang w:eastAsia="zh-CN"/>
              </w:rPr>
              <w:t>”</w:t>
            </w:r>
            <w:r>
              <w:rPr>
                <w:rFonts w:cs="Times New Roman"/>
                <w:sz w:val="21"/>
                <w:szCs w:val="21"/>
              </w:rPr>
              <w:t>。持续优化产业布局，按时完成已列入2022年计划的8家企业搬迁改造，稳步推进许昌、平顶山等城区煤电项目</w:t>
            </w:r>
            <w:r>
              <w:rPr>
                <w:rFonts w:hint="eastAsia" w:cs="Times New Roman"/>
                <w:sz w:val="21"/>
                <w:szCs w:val="21"/>
                <w:lang w:eastAsia="zh-CN"/>
              </w:rPr>
              <w:t>“</w:t>
            </w:r>
            <w:r>
              <w:rPr>
                <w:rFonts w:cs="Times New Roman"/>
                <w:sz w:val="21"/>
                <w:szCs w:val="21"/>
              </w:rPr>
              <w:t>退城进郊</w:t>
            </w:r>
            <w:r>
              <w:rPr>
                <w:rFonts w:hint="eastAsia" w:cs="Times New Roman"/>
                <w:sz w:val="21"/>
                <w:szCs w:val="21"/>
              </w:rPr>
              <w:t>（</w:t>
            </w:r>
            <w:r>
              <w:rPr>
                <w:rFonts w:cs="Times New Roman"/>
                <w:sz w:val="21"/>
                <w:szCs w:val="21"/>
              </w:rPr>
              <w:t>园</w:t>
            </w:r>
            <w:r>
              <w:rPr>
                <w:rFonts w:hint="eastAsia" w:cs="Times New Roman"/>
                <w:sz w:val="21"/>
                <w:szCs w:val="21"/>
              </w:rPr>
              <w:t>）</w:t>
            </w:r>
            <w:r>
              <w:rPr>
                <w:rFonts w:hint="eastAsia" w:cs="Times New Roman"/>
                <w:sz w:val="21"/>
                <w:szCs w:val="21"/>
                <w:lang w:eastAsia="zh-CN"/>
              </w:rPr>
              <w:t>”</w:t>
            </w:r>
            <w:r>
              <w:rPr>
                <w:rFonts w:cs="Times New Roman"/>
                <w:sz w:val="21"/>
                <w:szCs w:val="21"/>
              </w:rPr>
              <w:t>，加快推进洛阳市建成区内燃煤电厂基本</w:t>
            </w:r>
            <w:r>
              <w:rPr>
                <w:rFonts w:hint="eastAsia" w:cs="Times New Roman"/>
                <w:sz w:val="21"/>
                <w:szCs w:val="21"/>
                <w:lang w:eastAsia="zh-CN"/>
              </w:rPr>
              <w:t>“</w:t>
            </w:r>
            <w:r>
              <w:rPr>
                <w:rFonts w:cs="Times New Roman"/>
                <w:sz w:val="21"/>
                <w:szCs w:val="21"/>
              </w:rPr>
              <w:t>清零</w:t>
            </w:r>
            <w:r>
              <w:rPr>
                <w:rFonts w:hint="eastAsia" w:cs="Times New Roman"/>
                <w:sz w:val="21"/>
                <w:szCs w:val="21"/>
                <w:lang w:eastAsia="zh-CN"/>
              </w:rPr>
              <w:t>”</w:t>
            </w:r>
            <w:r>
              <w:rPr>
                <w:rFonts w:cs="Times New Roman"/>
                <w:sz w:val="21"/>
                <w:szCs w:val="21"/>
              </w:rPr>
              <w:t>。各省辖市</w:t>
            </w:r>
            <w:r>
              <w:rPr>
                <w:rFonts w:hint="eastAsia" w:cs="Times New Roman"/>
                <w:sz w:val="21"/>
                <w:szCs w:val="21"/>
              </w:rPr>
              <w:t>（</w:t>
            </w:r>
            <w:r>
              <w:rPr>
                <w:rFonts w:cs="Times New Roman"/>
                <w:sz w:val="21"/>
                <w:szCs w:val="21"/>
              </w:rPr>
              <w:t>含济源示范区，下同</w:t>
            </w:r>
            <w:r>
              <w:rPr>
                <w:rFonts w:hint="eastAsia" w:cs="Times New Roman"/>
                <w:sz w:val="21"/>
                <w:szCs w:val="21"/>
              </w:rPr>
              <w:t>）</w:t>
            </w:r>
            <w:r>
              <w:rPr>
                <w:rFonts w:cs="Times New Roman"/>
                <w:sz w:val="21"/>
                <w:szCs w:val="21"/>
              </w:rPr>
              <w:t>要进一步排查梳理，对不符合城市建设规划、行业发展规划、生态环境功能定位的重污染企业，制定搬迁改造工作方案，明确时限进度要求。</w:t>
            </w:r>
          </w:p>
        </w:tc>
        <w:tc>
          <w:tcPr>
            <w:tcW w:w="1071" w:type="pct"/>
            <w:vAlign w:val="center"/>
          </w:tcPr>
          <w:p>
            <w:pPr>
              <w:spacing w:line="240" w:lineRule="auto"/>
              <w:ind w:firstLine="0" w:firstLineChars="0"/>
              <w:jc w:val="center"/>
              <w:rPr>
                <w:rFonts w:cs="Times New Roman"/>
                <w:kern w:val="0"/>
                <w:sz w:val="21"/>
                <w:szCs w:val="21"/>
              </w:rPr>
            </w:pPr>
            <w:r>
              <w:rPr>
                <w:rFonts w:cs="Times New Roman"/>
                <w:sz w:val="21"/>
                <w:szCs w:val="21"/>
              </w:rPr>
              <w:t>根据《产业结构调整指导目录</w:t>
            </w:r>
            <w:r>
              <w:rPr>
                <w:rFonts w:hint="eastAsia" w:cs="Times New Roman"/>
                <w:sz w:val="21"/>
                <w:szCs w:val="21"/>
              </w:rPr>
              <w:t>（</w:t>
            </w:r>
            <w:r>
              <w:rPr>
                <w:rFonts w:cs="Times New Roman"/>
                <w:sz w:val="21"/>
                <w:szCs w:val="21"/>
              </w:rPr>
              <w:t>2019年本</w:t>
            </w:r>
            <w:r>
              <w:rPr>
                <w:rFonts w:hint="eastAsia" w:cs="Times New Roman"/>
                <w:sz w:val="21"/>
                <w:szCs w:val="21"/>
              </w:rPr>
              <w:t>）</w:t>
            </w:r>
            <w:r>
              <w:rPr>
                <w:rFonts w:cs="Times New Roman"/>
                <w:sz w:val="21"/>
                <w:szCs w:val="21"/>
              </w:rPr>
              <w:t>》本项目属于</w:t>
            </w:r>
            <w:r>
              <w:rPr>
                <w:rFonts w:hint="eastAsia" w:cs="Times New Roman"/>
                <w:sz w:val="21"/>
                <w:szCs w:val="21"/>
              </w:rPr>
              <w:t>允许</w:t>
            </w:r>
            <w:r>
              <w:rPr>
                <w:rFonts w:cs="Times New Roman"/>
                <w:sz w:val="21"/>
                <w:szCs w:val="21"/>
              </w:rPr>
              <w:t>类；本项目不属于《河南省淘汰落后产能综合标准体系</w:t>
            </w:r>
            <w:r>
              <w:rPr>
                <w:rFonts w:hint="eastAsia" w:cs="Times New Roman"/>
                <w:sz w:val="21"/>
                <w:szCs w:val="21"/>
              </w:rPr>
              <w:t>（</w:t>
            </w:r>
            <w:r>
              <w:rPr>
                <w:rFonts w:cs="Times New Roman"/>
                <w:sz w:val="21"/>
                <w:szCs w:val="21"/>
              </w:rPr>
              <w:t>2020年本</w:t>
            </w:r>
            <w:r>
              <w:rPr>
                <w:rFonts w:hint="eastAsia" w:cs="Times New Roman"/>
                <w:sz w:val="21"/>
                <w:szCs w:val="21"/>
              </w:rPr>
              <w:t>）</w:t>
            </w:r>
            <w:r>
              <w:rPr>
                <w:rFonts w:cs="Times New Roman"/>
                <w:sz w:val="21"/>
                <w:szCs w:val="21"/>
              </w:rPr>
              <w:t>》相关行业。</w:t>
            </w:r>
          </w:p>
        </w:tc>
        <w:tc>
          <w:tcPr>
            <w:tcW w:w="580" w:type="pct"/>
            <w:vAlign w:val="center"/>
          </w:tcPr>
          <w:p>
            <w:pPr>
              <w:spacing w:line="240" w:lineRule="auto"/>
              <w:ind w:firstLine="0" w:firstLineChars="0"/>
              <w:jc w:val="center"/>
              <w:rPr>
                <w:rFonts w:cs="Times New Roman"/>
                <w:kern w:val="0"/>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Merge w:val="continue"/>
            <w:vAlign w:val="center"/>
          </w:tcPr>
          <w:p>
            <w:pPr>
              <w:spacing w:line="240" w:lineRule="auto"/>
              <w:ind w:firstLine="0" w:firstLineChars="0"/>
              <w:jc w:val="center"/>
              <w:rPr>
                <w:rFonts w:cs="Times New Roman"/>
                <w:sz w:val="21"/>
                <w:szCs w:val="21"/>
              </w:rPr>
            </w:pPr>
          </w:p>
        </w:tc>
        <w:tc>
          <w:tcPr>
            <w:tcW w:w="2712" w:type="pct"/>
            <w:vAlign w:val="center"/>
          </w:tcPr>
          <w:p>
            <w:pPr>
              <w:spacing w:line="240" w:lineRule="auto"/>
              <w:ind w:firstLine="0" w:firstLineChars="0"/>
              <w:jc w:val="center"/>
              <w:rPr>
                <w:rFonts w:cs="Times New Roman"/>
                <w:sz w:val="21"/>
                <w:szCs w:val="21"/>
              </w:rPr>
            </w:pPr>
            <w:r>
              <w:rPr>
                <w:rFonts w:cs="Times New Roman"/>
                <w:sz w:val="21"/>
                <w:szCs w:val="21"/>
              </w:rPr>
              <w:t>推进绿色低碳产业发展：落实国家产业规划、产业政策、</w:t>
            </w:r>
            <w:r>
              <w:rPr>
                <w:rFonts w:hint="eastAsia" w:cs="Times New Roman"/>
                <w:sz w:val="21"/>
                <w:szCs w:val="21"/>
                <w:lang w:eastAsia="zh-CN"/>
              </w:rPr>
              <w:t>“</w:t>
            </w:r>
            <w:r>
              <w:rPr>
                <w:rFonts w:cs="Times New Roman"/>
                <w:sz w:val="21"/>
                <w:szCs w:val="21"/>
              </w:rPr>
              <w:t>三线一单</w:t>
            </w:r>
            <w:r>
              <w:rPr>
                <w:rFonts w:hint="eastAsia" w:cs="Times New Roman"/>
                <w:sz w:val="21"/>
                <w:szCs w:val="21"/>
                <w:lang w:eastAsia="zh-CN"/>
              </w:rPr>
              <w:t>”</w:t>
            </w:r>
            <w:r>
              <w:rPr>
                <w:rFonts w:cs="Times New Roman"/>
                <w:sz w:val="21"/>
                <w:szCs w:val="21"/>
              </w:rPr>
              <w:t>、规划环评，以及产能置换、煤炭消费减量替代、区域污染物削减等相关要求，积极支持节能环保、新能源等战略性新兴产业发展，坚决遏制高耗能、高排放项目盲目建设。落实</w:t>
            </w:r>
            <w:r>
              <w:rPr>
                <w:rFonts w:hint="eastAsia" w:cs="Times New Roman"/>
                <w:sz w:val="21"/>
                <w:szCs w:val="21"/>
                <w:lang w:eastAsia="zh-CN"/>
              </w:rPr>
              <w:t>“</w:t>
            </w:r>
            <w:r>
              <w:rPr>
                <w:rFonts w:cs="Times New Roman"/>
                <w:sz w:val="21"/>
                <w:szCs w:val="21"/>
              </w:rPr>
              <w:t>两高</w:t>
            </w:r>
            <w:r>
              <w:rPr>
                <w:rFonts w:hint="eastAsia" w:cs="Times New Roman"/>
                <w:sz w:val="21"/>
                <w:szCs w:val="21"/>
                <w:lang w:eastAsia="zh-CN"/>
              </w:rPr>
              <w:t>”</w:t>
            </w:r>
            <w:r>
              <w:rPr>
                <w:rFonts w:cs="Times New Roman"/>
                <w:sz w:val="21"/>
                <w:szCs w:val="21"/>
              </w:rPr>
              <w:t>项目会商联审机制，强化项目环评及</w:t>
            </w:r>
            <w:r>
              <w:rPr>
                <w:rFonts w:hint="eastAsia" w:cs="Times New Roman"/>
                <w:sz w:val="21"/>
                <w:szCs w:val="21"/>
                <w:lang w:eastAsia="zh-CN"/>
              </w:rPr>
              <w:t>“</w:t>
            </w:r>
            <w:r>
              <w:rPr>
                <w:rFonts w:cs="Times New Roman"/>
                <w:sz w:val="21"/>
                <w:szCs w:val="21"/>
              </w:rPr>
              <w:t>三同时</w:t>
            </w:r>
            <w:r>
              <w:rPr>
                <w:rFonts w:hint="eastAsia" w:cs="Times New Roman"/>
                <w:sz w:val="21"/>
                <w:szCs w:val="21"/>
                <w:lang w:eastAsia="zh-CN"/>
              </w:rPr>
              <w:t>”</w:t>
            </w:r>
            <w:r>
              <w:rPr>
                <w:rFonts w:cs="Times New Roman"/>
                <w:sz w:val="21"/>
                <w:szCs w:val="21"/>
              </w:rPr>
              <w:t>管理，重点行业企业新建、扩建项目达到A级绩效水平，改建项目达到B级以上绩效水平。严禁新增钢铁、电解铝、水泥熟料、平板玻璃、煤化工</w:t>
            </w:r>
            <w:r>
              <w:rPr>
                <w:rFonts w:hint="eastAsia" w:cs="Times New Roman"/>
                <w:sz w:val="21"/>
                <w:szCs w:val="21"/>
              </w:rPr>
              <w:t>（</w:t>
            </w:r>
            <w:r>
              <w:rPr>
                <w:rFonts w:cs="Times New Roman"/>
                <w:sz w:val="21"/>
                <w:szCs w:val="21"/>
              </w:rPr>
              <w:t>甲醇、合成氨</w:t>
            </w:r>
            <w:r>
              <w:rPr>
                <w:rFonts w:hint="eastAsia" w:cs="Times New Roman"/>
                <w:sz w:val="21"/>
                <w:szCs w:val="21"/>
              </w:rPr>
              <w:t>）</w:t>
            </w:r>
            <w:r>
              <w:rPr>
                <w:rFonts w:cs="Times New Roman"/>
                <w:sz w:val="21"/>
                <w:szCs w:val="21"/>
              </w:rPr>
              <w:t>、氧化铝、焦化、铸造、铝用碳素、烧结砖瓦、铁合金等行业产能。禁止耐火材料、铅锌冶炼</w:t>
            </w:r>
            <w:r>
              <w:rPr>
                <w:rFonts w:hint="eastAsia" w:cs="Times New Roman"/>
                <w:sz w:val="21"/>
                <w:szCs w:val="21"/>
              </w:rPr>
              <w:t>（</w:t>
            </w:r>
            <w:r>
              <w:rPr>
                <w:rFonts w:cs="Times New Roman"/>
                <w:sz w:val="21"/>
                <w:szCs w:val="21"/>
              </w:rPr>
              <w:t>含再生铅</w:t>
            </w:r>
            <w:r>
              <w:rPr>
                <w:rFonts w:hint="eastAsia" w:cs="Times New Roman"/>
                <w:sz w:val="21"/>
                <w:szCs w:val="21"/>
              </w:rPr>
              <w:t>）</w:t>
            </w:r>
            <w:r>
              <w:rPr>
                <w:rFonts w:cs="Times New Roman"/>
                <w:sz w:val="21"/>
                <w:szCs w:val="21"/>
              </w:rPr>
              <w:t>行业单纯新增产能。水泥行业产能置换项目应实现矿石皮带廊密闭运输，大宗物料产品清洁运输。</w:t>
            </w:r>
          </w:p>
        </w:tc>
        <w:tc>
          <w:tcPr>
            <w:tcW w:w="1071" w:type="pct"/>
            <w:vAlign w:val="center"/>
          </w:tcPr>
          <w:p>
            <w:pPr>
              <w:spacing w:line="240" w:lineRule="auto"/>
              <w:ind w:firstLine="0" w:firstLineChars="0"/>
              <w:jc w:val="center"/>
              <w:rPr>
                <w:rFonts w:cs="Times New Roman"/>
                <w:sz w:val="21"/>
                <w:szCs w:val="21"/>
              </w:rPr>
            </w:pPr>
            <w:r>
              <w:rPr>
                <w:rFonts w:cs="Times New Roman"/>
                <w:sz w:val="21"/>
                <w:szCs w:val="21"/>
              </w:rPr>
              <w:t>本项目符合产业政策、三线一单、规划环评的要求，本项目为</w:t>
            </w:r>
            <w:r>
              <w:rPr>
                <w:rFonts w:hint="eastAsia" w:cs="Times New Roman"/>
                <w:sz w:val="21"/>
                <w:szCs w:val="21"/>
              </w:rPr>
              <w:t>基础化学原料加工和塑料橡胶制品制造项目</w:t>
            </w:r>
            <w:r>
              <w:rPr>
                <w:rFonts w:cs="Times New Roman"/>
                <w:sz w:val="21"/>
                <w:szCs w:val="21"/>
              </w:rPr>
              <w:t>，不属于禁止新增产能项目</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Align w:val="center"/>
          </w:tcPr>
          <w:p>
            <w:pPr>
              <w:spacing w:line="240" w:lineRule="auto"/>
              <w:ind w:firstLine="0" w:firstLineChars="0"/>
              <w:jc w:val="center"/>
              <w:rPr>
                <w:rFonts w:cs="Times New Roman"/>
                <w:sz w:val="21"/>
                <w:szCs w:val="21"/>
              </w:rPr>
            </w:pPr>
            <w:r>
              <w:rPr>
                <w:rFonts w:cs="Times New Roman"/>
                <w:sz w:val="21"/>
                <w:szCs w:val="21"/>
              </w:rPr>
              <w:t>深入调整能源结构，推进能源低碳高效利用</w:t>
            </w:r>
          </w:p>
        </w:tc>
        <w:tc>
          <w:tcPr>
            <w:tcW w:w="2712" w:type="pct"/>
            <w:vAlign w:val="center"/>
          </w:tcPr>
          <w:p>
            <w:pPr>
              <w:spacing w:line="240" w:lineRule="auto"/>
              <w:ind w:firstLine="0" w:firstLineChars="0"/>
              <w:jc w:val="center"/>
              <w:rPr>
                <w:rFonts w:cs="Times New Roman"/>
                <w:sz w:val="21"/>
                <w:szCs w:val="21"/>
              </w:rPr>
            </w:pPr>
            <w:r>
              <w:rPr>
                <w:rFonts w:cs="Times New Roman"/>
                <w:sz w:val="21"/>
                <w:szCs w:val="21"/>
              </w:rPr>
              <w:t>实施清洁能源替代：大力推进清洁能源应用，鼓励支持现有使用高污染燃料的工业炉窑改用工业余热、电能、天然气等，对2024年10月底前完成拆改任务的工业炉窑，优先给予大气污染防治专项资金支持。新、改、扩建加热炉、热处理炉、干燥炉、熔化炉等工业窑炉，应采用清洁能源。全省禁止新建企业自备燃煤锅炉，全面淘汰35蒸吨/小时及以下的燃煤锅炉。淘汰方式主要包括拆除、实施集中供热替代、煤改气、煤改电等，以拆除方式淘汰的，必须拆除炉体或物理切断管道，使其不具备复产条件。</w:t>
            </w:r>
          </w:p>
        </w:tc>
        <w:tc>
          <w:tcPr>
            <w:tcW w:w="1071" w:type="pct"/>
            <w:vAlign w:val="center"/>
          </w:tcPr>
          <w:p>
            <w:pPr>
              <w:spacing w:line="240" w:lineRule="auto"/>
              <w:ind w:firstLine="0" w:firstLineChars="0"/>
              <w:jc w:val="center"/>
              <w:rPr>
                <w:rFonts w:cs="Times New Roman"/>
                <w:sz w:val="21"/>
                <w:szCs w:val="21"/>
              </w:rPr>
            </w:pPr>
            <w:r>
              <w:rPr>
                <w:rFonts w:cs="Times New Roman"/>
                <w:sz w:val="21"/>
                <w:szCs w:val="21"/>
              </w:rPr>
              <w:t>本项目</w:t>
            </w:r>
            <w:r>
              <w:rPr>
                <w:rFonts w:hint="eastAsia" w:cs="Times New Roman"/>
                <w:sz w:val="21"/>
                <w:szCs w:val="21"/>
              </w:rPr>
              <w:t>基础化学原料加工和塑料橡胶制品制造项目</w:t>
            </w:r>
            <w:r>
              <w:rPr>
                <w:rFonts w:cs="Times New Roman"/>
                <w:sz w:val="21"/>
                <w:szCs w:val="21"/>
              </w:rPr>
              <w:t>，</w:t>
            </w:r>
            <w:r>
              <w:rPr>
                <w:rFonts w:hint="eastAsia" w:cs="Times New Roman"/>
                <w:sz w:val="21"/>
                <w:szCs w:val="21"/>
              </w:rPr>
              <w:t>使用电能</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Align w:val="center"/>
          </w:tcPr>
          <w:p>
            <w:pPr>
              <w:spacing w:line="240" w:lineRule="auto"/>
              <w:ind w:firstLine="0" w:firstLineChars="0"/>
              <w:jc w:val="center"/>
              <w:rPr>
                <w:rFonts w:cs="Times New Roman"/>
                <w:sz w:val="21"/>
                <w:szCs w:val="21"/>
              </w:rPr>
            </w:pPr>
            <w:r>
              <w:rPr>
                <w:rFonts w:cs="Times New Roman"/>
                <w:sz w:val="21"/>
                <w:szCs w:val="21"/>
              </w:rPr>
              <w:t>持续调整交通运输结构，打好柴油货车治理攻坚战</w:t>
            </w:r>
          </w:p>
        </w:tc>
        <w:tc>
          <w:tcPr>
            <w:tcW w:w="2712" w:type="pct"/>
            <w:vAlign w:val="center"/>
          </w:tcPr>
          <w:p>
            <w:pPr>
              <w:spacing w:line="240" w:lineRule="auto"/>
              <w:ind w:firstLine="0" w:firstLineChars="0"/>
              <w:jc w:val="center"/>
              <w:rPr>
                <w:rFonts w:cs="Times New Roman"/>
                <w:sz w:val="21"/>
                <w:szCs w:val="21"/>
              </w:rPr>
            </w:pPr>
            <w:r>
              <w:rPr>
                <w:rFonts w:cs="Times New Roman"/>
                <w:sz w:val="21"/>
                <w:szCs w:val="21"/>
              </w:rPr>
              <w:t>提升清洁运输水平：大力推进煤炭、矿石、焦炭、建材</w:t>
            </w:r>
            <w:r>
              <w:rPr>
                <w:rFonts w:hint="eastAsia" w:cs="Times New Roman"/>
                <w:sz w:val="21"/>
                <w:szCs w:val="21"/>
              </w:rPr>
              <w:t>（</w:t>
            </w:r>
            <w:r>
              <w:rPr>
                <w:rFonts w:cs="Times New Roman"/>
                <w:sz w:val="21"/>
                <w:szCs w:val="21"/>
              </w:rPr>
              <w:t>含砂石骨料</w:t>
            </w:r>
            <w:r>
              <w:rPr>
                <w:rFonts w:hint="eastAsia" w:cs="Times New Roman"/>
                <w:sz w:val="21"/>
                <w:szCs w:val="21"/>
              </w:rPr>
              <w:t>）</w:t>
            </w:r>
            <w:r>
              <w:rPr>
                <w:rFonts w:cs="Times New Roman"/>
                <w:sz w:val="21"/>
                <w:szCs w:val="21"/>
              </w:rPr>
              <w:t>等大宗货物铁路或水路运输。鼓励年运输量150万吨以上涉煤炭、矿石、焦炭等大宗货物运输的工矿企业、物流园区、港口将货物</w:t>
            </w:r>
            <w:r>
              <w:rPr>
                <w:rFonts w:hint="eastAsia" w:cs="Times New Roman"/>
                <w:sz w:val="21"/>
                <w:szCs w:val="21"/>
                <w:lang w:eastAsia="zh-CN"/>
              </w:rPr>
              <w:t>“</w:t>
            </w:r>
            <w:r>
              <w:rPr>
                <w:rFonts w:cs="Times New Roman"/>
                <w:sz w:val="21"/>
                <w:szCs w:val="21"/>
              </w:rPr>
              <w:t>散改集</w:t>
            </w:r>
            <w:r>
              <w:rPr>
                <w:rFonts w:hint="eastAsia" w:cs="Times New Roman"/>
                <w:sz w:val="21"/>
                <w:szCs w:val="21"/>
                <w:lang w:eastAsia="zh-CN"/>
              </w:rPr>
              <w:t>”</w:t>
            </w:r>
            <w:r>
              <w:rPr>
                <w:rFonts w:cs="Times New Roman"/>
                <w:sz w:val="21"/>
                <w:szCs w:val="21"/>
              </w:rPr>
              <w:t>，推进共线共用，利用就近的铁路货场或具备铁路专用线条件的物流园区、物流集散地运输，中长距离运输时主要采用铁路、水路运输，短距离运输时优先采用封闭式皮带廊道、新能源或国六排放标准货车</w:t>
            </w:r>
            <w:r>
              <w:rPr>
                <w:rFonts w:hint="eastAsia" w:cs="Times New Roman"/>
                <w:sz w:val="21"/>
                <w:szCs w:val="21"/>
              </w:rPr>
              <w:t>；</w:t>
            </w:r>
            <w:r>
              <w:rPr>
                <w:rFonts w:cs="Times New Roman"/>
                <w:sz w:val="21"/>
                <w:szCs w:val="21"/>
              </w:rPr>
              <w:t>鼓励具备铁路专用线的大型工矿企业作为物流集散地向周边输送。除参与绩效分级企业应严格按照绩效分级技术指南要求落实清洁运输比例要求外，其他煤炭、火电行业煤炭清洁运输比例不低于80%</w:t>
            </w:r>
            <w:r>
              <w:rPr>
                <w:rFonts w:hint="eastAsia" w:cs="Times New Roman"/>
                <w:sz w:val="21"/>
                <w:szCs w:val="21"/>
              </w:rPr>
              <w:t>；</w:t>
            </w:r>
            <w:r>
              <w:rPr>
                <w:rFonts w:cs="Times New Roman"/>
                <w:sz w:val="21"/>
                <w:szCs w:val="21"/>
              </w:rPr>
              <w:t>焦化行业进出企业的煤炭、焦炭等清洁运输比例不低于65%，推进有色金属、建材</w:t>
            </w:r>
            <w:r>
              <w:rPr>
                <w:rFonts w:hint="eastAsia" w:cs="Times New Roman"/>
                <w:sz w:val="21"/>
                <w:szCs w:val="21"/>
              </w:rPr>
              <w:t>（</w:t>
            </w:r>
            <w:r>
              <w:rPr>
                <w:rFonts w:cs="Times New Roman"/>
                <w:sz w:val="21"/>
                <w:szCs w:val="21"/>
              </w:rPr>
              <w:t>含水泥、砂石骨料</w:t>
            </w:r>
            <w:r>
              <w:rPr>
                <w:rFonts w:hint="eastAsia" w:cs="Times New Roman"/>
                <w:sz w:val="21"/>
                <w:szCs w:val="21"/>
              </w:rPr>
              <w:t>）</w:t>
            </w:r>
            <w:r>
              <w:rPr>
                <w:rFonts w:cs="Times New Roman"/>
                <w:sz w:val="21"/>
                <w:szCs w:val="21"/>
              </w:rPr>
              <w:t>等行业清洁运输，砂石骨料进场清洁运输比例不低于20%，石灰石由矿山至厂区原则上采用全密闭皮带廊道等方式运输。</w:t>
            </w:r>
          </w:p>
        </w:tc>
        <w:tc>
          <w:tcPr>
            <w:tcW w:w="1071" w:type="pct"/>
            <w:vAlign w:val="center"/>
          </w:tcPr>
          <w:p>
            <w:pPr>
              <w:spacing w:line="240" w:lineRule="auto"/>
              <w:ind w:firstLine="0" w:firstLineChars="0"/>
              <w:jc w:val="center"/>
              <w:rPr>
                <w:rFonts w:cs="Times New Roman"/>
                <w:sz w:val="21"/>
                <w:szCs w:val="21"/>
              </w:rPr>
            </w:pPr>
            <w:r>
              <w:rPr>
                <w:rFonts w:cs="Times New Roman"/>
                <w:sz w:val="21"/>
                <w:szCs w:val="21"/>
              </w:rPr>
              <w:t>本项目原辅材料使用量较少，采用国六排放标准汽车运输</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Align w:val="center"/>
          </w:tcPr>
          <w:p>
            <w:pPr>
              <w:spacing w:line="240" w:lineRule="auto"/>
              <w:ind w:firstLine="0" w:firstLineChars="0"/>
              <w:jc w:val="center"/>
              <w:rPr>
                <w:rFonts w:cs="Times New Roman"/>
                <w:sz w:val="21"/>
                <w:szCs w:val="21"/>
              </w:rPr>
            </w:pPr>
            <w:r>
              <w:rPr>
                <w:rFonts w:cs="Times New Roman"/>
                <w:sz w:val="21"/>
                <w:szCs w:val="21"/>
              </w:rPr>
              <w:t>优化调整用地结构，强化面源污染治理</w:t>
            </w:r>
          </w:p>
        </w:tc>
        <w:tc>
          <w:tcPr>
            <w:tcW w:w="2712" w:type="pct"/>
            <w:vAlign w:val="center"/>
          </w:tcPr>
          <w:p>
            <w:pPr>
              <w:spacing w:line="240" w:lineRule="auto"/>
              <w:ind w:firstLine="0" w:firstLineChars="0"/>
              <w:jc w:val="center"/>
              <w:rPr>
                <w:rFonts w:cs="Times New Roman"/>
                <w:sz w:val="21"/>
                <w:szCs w:val="21"/>
              </w:rPr>
            </w:pPr>
            <w:r>
              <w:rPr>
                <w:rFonts w:cs="Times New Roman"/>
                <w:sz w:val="21"/>
                <w:szCs w:val="21"/>
              </w:rPr>
              <w:t>提升扬尘污染防治水平：实施扬尘治理智慧化提升工程，持续推进扬尘治理监控平台建设，加强国、省道道路扬尘监控能力建设，逐步纳入省级监控平台。深入开展扬尘治理专项行动，严格落实《城市房屋建筑和市政基础设施工程及道路扬尘污染差异化评价标准》《河南省房屋建筑和市政基础设施工程扬尘治理监控平台数据接入标准》要求，对扬尘重点污染源实行清单化动态管理，强化开复工验收、</w:t>
            </w:r>
            <w:r>
              <w:rPr>
                <w:rFonts w:hint="eastAsia" w:cs="Times New Roman"/>
                <w:sz w:val="21"/>
                <w:szCs w:val="21"/>
                <w:lang w:eastAsia="zh-CN"/>
              </w:rPr>
              <w:t>“</w:t>
            </w:r>
            <w:r>
              <w:rPr>
                <w:rFonts w:cs="Times New Roman"/>
                <w:sz w:val="21"/>
                <w:szCs w:val="21"/>
              </w:rPr>
              <w:t>三员</w:t>
            </w:r>
            <w:r>
              <w:rPr>
                <w:rFonts w:hint="eastAsia" w:cs="Times New Roman"/>
                <w:sz w:val="21"/>
                <w:szCs w:val="21"/>
                <w:lang w:eastAsia="zh-CN"/>
              </w:rPr>
              <w:t>”</w:t>
            </w:r>
            <w:r>
              <w:rPr>
                <w:rFonts w:cs="Times New Roman"/>
                <w:sz w:val="21"/>
                <w:szCs w:val="21"/>
              </w:rPr>
              <w:t>管理、</w:t>
            </w:r>
            <w:r>
              <w:rPr>
                <w:rFonts w:hint="eastAsia" w:cs="Times New Roman"/>
                <w:sz w:val="21"/>
                <w:szCs w:val="21"/>
                <w:lang w:eastAsia="zh-CN"/>
              </w:rPr>
              <w:t>“</w:t>
            </w:r>
            <w:r>
              <w:rPr>
                <w:rFonts w:cs="Times New Roman"/>
                <w:sz w:val="21"/>
                <w:szCs w:val="21"/>
              </w:rPr>
              <w:t>两个禁止</w:t>
            </w:r>
            <w:r>
              <w:rPr>
                <w:rFonts w:hint="eastAsia" w:cs="Times New Roman"/>
                <w:sz w:val="21"/>
                <w:szCs w:val="21"/>
                <w:lang w:eastAsia="zh-CN"/>
              </w:rPr>
              <w:t>”</w:t>
            </w:r>
            <w:r>
              <w:rPr>
                <w:rFonts w:cs="Times New Roman"/>
                <w:sz w:val="21"/>
                <w:szCs w:val="21"/>
              </w:rPr>
              <w:t>等扬尘治理制度机制，实施渣土车密闭运输、清洁运输，完善降尘监测和考评体系。持续做好城市公共道路清扫保洁，加大专业道路清扫机械的配备和使用，有效提升国省道、县乡道路、</w:t>
            </w:r>
            <w:r>
              <w:rPr>
                <w:rFonts w:hint="eastAsia" w:cs="Times New Roman"/>
                <w:sz w:val="21"/>
                <w:szCs w:val="21"/>
              </w:rPr>
              <w:t>城乡接合部</w:t>
            </w:r>
            <w:r>
              <w:rPr>
                <w:rFonts w:cs="Times New Roman"/>
                <w:sz w:val="21"/>
                <w:szCs w:val="21"/>
              </w:rPr>
              <w:t>和背街小巷等各类道路清扫保洁效果，对城市公共区域、长期未开发建设裸地，以及废旧厂区、物流园、大型货车停车场等进行排查建档并采取防尘措施。大型煤炭、矿石等干散货码头、物料堆场全面完成抑尘设施建设和物料输送系统封闭改造。加强餐饮油烟污染治理，强化日常监督管理，规范治理设施运行管理，现场监管月抽查率不低于20%。</w:t>
            </w:r>
          </w:p>
        </w:tc>
        <w:tc>
          <w:tcPr>
            <w:tcW w:w="1071" w:type="pct"/>
            <w:vAlign w:val="center"/>
          </w:tcPr>
          <w:p>
            <w:pPr>
              <w:spacing w:line="240" w:lineRule="auto"/>
              <w:ind w:firstLine="0" w:firstLineChars="0"/>
              <w:jc w:val="center"/>
              <w:rPr>
                <w:rFonts w:cs="Times New Roman"/>
                <w:sz w:val="21"/>
                <w:szCs w:val="21"/>
              </w:rPr>
            </w:pPr>
            <w:r>
              <w:rPr>
                <w:rFonts w:cs="Times New Roman"/>
                <w:kern w:val="0"/>
                <w:sz w:val="21"/>
                <w:szCs w:val="21"/>
              </w:rPr>
              <w:t>本项目要求企业施工期实施</w:t>
            </w:r>
            <w:r>
              <w:rPr>
                <w:rFonts w:cs="Times New Roman"/>
                <w:sz w:val="21"/>
                <w:szCs w:val="21"/>
              </w:rPr>
              <w:t>开复工验收、</w:t>
            </w:r>
            <w:r>
              <w:rPr>
                <w:rFonts w:hint="eastAsia" w:cs="Times New Roman"/>
                <w:sz w:val="21"/>
                <w:szCs w:val="21"/>
                <w:lang w:eastAsia="zh-CN"/>
              </w:rPr>
              <w:t>“</w:t>
            </w:r>
            <w:r>
              <w:rPr>
                <w:rFonts w:cs="Times New Roman"/>
                <w:sz w:val="21"/>
                <w:szCs w:val="21"/>
              </w:rPr>
              <w:t>三员</w:t>
            </w:r>
            <w:r>
              <w:rPr>
                <w:rFonts w:hint="eastAsia" w:cs="Times New Roman"/>
                <w:sz w:val="21"/>
                <w:szCs w:val="21"/>
                <w:lang w:eastAsia="zh-CN"/>
              </w:rPr>
              <w:t>”</w:t>
            </w:r>
            <w:r>
              <w:rPr>
                <w:rFonts w:cs="Times New Roman"/>
                <w:sz w:val="21"/>
                <w:szCs w:val="21"/>
              </w:rPr>
              <w:t>管理、</w:t>
            </w:r>
            <w:r>
              <w:rPr>
                <w:rFonts w:hint="eastAsia" w:cs="Times New Roman"/>
                <w:sz w:val="21"/>
                <w:szCs w:val="21"/>
                <w:lang w:eastAsia="zh-CN"/>
              </w:rPr>
              <w:t>“</w:t>
            </w:r>
            <w:r>
              <w:rPr>
                <w:rFonts w:cs="Times New Roman"/>
                <w:sz w:val="21"/>
                <w:szCs w:val="21"/>
              </w:rPr>
              <w:t>两个禁止</w:t>
            </w:r>
            <w:r>
              <w:rPr>
                <w:rFonts w:hint="eastAsia" w:cs="Times New Roman"/>
                <w:sz w:val="21"/>
                <w:szCs w:val="21"/>
                <w:lang w:eastAsia="zh-CN"/>
              </w:rPr>
              <w:t>”</w:t>
            </w:r>
            <w:r>
              <w:rPr>
                <w:rFonts w:cs="Times New Roman"/>
                <w:sz w:val="21"/>
                <w:szCs w:val="21"/>
              </w:rPr>
              <w:t>等扬尘治理制度</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35" w:type="pct"/>
            <w:vAlign w:val="center"/>
          </w:tcPr>
          <w:p>
            <w:pPr>
              <w:spacing w:line="240" w:lineRule="auto"/>
              <w:ind w:firstLine="0" w:firstLineChars="0"/>
              <w:jc w:val="center"/>
              <w:rPr>
                <w:rFonts w:cs="Times New Roman"/>
                <w:sz w:val="21"/>
                <w:szCs w:val="21"/>
              </w:rPr>
            </w:pPr>
            <w:r>
              <w:rPr>
                <w:rFonts w:cs="Times New Roman"/>
                <w:kern w:val="0"/>
                <w:sz w:val="21"/>
                <w:szCs w:val="21"/>
              </w:rPr>
              <w:t>强化挥发性有机物治理，打好臭氧污染防治攻坚战</w:t>
            </w:r>
          </w:p>
        </w:tc>
        <w:tc>
          <w:tcPr>
            <w:tcW w:w="2712" w:type="pct"/>
            <w:vAlign w:val="center"/>
          </w:tcPr>
          <w:p>
            <w:pPr>
              <w:spacing w:line="240" w:lineRule="auto"/>
              <w:ind w:firstLine="0" w:firstLineChars="0"/>
              <w:jc w:val="center"/>
              <w:rPr>
                <w:rFonts w:cs="Times New Roman"/>
                <w:sz w:val="21"/>
                <w:szCs w:val="21"/>
              </w:rPr>
            </w:pPr>
            <w:r>
              <w:rPr>
                <w:rFonts w:cs="Times New Roman"/>
                <w:sz w:val="21"/>
                <w:szCs w:val="21"/>
              </w:rPr>
              <w:t>开展简易低效VOCs治理设施升级改造。各省辖市组织对涉VOCs企业治理设施建设情况、工艺类型、处理能力、运行情况、耗材或药剂更换情况、能源消耗情况和废过滤棉、废催化剂、废吸附剂、废吸收剂、废有机溶剂等二次污染物规范化处置情况进行全面检查，对治理设施设计不规范、与生产系统不匹配，单独使用光催化、光氧化、低温等离子等低效技术，治理设施建设和运行效果差的，建立清单台账，力争2022年6月底前基本完成升级改造并开展检测验收，严把工程质量，确保稳定达标排</w:t>
            </w:r>
          </w:p>
        </w:tc>
        <w:tc>
          <w:tcPr>
            <w:tcW w:w="1071" w:type="pct"/>
            <w:vAlign w:val="center"/>
          </w:tcPr>
          <w:p>
            <w:pPr>
              <w:spacing w:line="240" w:lineRule="auto"/>
              <w:ind w:firstLine="0" w:firstLineChars="0"/>
              <w:jc w:val="center"/>
              <w:rPr>
                <w:rFonts w:cs="Times New Roman"/>
                <w:sz w:val="21"/>
                <w:szCs w:val="21"/>
              </w:rPr>
            </w:pPr>
            <w:r>
              <w:rPr>
                <w:rFonts w:cs="Times New Roman"/>
                <w:kern w:val="0"/>
                <w:sz w:val="21"/>
                <w:szCs w:val="21"/>
              </w:rPr>
              <w:t>本项目</w:t>
            </w:r>
            <w:r>
              <w:rPr>
                <w:rFonts w:hint="eastAsia" w:cs="Times New Roman"/>
                <w:kern w:val="0"/>
                <w:sz w:val="21"/>
                <w:szCs w:val="21"/>
              </w:rPr>
              <w:t>产生</w:t>
            </w:r>
            <w:r>
              <w:rPr>
                <w:rFonts w:cs="Times New Roman"/>
                <w:sz w:val="21"/>
                <w:szCs w:val="21"/>
              </w:rPr>
              <w:t>VOCs</w:t>
            </w:r>
            <w:r>
              <w:rPr>
                <w:rFonts w:hint="eastAsia" w:cs="Times New Roman"/>
                <w:sz w:val="21"/>
                <w:szCs w:val="21"/>
              </w:rPr>
              <w:t>采用催化燃烧处理方式进行处理</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强化区域联防联控，打好重污染天气消除攻坚战</w:t>
            </w:r>
          </w:p>
        </w:tc>
        <w:tc>
          <w:tcPr>
            <w:tcW w:w="2712" w:type="pct"/>
            <w:vAlign w:val="center"/>
          </w:tcPr>
          <w:p>
            <w:pPr>
              <w:spacing w:line="240" w:lineRule="auto"/>
              <w:ind w:firstLine="0" w:firstLineChars="0"/>
              <w:jc w:val="center"/>
              <w:rPr>
                <w:rFonts w:cs="Times New Roman"/>
                <w:kern w:val="0"/>
                <w:sz w:val="21"/>
                <w:szCs w:val="21"/>
              </w:rPr>
            </w:pPr>
            <w:r>
              <w:rPr>
                <w:rFonts w:cs="Times New Roman"/>
                <w:sz w:val="21"/>
                <w:szCs w:val="21"/>
              </w:rPr>
              <w:t>建立重污染天气应对闭环管理机制。加强重污染天气应急响应期间监管力度，充分运用环境空气质量监测、污染源自动监控、工业用电量、门禁系统、卫星遥感、蓝天卫士等远程信息化技术手段，强化数据分析技术应用，深入开展空气质量指标高值区域的污染来源排查分析，实现对停、限产企业减排措施及效果的实时跟踪、智能分析、动态评估，建立锁定空气质量指标高 值区分析定重点、溯源查源头、开方促治理、实施提质量的工作机制。</w:t>
            </w:r>
          </w:p>
        </w:tc>
        <w:tc>
          <w:tcPr>
            <w:tcW w:w="1071"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本项目按照当地政府要求，响应重污染天气的减排措施</w:t>
            </w:r>
          </w:p>
        </w:tc>
        <w:tc>
          <w:tcPr>
            <w:tcW w:w="580" w:type="pct"/>
            <w:vAlign w:val="center"/>
          </w:tcPr>
          <w:p>
            <w:pPr>
              <w:spacing w:line="240" w:lineRule="auto"/>
              <w:ind w:firstLine="0" w:firstLineChars="0"/>
              <w:jc w:val="center"/>
              <w:rPr>
                <w:rFonts w:cs="Times New Roman"/>
                <w:kern w:val="0"/>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5000" w:type="pct"/>
            <w:gridSpan w:val="4"/>
            <w:vAlign w:val="center"/>
          </w:tcPr>
          <w:p>
            <w:pPr>
              <w:spacing w:line="240" w:lineRule="auto"/>
              <w:ind w:firstLine="0" w:firstLineChars="0"/>
              <w:jc w:val="center"/>
              <w:rPr>
                <w:rFonts w:cs="Times New Roman"/>
                <w:sz w:val="21"/>
                <w:szCs w:val="21"/>
              </w:rPr>
            </w:pPr>
            <w:r>
              <w:rPr>
                <w:rFonts w:cs="Times New Roman"/>
                <w:sz w:val="21"/>
                <w:szCs w:val="21"/>
              </w:rPr>
              <w:t>河南省2022年水污染防治攻坚战实施方案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持续打好城市黑臭水体治理攻坚战</w:t>
            </w:r>
          </w:p>
        </w:tc>
        <w:tc>
          <w:tcPr>
            <w:tcW w:w="2712"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补齐城镇污水收集处理设施短板，提升新区新城、污水处理厂长期超负荷运行区域的污水处理能力，开展污水管网建设和雨污分流、错接混接改造，对进水生化需氧量浓度低于100毫克/升的城市污水处理厂，制定整改计划，实施</w:t>
            </w:r>
            <w:r>
              <w:rPr>
                <w:rFonts w:hint="eastAsia" w:cs="Times New Roman"/>
                <w:kern w:val="0"/>
                <w:sz w:val="21"/>
                <w:szCs w:val="21"/>
                <w:lang w:eastAsia="zh-CN"/>
              </w:rPr>
              <w:t>“</w:t>
            </w:r>
            <w:r>
              <w:rPr>
                <w:rFonts w:cs="Times New Roman"/>
                <w:kern w:val="0"/>
                <w:sz w:val="21"/>
                <w:szCs w:val="21"/>
              </w:rPr>
              <w:t>一厂一策</w:t>
            </w:r>
            <w:r>
              <w:rPr>
                <w:rFonts w:hint="eastAsia" w:cs="Times New Roman"/>
                <w:kern w:val="0"/>
                <w:sz w:val="21"/>
                <w:szCs w:val="21"/>
                <w:lang w:eastAsia="zh-CN"/>
              </w:rPr>
              <w:t>”</w:t>
            </w:r>
            <w:r>
              <w:rPr>
                <w:rFonts w:cs="Times New Roman"/>
                <w:kern w:val="0"/>
                <w:sz w:val="21"/>
                <w:szCs w:val="21"/>
              </w:rPr>
              <w:t>系统化整治。</w:t>
            </w:r>
          </w:p>
        </w:tc>
        <w:tc>
          <w:tcPr>
            <w:tcW w:w="1071"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本项目</w:t>
            </w:r>
            <w:r>
              <w:rPr>
                <w:rFonts w:hint="eastAsia" w:cs="Times New Roman"/>
                <w:kern w:val="0"/>
                <w:sz w:val="21"/>
                <w:szCs w:val="21"/>
              </w:rPr>
              <w:t>废水经厂区污水处理后排放至集中污水处理厂处理</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35" w:type="pct"/>
            <w:vMerge w:val="restart"/>
            <w:vAlign w:val="center"/>
          </w:tcPr>
          <w:p>
            <w:pPr>
              <w:spacing w:line="240" w:lineRule="auto"/>
              <w:ind w:firstLine="0" w:firstLineChars="0"/>
              <w:jc w:val="center"/>
              <w:rPr>
                <w:rFonts w:cs="Times New Roman"/>
                <w:kern w:val="0"/>
                <w:sz w:val="21"/>
                <w:szCs w:val="21"/>
              </w:rPr>
            </w:pPr>
            <w:r>
              <w:rPr>
                <w:rFonts w:cs="Times New Roman"/>
                <w:kern w:val="0"/>
                <w:sz w:val="21"/>
                <w:szCs w:val="21"/>
              </w:rPr>
              <w:t>巩固提升饮用水安全保障水平</w:t>
            </w:r>
          </w:p>
        </w:tc>
        <w:tc>
          <w:tcPr>
            <w:tcW w:w="2712"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持续做好南水北调中线工程水质保护。深入开展南水北调中线工程水源地丹江口水库汇水区</w:t>
            </w:r>
            <w:r>
              <w:rPr>
                <w:rFonts w:hint="eastAsia" w:cs="Times New Roman"/>
                <w:kern w:val="0"/>
                <w:sz w:val="21"/>
                <w:szCs w:val="21"/>
              </w:rPr>
              <w:t>（</w:t>
            </w:r>
            <w:r>
              <w:rPr>
                <w:rFonts w:cs="Times New Roman"/>
                <w:kern w:val="0"/>
                <w:sz w:val="21"/>
                <w:szCs w:val="21"/>
              </w:rPr>
              <w:t>河南辖区</w:t>
            </w:r>
            <w:r>
              <w:rPr>
                <w:rFonts w:hint="eastAsia" w:cs="Times New Roman"/>
                <w:kern w:val="0"/>
                <w:sz w:val="21"/>
                <w:szCs w:val="21"/>
              </w:rPr>
              <w:t>）</w:t>
            </w:r>
            <w:r>
              <w:rPr>
                <w:rFonts w:cs="Times New Roman"/>
                <w:kern w:val="0"/>
                <w:sz w:val="21"/>
                <w:szCs w:val="21"/>
              </w:rPr>
              <w:t>生态保护与修复，持续巩固提升丹江口水库</w:t>
            </w:r>
            <w:r>
              <w:rPr>
                <w:rFonts w:hint="eastAsia" w:cs="Times New Roman"/>
                <w:kern w:val="0"/>
                <w:sz w:val="21"/>
                <w:szCs w:val="21"/>
              </w:rPr>
              <w:t>（</w:t>
            </w:r>
            <w:r>
              <w:rPr>
                <w:rFonts w:cs="Times New Roman"/>
                <w:kern w:val="0"/>
                <w:sz w:val="21"/>
                <w:szCs w:val="21"/>
              </w:rPr>
              <w:t>河南辖区</w:t>
            </w:r>
            <w:r>
              <w:rPr>
                <w:rFonts w:hint="eastAsia" w:cs="Times New Roman"/>
                <w:kern w:val="0"/>
                <w:sz w:val="21"/>
                <w:szCs w:val="21"/>
              </w:rPr>
              <w:t>）</w:t>
            </w:r>
            <w:r>
              <w:rPr>
                <w:rFonts w:cs="Times New Roman"/>
                <w:kern w:val="0"/>
                <w:sz w:val="21"/>
                <w:szCs w:val="21"/>
              </w:rPr>
              <w:t>及总干渠</w:t>
            </w:r>
            <w:r>
              <w:rPr>
                <w:rFonts w:hint="eastAsia" w:cs="Times New Roman"/>
                <w:kern w:val="0"/>
                <w:sz w:val="21"/>
                <w:szCs w:val="21"/>
              </w:rPr>
              <w:t>（</w:t>
            </w:r>
            <w:r>
              <w:rPr>
                <w:rFonts w:cs="Times New Roman"/>
                <w:kern w:val="0"/>
                <w:sz w:val="21"/>
                <w:szCs w:val="21"/>
              </w:rPr>
              <w:t>河南段</w:t>
            </w:r>
            <w:r>
              <w:rPr>
                <w:rFonts w:hint="eastAsia" w:cs="Times New Roman"/>
                <w:kern w:val="0"/>
                <w:sz w:val="21"/>
                <w:szCs w:val="21"/>
              </w:rPr>
              <w:t>）</w:t>
            </w:r>
            <w:r>
              <w:rPr>
                <w:rFonts w:cs="Times New Roman"/>
                <w:kern w:val="0"/>
                <w:sz w:val="21"/>
                <w:szCs w:val="21"/>
              </w:rPr>
              <w:t>两侧饮用水水源保护区生态环境保护专项行动成果，完善管理制度和措施，强化水质监测，提高预警预报能力，加强风险管控，全面提升保护区规范化建设水平。开展南水北调中线工程水源地丹江口水库环境保护状况评估，保障丹江口水库水质安全。</w:t>
            </w:r>
          </w:p>
        </w:tc>
        <w:tc>
          <w:tcPr>
            <w:tcW w:w="1071"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本项目距离南水北调保护区</w:t>
            </w:r>
            <w:r>
              <w:rPr>
                <w:rFonts w:hint="eastAsia" w:cs="Times New Roman"/>
                <w:kern w:val="0"/>
                <w:sz w:val="21"/>
                <w:szCs w:val="21"/>
                <w:lang w:eastAsia="zh-CN"/>
              </w:rPr>
              <w:t>较远</w:t>
            </w:r>
            <w:r>
              <w:rPr>
                <w:rFonts w:cs="Times New Roman"/>
                <w:kern w:val="0"/>
                <w:sz w:val="21"/>
                <w:szCs w:val="21"/>
              </w:rPr>
              <w:t>，不在保护区范围内</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Merge w:val="continue"/>
            <w:vAlign w:val="center"/>
          </w:tcPr>
          <w:p>
            <w:pPr>
              <w:spacing w:line="240" w:lineRule="auto"/>
              <w:ind w:firstLine="0" w:firstLineChars="0"/>
              <w:jc w:val="center"/>
              <w:rPr>
                <w:rFonts w:cs="Times New Roman"/>
                <w:kern w:val="0"/>
                <w:sz w:val="21"/>
                <w:szCs w:val="21"/>
              </w:rPr>
            </w:pPr>
          </w:p>
        </w:tc>
        <w:tc>
          <w:tcPr>
            <w:tcW w:w="2712"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持续推进饮用水水源地规范化建设。持续推进水源地规范化建设，依法依规划定</w:t>
            </w:r>
            <w:r>
              <w:rPr>
                <w:rFonts w:hint="eastAsia" w:cs="Times New Roman"/>
                <w:kern w:val="0"/>
                <w:sz w:val="21"/>
                <w:szCs w:val="21"/>
              </w:rPr>
              <w:t>（</w:t>
            </w:r>
            <w:r>
              <w:rPr>
                <w:rFonts w:cs="Times New Roman"/>
                <w:kern w:val="0"/>
                <w:sz w:val="21"/>
                <w:szCs w:val="21"/>
              </w:rPr>
              <w:t>调整</w:t>
            </w:r>
            <w:r>
              <w:rPr>
                <w:rFonts w:hint="eastAsia" w:cs="Times New Roman"/>
                <w:kern w:val="0"/>
                <w:sz w:val="21"/>
                <w:szCs w:val="21"/>
              </w:rPr>
              <w:t>）</w:t>
            </w:r>
            <w:r>
              <w:rPr>
                <w:rFonts w:cs="Times New Roman"/>
                <w:kern w:val="0"/>
                <w:sz w:val="21"/>
                <w:szCs w:val="21"/>
              </w:rPr>
              <w:t>饮用水水源保护区</w:t>
            </w:r>
            <w:r>
              <w:rPr>
                <w:rFonts w:hint="eastAsia" w:cs="Times New Roman"/>
                <w:kern w:val="0"/>
                <w:sz w:val="21"/>
                <w:szCs w:val="21"/>
              </w:rPr>
              <w:t>（</w:t>
            </w:r>
            <w:r>
              <w:rPr>
                <w:rFonts w:cs="Times New Roman"/>
                <w:kern w:val="0"/>
                <w:sz w:val="21"/>
                <w:szCs w:val="21"/>
              </w:rPr>
              <w:t>范围</w:t>
            </w:r>
            <w:r>
              <w:rPr>
                <w:rFonts w:hint="eastAsia" w:cs="Times New Roman"/>
                <w:kern w:val="0"/>
                <w:sz w:val="21"/>
                <w:szCs w:val="21"/>
              </w:rPr>
              <w:t>）</w:t>
            </w:r>
            <w:r>
              <w:rPr>
                <w:rFonts w:cs="Times New Roman"/>
                <w:kern w:val="0"/>
                <w:sz w:val="21"/>
                <w:szCs w:val="21"/>
              </w:rPr>
              <w:t>。开展县级以上集中式饮用水水源地环境保护状况评估工作。推进县级以上地表水型饮用水水源地预警监控能力建设。</w:t>
            </w:r>
          </w:p>
        </w:tc>
        <w:tc>
          <w:tcPr>
            <w:tcW w:w="1071"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本项目</w:t>
            </w:r>
            <w:r>
              <w:rPr>
                <w:rFonts w:cs="Times New Roman"/>
                <w:sz w:val="21"/>
                <w:szCs w:val="21"/>
              </w:rPr>
              <w:t>，不在乡镇级集中式饮用水</w:t>
            </w:r>
            <w:r>
              <w:rPr>
                <w:rFonts w:hint="eastAsia" w:cs="Times New Roman"/>
                <w:sz w:val="21"/>
                <w:szCs w:val="21"/>
                <w:lang w:eastAsia="zh-CN"/>
              </w:rPr>
              <w:t>水源保护区</w:t>
            </w:r>
            <w:r>
              <w:rPr>
                <w:rFonts w:cs="Times New Roman"/>
                <w:sz w:val="21"/>
                <w:szCs w:val="21"/>
              </w:rPr>
              <w:t>范围内</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统筹做好其他水生态环境保护工作</w:t>
            </w:r>
          </w:p>
        </w:tc>
        <w:tc>
          <w:tcPr>
            <w:tcW w:w="2712"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加强水环境风险防控。以涉重金属、危险化学品、有毒有害等行业企业为重点，加强水环境风险日常监管，建设事故调蓄池、应急闸坝等预防性设施，开展尾矿库生态环境风险隐患排 查整治，重点加强黄河流域和南水北调中线工程水源区</w:t>
            </w:r>
            <w:r>
              <w:rPr>
                <w:rFonts w:hint="eastAsia" w:cs="Times New Roman"/>
                <w:kern w:val="0"/>
                <w:sz w:val="21"/>
                <w:szCs w:val="21"/>
                <w:lang w:eastAsia="zh-CN"/>
              </w:rPr>
              <w:t>“</w:t>
            </w:r>
            <w:r>
              <w:rPr>
                <w:rFonts w:cs="Times New Roman"/>
                <w:kern w:val="0"/>
                <w:sz w:val="21"/>
                <w:szCs w:val="21"/>
              </w:rPr>
              <w:t>一废一品一库</w:t>
            </w:r>
            <w:r>
              <w:rPr>
                <w:rFonts w:hint="eastAsia" w:cs="Times New Roman"/>
                <w:kern w:val="0"/>
                <w:sz w:val="21"/>
                <w:szCs w:val="21"/>
                <w:lang w:eastAsia="zh-CN"/>
              </w:rPr>
              <w:t>”</w:t>
            </w:r>
            <w:r>
              <w:rPr>
                <w:rFonts w:cs="Times New Roman"/>
                <w:kern w:val="0"/>
                <w:sz w:val="21"/>
                <w:szCs w:val="21"/>
              </w:rPr>
              <w:t>监管。完善上下游政府及相关部门之间的联防联控、信息共享、闸坝调度机制，落实防范措施。加强重点饮用水水源地河流、重要跨界河流以及其他敏感水体风险防控，编制</w:t>
            </w:r>
            <w:r>
              <w:rPr>
                <w:rFonts w:hint="eastAsia" w:cs="Times New Roman"/>
                <w:kern w:val="0"/>
                <w:sz w:val="21"/>
                <w:szCs w:val="21"/>
                <w:lang w:eastAsia="zh-CN"/>
              </w:rPr>
              <w:t>“</w:t>
            </w:r>
            <w:r>
              <w:rPr>
                <w:rFonts w:cs="Times New Roman"/>
                <w:kern w:val="0"/>
                <w:sz w:val="21"/>
                <w:szCs w:val="21"/>
              </w:rPr>
              <w:t>一河一策一图</w:t>
            </w:r>
            <w:r>
              <w:rPr>
                <w:rFonts w:hint="eastAsia" w:cs="Times New Roman"/>
                <w:kern w:val="0"/>
                <w:sz w:val="21"/>
                <w:szCs w:val="21"/>
                <w:lang w:eastAsia="zh-CN"/>
              </w:rPr>
              <w:t>”</w:t>
            </w:r>
            <w:r>
              <w:rPr>
                <w:rFonts w:cs="Times New Roman"/>
                <w:kern w:val="0"/>
                <w:sz w:val="21"/>
                <w:szCs w:val="21"/>
              </w:rPr>
              <w:t>应急处置方案，强化应急演练，避免重、特大水污染事故发生。</w:t>
            </w:r>
          </w:p>
        </w:tc>
        <w:tc>
          <w:tcPr>
            <w:tcW w:w="1071" w:type="pct"/>
            <w:vAlign w:val="center"/>
          </w:tcPr>
          <w:p>
            <w:pPr>
              <w:spacing w:line="240" w:lineRule="auto"/>
              <w:ind w:firstLine="0" w:firstLineChars="0"/>
              <w:jc w:val="center"/>
              <w:rPr>
                <w:rFonts w:cs="Times New Roman"/>
                <w:kern w:val="0"/>
                <w:sz w:val="21"/>
                <w:szCs w:val="21"/>
              </w:rPr>
            </w:pPr>
            <w:r>
              <w:rPr>
                <w:rFonts w:cs="Times New Roman"/>
                <w:sz w:val="21"/>
                <w:szCs w:val="21"/>
              </w:rPr>
              <w:t>本项目工程</w:t>
            </w:r>
            <w:r>
              <w:rPr>
                <w:rFonts w:hint="eastAsia" w:cs="Times New Roman"/>
                <w:sz w:val="21"/>
                <w:szCs w:val="21"/>
              </w:rPr>
              <w:t>设计</w:t>
            </w:r>
            <w:r>
              <w:rPr>
                <w:rFonts w:cs="Times New Roman"/>
                <w:sz w:val="21"/>
                <w:szCs w:val="21"/>
              </w:rPr>
              <w:t>事故池，同时本次评价要求企业编制环境风险事故应急预案，避免发生水污染事故</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5000" w:type="pct"/>
            <w:gridSpan w:val="4"/>
            <w:vAlign w:val="center"/>
          </w:tcPr>
          <w:p>
            <w:pPr>
              <w:spacing w:line="240" w:lineRule="auto"/>
              <w:ind w:firstLine="0" w:firstLineChars="0"/>
              <w:jc w:val="center"/>
              <w:rPr>
                <w:rFonts w:cs="Times New Roman"/>
                <w:sz w:val="21"/>
                <w:szCs w:val="21"/>
              </w:rPr>
            </w:pPr>
            <w:r>
              <w:rPr>
                <w:rFonts w:cs="Times New Roman"/>
                <w:sz w:val="21"/>
                <w:szCs w:val="21"/>
              </w:rPr>
              <w:t>河南省2022年土壤污染防治攻坚战实施方案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jc w:val="center"/>
        </w:trPr>
        <w:tc>
          <w:tcPr>
            <w:tcW w:w="635"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强化土壤污染源头防控</w:t>
            </w:r>
          </w:p>
        </w:tc>
        <w:tc>
          <w:tcPr>
            <w:tcW w:w="2712" w:type="pct"/>
            <w:vAlign w:val="center"/>
          </w:tcPr>
          <w:p>
            <w:pPr>
              <w:spacing w:line="240" w:lineRule="auto"/>
              <w:ind w:firstLine="0" w:firstLineChars="0"/>
              <w:jc w:val="center"/>
              <w:rPr>
                <w:rFonts w:cs="Times New Roman"/>
                <w:kern w:val="0"/>
                <w:sz w:val="21"/>
                <w:szCs w:val="21"/>
              </w:rPr>
            </w:pPr>
            <w:r>
              <w:rPr>
                <w:rFonts w:cs="Times New Roman"/>
                <w:kern w:val="0"/>
                <w:sz w:val="21"/>
                <w:szCs w:val="21"/>
              </w:rPr>
              <w:t>推动涉重金属企业绿色化发展。支持涉重金属企业提标改造，建立完善全口径涉重金属重点行业企业清单动态调整机制，及时完善更新全口径清单企业信息及生产状态。新、改、扩建重点行业建设项目重金属污染物排放实施</w:t>
            </w:r>
            <w:r>
              <w:rPr>
                <w:rFonts w:hint="eastAsia" w:cs="Times New Roman"/>
                <w:kern w:val="0"/>
                <w:sz w:val="21"/>
                <w:szCs w:val="21"/>
                <w:lang w:eastAsia="zh-CN"/>
              </w:rPr>
              <w:t>“</w:t>
            </w:r>
            <w:r>
              <w:rPr>
                <w:rFonts w:cs="Times New Roman"/>
                <w:kern w:val="0"/>
                <w:sz w:val="21"/>
                <w:szCs w:val="21"/>
              </w:rPr>
              <w:t>减量替代</w:t>
            </w:r>
            <w:r>
              <w:rPr>
                <w:rFonts w:hint="eastAsia" w:cs="Times New Roman"/>
                <w:kern w:val="0"/>
                <w:sz w:val="21"/>
                <w:szCs w:val="21"/>
                <w:lang w:eastAsia="zh-CN"/>
              </w:rPr>
              <w:t>”</w:t>
            </w:r>
            <w:r>
              <w:rPr>
                <w:rFonts w:cs="Times New Roman"/>
                <w:kern w:val="0"/>
                <w:sz w:val="21"/>
                <w:szCs w:val="21"/>
              </w:rPr>
              <w:t>。2022年4月底前，依据《大气污染防治法》《水污染防治法》及重点排污单位名录管理有关规定，将符合条件的排放镉等重金属的企业，纳入重点排污单位名录和清洁生产审核基础信息库。对纳入大气重点排污单位名录或实行排污许可重点管理的涉镉等重金属排放企业，相关自动监测要求应当依法载入排污许可证，督促其按规定实现颗粒物在线自动监测，并与生态环境主管部门的监控设备联网。</w:t>
            </w:r>
          </w:p>
        </w:tc>
        <w:tc>
          <w:tcPr>
            <w:tcW w:w="1071" w:type="pct"/>
            <w:vAlign w:val="center"/>
          </w:tcPr>
          <w:p>
            <w:pPr>
              <w:spacing w:line="240" w:lineRule="auto"/>
              <w:ind w:firstLine="0" w:firstLineChars="0"/>
              <w:jc w:val="center"/>
              <w:rPr>
                <w:rFonts w:cs="Times New Roman"/>
                <w:kern w:val="0"/>
                <w:sz w:val="21"/>
                <w:szCs w:val="21"/>
              </w:rPr>
            </w:pPr>
            <w:r>
              <w:rPr>
                <w:rFonts w:cs="Times New Roman"/>
                <w:sz w:val="21"/>
                <w:szCs w:val="21"/>
              </w:rPr>
              <w:t>本项目不属于排放镉等重金属的重点行业</w:t>
            </w:r>
          </w:p>
        </w:tc>
        <w:tc>
          <w:tcPr>
            <w:tcW w:w="580" w:type="pct"/>
            <w:vAlign w:val="center"/>
          </w:tcPr>
          <w:p>
            <w:pPr>
              <w:spacing w:line="240" w:lineRule="auto"/>
              <w:ind w:firstLine="0" w:firstLineChars="0"/>
              <w:jc w:val="center"/>
              <w:rPr>
                <w:rFonts w:cs="Times New Roman"/>
                <w:sz w:val="21"/>
                <w:szCs w:val="21"/>
              </w:rPr>
            </w:pPr>
            <w:r>
              <w:rPr>
                <w:rFonts w:cs="Times New Roman"/>
                <w:sz w:val="21"/>
                <w:szCs w:val="21"/>
              </w:rPr>
              <w:t>相符</w:t>
            </w:r>
          </w:p>
        </w:tc>
      </w:tr>
    </w:tbl>
    <w:p>
      <w:pPr>
        <w:ind w:firstLine="480"/>
      </w:pPr>
      <w:r>
        <w:rPr>
          <w:rFonts w:hint="eastAsia"/>
        </w:rPr>
        <w:t>相符性：项目符合《关于印发河南省2022年大气、水、土壤污染防治攻坚战实施方案的通知》（豫环委办〔2022〕9号）文件要求。厂房建设中</w:t>
      </w:r>
      <w:r>
        <w:rPr>
          <w:rFonts w:cs="Times New Roman"/>
          <w:spacing w:val="4"/>
        </w:rPr>
        <w:t>切实管住扬尘污染源头</w:t>
      </w:r>
      <w:r>
        <w:rPr>
          <w:rFonts w:hint="eastAsia" w:cs="Times New Roman"/>
          <w:spacing w:val="4"/>
        </w:rPr>
        <w:t>、</w:t>
      </w:r>
      <w:r>
        <w:rPr>
          <w:rFonts w:cs="Times New Roman"/>
          <w:spacing w:val="4"/>
        </w:rPr>
        <w:t>加强施工扬尘控制</w:t>
      </w:r>
      <w:r>
        <w:rPr>
          <w:rFonts w:hint="eastAsia" w:cs="Times New Roman"/>
          <w:spacing w:val="4"/>
        </w:rPr>
        <w:t>、</w:t>
      </w:r>
      <w:r>
        <w:rPr>
          <w:rFonts w:cs="Times New Roman"/>
          <w:spacing w:val="4"/>
        </w:rPr>
        <w:t>强化道路扬尘管控</w:t>
      </w:r>
      <w:r>
        <w:rPr>
          <w:rFonts w:hint="eastAsia" w:cs="Times New Roman"/>
          <w:spacing w:val="4"/>
        </w:rPr>
        <w:t>、</w:t>
      </w:r>
      <w:r>
        <w:rPr>
          <w:rFonts w:cs="Times New Roman"/>
          <w:spacing w:val="4"/>
        </w:rPr>
        <w:t>加强堆场扬尘污染控制</w:t>
      </w:r>
      <w:r>
        <w:rPr>
          <w:rFonts w:hint="eastAsia" w:cs="Times New Roman"/>
          <w:spacing w:val="4"/>
        </w:rPr>
        <w:t>。</w:t>
      </w:r>
    </w:p>
    <w:p>
      <w:pPr>
        <w:pStyle w:val="7"/>
        <w:ind w:firstLine="562"/>
      </w:pPr>
      <w:r>
        <w:rPr>
          <w:rFonts w:hint="eastAsia"/>
        </w:rPr>
        <w:t>2.6.8 项目建设与《十三五挥发性有机物污染防治工作方案》相符性分析</w:t>
      </w:r>
    </w:p>
    <w:p>
      <w:pPr>
        <w:autoSpaceDE w:val="0"/>
        <w:autoSpaceDN w:val="0"/>
        <w:ind w:firstLine="496"/>
        <w:rPr>
          <w:rFonts w:cs="Times New Roman"/>
          <w:spacing w:val="4"/>
        </w:rPr>
      </w:pPr>
      <w:r>
        <w:rPr>
          <w:rFonts w:cs="Times New Roman"/>
          <w:spacing w:val="4"/>
        </w:rPr>
        <w:t>内容节选：本项目挥发性有机物（VOCs）是指非甲烷烃类（烷烃、烯烃、炔烃、芳香烃等）、含氧有机物（醛、酮、醇、醚等）、含氯有机物、含氮有机物、含硫有机物等，是形成臭氧（O</w:t>
      </w:r>
      <w:r>
        <w:rPr>
          <w:rFonts w:cs="Times New Roman"/>
          <w:spacing w:val="4"/>
          <w:vertAlign w:val="subscript"/>
        </w:rPr>
        <w:t>3</w:t>
      </w:r>
      <w:r>
        <w:rPr>
          <w:rFonts w:cs="Times New Roman"/>
          <w:spacing w:val="4"/>
        </w:rPr>
        <w:t>）和细颗粒物（PM</w:t>
      </w:r>
      <w:r>
        <w:rPr>
          <w:rFonts w:cs="Times New Roman"/>
          <w:spacing w:val="4"/>
          <w:vertAlign w:val="subscript"/>
        </w:rPr>
        <w:t>2.5</w:t>
      </w:r>
      <w:r>
        <w:rPr>
          <w:rFonts w:cs="Times New Roman"/>
          <w:spacing w:val="4"/>
        </w:rPr>
        <w:t>）污染的重要前体物。为全面加强VOCs污染防治工作，提高管理的科学性、针对性和有效性，促进环境空气质量持续改善，制定本方案。</w:t>
      </w:r>
    </w:p>
    <w:p>
      <w:pPr>
        <w:autoSpaceDE w:val="0"/>
        <w:autoSpaceDN w:val="0"/>
        <w:ind w:firstLine="496"/>
        <w:rPr>
          <w:rFonts w:cs="Times New Roman"/>
          <w:spacing w:val="4"/>
        </w:rPr>
      </w:pPr>
      <w:r>
        <w:rPr>
          <w:rFonts w:cs="Times New Roman"/>
          <w:spacing w:val="4"/>
        </w:rPr>
        <w:t>治理重点</w:t>
      </w:r>
    </w:p>
    <w:p>
      <w:pPr>
        <w:numPr>
          <w:ilvl w:val="0"/>
          <w:numId w:val="5"/>
        </w:numPr>
        <w:autoSpaceDE w:val="0"/>
        <w:autoSpaceDN w:val="0"/>
        <w:ind w:firstLine="496"/>
        <w:rPr>
          <w:rFonts w:cs="Times New Roman"/>
          <w:spacing w:val="4"/>
        </w:rPr>
      </w:pPr>
      <w:r>
        <w:rPr>
          <w:rFonts w:cs="Times New Roman"/>
          <w:spacing w:val="4"/>
        </w:rPr>
        <w:t>重点行业。重点推进石化、化工、包装印刷、工业涂装等重点行业以及机动车、油品储运销等交通源VOCs污染防治，实施一批重点工程。各地应结合自身产业结构特征、VOCs排放来源等，确定本地VOCs控制重点行业；充分考虑行业产能利用率、生产工艺特征以及污染物排放情况等，结合环境空气质量季节性变化特征，研究制定行业生产调控措施。</w:t>
      </w:r>
    </w:p>
    <w:p>
      <w:pPr>
        <w:numPr>
          <w:ilvl w:val="0"/>
          <w:numId w:val="6"/>
        </w:numPr>
        <w:autoSpaceDE w:val="0"/>
        <w:autoSpaceDN w:val="0"/>
        <w:ind w:firstLine="496"/>
        <w:rPr>
          <w:rFonts w:cs="Times New Roman"/>
          <w:spacing w:val="4"/>
        </w:rPr>
      </w:pPr>
      <w:r>
        <w:rPr>
          <w:rFonts w:cs="Times New Roman"/>
          <w:spacing w:val="4"/>
        </w:rPr>
        <w:t>主要任务</w:t>
      </w:r>
    </w:p>
    <w:p>
      <w:pPr>
        <w:autoSpaceDE w:val="0"/>
        <w:autoSpaceDN w:val="0"/>
        <w:ind w:firstLine="496"/>
        <w:rPr>
          <w:rFonts w:cs="Times New Roman"/>
          <w:spacing w:val="4"/>
        </w:rPr>
      </w:pPr>
      <w:r>
        <w:rPr>
          <w:rFonts w:hint="eastAsia" w:cs="Times New Roman"/>
          <w:spacing w:val="4"/>
        </w:rPr>
        <w:t>1.</w:t>
      </w:r>
      <w:r>
        <w:rPr>
          <w:rFonts w:cs="Times New Roman"/>
          <w:spacing w:val="4"/>
        </w:rPr>
        <w:t>严格建设项目环境准入。提高VOCs排放重点行业环保准入门槛，严格控制新增污染物排放量。重点地区要严格限制石化、化工、包装印刷、工业涂装等高VOCs排放建设项目。新建涉VOCs排放的工业企业要入园区。未纳入《石化产业规划布局方案》的新建炼化项目一律不得建设。严格涉VOCs建设项目环境影响评价，实行区域内VOCs排放等量或倍量削减替代，并将替代方案落实到企业排污许可证中，纳入环境执法管理。新、改、扩建涉VOCs排放项目，应从源头加强控制，使用低（无）VOCs含量的原辅材料，加强废气收集，安装高效治理设施。</w:t>
      </w:r>
    </w:p>
    <w:p>
      <w:pPr>
        <w:autoSpaceDE w:val="0"/>
        <w:autoSpaceDN w:val="0"/>
        <w:ind w:firstLine="496"/>
        <w:rPr>
          <w:rFonts w:cs="Times New Roman"/>
          <w:spacing w:val="4"/>
        </w:rPr>
      </w:pPr>
      <w:r>
        <w:rPr>
          <w:rFonts w:hint="eastAsia" w:cs="Times New Roman"/>
          <w:spacing w:val="4"/>
        </w:rPr>
        <w:t>2.</w:t>
      </w:r>
      <w:r>
        <w:rPr>
          <w:rFonts w:cs="Times New Roman"/>
          <w:spacing w:val="4"/>
        </w:rPr>
        <w:t>加快推进化工行业VOCs综合治理。加大制药、农药、煤化工（含现代煤化工、炼焦、合成氨等）、橡胶制品、涂料、油墨、胶粘剂、染料、化学助剂（塑料助剂和橡胶助剂）、日用化工等化工行业VOCs治理力度。京津冀大气污染传输通道城市2017年底前基本完成。推广使用低（无）VOCs含量、低反应活性的原辅材料和产品。农药行业要加快替代轻芳烃等溶剂，大力推广水基化类制剂；制药行业鼓励使用低（无）VOCs含量或低反应活性的溶剂；橡胶制品行业推广使用新型偶联剂、粘合剂等产品，推广使用</w:t>
      </w:r>
      <w:r>
        <w:rPr>
          <w:rFonts w:hint="eastAsia" w:cs="Times New Roman"/>
          <w:spacing w:val="4"/>
          <w:lang w:eastAsia="zh-CN"/>
        </w:rPr>
        <w:t>液状石蜡</w:t>
      </w:r>
      <w:r>
        <w:rPr>
          <w:rFonts w:cs="Times New Roman"/>
          <w:spacing w:val="4"/>
        </w:rPr>
        <w:t>等全面替代普通芳烃油、煤焦油等助剂。优化生产工艺方案。农药行业加快水相法合成、生物酶法拆分等技术开发推广；制药行业加快生物酶合成法等技术开发推广；橡胶制品行业推广采用串联法混炼、常压连续脱硫工艺。</w:t>
      </w:r>
    </w:p>
    <w:p>
      <w:pPr>
        <w:autoSpaceDE w:val="0"/>
        <w:autoSpaceDN w:val="0"/>
        <w:ind w:firstLine="496"/>
        <w:rPr>
          <w:rFonts w:cs="Times New Roman"/>
          <w:spacing w:val="4"/>
        </w:rPr>
      </w:pPr>
      <w:r>
        <w:rPr>
          <w:rFonts w:hint="eastAsia" w:cs="Times New Roman"/>
          <w:spacing w:val="4"/>
        </w:rPr>
        <w:t>……</w:t>
      </w:r>
    </w:p>
    <w:p>
      <w:pPr>
        <w:autoSpaceDE w:val="0"/>
        <w:autoSpaceDN w:val="0"/>
        <w:ind w:firstLine="496"/>
        <w:rPr>
          <w:rFonts w:cs="Times New Roman"/>
          <w:spacing w:val="4"/>
        </w:rPr>
      </w:pPr>
      <w:r>
        <w:rPr>
          <w:rFonts w:cs="Times New Roman"/>
          <w:spacing w:val="4"/>
        </w:rPr>
        <w:t>5.因地制宜推进其他工业行业VOCs综合治理。各地应结合本地产业结构特征和VOCs治理重点，因地制宜选择其他工业行业开展VOCs治理。电子行业应重点加强溶剂清洗、光刻、涂胶、涂装等工序VOCs排放控制；制鞋行业应重点加强鞋面拼接、成型、组底、喷漆、发泡、注塑、印刷、清洗等工序VOCs排放治理；纺织印染行业应重点加强化纤纺丝、热定型、涂层等工序VOCs排放治理；木材加工行业应重点加强干燥、涂胶、热压过程VOCs排放治理。</w:t>
      </w:r>
    </w:p>
    <w:p>
      <w:pPr>
        <w:widowControl/>
        <w:ind w:firstLine="496"/>
        <w:jc w:val="left"/>
        <w:rPr>
          <w:rFonts w:cs="Times New Roman"/>
          <w:spacing w:val="4"/>
        </w:rPr>
      </w:pPr>
      <w:r>
        <w:rPr>
          <w:rFonts w:cs="Times New Roman"/>
          <w:spacing w:val="4"/>
        </w:rPr>
        <w:t>本次工程位于</w:t>
      </w:r>
      <w:r>
        <w:rPr>
          <w:rFonts w:hint="eastAsia"/>
          <w:lang w:eastAsia="zh-CN"/>
        </w:rPr>
        <w:t>平顶山市尼龙新材料产业集聚区</w:t>
      </w:r>
      <w:r>
        <w:rPr>
          <w:rFonts w:cs="Times New Roman"/>
          <w:spacing w:val="4"/>
        </w:rPr>
        <w:t>，项目</w:t>
      </w:r>
      <w:r>
        <w:rPr>
          <w:rFonts w:hint="eastAsia" w:cs="Times New Roman"/>
          <w:spacing w:val="4"/>
        </w:rPr>
        <w:t>废气经治理措施处理后达标排放</w:t>
      </w:r>
      <w:r>
        <w:rPr>
          <w:rFonts w:cs="Times New Roman"/>
          <w:spacing w:val="4"/>
        </w:rPr>
        <w:t>。因此，项目建设符合《十三五挥发性有机物污染防治工作方案》。</w:t>
      </w:r>
    </w:p>
    <w:p>
      <w:pPr>
        <w:pStyle w:val="7"/>
        <w:ind w:firstLine="562"/>
        <w:rPr>
          <w:u w:val="single"/>
        </w:rPr>
      </w:pPr>
      <w:r>
        <w:rPr>
          <w:rFonts w:hint="eastAsia"/>
          <w:u w:val="single"/>
        </w:rPr>
        <w:t>2.6.</w:t>
      </w:r>
      <w:r>
        <w:rPr>
          <w:rFonts w:hint="eastAsia"/>
          <w:u w:val="single"/>
          <w:lang w:val="en-US" w:eastAsia="zh-CN"/>
        </w:rPr>
        <w:t>9</w:t>
      </w:r>
      <w:r>
        <w:rPr>
          <w:rFonts w:hint="eastAsia"/>
          <w:u w:val="single"/>
        </w:rPr>
        <w:t xml:space="preserve"> 项目建设与</w:t>
      </w:r>
      <w:r>
        <w:rPr>
          <w:rFonts w:hint="eastAsia"/>
          <w:u w:val="single"/>
          <w:lang w:val="en-US" w:eastAsia="zh-CN"/>
        </w:rPr>
        <w:t>《河南省人民政府办公厅关于石化产业调结构促转型增效益的实施意见》（豫政办〔2017〕31 号）符合性分析</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为贯彻落实《国务院办公厅关于石化产业调结构促转型增效益的指导意见》（国办发</w:t>
      </w:r>
      <w:r>
        <w:rPr>
          <w:rFonts w:hint="eastAsia" w:cs="Times New Roman"/>
          <w:color w:val="000000"/>
          <w:kern w:val="0"/>
          <w:sz w:val="24"/>
          <w:szCs w:val="24"/>
          <w:u w:val="single"/>
          <w:lang w:val="en-US" w:eastAsia="zh-CN" w:bidi="ar"/>
        </w:rPr>
        <w:t>〔</w:t>
      </w:r>
      <w:r>
        <w:rPr>
          <w:rFonts w:hint="default" w:ascii="Times New Roman" w:hAnsi="Times New Roman" w:eastAsia="宋体" w:cs="Times New Roman"/>
          <w:color w:val="000000"/>
          <w:kern w:val="0"/>
          <w:sz w:val="24"/>
          <w:szCs w:val="24"/>
          <w:u w:val="single"/>
          <w:lang w:val="en-US" w:eastAsia="zh-CN" w:bidi="ar"/>
        </w:rPr>
        <w:t>2016</w:t>
      </w:r>
      <w:r>
        <w:rPr>
          <w:rFonts w:hint="eastAsia" w:cs="Times New Roman"/>
          <w:color w:val="000000"/>
          <w:kern w:val="0"/>
          <w:sz w:val="24"/>
          <w:szCs w:val="24"/>
          <w:u w:val="single"/>
          <w:lang w:val="en-US" w:eastAsia="zh-CN" w:bidi="ar"/>
        </w:rPr>
        <w:t>〕</w:t>
      </w:r>
      <w:r>
        <w:rPr>
          <w:rFonts w:hint="default" w:ascii="Times New Roman" w:hAnsi="Times New Roman" w:eastAsia="宋体" w:cs="Times New Roman"/>
          <w:color w:val="000000"/>
          <w:kern w:val="0"/>
          <w:sz w:val="24"/>
          <w:szCs w:val="24"/>
          <w:u w:val="single"/>
          <w:lang w:val="en-US" w:eastAsia="zh-CN" w:bidi="ar"/>
        </w:rPr>
        <w:t>57号），促进我省石化产业持续健康发展，增强市场竞争力，经省政府同意，现结合我省实际，提出如下实施意见：</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一、总体思路</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全面贯彻党的十八大和十八届三中、四中、五中、六中全会精神以及省第十次党代会精神，牢固树立创新、协调、绿色、开放、共享的发展理念，以提高发展质量和效益为中心，以推进供给侧结构性改革为主线</w:t>
      </w:r>
      <w:r>
        <w:rPr>
          <w:rFonts w:hint="eastAsia" w:cs="Times New Roman"/>
          <w:color w:val="000000"/>
          <w:kern w:val="0"/>
          <w:sz w:val="24"/>
          <w:szCs w:val="24"/>
          <w:u w:val="single"/>
          <w:lang w:val="en-US" w:eastAsia="zh-CN" w:bidi="ar"/>
        </w:rPr>
        <w:t>，</w:t>
      </w:r>
      <w:r>
        <w:rPr>
          <w:rFonts w:hint="default" w:ascii="Times New Roman" w:hAnsi="Times New Roman" w:eastAsia="宋体" w:cs="Times New Roman"/>
          <w:color w:val="000000"/>
          <w:kern w:val="0"/>
          <w:sz w:val="24"/>
          <w:szCs w:val="24"/>
          <w:u w:val="single"/>
          <w:lang w:val="en-US" w:eastAsia="zh-CN" w:bidi="ar"/>
        </w:rPr>
        <w:t>着力推进产品结构调整、产业布局优化和落后产能压减，着力加强技术创新突破、节能环保改造和发展环境改善，推动我省石化产业高端化、材料化、园区化、差异化、绿色化发展。</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二、主要目标</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到2020年，全省石化产业结构调整和转型升级取得重大进展，石化新材料和精细化工产品比重大幅提升；产业布局趋于合理，建成一批在全国具有重要影响力的石化产业基地和产业集群，人口密集区危险化学品企业搬迁工程全面实施；创新能力明显增强，力争研发投入占行业主营业务收入的比例不低于1.2%；绿色发展全面推进，力争石化行业万元工业增加值能源消耗、二氧化碳排放量、用水量分别比“十二五”末下降8%、10%和14%。</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三、重点任务</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（一）着力发展化工新材料。以尼龙深加工、煤制乙二醇及深加工、新型功能材料为重点，提高</w:t>
      </w:r>
      <w:r>
        <w:rPr>
          <w:rFonts w:hint="eastAsia" w:cs="Times New Roman"/>
          <w:color w:val="000000"/>
          <w:kern w:val="0"/>
          <w:sz w:val="24"/>
          <w:szCs w:val="24"/>
          <w:u w:val="single"/>
          <w:lang w:val="en-US" w:eastAsia="zh-CN" w:bidi="ar"/>
        </w:rPr>
        <w:t>中</w:t>
      </w:r>
      <w:r>
        <w:rPr>
          <w:rFonts w:hint="default" w:ascii="Times New Roman" w:hAnsi="Times New Roman" w:eastAsia="宋体" w:cs="Times New Roman"/>
          <w:color w:val="000000"/>
          <w:kern w:val="0"/>
          <w:sz w:val="24"/>
          <w:szCs w:val="24"/>
          <w:u w:val="single"/>
          <w:lang w:val="en-US" w:eastAsia="zh-CN" w:bidi="ar"/>
        </w:rPr>
        <w:t>高端产品比重，加快培育具有国内外影响力的化工新材料产业。</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1、尼龙深加工。发挥平煤神马集团己二酸、己内酰胺现有生产优势，加强与国内外尼龙优势企业合资合作，积极承接沿海尼龙加工产业转移，推动上游生产规模化与下游加工集群化，加快开发尼龙系列改性工程塑料，扩大帘子布、气囊丝、工业丝、耐磨部件、切片等</w:t>
      </w:r>
      <w:r>
        <w:rPr>
          <w:rFonts w:hint="eastAsia" w:cs="Times New Roman"/>
          <w:color w:val="000000"/>
          <w:kern w:val="0"/>
          <w:sz w:val="24"/>
          <w:szCs w:val="24"/>
          <w:u w:val="single"/>
          <w:lang w:val="en-US" w:eastAsia="zh-CN" w:bidi="ar"/>
        </w:rPr>
        <w:t>终端</w:t>
      </w:r>
      <w:r>
        <w:rPr>
          <w:rFonts w:hint="default" w:ascii="Times New Roman" w:hAnsi="Times New Roman" w:eastAsia="宋体" w:cs="Times New Roman"/>
          <w:color w:val="000000"/>
          <w:kern w:val="0"/>
          <w:sz w:val="24"/>
          <w:szCs w:val="24"/>
          <w:u w:val="single"/>
          <w:lang w:val="en-US" w:eastAsia="zh-CN" w:bidi="ar"/>
        </w:rPr>
        <w:t>产品生产规模，促进尼龙66、尼龙6产业协同发展，打造具有国际竞争力的尼龙化工产业基地。</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2、煤制乙二醇及深加工。发挥河南能源化工集团煤制乙二醇技术优势，加快推进甲醇装置联产乙二醇改造，推动在建乙二醇项目竣工投产、建成项目稳产达效，加快形成百万吨级乙二醇生产基地，积极发展高纯度高性能聚酯、聚酯多元醇、聚酯型聚氨酯、聚酯纤维等下游深加工产品，建设国内重要的聚酯工程塑料产业基地。</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3、新型功能材料。加快推进高性能碳纤维、超高分子量聚烯烃、石墨烯改性等技术产业化，突破非光气法聚碳酸酯、甲醇制芳烃、直接氧化法环氧丙烷、热塑性聚酯弹性体制备等关键技术，积极发展锂离子电池隔膜等膜材料、碳纤维复合材料以及石墨烯柔性显示屏、石墨烯涂料、新型可降解塑料等高端产品。</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（二）改造传统产业。鼓励企业实施以原料结构调整、产品结构优化、节能环保安全升级等为目的的技术改造</w:t>
      </w:r>
      <w:r>
        <w:rPr>
          <w:rFonts w:hint="eastAsia" w:cs="Times New Roman"/>
          <w:color w:val="000000"/>
          <w:kern w:val="0"/>
          <w:sz w:val="24"/>
          <w:szCs w:val="24"/>
          <w:u w:val="single"/>
          <w:lang w:val="en-US" w:eastAsia="zh-CN" w:bidi="ar"/>
        </w:rPr>
        <w:t>，</w:t>
      </w:r>
      <w:r>
        <w:rPr>
          <w:rFonts w:hint="default" w:ascii="Times New Roman" w:hAnsi="Times New Roman" w:eastAsia="宋体" w:cs="Times New Roman"/>
          <w:color w:val="000000"/>
          <w:kern w:val="0"/>
          <w:sz w:val="24"/>
          <w:szCs w:val="24"/>
          <w:u w:val="single"/>
          <w:lang w:val="en-US" w:eastAsia="zh-CN" w:bidi="ar"/>
        </w:rPr>
        <w:t>提升现有生产装置整体性能，提高产品质量。严格限制尿素、电石、烧碱、聚氯乙烯、纯碱、磷铵等过剩行业新增产能，对符合政策要求的先进工艺改造提升项目实行等量或减量置换。利用产业政策、安全、环保、节能、价格等措施，引导安全、环保不达标的化工企业落后和低效产能退出。</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（三）推进产业布局优化。结合资源禀赋、产业基础、环境容量、安全保障等因素，统筹推进石油化工、现代煤化工、盐碱化工、精细化工等产业基地和产业集群建设。</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1、石油化工。加快推进洛阳石化1800万吨/年炼油扩能改造工程及配套项目建设</w:t>
      </w:r>
      <w:r>
        <w:rPr>
          <w:rFonts w:hint="eastAsia" w:cs="Times New Roman"/>
          <w:color w:val="000000"/>
          <w:kern w:val="0"/>
          <w:sz w:val="24"/>
          <w:szCs w:val="24"/>
          <w:u w:val="single"/>
          <w:lang w:val="en-US" w:eastAsia="zh-CN" w:bidi="ar"/>
        </w:rPr>
        <w:t>，</w:t>
      </w:r>
      <w:r>
        <w:rPr>
          <w:rFonts w:hint="default" w:ascii="Times New Roman" w:hAnsi="Times New Roman" w:eastAsia="宋体" w:cs="Times New Roman"/>
          <w:color w:val="000000"/>
          <w:kern w:val="0"/>
          <w:sz w:val="24"/>
          <w:szCs w:val="24"/>
          <w:u w:val="single"/>
          <w:lang w:val="en-US" w:eastAsia="zh-CN" w:bidi="ar"/>
        </w:rPr>
        <w:t>及时升级油品质量，积极发展对二甲苯（PX）、精对苯二甲酸（PTA）、环氧丙烷、丙酮等下游深加工产品，建设洛阳现代石油化工基地。推动中原油田石化总厂、丰利石化等企业炼化一体化发展，扩大工程塑料、特种橡胶、电子化学品、新型涂料等高附加值产品生产，建设濮阳新型石油化工基地。推动河南油田石蜡产业链式发展，积极引进改性蜡、合成蜡、乳化蜡、微粉蜡等精加工项目，加快发展防护、食品、铸造、储能等领域用高附加值产品，建设南阳特种蜡生产基地。</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2、现代煤化工。重点依托河南能源化工集团，拓展乙二醇、甲醇、醋酸、1</w:t>
      </w:r>
      <w:r>
        <w:rPr>
          <w:rFonts w:hint="eastAsia" w:cs="Times New Roman"/>
          <w:color w:val="000000"/>
          <w:kern w:val="0"/>
          <w:sz w:val="24"/>
          <w:szCs w:val="24"/>
          <w:u w:val="single"/>
          <w:lang w:val="en-US" w:eastAsia="zh-CN" w:bidi="ar"/>
        </w:rPr>
        <w:t>，</w:t>
      </w:r>
      <w:r>
        <w:rPr>
          <w:rFonts w:hint="default" w:ascii="Times New Roman" w:hAnsi="Times New Roman" w:eastAsia="宋体" w:cs="Times New Roman"/>
          <w:color w:val="000000"/>
          <w:kern w:val="0"/>
          <w:sz w:val="24"/>
          <w:szCs w:val="24"/>
          <w:u w:val="single"/>
          <w:lang w:val="en-US" w:eastAsia="zh-CN" w:bidi="ar"/>
        </w:rPr>
        <w:t>4-丁二醇等基础产品精深加工产业链，推动鹤壁煤制烯烃示范工程和煤焦油精深加工项目建设，打造豫北、豫西、豫东现代煤化工基地。重点依托平煤神马集团，做精做强尼龙化工、煤焦化工产业，构建产业链协同优势，打造平顶山新型煤化工基地。重点依托昊华骏化集团，积极发展醋酸合成乙醇、阻燃树脂等深加工产品，建设以煤化工为主的豫南化工基地。</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eastAsia="宋体" w:cs="Times New Roman"/>
          <w:color w:val="000000"/>
          <w:kern w:val="0"/>
          <w:sz w:val="24"/>
          <w:szCs w:val="24"/>
          <w:u w:val="single"/>
          <w:lang w:val="en-US" w:eastAsia="zh-CN" w:bidi="ar"/>
        </w:rPr>
      </w:pPr>
      <w:r>
        <w:rPr>
          <w:rFonts w:hint="default" w:ascii="Times New Roman" w:hAnsi="Times New Roman" w:eastAsia="宋体" w:cs="Times New Roman"/>
          <w:color w:val="000000"/>
          <w:kern w:val="0"/>
          <w:sz w:val="24"/>
          <w:szCs w:val="24"/>
          <w:u w:val="single"/>
          <w:lang w:val="en-US" w:eastAsia="zh-CN" w:bidi="ar"/>
        </w:rPr>
        <w:t>3、盐碱化工。发挥岩盐、天然碱等资源优势，围绕氯碱下游精深加工，以氯碱平衡产品为主，加快发展食品添加剂、新型洗涤剂、耗氯精细化学品和聚氯乙烯深加工产品，提升舞阳、济源、沁阳、桐柏等地盐碱化工产业市场竞争力。</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4、精细化工。支持焦作、开封、鹤壁等地骨干化工企业积极延伸产品链条，高水平承接精细化工产业转移，加快发展含氟电子化学品及氟化聚合物、改性聚甲醛、绿色纤维等新材料，以及绿色农药中间体、新型橡胶助剂、高效离子交换树脂、含钛环保涂料等精细化学品，培育特色精细化工产业集群。</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四、政策措施</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二）严把项目准入关口。严禁备案国家《产业结构调整指导目录（2013年修订）》中确定的限制类化工项目，有关部门和机构不得办理相关项目土地供应、能评、环评和新增授信等业务。严格控制新增高风险化工项目，省发展改革、工业和信息化、工商、国土资源、住房城乡建设、环保、公安、安全监管、食品药品监管、能源等部门要从产业政策、项目审批、工商登记、土地利用、选址规划、环境保护、公共安全、安全生产、节能降耗等方面把好审批关口。严格限制新建光气、氰化钠、氟乙酸甲酯等剧毒化学品以及硝酸铵、硝化棉等易制爆化学品项目，原则上不再核准（备案）一次性固定资产投资额低于1亿元（不含土地费用）危险化学品生产建设项目（涉及环保、安全、节能技术改造项目除外）。</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ascii="Times New Roman" w:hAnsi="Times New Roman" w:cs="Times New Roman"/>
          <w:u w:val="single"/>
        </w:rPr>
      </w:pPr>
      <w:r>
        <w:rPr>
          <w:rFonts w:hint="default" w:ascii="Times New Roman" w:hAnsi="Times New Roman" w:eastAsia="宋体" w:cs="Times New Roman"/>
          <w:color w:val="000000"/>
          <w:kern w:val="0"/>
          <w:sz w:val="24"/>
          <w:szCs w:val="24"/>
          <w:u w:val="singl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jc w:val="both"/>
        <w:textAlignment w:val="auto"/>
        <w:rPr>
          <w:rFonts w:cs="Times New Roman"/>
          <w:spacing w:val="4"/>
          <w:u w:val="single"/>
        </w:rPr>
      </w:pPr>
      <w:r>
        <w:rPr>
          <w:rFonts w:hint="default" w:ascii="Times New Roman" w:hAnsi="Times New Roman" w:eastAsia="宋体" w:cs="Times New Roman"/>
          <w:color w:val="000000"/>
          <w:kern w:val="0"/>
          <w:sz w:val="24"/>
          <w:szCs w:val="24"/>
          <w:u w:val="single"/>
          <w:lang w:val="en-US" w:eastAsia="zh-CN" w:bidi="ar"/>
        </w:rPr>
        <w:t>本项目产品为</w:t>
      </w:r>
      <w:r>
        <w:rPr>
          <w:rFonts w:hint="eastAsia" w:cs="Times New Roman"/>
          <w:u w:val="single"/>
        </w:rPr>
        <w:t>涂料</w:t>
      </w:r>
      <w:r>
        <w:rPr>
          <w:rFonts w:hint="eastAsia" w:cs="Times New Roman"/>
          <w:u w:val="single"/>
          <w:lang w:eastAsia="zh-CN"/>
        </w:rPr>
        <w:t>、</w:t>
      </w:r>
      <w:r>
        <w:rPr>
          <w:rFonts w:hint="eastAsia" w:cs="Times New Roman"/>
          <w:u w:val="single"/>
        </w:rPr>
        <w:t>合成树脂</w:t>
      </w:r>
      <w:r>
        <w:rPr>
          <w:rFonts w:hint="eastAsia" w:cs="Times New Roman"/>
          <w:u w:val="single"/>
          <w:lang w:eastAsia="zh-CN"/>
        </w:rPr>
        <w:t>等基础化学品</w:t>
      </w:r>
      <w:r>
        <w:rPr>
          <w:rFonts w:hint="default" w:ascii="Times New Roman" w:hAnsi="Times New Roman" w:eastAsia="宋体" w:cs="Times New Roman"/>
          <w:color w:val="000000"/>
          <w:kern w:val="0"/>
          <w:sz w:val="24"/>
          <w:szCs w:val="24"/>
          <w:u w:val="single"/>
          <w:lang w:val="en-US" w:eastAsia="zh-CN" w:bidi="ar"/>
        </w:rPr>
        <w:t>。本项目</w:t>
      </w:r>
      <w:r>
        <w:rPr>
          <w:rFonts w:hint="eastAsia" w:ascii="Times New Roman" w:hAnsi="Times New Roman" w:eastAsia="宋体" w:cs="Times New Roman"/>
          <w:color w:val="000000"/>
          <w:kern w:val="0"/>
          <w:sz w:val="24"/>
          <w:szCs w:val="24"/>
          <w:u w:val="single"/>
          <w:lang w:val="en-US" w:eastAsia="zh-CN" w:bidi="ar"/>
        </w:rPr>
        <w:t>不</w:t>
      </w:r>
      <w:r>
        <w:rPr>
          <w:rFonts w:hint="default" w:ascii="Times New Roman" w:hAnsi="Times New Roman" w:eastAsia="宋体" w:cs="Times New Roman"/>
          <w:color w:val="000000"/>
          <w:kern w:val="0"/>
          <w:sz w:val="24"/>
          <w:szCs w:val="24"/>
          <w:u w:val="single"/>
          <w:lang w:val="en-US" w:eastAsia="zh-CN" w:bidi="ar"/>
        </w:rPr>
        <w:t>属于《产业结构调整指导目录（2019年本）》中</w:t>
      </w:r>
      <w:r>
        <w:rPr>
          <w:rFonts w:hint="eastAsia" w:ascii="Times New Roman" w:hAnsi="Times New Roman" w:eastAsia="宋体" w:cs="Times New Roman"/>
          <w:color w:val="000000"/>
          <w:kern w:val="0"/>
          <w:sz w:val="24"/>
          <w:szCs w:val="24"/>
          <w:u w:val="single"/>
          <w:lang w:val="en-US" w:eastAsia="zh-CN" w:bidi="ar"/>
        </w:rPr>
        <w:t>鼓励</w:t>
      </w:r>
      <w:r>
        <w:rPr>
          <w:rFonts w:hint="default" w:ascii="Times New Roman" w:hAnsi="Times New Roman" w:eastAsia="宋体" w:cs="Times New Roman"/>
          <w:color w:val="000000"/>
          <w:kern w:val="0"/>
          <w:sz w:val="24"/>
          <w:szCs w:val="24"/>
          <w:u w:val="single"/>
          <w:lang w:val="en-US" w:eastAsia="zh-CN" w:bidi="ar"/>
        </w:rPr>
        <w:t>类</w:t>
      </w:r>
      <w:r>
        <w:rPr>
          <w:rFonts w:hint="eastAsia" w:ascii="Times New Roman" w:hAnsi="Times New Roman" w:eastAsia="宋体" w:cs="Times New Roman"/>
          <w:color w:val="000000"/>
          <w:kern w:val="0"/>
          <w:sz w:val="24"/>
          <w:szCs w:val="24"/>
          <w:u w:val="single"/>
          <w:lang w:val="en-US" w:eastAsia="zh-CN" w:bidi="ar"/>
        </w:rPr>
        <w:t>和淘汰类</w:t>
      </w:r>
      <w:r>
        <w:rPr>
          <w:rFonts w:hint="default" w:ascii="Times New Roman" w:hAnsi="Times New Roman" w:eastAsia="宋体" w:cs="Times New Roman"/>
          <w:color w:val="000000"/>
          <w:kern w:val="0"/>
          <w:sz w:val="24"/>
          <w:szCs w:val="24"/>
          <w:u w:val="single"/>
          <w:lang w:val="en-US" w:eastAsia="zh-CN" w:bidi="ar"/>
        </w:rPr>
        <w:t>建设项目，符合国家当前产业政策，投资规模满足相关文件要求。因此，本项目建设符合《河南省人民政府办公厅关于石化产业调结构促转型增效益的实施意见》中相关要求。</w:t>
      </w:r>
    </w:p>
    <w:p>
      <w:pPr>
        <w:ind w:firstLine="480"/>
        <w:sectPr>
          <w:headerReference r:id="rId16" w:type="default"/>
          <w:footerReference r:id="rId17" w:type="default"/>
          <w:pgSz w:w="11906" w:h="16838"/>
          <w:pgMar w:top="1417" w:right="1417" w:bottom="1417" w:left="1417" w:header="680" w:footer="794" w:gutter="0"/>
          <w:pgBorders>
            <w:top w:val="none" w:sz="0" w:space="0"/>
            <w:left w:val="none" w:sz="0" w:space="0"/>
            <w:bottom w:val="none" w:sz="0" w:space="0"/>
            <w:right w:val="none" w:sz="0" w:space="0"/>
          </w:pgBorders>
          <w:cols w:space="425" w:num="1"/>
          <w:docGrid w:type="lines" w:linePitch="312" w:charSpace="0"/>
        </w:sectPr>
      </w:pPr>
    </w:p>
    <w:p>
      <w:pPr>
        <w:pStyle w:val="5"/>
        <w:ind w:firstLine="0" w:firstLineChars="0"/>
        <w:jc w:val="center"/>
        <w:rPr>
          <w:rFonts w:hint="default"/>
        </w:rPr>
      </w:pPr>
      <w:bookmarkStart w:id="48" w:name="_Toc26493"/>
      <w:bookmarkStart w:id="49" w:name="_Toc4010"/>
      <w:bookmarkStart w:id="50" w:name="_Toc20981"/>
      <w:r>
        <w:t>第三章 工程概况</w:t>
      </w:r>
      <w:bookmarkEnd w:id="48"/>
      <w:bookmarkEnd w:id="49"/>
      <w:bookmarkEnd w:id="50"/>
    </w:p>
    <w:p>
      <w:pPr>
        <w:pStyle w:val="6"/>
        <w:ind w:firstLine="0" w:firstLineChars="0"/>
        <w:rPr>
          <w:lang w:val="en-US"/>
        </w:rPr>
      </w:pPr>
      <w:bookmarkStart w:id="51" w:name="_Toc27220"/>
      <w:bookmarkStart w:id="52" w:name="_Toc18877"/>
      <w:bookmarkStart w:id="53" w:name="_Toc25163"/>
      <w:r>
        <w:rPr>
          <w:rFonts w:hint="eastAsia"/>
          <w:lang w:val="en-US"/>
        </w:rPr>
        <w:t>3</w:t>
      </w:r>
      <w:r>
        <w:rPr>
          <w:lang w:val="en-US"/>
        </w:rPr>
        <w:t>.1 项目基本情况</w:t>
      </w:r>
      <w:bookmarkEnd w:id="51"/>
      <w:bookmarkEnd w:id="52"/>
      <w:bookmarkEnd w:id="53"/>
    </w:p>
    <w:p>
      <w:pPr>
        <w:pStyle w:val="7"/>
        <w:keepNext w:val="0"/>
        <w:keepLines w:val="0"/>
        <w:autoSpaceDE w:val="0"/>
        <w:autoSpaceDN w:val="0"/>
        <w:ind w:firstLine="562"/>
      </w:pPr>
      <w:r>
        <w:rPr>
          <w:rFonts w:hint="eastAsia"/>
        </w:rPr>
        <w:t>3</w:t>
      </w:r>
      <w:r>
        <w:t xml:space="preserve">.1.1 </w:t>
      </w:r>
      <w:r>
        <w:rPr>
          <w:rFonts w:hint="eastAsia"/>
        </w:rPr>
        <w:t>项目基本信息</w:t>
      </w:r>
    </w:p>
    <w:p>
      <w:pPr>
        <w:ind w:firstLine="480"/>
      </w:pPr>
      <w:r>
        <w:rPr>
          <w:rFonts w:hint="eastAsia"/>
        </w:rPr>
        <w:t>项目名称：新旭环保型体育设施新区建设项目；</w:t>
      </w:r>
    </w:p>
    <w:p>
      <w:pPr>
        <w:ind w:firstLine="480"/>
      </w:pPr>
      <w:r>
        <w:rPr>
          <w:rFonts w:hint="eastAsia"/>
        </w:rPr>
        <w:t>建设单位：新旭新材料有限公司；</w:t>
      </w:r>
    </w:p>
    <w:p>
      <w:pPr>
        <w:ind w:firstLine="480"/>
      </w:pPr>
      <w:r>
        <w:rPr>
          <w:rFonts w:hint="eastAsia"/>
        </w:rPr>
        <w:t>建设地点：</w:t>
      </w:r>
      <w:r>
        <w:rPr>
          <w:rFonts w:hint="eastAsia" w:cs="Times New Roman"/>
          <w:lang w:eastAsia="zh-CN"/>
        </w:rPr>
        <w:t>平顶山市尼龙新材料产业集聚区</w:t>
      </w:r>
      <w:r>
        <w:rPr>
          <w:rFonts w:hint="eastAsia"/>
        </w:rPr>
        <w:t>；</w:t>
      </w:r>
    </w:p>
    <w:p>
      <w:pPr>
        <w:ind w:firstLine="480"/>
      </w:pPr>
      <w:r>
        <w:rPr>
          <w:rFonts w:hint="eastAsia"/>
        </w:rPr>
        <w:t>建设性质：新建；</w:t>
      </w:r>
    </w:p>
    <w:p>
      <w:pPr>
        <w:widowControl/>
        <w:autoSpaceDE w:val="0"/>
        <w:autoSpaceDN w:val="0"/>
        <w:ind w:firstLine="480"/>
        <w:rPr>
          <w:rFonts w:hAnsi="宋体" w:cs="Times New Roman"/>
        </w:rPr>
      </w:pPr>
      <w:r>
        <w:rPr>
          <w:rFonts w:hint="eastAsia" w:cs="宋体"/>
          <w:color w:val="000000" w:themeColor="text1"/>
          <w:kern w:val="0"/>
          <w:lang w:bidi="ar"/>
          <w14:textFill>
            <w14:solidFill>
              <w14:schemeClr w14:val="tx1"/>
            </w14:solidFill>
          </w14:textFill>
        </w:rPr>
        <w:t>行业类别：</w:t>
      </w:r>
      <w:r>
        <w:rPr>
          <w:rFonts w:hint="eastAsia" w:cs="Times New Roman"/>
        </w:rPr>
        <w:t>C2641涂料制造；C2651初级形态塑料及合成树脂制造；C2669其他专用化学产品制造；C2928人造草</w:t>
      </w:r>
      <w:r>
        <w:rPr>
          <w:rFonts w:hint="eastAsia" w:hAnsi="宋体" w:cs="Times New Roman"/>
        </w:rPr>
        <w:t>坪制造；C2916运动场地用塑胶制造；C2919其他橡胶制品制造；</w:t>
      </w:r>
    </w:p>
    <w:p>
      <w:pPr>
        <w:widowControl/>
        <w:autoSpaceDE w:val="0"/>
        <w:autoSpaceDN w:val="0"/>
        <w:ind w:firstLine="480"/>
        <w:rPr>
          <w:rFonts w:cs="宋体"/>
          <w:color w:val="000000" w:themeColor="text1"/>
          <w:kern w:val="0"/>
          <w:lang w:bidi="ar"/>
          <w14:textFill>
            <w14:solidFill>
              <w14:schemeClr w14:val="tx1"/>
            </w14:solidFill>
          </w14:textFill>
        </w:rPr>
      </w:pPr>
      <w:r>
        <w:rPr>
          <w:rFonts w:hint="eastAsia" w:cs="宋体"/>
          <w:color w:val="000000" w:themeColor="text1"/>
          <w:kern w:val="0"/>
          <w:lang w:bidi="ar"/>
          <w14:textFill>
            <w14:solidFill>
              <w14:schemeClr w14:val="tx1"/>
            </w14:solidFill>
          </w14:textFill>
        </w:rPr>
        <w:t>建设规模：项目占地面积</w:t>
      </w:r>
      <w:r>
        <w:rPr>
          <w:rFonts w:hint="eastAsia"/>
          <w:color w:val="000000" w:themeColor="text1"/>
          <w14:textFill>
            <w14:solidFill>
              <w14:schemeClr w14:val="tx1"/>
            </w14:solidFill>
          </w14:textFill>
        </w:rPr>
        <w:t>27596.74平方米</w:t>
      </w:r>
      <w:r>
        <w:rPr>
          <w:rFonts w:hint="eastAsia" w:cs="宋体"/>
          <w:color w:val="000000" w:themeColor="text1"/>
          <w:kern w:val="0"/>
          <w:lang w:bidi="ar"/>
          <w14:textFill>
            <w14:solidFill>
              <w14:schemeClr w14:val="tx1"/>
            </w14:solidFill>
          </w14:textFill>
        </w:rPr>
        <w:t>，总建筑面积</w:t>
      </w:r>
      <w:r>
        <w:rPr>
          <w:rFonts w:hint="eastAsia" w:cs="宋体"/>
          <w:color w:val="000000" w:themeColor="text1"/>
          <w:kern w:val="0"/>
          <w:lang w:val="en-US" w:eastAsia="zh-CN" w:bidi="ar"/>
          <w14:textFill>
            <w14:solidFill>
              <w14:schemeClr w14:val="tx1"/>
            </w14:solidFill>
          </w14:textFill>
        </w:rPr>
        <w:t>26540.55</w:t>
      </w:r>
      <w:r>
        <w:rPr>
          <w:rFonts w:hint="eastAsia" w:cs="宋体"/>
          <w:color w:val="000000" w:themeColor="text1"/>
          <w:kern w:val="0"/>
          <w:lang w:bidi="ar"/>
          <w14:textFill>
            <w14:solidFill>
              <w14:schemeClr w14:val="tx1"/>
            </w14:solidFill>
          </w14:textFill>
        </w:rPr>
        <w:t>平方米。主要建设一栋6层办公楼、5栋1层丙类厂房、、一栋1层丙类仓库、储罐区及相关配套工程。项目投产后年产硅PU8000吨，</w:t>
      </w:r>
      <w:r>
        <w:rPr>
          <w:rFonts w:hint="eastAsia" w:cs="宋体"/>
          <w:color w:val="000000" w:themeColor="text1"/>
          <w:kern w:val="0"/>
          <w:lang w:eastAsia="zh-CN" w:bidi="ar"/>
          <w14:textFill>
            <w14:solidFill>
              <w14:schemeClr w14:val="tx1"/>
            </w14:solidFill>
          </w14:textFill>
        </w:rPr>
        <w:t>EPDM颗粒</w:t>
      </w:r>
      <w:r>
        <w:rPr>
          <w:rFonts w:hint="eastAsia" w:cs="宋体"/>
          <w:color w:val="000000" w:themeColor="text1"/>
          <w:kern w:val="0"/>
          <w:lang w:bidi="ar"/>
          <w14:textFill>
            <w14:solidFill>
              <w14:schemeClr w14:val="tx1"/>
            </w14:solidFill>
          </w14:textFill>
        </w:rPr>
        <w:t>3500吨，人造草坪150万平方米（约</w:t>
      </w:r>
      <w:r>
        <w:rPr>
          <w:rFonts w:hint="eastAsia" w:cs="宋体"/>
          <w:color w:val="000000" w:themeColor="text1"/>
          <w:kern w:val="0"/>
          <w:lang w:val="en-US" w:eastAsia="zh-CN" w:bidi="ar"/>
          <w14:textFill>
            <w14:solidFill>
              <w14:schemeClr w14:val="tx1"/>
            </w14:solidFill>
          </w14:textFill>
        </w:rPr>
        <w:t>3102.2</w:t>
      </w:r>
      <w:r>
        <w:rPr>
          <w:rFonts w:hint="eastAsia" w:cs="宋体"/>
          <w:color w:val="000000" w:themeColor="text1"/>
          <w:kern w:val="0"/>
          <w:lang w:bidi="ar"/>
          <w14:textFill>
            <w14:solidFill>
              <w14:schemeClr w14:val="tx1"/>
            </w14:solidFill>
          </w14:textFill>
        </w:rPr>
        <w:t>吨），单组份胶水4000吨，双组份胶水8000吨，跑道专用面漆2000吨，水性树脂3500吨；</w:t>
      </w:r>
    </w:p>
    <w:p>
      <w:pPr>
        <w:widowControl/>
        <w:autoSpaceDE w:val="0"/>
        <w:autoSpaceDN w:val="0"/>
        <w:ind w:firstLine="480"/>
        <w:rPr>
          <w:rFonts w:cs="宋体"/>
          <w:color w:val="000000" w:themeColor="text1"/>
          <w:kern w:val="0"/>
          <w:lang w:bidi="ar"/>
          <w14:textFill>
            <w14:solidFill>
              <w14:schemeClr w14:val="tx1"/>
            </w14:solidFill>
          </w14:textFill>
        </w:rPr>
      </w:pPr>
      <w:r>
        <w:rPr>
          <w:rFonts w:hint="eastAsia" w:cs="宋体"/>
          <w:color w:val="000000" w:themeColor="text1"/>
          <w:kern w:val="0"/>
          <w:lang w:bidi="ar"/>
          <w14:textFill>
            <w14:solidFill>
              <w14:schemeClr w14:val="tx1"/>
            </w14:solidFill>
          </w14:textFill>
        </w:rPr>
        <w:t>总投资：项目总投资为20087.21万元；</w:t>
      </w:r>
    </w:p>
    <w:p>
      <w:pPr>
        <w:widowControl/>
        <w:autoSpaceDE w:val="0"/>
        <w:autoSpaceDN w:val="0"/>
        <w:ind w:firstLine="480"/>
        <w:rPr>
          <w:rFonts w:hint="eastAsia" w:cs="宋体"/>
          <w:color w:val="000000" w:themeColor="text1"/>
          <w:kern w:val="0"/>
          <w:u w:val="single"/>
          <w:lang w:bidi="ar"/>
          <w14:textFill>
            <w14:solidFill>
              <w14:schemeClr w14:val="tx1"/>
            </w14:solidFill>
          </w14:textFill>
        </w:rPr>
      </w:pPr>
      <w:r>
        <w:rPr>
          <w:rFonts w:hint="eastAsia" w:cs="宋体"/>
          <w:color w:val="000000" w:themeColor="text1"/>
          <w:kern w:val="0"/>
          <w:u w:val="single"/>
          <w:lang w:bidi="ar"/>
          <w14:textFill>
            <w14:solidFill>
              <w14:schemeClr w14:val="tx1"/>
            </w14:solidFill>
          </w14:textFill>
        </w:rPr>
        <w:t>年工作时间：员工100人，工作300天，每天24小时，3班制；</w:t>
      </w:r>
    </w:p>
    <w:p>
      <w:pPr>
        <w:widowControl/>
        <w:autoSpaceDE w:val="0"/>
        <w:autoSpaceDN w:val="0"/>
        <w:ind w:firstLine="480"/>
        <w:rPr>
          <w:rFonts w:hint="eastAsia" w:cs="宋体"/>
          <w:color w:val="000000" w:themeColor="text1"/>
          <w:kern w:val="0"/>
          <w:lang w:val="en-US" w:eastAsia="zh-CN" w:bidi="ar"/>
          <w14:textFill>
            <w14:solidFill>
              <w14:schemeClr w14:val="tx1"/>
            </w14:solidFill>
          </w14:textFill>
        </w:rPr>
      </w:pPr>
      <w:r>
        <w:rPr>
          <w:rFonts w:hint="eastAsia" w:cs="宋体"/>
          <w:color w:val="000000" w:themeColor="text1"/>
          <w:kern w:val="0"/>
          <w:lang w:val="en-US" w:eastAsia="zh-CN" w:bidi="ar"/>
          <w14:textFill>
            <w14:solidFill>
              <w14:schemeClr w14:val="tx1"/>
            </w14:solidFill>
          </w14:textFill>
        </w:rPr>
        <w:t>项目建设情况与备案相符性分析见表3.1-1</w:t>
      </w:r>
    </w:p>
    <w:p>
      <w:pPr>
        <w:pStyle w:val="25"/>
        <w:widowControl/>
        <w:spacing w:beforeAutospacing="0" w:afterAutospacing="0"/>
        <w:ind w:firstLine="0" w:firstLineChars="0"/>
        <w:jc w:val="center"/>
        <w:rPr>
          <w:rFonts w:hint="default" w:ascii="Times New Roman" w:hAnsi="Times New Roman" w:cs="Times New Roman"/>
          <w:b/>
          <w:bCs/>
          <w:lang w:val="zh-CN"/>
        </w:rPr>
      </w:pPr>
      <w:r>
        <w:rPr>
          <w:rFonts w:hint="default" w:ascii="Times New Roman" w:hAnsi="Times New Roman" w:cs="Times New Roman"/>
          <w:b/>
          <w:bCs/>
          <w:lang w:val="zh-CN" w:eastAsia="zh-CN"/>
        </w:rPr>
        <w:t>3.1-1</w:t>
      </w:r>
      <w:r>
        <w:rPr>
          <w:rFonts w:hint="default" w:ascii="Times New Roman" w:hAnsi="Times New Roman" w:cs="Times New Roman"/>
          <w:b/>
          <w:bCs/>
          <w:lang w:val="zh-CN"/>
        </w:rPr>
        <w:t>备案内容相符性一览表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32"/>
        <w:gridCol w:w="4487"/>
        <w:gridCol w:w="2504"/>
        <w:gridCol w:w="10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b/>
                <w:bCs/>
                <w:sz w:val="21"/>
                <w:szCs w:val="21"/>
                <w:shd w:val="clear" w:color="auto" w:fill="FFFFFF"/>
              </w:rPr>
              <w:t>名称</w:t>
            </w:r>
          </w:p>
        </w:tc>
        <w:tc>
          <w:tcPr>
            <w:tcW w:w="2414"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b/>
                <w:bCs/>
                <w:sz w:val="21"/>
                <w:szCs w:val="21"/>
                <w:shd w:val="clear" w:color="auto" w:fill="FFFFFF"/>
              </w:rPr>
            </w:pPr>
            <w:r>
              <w:rPr>
                <w:rFonts w:hint="default" w:ascii="Times New Roman" w:hAnsi="Times New Roman" w:cs="Times New Roman"/>
                <w:b/>
                <w:bCs/>
                <w:sz w:val="21"/>
                <w:szCs w:val="21"/>
                <w:shd w:val="clear" w:color="auto" w:fill="FFFFFF"/>
              </w:rPr>
              <w:t>备案内容</w:t>
            </w:r>
          </w:p>
        </w:tc>
        <w:tc>
          <w:tcPr>
            <w:tcW w:w="1347"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b/>
                <w:bCs/>
                <w:sz w:val="21"/>
                <w:szCs w:val="21"/>
                <w:shd w:val="clear" w:color="auto" w:fill="FFFFFF"/>
              </w:rPr>
            </w:pPr>
            <w:r>
              <w:rPr>
                <w:rFonts w:hint="default" w:ascii="Times New Roman" w:hAnsi="Times New Roman" w:cs="Times New Roman"/>
                <w:b/>
                <w:bCs/>
                <w:sz w:val="21"/>
                <w:szCs w:val="21"/>
                <w:shd w:val="clear" w:color="auto" w:fill="FFFFFF"/>
              </w:rPr>
              <w:t>项目拟建内容</w:t>
            </w:r>
          </w:p>
        </w:tc>
        <w:tc>
          <w:tcPr>
            <w:tcW w:w="57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b/>
                <w:bCs/>
                <w:sz w:val="21"/>
                <w:szCs w:val="21"/>
                <w:shd w:val="clear" w:color="auto" w:fill="FFFFFF"/>
              </w:rPr>
            </w:pPr>
            <w:r>
              <w:rPr>
                <w:rFonts w:hint="default" w:ascii="Times New Roman" w:hAnsi="Times New Roman" w:cs="Times New Roman"/>
                <w:b/>
                <w:bCs/>
                <w:sz w:val="21"/>
                <w:szCs w:val="21"/>
                <w:shd w:val="clear" w:color="auto" w:fill="FFFFFF"/>
              </w:rPr>
              <w:t>相符性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项目名称</w:t>
            </w:r>
          </w:p>
        </w:tc>
        <w:tc>
          <w:tcPr>
            <w:tcW w:w="2414"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lang w:val="en-US" w:eastAsia="zh-CN"/>
              </w:rPr>
            </w:pPr>
            <w:r>
              <w:rPr>
                <w:rFonts w:hint="eastAsia" w:ascii="Times New Roman" w:hAnsi="Times New Roman" w:cs="Times New Roman"/>
                <w:sz w:val="21"/>
                <w:szCs w:val="21"/>
                <w:shd w:val="clear" w:color="auto" w:fill="FFFFFF"/>
                <w:lang w:val="en-US" w:eastAsia="zh-CN"/>
              </w:rPr>
              <w:t>新旭环保型体育设施新区建设项目</w:t>
            </w:r>
          </w:p>
        </w:tc>
        <w:tc>
          <w:tcPr>
            <w:tcW w:w="1347"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lang w:val="en-US" w:eastAsia="zh-CN"/>
              </w:rPr>
            </w:pPr>
            <w:r>
              <w:rPr>
                <w:rFonts w:hint="eastAsia" w:ascii="Times New Roman" w:hAnsi="Times New Roman" w:cs="Times New Roman"/>
                <w:sz w:val="21"/>
                <w:szCs w:val="21"/>
                <w:shd w:val="clear" w:color="auto" w:fill="FFFFFF"/>
                <w:lang w:val="en-US" w:eastAsia="zh-CN"/>
              </w:rPr>
              <w:t>新旭环保型体育设施新区建设项目</w:t>
            </w:r>
          </w:p>
        </w:tc>
        <w:tc>
          <w:tcPr>
            <w:tcW w:w="57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建设单位</w:t>
            </w:r>
          </w:p>
        </w:tc>
        <w:tc>
          <w:tcPr>
            <w:tcW w:w="2414"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highlight w:val="none"/>
                <w:shd w:val="clear" w:color="auto" w:fill="FFFFFF"/>
              </w:rPr>
              <w:t>新旭新材料有限公司</w:t>
            </w:r>
          </w:p>
        </w:tc>
        <w:tc>
          <w:tcPr>
            <w:tcW w:w="1347"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highlight w:val="yellow"/>
                <w:shd w:val="clear" w:color="auto" w:fill="FFFFFF"/>
              </w:rPr>
            </w:pPr>
            <w:r>
              <w:rPr>
                <w:rFonts w:hint="default" w:ascii="Times New Roman" w:hAnsi="Times New Roman" w:cs="Times New Roman"/>
                <w:sz w:val="21"/>
                <w:szCs w:val="21"/>
                <w:highlight w:val="none"/>
                <w:shd w:val="clear" w:color="auto" w:fill="FFFFFF"/>
              </w:rPr>
              <w:t>新旭新材料有限公司</w:t>
            </w:r>
          </w:p>
        </w:tc>
        <w:tc>
          <w:tcPr>
            <w:tcW w:w="57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建设地点</w:t>
            </w:r>
          </w:p>
        </w:tc>
        <w:tc>
          <w:tcPr>
            <w:tcW w:w="2414"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lang w:eastAsia="zh-CN"/>
              </w:rPr>
              <w:t>平顶山市尼龙新材料产业集聚区</w:t>
            </w:r>
          </w:p>
        </w:tc>
        <w:tc>
          <w:tcPr>
            <w:tcW w:w="1347"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lang w:eastAsia="zh-CN"/>
              </w:rPr>
              <w:t>平顶山市尼龙新材料产业集聚区</w:t>
            </w:r>
          </w:p>
        </w:tc>
        <w:tc>
          <w:tcPr>
            <w:tcW w:w="57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主要建设内容</w:t>
            </w:r>
          </w:p>
        </w:tc>
        <w:tc>
          <w:tcPr>
            <w:tcW w:w="2414"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建设规模及内容：项目总占地面积27596.74m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，总建筑面积19398.68m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，计容面积为33400.44m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，容积率为1.21，建筑密度61.8%，绿地率6.5%。主要建设内容为：1、生产加工区</w:t>
            </w:r>
          </w:p>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eastAsia" w:ascii="Times New Roman" w:hAnsi="Times New Roman" w:eastAsia="宋体" w:cs="Times New Roman"/>
                <w:sz w:val="21"/>
                <w:szCs w:val="21"/>
                <w:shd w:val="clear" w:color="auto" w:fill="FFFFFF"/>
                <w:lang w:eastAsia="zh-CN"/>
              </w:rPr>
            </w:pPr>
            <w:r>
              <w:rPr>
                <w:rFonts w:hint="default" w:ascii="Times New Roman" w:hAnsi="Times New Roman" w:cs="Times New Roman"/>
                <w:sz w:val="21"/>
                <w:szCs w:val="21"/>
                <w:shd w:val="clear" w:color="auto" w:fill="FFFFFF"/>
              </w:rPr>
              <w:t>生产加工区总建筑面积为14328.68m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，主要建设8条硅PU生产线1976.85m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，3条EPDM颗粒生产线2479.23m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，2条草坪生产线2500.00m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，2条单组份胶水生产线900.00m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，2条双组份胶水生产线900.00m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，3条跑道专用面漆生产线872.60m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，1条水性树脂生产线700平方，原辅材料及成品仓库4000m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。2、</w:t>
            </w:r>
            <w:r>
              <w:rPr>
                <w:rFonts w:hint="eastAsia" w:ascii="Times New Roman" w:hAnsi="Times New Roman" w:cs="Times New Roman"/>
                <w:sz w:val="21"/>
                <w:szCs w:val="21"/>
                <w:shd w:val="clear" w:color="auto" w:fill="FFFFFF"/>
                <w:lang w:eastAsia="zh-CN"/>
              </w:rPr>
              <w:t>综合办公区</w:t>
            </w:r>
            <w:r>
              <w:rPr>
                <w:rFonts w:hint="default" w:ascii="Times New Roman" w:hAnsi="Times New Roman" w:cs="Times New Roman"/>
                <w:sz w:val="21"/>
                <w:szCs w:val="21"/>
                <w:shd w:val="clear" w:color="auto" w:fill="FFFFFF"/>
              </w:rPr>
              <w:t>总建筑面积约3570.00m</w:t>
            </w:r>
            <w:r>
              <w:rPr>
                <w:rFonts w:hint="eastAsia" w:ascii="Times New Roman" w:hAnsi="Times New Roman" w:cs="Times New Roman"/>
                <w:sz w:val="21"/>
                <w:szCs w:val="21"/>
                <w:shd w:val="clear" w:color="auto" w:fill="FFFFFF"/>
                <w:vertAlign w:val="superscript"/>
                <w:lang w:val="en-US" w:eastAsia="zh-CN"/>
              </w:rPr>
              <w:t>2</w:t>
            </w:r>
            <w:r>
              <w:rPr>
                <w:rFonts w:hint="default" w:ascii="Times New Roman" w:hAnsi="Times New Roman" w:cs="Times New Roman"/>
                <w:sz w:val="21"/>
                <w:szCs w:val="21"/>
                <w:shd w:val="clear" w:color="auto" w:fill="FFFFFF"/>
              </w:rPr>
              <w:t>，包括档案存储、质量检验、产品设计与研发、办公与商务接待等办公中心</w:t>
            </w:r>
            <w:r>
              <w:rPr>
                <w:rFonts w:hint="eastAsia" w:ascii="Times New Roman" w:hAnsi="Times New Roman" w:cs="Times New Roman"/>
                <w:sz w:val="21"/>
                <w:szCs w:val="21"/>
                <w:shd w:val="clear" w:color="auto" w:fill="FFFFFF"/>
                <w:lang w:eastAsia="zh-CN"/>
              </w:rPr>
              <w:t>。</w:t>
            </w:r>
          </w:p>
        </w:tc>
        <w:tc>
          <w:tcPr>
            <w:tcW w:w="1347"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项目占地面积27596.74平方米，总建筑面积</w:t>
            </w:r>
            <w:r>
              <w:rPr>
                <w:rFonts w:hint="default" w:ascii="Times New Roman" w:hAnsi="Times New Roman" w:cs="Times New Roman"/>
                <w:sz w:val="21"/>
                <w:szCs w:val="21"/>
                <w:shd w:val="clear" w:color="auto" w:fill="FFFFFF"/>
                <w:lang w:val="en-US" w:eastAsia="zh-CN"/>
              </w:rPr>
              <w:t>26540.55</w:t>
            </w:r>
            <w:r>
              <w:rPr>
                <w:rFonts w:hint="default" w:ascii="Times New Roman" w:hAnsi="Times New Roman" w:cs="Times New Roman"/>
                <w:sz w:val="21"/>
                <w:szCs w:val="21"/>
                <w:shd w:val="clear" w:color="auto" w:fill="FFFFFF"/>
              </w:rPr>
              <w:t>平方米。主要建设一栋6层办公楼、5栋1层丙类厂房、、一栋1层丙类仓库、储罐区及相关配套工程。项目投产后年产硅PU8000吨，</w:t>
            </w:r>
            <w:r>
              <w:rPr>
                <w:rFonts w:hint="default" w:ascii="Times New Roman" w:hAnsi="Times New Roman" w:cs="Times New Roman"/>
                <w:sz w:val="21"/>
                <w:szCs w:val="21"/>
                <w:shd w:val="clear" w:color="auto" w:fill="FFFFFF"/>
                <w:lang w:eastAsia="zh-CN"/>
              </w:rPr>
              <w:t>EPDM颗粒</w:t>
            </w:r>
            <w:r>
              <w:rPr>
                <w:rFonts w:hint="default" w:ascii="Times New Roman" w:hAnsi="Times New Roman" w:cs="Times New Roman"/>
                <w:sz w:val="21"/>
                <w:szCs w:val="21"/>
                <w:shd w:val="clear" w:color="auto" w:fill="FFFFFF"/>
              </w:rPr>
              <w:t>3500吨，人造草坪150万平方米（约</w:t>
            </w:r>
            <w:r>
              <w:rPr>
                <w:rFonts w:hint="default" w:ascii="Times New Roman" w:hAnsi="Times New Roman" w:cs="Times New Roman"/>
                <w:sz w:val="21"/>
                <w:szCs w:val="21"/>
                <w:shd w:val="clear" w:color="auto" w:fill="FFFFFF"/>
                <w:lang w:val="en-US" w:eastAsia="zh-CN"/>
              </w:rPr>
              <w:t>3102.2</w:t>
            </w:r>
            <w:r>
              <w:rPr>
                <w:rFonts w:hint="default" w:ascii="Times New Roman" w:hAnsi="Times New Roman" w:cs="Times New Roman"/>
                <w:sz w:val="21"/>
                <w:szCs w:val="21"/>
                <w:shd w:val="clear" w:color="auto" w:fill="FFFFFF"/>
              </w:rPr>
              <w:t>吨），单组份胶水4000吨，双组份胶水8000吨，跑道专用面漆2000吨，水性树脂3500吨</w:t>
            </w:r>
          </w:p>
        </w:tc>
        <w:tc>
          <w:tcPr>
            <w:tcW w:w="57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主要生产工艺</w:t>
            </w:r>
          </w:p>
        </w:tc>
        <w:tc>
          <w:tcPr>
            <w:tcW w:w="2414"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eastAsia" w:ascii="Times New Roman" w:hAnsi="Times New Roman" w:cs="Times New Roman"/>
                <w:sz w:val="21"/>
                <w:szCs w:val="21"/>
                <w:shd w:val="clear" w:color="auto" w:fill="FFFFFF"/>
                <w:lang w:val="en-US" w:eastAsia="zh-CN"/>
              </w:rPr>
              <w:t>/</w:t>
            </w:r>
          </w:p>
        </w:tc>
        <w:tc>
          <w:tcPr>
            <w:tcW w:w="1347"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eastAsia" w:ascii="Times New Roman" w:hAnsi="Times New Roman" w:eastAsia="宋体" w:cs="Times New Roman"/>
                <w:sz w:val="21"/>
                <w:szCs w:val="21"/>
                <w:shd w:val="clear" w:color="auto" w:fill="FFFFFF"/>
                <w:lang w:val="en-US" w:eastAsia="zh-CN"/>
              </w:rPr>
            </w:pPr>
            <w:r>
              <w:rPr>
                <w:rFonts w:hint="eastAsia" w:ascii="Times New Roman" w:hAnsi="Times New Roman" w:cs="Times New Roman"/>
                <w:sz w:val="21"/>
                <w:szCs w:val="21"/>
                <w:shd w:val="clear" w:color="auto" w:fill="FFFFFF"/>
                <w:lang w:val="en-US" w:eastAsia="zh-CN"/>
              </w:rPr>
              <w:t>7种产品工艺详见工程分析</w:t>
            </w:r>
          </w:p>
        </w:tc>
        <w:tc>
          <w:tcPr>
            <w:tcW w:w="573" w:type="pct"/>
            <w:noWrap w:val="0"/>
            <w:vAlign w:val="center"/>
          </w:tcPr>
          <w:p>
            <w:pPr>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u w:val="single"/>
                <w:shd w:val="clear" w:color="auto" w:fill="FFFFFF"/>
              </w:rPr>
            </w:pPr>
            <w:r>
              <w:rPr>
                <w:rFonts w:hint="default" w:ascii="Times New Roman" w:hAnsi="Times New Roman" w:cs="Times New Roman"/>
                <w:sz w:val="21"/>
                <w:szCs w:val="21"/>
                <w:u w:val="single"/>
                <w:shd w:val="clear" w:color="auto" w:fill="FFFFFF"/>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3"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rPr>
            </w:pPr>
            <w:r>
              <w:rPr>
                <w:rFonts w:hint="default" w:ascii="Times New Roman" w:hAnsi="Times New Roman" w:cs="Times New Roman"/>
                <w:sz w:val="21"/>
                <w:szCs w:val="21"/>
                <w:shd w:val="clear" w:color="auto" w:fill="FFFFFF"/>
              </w:rPr>
              <w:t>主要设备</w:t>
            </w:r>
          </w:p>
        </w:tc>
        <w:tc>
          <w:tcPr>
            <w:tcW w:w="2414"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eastAsia="宋体" w:cs="Times New Roman"/>
                <w:sz w:val="21"/>
                <w:szCs w:val="21"/>
                <w:shd w:val="clear" w:color="auto" w:fill="FFFFFF"/>
                <w:lang w:eastAsia="zh-CN"/>
              </w:rPr>
            </w:pPr>
            <w:r>
              <w:rPr>
                <w:rFonts w:hint="eastAsia" w:ascii="Times New Roman" w:hAnsi="Times New Roman" w:cs="Times New Roman"/>
                <w:sz w:val="21"/>
                <w:szCs w:val="21"/>
                <w:shd w:val="clear" w:color="auto" w:fill="FFFFFF"/>
                <w:lang w:val="en-US" w:eastAsia="zh-CN"/>
              </w:rPr>
              <w:t>/</w:t>
            </w:r>
          </w:p>
        </w:tc>
        <w:tc>
          <w:tcPr>
            <w:tcW w:w="1347" w:type="pct"/>
            <w:noWrap w:val="0"/>
            <w:vAlign w:val="center"/>
          </w:tcPr>
          <w:p>
            <w:pPr>
              <w:pStyle w:val="13"/>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shd w:val="clear" w:color="auto" w:fill="FFFFFF"/>
                <w:lang w:val="en-US"/>
              </w:rPr>
            </w:pPr>
            <w:r>
              <w:rPr>
                <w:rFonts w:hint="eastAsia" w:ascii="Times New Roman" w:hAnsi="Times New Roman" w:cs="Times New Roman"/>
                <w:sz w:val="21"/>
                <w:szCs w:val="21"/>
                <w:shd w:val="clear" w:color="auto" w:fill="FFFFFF"/>
                <w:lang w:eastAsia="zh-CN"/>
              </w:rPr>
              <w:t>详见表</w:t>
            </w:r>
            <w:r>
              <w:rPr>
                <w:rFonts w:hint="eastAsia" w:ascii="Times New Roman" w:hAnsi="Times New Roman" w:cs="Times New Roman"/>
                <w:sz w:val="21"/>
                <w:szCs w:val="21"/>
                <w:shd w:val="clear" w:color="auto" w:fill="FFFFFF"/>
                <w:lang w:val="en-US" w:eastAsia="zh-CN"/>
              </w:rPr>
              <w:t>3.2-2</w:t>
            </w:r>
          </w:p>
        </w:tc>
        <w:tc>
          <w:tcPr>
            <w:tcW w:w="573" w:type="pct"/>
            <w:noWrap w:val="0"/>
            <w:vAlign w:val="center"/>
          </w:tcPr>
          <w:p>
            <w:pPr>
              <w:keepNext w:val="0"/>
              <w:keepLines w:val="0"/>
              <w:pageBreakBefore w:val="0"/>
              <w:widowControl/>
              <w:kinsoku/>
              <w:wordWrap/>
              <w:overflowPunct/>
              <w:topLinePunct w:val="0"/>
              <w:autoSpaceDE/>
              <w:autoSpaceDN/>
              <w:bidi w:val="0"/>
              <w:adjustRightInd/>
              <w:snapToGrid w:val="0"/>
              <w:spacing w:before="0" w:after="0" w:line="240" w:lineRule="auto"/>
              <w:ind w:right="0" w:firstLine="0" w:firstLineChars="0"/>
              <w:jc w:val="center"/>
              <w:textAlignment w:val="auto"/>
              <w:rPr>
                <w:rFonts w:hint="default" w:ascii="Times New Roman" w:hAnsi="Times New Roman" w:cs="Times New Roman"/>
                <w:sz w:val="21"/>
                <w:szCs w:val="21"/>
                <w:u w:val="single"/>
                <w:shd w:val="clear" w:color="auto" w:fill="FFFFFF"/>
              </w:rPr>
            </w:pPr>
            <w:r>
              <w:rPr>
                <w:rFonts w:hint="default" w:ascii="Times New Roman" w:hAnsi="Times New Roman" w:cs="Times New Roman"/>
                <w:sz w:val="21"/>
                <w:szCs w:val="21"/>
                <w:u w:val="single"/>
                <w:shd w:val="clear" w:color="auto" w:fill="FFFFFF"/>
              </w:rPr>
              <w:t>相符</w:t>
            </w:r>
          </w:p>
        </w:tc>
      </w:tr>
    </w:tbl>
    <w:p>
      <w:pPr>
        <w:rPr>
          <w:rFonts w:hint="default"/>
          <w:lang w:val="en-US"/>
        </w:rPr>
      </w:pPr>
    </w:p>
    <w:p>
      <w:pPr>
        <w:pStyle w:val="5"/>
        <w:rPr>
          <w:rFonts w:hint="eastAsia" w:cs="宋体"/>
          <w:color w:val="000000" w:themeColor="text1"/>
          <w:kern w:val="0"/>
          <w:u w:val="single"/>
          <w:lang w:bidi="ar"/>
          <w14:textFill>
            <w14:solidFill>
              <w14:schemeClr w14:val="tx1"/>
            </w14:solidFill>
          </w14:textFill>
        </w:rPr>
      </w:pPr>
    </w:p>
    <w:p>
      <w:pPr>
        <w:sectPr>
          <w:pgSz w:w="11906" w:h="16838"/>
          <w:pgMar w:top="1417" w:right="1417" w:bottom="1417" w:left="1417" w:header="737" w:footer="992" w:gutter="0"/>
          <w:pgBorders>
            <w:top w:val="none" w:sz="0" w:space="0"/>
            <w:left w:val="none" w:sz="0" w:space="0"/>
            <w:bottom w:val="none" w:sz="0" w:space="0"/>
            <w:right w:val="none" w:sz="0" w:space="0"/>
          </w:pgBorders>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r>
        <w:drawing>
          <wp:inline distT="0" distB="0" distL="114300" distR="114300">
            <wp:extent cx="8889365" cy="4840605"/>
            <wp:effectExtent l="0" t="0" r="6985" b="17145"/>
            <wp:docPr id="3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8"/>
                    <pic:cNvPicPr>
                      <a:picLocks noChangeAspect="1"/>
                    </pic:cNvPicPr>
                  </pic:nvPicPr>
                  <pic:blipFill>
                    <a:blip r:embed="rId26"/>
                    <a:stretch>
                      <a:fillRect/>
                    </a:stretch>
                  </pic:blipFill>
                  <pic:spPr>
                    <a:xfrm>
                      <a:off x="0" y="0"/>
                      <a:ext cx="8889365" cy="484060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szCs w:val="24"/>
        </w:rPr>
        <w:sectPr>
          <w:pgSz w:w="16838" w:h="11906" w:orient="landscape"/>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pPr>
      <w:bookmarkStart w:id="54" w:name="_Toc8045"/>
      <w:r>
        <w:rPr>
          <w:rFonts w:hint="default" w:ascii="Times New Roman" w:hAnsi="Times New Roman" w:eastAsia="黑体" w:cs="Times New Roman"/>
        </w:rPr>
        <w:t>图3.1-1  项目四周环境概况图</w:t>
      </w:r>
      <w:bookmarkEnd w:id="54"/>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4"/>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3" w:hRule="atLeast"/>
          <w:jc w:val="center"/>
        </w:trPr>
        <w:tc>
          <w:tcPr>
            <w:tcW w:w="2500" w:type="pct"/>
            <w:vAlign w:val="center"/>
          </w:tcPr>
          <w:p>
            <w:pPr>
              <w:spacing w:line="240" w:lineRule="auto"/>
              <w:ind w:firstLine="0" w:firstLineChars="0"/>
              <w:jc w:val="center"/>
              <w:rPr>
                <w:rFonts w:eastAsiaTheme="minorEastAsia"/>
              </w:rPr>
            </w:pPr>
            <w:bookmarkStart w:id="55" w:name="_Toc23003"/>
            <w:bookmarkStart w:id="56" w:name="_Toc28164"/>
            <w:r>
              <w:rPr>
                <w:rFonts w:hint="eastAsia" w:eastAsiaTheme="minorEastAsia"/>
              </w:rPr>
              <w:drawing>
                <wp:inline distT="0" distB="0" distL="114300" distR="114300">
                  <wp:extent cx="2733675" cy="2164715"/>
                  <wp:effectExtent l="0" t="0" r="9525" b="6985"/>
                  <wp:docPr id="150" name="图片 150" descr="IMG_20201203_160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50" descr="IMG_20201203_160616"/>
                          <pic:cNvPicPr>
                            <a:picLocks noChangeAspect="1"/>
                          </pic:cNvPicPr>
                        </pic:nvPicPr>
                        <pic:blipFill>
                          <a:blip r:embed="rId27"/>
                          <a:stretch>
                            <a:fillRect/>
                          </a:stretch>
                        </pic:blipFill>
                        <pic:spPr>
                          <a:xfrm>
                            <a:off x="0" y="0"/>
                            <a:ext cx="2733675" cy="2164715"/>
                          </a:xfrm>
                          <a:prstGeom prst="rect">
                            <a:avLst/>
                          </a:prstGeom>
                        </pic:spPr>
                      </pic:pic>
                    </a:graphicData>
                  </a:graphic>
                </wp:inline>
              </w:drawing>
            </w:r>
          </w:p>
        </w:tc>
        <w:tc>
          <w:tcPr>
            <w:tcW w:w="2500" w:type="pct"/>
            <w:vAlign w:val="center"/>
          </w:tcPr>
          <w:p>
            <w:pPr>
              <w:spacing w:line="240" w:lineRule="auto"/>
              <w:ind w:firstLine="0" w:firstLineChars="0"/>
              <w:jc w:val="center"/>
              <w:rPr>
                <w:rFonts w:eastAsiaTheme="minorEastAsia"/>
              </w:rPr>
            </w:pPr>
            <w:r>
              <w:rPr>
                <w:rFonts w:hint="eastAsia" w:eastAsiaTheme="minorEastAsia"/>
              </w:rPr>
              <w:drawing>
                <wp:inline distT="0" distB="0" distL="114300" distR="114300">
                  <wp:extent cx="2733675" cy="2150745"/>
                  <wp:effectExtent l="0" t="0" r="9525" b="1905"/>
                  <wp:docPr id="152" name="图片 152" descr="IMG_20220223_144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52" descr="IMG_20220223_144729"/>
                          <pic:cNvPicPr>
                            <a:picLocks noChangeAspect="1"/>
                          </pic:cNvPicPr>
                        </pic:nvPicPr>
                        <pic:blipFill>
                          <a:blip r:embed="rId28"/>
                          <a:stretch>
                            <a:fillRect/>
                          </a:stretch>
                        </pic:blipFill>
                        <pic:spPr>
                          <a:xfrm>
                            <a:off x="0" y="0"/>
                            <a:ext cx="2733675" cy="215074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2500" w:type="pct"/>
            <w:vAlign w:val="center"/>
          </w:tcPr>
          <w:p>
            <w:pPr>
              <w:spacing w:line="240" w:lineRule="auto"/>
              <w:ind w:firstLine="0" w:firstLineChars="0"/>
              <w:jc w:val="center"/>
              <w:rPr>
                <w:rFonts w:eastAsiaTheme="minorEastAsia"/>
              </w:rPr>
            </w:pPr>
            <w:r>
              <w:rPr>
                <w:rFonts w:hint="eastAsia"/>
              </w:rPr>
              <w:t>项目东侧道路</w:t>
            </w:r>
          </w:p>
        </w:tc>
        <w:tc>
          <w:tcPr>
            <w:tcW w:w="2500" w:type="pct"/>
            <w:vAlign w:val="center"/>
          </w:tcPr>
          <w:p>
            <w:pPr>
              <w:spacing w:line="240" w:lineRule="auto"/>
              <w:ind w:firstLine="0" w:firstLineChars="0"/>
              <w:jc w:val="center"/>
              <w:rPr>
                <w:rFonts w:eastAsiaTheme="minorEastAsia"/>
              </w:rPr>
            </w:pPr>
            <w:r>
              <w:rPr>
                <w:rFonts w:hint="eastAsia"/>
              </w:rPr>
              <w:t>项目南侧道路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3" w:hRule="atLeast"/>
          <w:jc w:val="center"/>
        </w:trPr>
        <w:tc>
          <w:tcPr>
            <w:tcW w:w="2500" w:type="pct"/>
            <w:vAlign w:val="center"/>
          </w:tcPr>
          <w:p>
            <w:pPr>
              <w:spacing w:line="240" w:lineRule="auto"/>
              <w:ind w:firstLine="0" w:firstLineChars="0"/>
              <w:jc w:val="center"/>
              <w:rPr>
                <w:rFonts w:eastAsiaTheme="minorEastAsia"/>
              </w:rPr>
            </w:pPr>
            <w:r>
              <w:rPr>
                <w:rFonts w:hint="eastAsia" w:eastAsiaTheme="minorEastAsia"/>
              </w:rPr>
              <w:drawing>
                <wp:inline distT="0" distB="0" distL="114300" distR="114300">
                  <wp:extent cx="2743200" cy="2057400"/>
                  <wp:effectExtent l="0" t="0" r="0" b="0"/>
                  <wp:docPr id="53" name="图片 53" descr="06f3b4caa93d912c9a21529fd3ac2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06f3b4caa93d912c9a21529fd3ac2ef"/>
                          <pic:cNvPicPr>
                            <a:picLocks noChangeAspect="1"/>
                          </pic:cNvPicPr>
                        </pic:nvPicPr>
                        <pic:blipFill>
                          <a:blip r:embed="rId29"/>
                          <a:stretch>
                            <a:fillRect/>
                          </a:stretch>
                        </pic:blipFill>
                        <pic:spPr>
                          <a:xfrm>
                            <a:off x="0" y="0"/>
                            <a:ext cx="2743200" cy="2057400"/>
                          </a:xfrm>
                          <a:prstGeom prst="rect">
                            <a:avLst/>
                          </a:prstGeom>
                        </pic:spPr>
                      </pic:pic>
                    </a:graphicData>
                  </a:graphic>
                </wp:inline>
              </w:drawing>
            </w:r>
          </w:p>
        </w:tc>
        <w:tc>
          <w:tcPr>
            <w:tcW w:w="2500" w:type="pct"/>
            <w:vAlign w:val="center"/>
          </w:tcPr>
          <w:p>
            <w:pPr>
              <w:spacing w:line="240" w:lineRule="auto"/>
              <w:ind w:firstLine="0" w:firstLineChars="0"/>
              <w:jc w:val="center"/>
              <w:rPr>
                <w:rFonts w:eastAsiaTheme="minorEastAsia"/>
              </w:rPr>
            </w:pPr>
            <w:r>
              <w:rPr>
                <w:rFonts w:hint="eastAsia" w:eastAsiaTheme="minorEastAsia"/>
              </w:rPr>
              <w:drawing>
                <wp:inline distT="0" distB="0" distL="114300" distR="114300">
                  <wp:extent cx="2715895" cy="2037080"/>
                  <wp:effectExtent l="0" t="0" r="8255" b="1270"/>
                  <wp:docPr id="56" name="图片 56" descr="50fa4ad29772fc27f9cf860499798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50fa4ad29772fc27f9cf860499798ed"/>
                          <pic:cNvPicPr>
                            <a:picLocks noChangeAspect="1"/>
                          </pic:cNvPicPr>
                        </pic:nvPicPr>
                        <pic:blipFill>
                          <a:blip r:embed="rId30"/>
                          <a:stretch>
                            <a:fillRect/>
                          </a:stretch>
                        </pic:blipFill>
                        <pic:spPr>
                          <a:xfrm>
                            <a:off x="0" y="0"/>
                            <a:ext cx="2715895" cy="203708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2500" w:type="pct"/>
            <w:vAlign w:val="center"/>
          </w:tcPr>
          <w:p>
            <w:pPr>
              <w:spacing w:line="240" w:lineRule="auto"/>
              <w:ind w:firstLine="0" w:firstLineChars="0"/>
              <w:jc w:val="center"/>
              <w:rPr>
                <w:rFonts w:eastAsiaTheme="minorEastAsia"/>
              </w:rPr>
            </w:pPr>
            <w:r>
              <w:rPr>
                <w:rFonts w:hint="eastAsia"/>
              </w:rPr>
              <w:t>项目北侧农田</w:t>
            </w:r>
          </w:p>
        </w:tc>
        <w:tc>
          <w:tcPr>
            <w:tcW w:w="2500" w:type="pct"/>
            <w:vAlign w:val="center"/>
          </w:tcPr>
          <w:p>
            <w:pPr>
              <w:spacing w:line="240" w:lineRule="auto"/>
              <w:ind w:firstLine="0" w:firstLineChars="0"/>
              <w:jc w:val="center"/>
              <w:rPr>
                <w:rFonts w:eastAsiaTheme="minorEastAsia"/>
              </w:rPr>
            </w:pPr>
            <w:r>
              <w:rPr>
                <w:rFonts w:hint="eastAsia"/>
              </w:rPr>
              <w:t>项目东侧农田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3" w:hRule="atLeast"/>
          <w:jc w:val="center"/>
        </w:trPr>
        <w:tc>
          <w:tcPr>
            <w:tcW w:w="2500" w:type="pct"/>
            <w:vAlign w:val="center"/>
          </w:tcPr>
          <w:p>
            <w:pPr>
              <w:spacing w:line="240" w:lineRule="auto"/>
              <w:ind w:firstLine="0" w:firstLineChars="0"/>
              <w:jc w:val="center"/>
              <w:rPr>
                <w:rFonts w:eastAsiaTheme="minorEastAsia"/>
              </w:rPr>
            </w:pPr>
            <w:r>
              <w:rPr>
                <w:rFonts w:hint="eastAsia" w:eastAsiaTheme="minorEastAsia"/>
              </w:rPr>
              <w:drawing>
                <wp:inline distT="0" distB="0" distL="114300" distR="114300">
                  <wp:extent cx="2743200" cy="2230120"/>
                  <wp:effectExtent l="0" t="0" r="0" b="17780"/>
                  <wp:docPr id="148" name="图片 148" descr="mmexport1606992078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48" descr="mmexport1606992078587"/>
                          <pic:cNvPicPr>
                            <a:picLocks noChangeAspect="1"/>
                          </pic:cNvPicPr>
                        </pic:nvPicPr>
                        <pic:blipFill>
                          <a:blip r:embed="rId31"/>
                          <a:stretch>
                            <a:fillRect/>
                          </a:stretch>
                        </pic:blipFill>
                        <pic:spPr>
                          <a:xfrm>
                            <a:off x="0" y="0"/>
                            <a:ext cx="2743200" cy="2230120"/>
                          </a:xfrm>
                          <a:prstGeom prst="rect">
                            <a:avLst/>
                          </a:prstGeom>
                        </pic:spPr>
                      </pic:pic>
                    </a:graphicData>
                  </a:graphic>
                </wp:inline>
              </w:drawing>
            </w:r>
          </w:p>
        </w:tc>
        <w:tc>
          <w:tcPr>
            <w:tcW w:w="2500" w:type="pct"/>
            <w:vAlign w:val="center"/>
          </w:tcPr>
          <w:p>
            <w:pPr>
              <w:spacing w:line="240" w:lineRule="auto"/>
              <w:ind w:firstLine="0" w:firstLineChars="0"/>
              <w:jc w:val="center"/>
              <w:rPr>
                <w:rFonts w:eastAsiaTheme="minorEastAsia"/>
              </w:rPr>
            </w:pPr>
            <w:r>
              <w:rPr>
                <w:rFonts w:hint="eastAsia" w:eastAsiaTheme="minorEastAsia"/>
              </w:rPr>
              <w:drawing>
                <wp:inline distT="0" distB="0" distL="114300" distR="114300">
                  <wp:extent cx="2733675" cy="2244090"/>
                  <wp:effectExtent l="0" t="0" r="9525" b="3810"/>
                  <wp:docPr id="149" name="图片 149" descr="IMG_20200818_110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49" descr="IMG_20200818_110749"/>
                          <pic:cNvPicPr>
                            <a:picLocks noChangeAspect="1"/>
                          </pic:cNvPicPr>
                        </pic:nvPicPr>
                        <pic:blipFill>
                          <a:blip r:embed="rId32"/>
                          <a:stretch>
                            <a:fillRect/>
                          </a:stretch>
                        </pic:blipFill>
                        <pic:spPr>
                          <a:xfrm>
                            <a:off x="0" y="0"/>
                            <a:ext cx="2733675" cy="224409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2500" w:type="pct"/>
            <w:vAlign w:val="center"/>
          </w:tcPr>
          <w:p>
            <w:pPr>
              <w:spacing w:line="240" w:lineRule="auto"/>
              <w:ind w:firstLine="0" w:firstLineChars="0"/>
              <w:jc w:val="center"/>
              <w:rPr>
                <w:rFonts w:eastAsiaTheme="minorEastAsia"/>
              </w:rPr>
            </w:pPr>
            <w:r>
              <w:rPr>
                <w:rFonts w:hint="eastAsia"/>
              </w:rPr>
              <w:t>项目现状</w:t>
            </w:r>
          </w:p>
        </w:tc>
        <w:tc>
          <w:tcPr>
            <w:tcW w:w="2500" w:type="pct"/>
            <w:vAlign w:val="center"/>
          </w:tcPr>
          <w:p>
            <w:pPr>
              <w:spacing w:line="240" w:lineRule="auto"/>
              <w:ind w:firstLine="0" w:firstLineChars="0"/>
              <w:jc w:val="center"/>
              <w:rPr>
                <w:rFonts w:eastAsiaTheme="minorEastAsia"/>
              </w:rPr>
            </w:pPr>
            <w:r>
              <w:rPr>
                <w:rFonts w:hint="eastAsia"/>
              </w:rPr>
              <w:t>项目现状</w:t>
            </w:r>
          </w:p>
        </w:tc>
      </w:tr>
    </w:tbl>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rPr>
      </w:pPr>
      <w:bookmarkStart w:id="57" w:name="_Toc814"/>
      <w:r>
        <w:rPr>
          <w:rFonts w:hint="default" w:ascii="Times New Roman" w:hAnsi="Times New Roman" w:eastAsia="黑体" w:cs="Times New Roman"/>
        </w:rPr>
        <w:t>图3.1-2  项目四周环境概况图</w:t>
      </w:r>
      <w:bookmarkEnd w:id="57"/>
    </w:p>
    <w:p>
      <w:pPr>
        <w:ind w:firstLine="480"/>
      </w:pPr>
    </w:p>
    <w:p>
      <w:pPr>
        <w:pStyle w:val="27"/>
        <w:ind w:left="480" w:firstLine="480"/>
      </w:pPr>
    </w:p>
    <w:p>
      <w:pPr>
        <w:pStyle w:val="6"/>
        <w:ind w:firstLine="0" w:firstLineChars="0"/>
        <w:rPr>
          <w:lang w:val="en-US"/>
        </w:rPr>
      </w:pPr>
      <w:bookmarkStart w:id="58" w:name="_Toc9304"/>
      <w:r>
        <w:rPr>
          <w:rFonts w:hint="eastAsia"/>
          <w:lang w:val="en-US"/>
        </w:rPr>
        <w:t>3.2 生产规模、产品方案</w:t>
      </w:r>
      <w:bookmarkEnd w:id="55"/>
      <w:bookmarkEnd w:id="56"/>
      <w:bookmarkEnd w:id="58"/>
    </w:p>
    <w:p>
      <w:pPr>
        <w:pStyle w:val="7"/>
        <w:ind w:firstLine="562"/>
      </w:pPr>
      <w:r>
        <w:rPr>
          <w:rFonts w:hint="eastAsia"/>
        </w:rPr>
        <w:t>3.2</w:t>
      </w:r>
      <w:r>
        <w:t xml:space="preserve">.1 </w:t>
      </w:r>
      <w:r>
        <w:rPr>
          <w:rFonts w:hint="eastAsia"/>
        </w:rPr>
        <w:t>生产规模</w:t>
      </w:r>
    </w:p>
    <w:p>
      <w:pPr>
        <w:widowControl/>
        <w:autoSpaceDE w:val="0"/>
        <w:autoSpaceDN w:val="0"/>
        <w:ind w:firstLine="480"/>
        <w:rPr>
          <w:rFonts w:cs="宋体"/>
          <w:color w:val="000000"/>
          <w:kern w:val="0"/>
          <w:lang w:bidi="ar"/>
        </w:rPr>
      </w:pPr>
      <w:r>
        <w:rPr>
          <w:rFonts w:hint="eastAsia" w:cs="宋体"/>
          <w:color w:val="000000"/>
          <w:kern w:val="0"/>
          <w:lang w:bidi="ar"/>
        </w:rPr>
        <w:t>年产硅PU8000吨，</w:t>
      </w:r>
      <w:r>
        <w:rPr>
          <w:rFonts w:hint="eastAsia" w:cs="宋体"/>
          <w:color w:val="000000"/>
          <w:kern w:val="0"/>
          <w:lang w:eastAsia="zh-CN" w:bidi="ar"/>
        </w:rPr>
        <w:t>EPDM颗粒</w:t>
      </w:r>
      <w:r>
        <w:rPr>
          <w:rFonts w:hint="eastAsia" w:cs="宋体"/>
          <w:color w:val="000000"/>
          <w:kern w:val="0"/>
          <w:lang w:bidi="ar"/>
        </w:rPr>
        <w:t>3500吨，人造草坪150万平方米（约</w:t>
      </w:r>
      <w:r>
        <w:rPr>
          <w:rFonts w:hint="eastAsia" w:cs="宋体"/>
          <w:color w:val="000000"/>
          <w:kern w:val="0"/>
          <w:lang w:val="en-US" w:eastAsia="zh-CN" w:bidi="ar"/>
        </w:rPr>
        <w:t>3102.2</w:t>
      </w:r>
      <w:r>
        <w:rPr>
          <w:rFonts w:hint="eastAsia" w:cs="宋体"/>
          <w:color w:val="000000" w:themeColor="text1"/>
          <w:kern w:val="0"/>
          <w:lang w:bidi="ar"/>
          <w14:textFill>
            <w14:solidFill>
              <w14:schemeClr w14:val="tx1"/>
            </w14:solidFill>
          </w14:textFill>
        </w:rPr>
        <w:t>吨</w:t>
      </w:r>
      <w:r>
        <w:rPr>
          <w:rFonts w:hint="eastAsia" w:cs="宋体"/>
          <w:color w:val="000000"/>
          <w:kern w:val="0"/>
          <w:lang w:bidi="ar"/>
        </w:rPr>
        <w:t>），单组份胶水4000吨，双组份胶水8000吨，跑道专用面漆2000吨，水性树脂3500吨。</w:t>
      </w:r>
    </w:p>
    <w:p>
      <w:pPr>
        <w:pStyle w:val="7"/>
        <w:ind w:firstLine="562"/>
      </w:pPr>
      <w:r>
        <w:t>3.</w:t>
      </w:r>
      <w:r>
        <w:rPr>
          <w:rFonts w:hint="eastAsia"/>
        </w:rPr>
        <w:t>2.2</w:t>
      </w:r>
      <w:r>
        <w:t xml:space="preserve"> 建设</w:t>
      </w:r>
      <w:r>
        <w:rPr>
          <w:rFonts w:hint="eastAsia"/>
        </w:rPr>
        <w:t>项目</w:t>
      </w:r>
      <w:r>
        <w:t>组成与建设内容</w:t>
      </w:r>
    </w:p>
    <w:p>
      <w:pPr>
        <w:pStyle w:val="25"/>
        <w:widowControl/>
        <w:spacing w:beforeAutospacing="0" w:afterAutospacing="0"/>
        <w:ind w:firstLine="480"/>
      </w:pPr>
      <w:r>
        <w:rPr>
          <w:rFonts w:hint="eastAsia"/>
        </w:rPr>
        <w:t>主要</w:t>
      </w:r>
      <w:r>
        <w:t>由主体工程、</w:t>
      </w:r>
      <w:r>
        <w:rPr>
          <w:rFonts w:hint="eastAsia"/>
        </w:rPr>
        <w:t>辅助</w:t>
      </w:r>
      <w:r>
        <w:t>工程、储运工程、公用工程和环保工程组成，</w:t>
      </w:r>
      <w:r>
        <w:rPr>
          <w:rFonts w:hint="eastAsia"/>
        </w:rPr>
        <w:t>厂区设置</w:t>
      </w:r>
      <w:r>
        <w:t>食堂</w:t>
      </w:r>
      <w:r>
        <w:rPr>
          <w:rFonts w:hint="eastAsia"/>
        </w:rPr>
        <w:t>和员工临时休息室</w:t>
      </w:r>
      <w:r>
        <w:t>。具体</w:t>
      </w:r>
      <w:r>
        <w:rPr>
          <w:rFonts w:hint="eastAsia"/>
        </w:rPr>
        <w:t>项目</w:t>
      </w:r>
      <w:r>
        <w:t>主要建设内容见表3</w:t>
      </w:r>
      <w:r>
        <w:rPr>
          <w:rFonts w:hint="eastAsia"/>
        </w:rPr>
        <w:t>.2</w:t>
      </w:r>
      <w:r>
        <w:t>-1。</w:t>
      </w:r>
    </w:p>
    <w:p>
      <w:pPr>
        <w:pStyle w:val="25"/>
        <w:widowControl/>
        <w:spacing w:beforeAutospacing="0" w:afterAutospacing="0"/>
        <w:ind w:firstLine="0" w:firstLineChars="0"/>
        <w:jc w:val="center"/>
        <w:rPr>
          <w:b/>
          <w:bCs/>
        </w:rPr>
      </w:pPr>
      <w:r>
        <w:rPr>
          <w:rFonts w:hint="eastAsia"/>
          <w:b/>
          <w:bCs/>
        </w:rPr>
        <w:t>表3.2-1  工程主要建设内容</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6"/>
        <w:gridCol w:w="786"/>
        <w:gridCol w:w="1325"/>
        <w:gridCol w:w="1174"/>
        <w:gridCol w:w="4169"/>
        <w:gridCol w:w="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类别</w:t>
            </w: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工程名称</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工程建设内容</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主体工程</w:t>
            </w:r>
          </w:p>
        </w:tc>
        <w:tc>
          <w:tcPr>
            <w:tcW w:w="1136" w:type="pct"/>
            <w:gridSpan w:val="2"/>
            <w:vAlign w:val="center"/>
          </w:tcPr>
          <w:p>
            <w:pPr>
              <w:pStyle w:val="38"/>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1#丙类厂房</w:t>
            </w:r>
          </w:p>
        </w:tc>
        <w:tc>
          <w:tcPr>
            <w:tcW w:w="2876" w:type="pct"/>
            <w:gridSpan w:val="2"/>
            <w:vAlign w:val="center"/>
          </w:tcPr>
          <w:p>
            <w:pPr>
              <w:pStyle w:val="38"/>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1F，</w:t>
            </w:r>
            <w:r>
              <w:rPr>
                <w:rFonts w:hint="eastAsia"/>
                <w:color w:val="000000" w:themeColor="text1"/>
                <w:u w:val="single"/>
                <w:lang w:eastAsia="zh-CN"/>
                <w14:textFill>
                  <w14:solidFill>
                    <w14:schemeClr w14:val="tx1"/>
                  </w14:solidFill>
                </w14:textFill>
              </w:rPr>
              <w:t>彩钢结构，</w:t>
            </w:r>
            <w:r>
              <w:rPr>
                <w:color w:val="000000" w:themeColor="text1"/>
                <w:u w:val="single"/>
                <w14:textFill>
                  <w14:solidFill>
                    <w14:schemeClr w14:val="tx1"/>
                  </w14:solidFill>
                </w14:textFill>
              </w:rPr>
              <w:t>占地面积1120.53m</w:t>
            </w:r>
            <w:r>
              <w:rPr>
                <w:color w:val="000000" w:themeColor="text1"/>
                <w:u w:val="single"/>
                <w:vertAlign w:val="superscript"/>
                <w14:textFill>
                  <w14:solidFill>
                    <w14:schemeClr w14:val="tx1"/>
                  </w14:solidFill>
                </w14:textFill>
              </w:rPr>
              <w:t>2</w:t>
            </w:r>
            <w:r>
              <w:rPr>
                <w:color w:val="000000" w:themeColor="text1"/>
                <w:u w:val="single"/>
                <w14:textFill>
                  <w14:solidFill>
                    <w14:schemeClr w14:val="tx1"/>
                  </w14:solidFill>
                </w14:textFill>
              </w:rPr>
              <w:t>，设置1条人造草坪生产线位于厂区</w:t>
            </w:r>
            <w:r>
              <w:rPr>
                <w:rFonts w:hint="eastAsia"/>
                <w:color w:val="000000" w:themeColor="text1"/>
                <w:u w:val="single"/>
                <w:lang w:eastAsia="zh-CN"/>
                <w14:textFill>
                  <w14:solidFill>
                    <w14:schemeClr w14:val="tx1"/>
                  </w14:solidFill>
                </w14:textFill>
              </w:rPr>
              <w:t>西</w:t>
            </w:r>
            <w:r>
              <w:rPr>
                <w:color w:val="000000" w:themeColor="text1"/>
                <w:u w:val="single"/>
                <w14:textFill>
                  <w14:solidFill>
                    <w14:schemeClr w14:val="tx1"/>
                  </w14:solidFill>
                </w14:textFill>
              </w:rPr>
              <w:t>北侧</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2#丙类厂房</w:t>
            </w:r>
          </w:p>
        </w:tc>
        <w:tc>
          <w:tcPr>
            <w:tcW w:w="2876" w:type="pct"/>
            <w:gridSpan w:val="2"/>
            <w:vAlign w:val="center"/>
          </w:tcPr>
          <w:p>
            <w:pPr>
              <w:pStyle w:val="38"/>
              <w:rPr>
                <w:rFonts w:hint="eastAsia" w:eastAsia="宋体"/>
                <w:color w:val="000000" w:themeColor="text1"/>
                <w:u w:val="single"/>
                <w:lang w:eastAsia="zh-CN"/>
                <w14:textFill>
                  <w14:solidFill>
                    <w14:schemeClr w14:val="tx1"/>
                  </w14:solidFill>
                </w14:textFill>
              </w:rPr>
            </w:pPr>
            <w:r>
              <w:rPr>
                <w:color w:val="000000" w:themeColor="text1"/>
                <w:u w:val="single"/>
                <w14:textFill>
                  <w14:solidFill>
                    <w14:schemeClr w14:val="tx1"/>
                  </w14:solidFill>
                </w14:textFill>
              </w:rPr>
              <w:t>1F，</w:t>
            </w:r>
            <w:r>
              <w:rPr>
                <w:rFonts w:hint="eastAsia"/>
                <w:color w:val="000000" w:themeColor="text1"/>
                <w:u w:val="single"/>
                <w:lang w:eastAsia="zh-CN"/>
                <w14:textFill>
                  <w14:solidFill>
                    <w14:schemeClr w14:val="tx1"/>
                  </w14:solidFill>
                </w14:textFill>
              </w:rPr>
              <w:t>彩钢结构，</w:t>
            </w:r>
            <w:r>
              <w:rPr>
                <w:color w:val="000000" w:themeColor="text1"/>
                <w:u w:val="single"/>
                <w14:textFill>
                  <w14:solidFill>
                    <w14:schemeClr w14:val="tx1"/>
                  </w14:solidFill>
                </w14:textFill>
              </w:rPr>
              <w:t>占地面积1120.53m</w:t>
            </w:r>
            <w:r>
              <w:rPr>
                <w:color w:val="000000" w:themeColor="text1"/>
                <w:u w:val="single"/>
                <w:vertAlign w:val="superscript"/>
                <w14:textFill>
                  <w14:solidFill>
                    <w14:schemeClr w14:val="tx1"/>
                  </w14:solidFill>
                </w14:textFill>
              </w:rPr>
              <w:t>2</w:t>
            </w:r>
            <w:r>
              <w:rPr>
                <w:color w:val="000000" w:themeColor="text1"/>
                <w:u w:val="single"/>
                <w14:textFill>
                  <w14:solidFill>
                    <w14:schemeClr w14:val="tx1"/>
                  </w14:solidFill>
                </w14:textFill>
              </w:rPr>
              <w:t>，设置1条人造草坪生产线位于厂区北侧</w:t>
            </w:r>
            <w:r>
              <w:rPr>
                <w:rFonts w:hint="eastAsia"/>
                <w:color w:val="000000" w:themeColor="text1"/>
                <w:u w:val="single"/>
                <w:lang w:eastAsia="zh-CN"/>
                <w14:textFill>
                  <w14:solidFill>
                    <w14:schemeClr w14:val="tx1"/>
                  </w14:solidFill>
                </w14:textFill>
              </w:rPr>
              <w:t>中部</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3#丙类厂房</w:t>
            </w:r>
          </w:p>
        </w:tc>
        <w:tc>
          <w:tcPr>
            <w:tcW w:w="2876" w:type="pct"/>
            <w:gridSpan w:val="2"/>
            <w:vAlign w:val="center"/>
          </w:tcPr>
          <w:p>
            <w:pPr>
              <w:pStyle w:val="38"/>
              <w:rPr>
                <w:rFonts w:hint="default"/>
                <w:color w:val="000000" w:themeColor="text1"/>
                <w:u w:val="single"/>
                <w14:textFill>
                  <w14:solidFill>
                    <w14:schemeClr w14:val="tx1"/>
                  </w14:solidFill>
                </w14:textFill>
              </w:rPr>
            </w:pPr>
            <w:r>
              <w:rPr>
                <w:rFonts w:hint="eastAsia"/>
                <w:color w:val="000000" w:themeColor="text1"/>
                <w:u w:val="single"/>
                <w:lang w:val="en-US" w:eastAsia="zh-CN"/>
                <w14:textFill>
                  <w14:solidFill>
                    <w14:schemeClr w14:val="tx1"/>
                  </w14:solidFill>
                </w14:textFill>
              </w:rPr>
              <w:t>1</w:t>
            </w:r>
            <w:r>
              <w:rPr>
                <w:color w:val="000000" w:themeColor="text1"/>
                <w:u w:val="single"/>
                <w14:textFill>
                  <w14:solidFill>
                    <w14:schemeClr w14:val="tx1"/>
                  </w14:solidFill>
                </w14:textFill>
              </w:rPr>
              <w:t>F，</w:t>
            </w:r>
            <w:r>
              <w:rPr>
                <w:rFonts w:hint="eastAsia"/>
                <w:color w:val="000000" w:themeColor="text1"/>
                <w:u w:val="single"/>
                <w:lang w:eastAsia="zh-CN"/>
                <w14:textFill>
                  <w14:solidFill>
                    <w14:schemeClr w14:val="tx1"/>
                  </w14:solidFill>
                </w14:textFill>
              </w:rPr>
              <w:t>彩钢结构，</w:t>
            </w:r>
            <w:r>
              <w:rPr>
                <w:color w:val="000000" w:themeColor="text1"/>
                <w:u w:val="single"/>
                <w14:textFill>
                  <w14:solidFill>
                    <w14:schemeClr w14:val="tx1"/>
                  </w14:solidFill>
                </w14:textFill>
              </w:rPr>
              <w:t>占地面积2883.67m</w:t>
            </w:r>
            <w:r>
              <w:rPr>
                <w:color w:val="000000" w:themeColor="text1"/>
                <w:u w:val="single"/>
                <w:vertAlign w:val="superscript"/>
                <w14:textFill>
                  <w14:solidFill>
                    <w14:schemeClr w14:val="tx1"/>
                  </w14:solidFill>
                </w14:textFill>
              </w:rPr>
              <w:t>2</w:t>
            </w:r>
            <w:r>
              <w:rPr>
                <w:color w:val="000000" w:themeColor="text1"/>
                <w:u w:val="single"/>
                <w14:textFill>
                  <w14:solidFill>
                    <w14:schemeClr w14:val="tx1"/>
                  </w14:solidFill>
                </w14:textFill>
              </w:rPr>
              <w:t>，设置3条EPDM颗粒生产线，位于厂区中部西侧</w:t>
            </w:r>
          </w:p>
        </w:tc>
        <w:tc>
          <w:tcPr>
            <w:tcW w:w="397" w:type="pct"/>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5#丙类厂房</w:t>
            </w:r>
          </w:p>
        </w:tc>
        <w:tc>
          <w:tcPr>
            <w:tcW w:w="2876" w:type="pct"/>
            <w:gridSpan w:val="2"/>
            <w:vAlign w:val="center"/>
          </w:tcPr>
          <w:p>
            <w:pPr>
              <w:pStyle w:val="38"/>
              <w:tabs>
                <w:tab w:val="center" w:pos="2623"/>
                <w:tab w:val="right" w:pos="5127"/>
              </w:tabs>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1F，</w:t>
            </w:r>
            <w:r>
              <w:rPr>
                <w:rFonts w:hint="eastAsia"/>
                <w:color w:val="000000" w:themeColor="text1"/>
                <w:u w:val="single"/>
                <w:lang w:eastAsia="zh-CN"/>
                <w14:textFill>
                  <w14:solidFill>
                    <w14:schemeClr w14:val="tx1"/>
                  </w14:solidFill>
                </w14:textFill>
              </w:rPr>
              <w:t>彩钢结构，</w:t>
            </w:r>
            <w:r>
              <w:rPr>
                <w:color w:val="000000" w:themeColor="text1"/>
                <w:u w:val="single"/>
                <w14:textFill>
                  <w14:solidFill>
                    <w14:schemeClr w14:val="tx1"/>
                  </w14:solidFill>
                </w14:textFill>
              </w:rPr>
              <w:t>占地面积1832.77m</w:t>
            </w:r>
            <w:r>
              <w:rPr>
                <w:color w:val="000000" w:themeColor="text1"/>
                <w:u w:val="single"/>
                <w:vertAlign w:val="superscript"/>
                <w14:textFill>
                  <w14:solidFill>
                    <w14:schemeClr w14:val="tx1"/>
                  </w14:solidFill>
                </w14:textFill>
              </w:rPr>
              <w:t>2</w:t>
            </w:r>
            <w:r>
              <w:rPr>
                <w:color w:val="000000" w:themeColor="text1"/>
                <w:u w:val="single"/>
                <w14:textFill>
                  <w14:solidFill>
                    <w14:schemeClr w14:val="tx1"/>
                  </w14:solidFill>
                </w14:textFill>
              </w:rPr>
              <w:t>，设置8条硅PU生产线，位于厂区南部西侧</w:t>
            </w:r>
          </w:p>
        </w:tc>
        <w:tc>
          <w:tcPr>
            <w:tcW w:w="397" w:type="pct"/>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6#丙类厂房</w:t>
            </w:r>
          </w:p>
        </w:tc>
        <w:tc>
          <w:tcPr>
            <w:tcW w:w="2876" w:type="pct"/>
            <w:gridSpan w:val="2"/>
            <w:vAlign w:val="center"/>
          </w:tcPr>
          <w:p>
            <w:pPr>
              <w:pStyle w:val="38"/>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1F，</w:t>
            </w:r>
            <w:r>
              <w:rPr>
                <w:rFonts w:hint="eastAsia"/>
                <w:color w:val="000000" w:themeColor="text1"/>
                <w:u w:val="single"/>
                <w:lang w:eastAsia="zh-CN"/>
                <w14:textFill>
                  <w14:solidFill>
                    <w14:schemeClr w14:val="tx1"/>
                  </w14:solidFill>
                </w14:textFill>
              </w:rPr>
              <w:t>彩钢结构，</w:t>
            </w:r>
            <w:r>
              <w:rPr>
                <w:color w:val="000000" w:themeColor="text1"/>
                <w:u w:val="single"/>
                <w14:textFill>
                  <w14:solidFill>
                    <w14:schemeClr w14:val="tx1"/>
                  </w14:solidFill>
                </w14:textFill>
              </w:rPr>
              <w:t>占地面积1832.77m</w:t>
            </w:r>
            <w:r>
              <w:rPr>
                <w:color w:val="000000" w:themeColor="text1"/>
                <w:u w:val="single"/>
                <w:vertAlign w:val="superscript"/>
                <w14:textFill>
                  <w14:solidFill>
                    <w14:schemeClr w14:val="tx1"/>
                  </w14:solidFill>
                </w14:textFill>
              </w:rPr>
              <w:t>2</w:t>
            </w:r>
            <w:r>
              <w:rPr>
                <w:color w:val="000000" w:themeColor="text1"/>
                <w:u w:val="single"/>
                <w14:textFill>
                  <w14:solidFill>
                    <w14:schemeClr w14:val="tx1"/>
                  </w14:solidFill>
                </w14:textFill>
              </w:rPr>
              <w:t>，设置2条单组份胶水生产线和2条双组份胶水生产线，设置3条跑道专用漆生产线，设置</w:t>
            </w:r>
            <w:r>
              <w:rPr>
                <w:rFonts w:hint="eastAsia"/>
                <w:color w:val="000000" w:themeColor="text1"/>
                <w:u w:val="single"/>
                <w:lang w:val="en-US" w:eastAsia="zh-CN"/>
                <w14:textFill>
                  <w14:solidFill>
                    <w14:schemeClr w14:val="tx1"/>
                  </w14:solidFill>
                </w14:textFill>
              </w:rPr>
              <w:t>2</w:t>
            </w:r>
            <w:r>
              <w:rPr>
                <w:color w:val="000000" w:themeColor="text1"/>
                <w:u w:val="single"/>
                <w14:textFill>
                  <w14:solidFill>
                    <w14:schemeClr w14:val="tx1"/>
                  </w14:solidFill>
                </w14:textFill>
              </w:rPr>
              <w:t>条</w:t>
            </w:r>
            <w:r>
              <w:rPr>
                <w:rFonts w:hint="eastAsia"/>
                <w:color w:val="000000" w:themeColor="text1"/>
                <w:u w:val="single"/>
                <w:lang w:eastAsia="zh-CN"/>
                <w14:textFill>
                  <w14:solidFill>
                    <w14:schemeClr w14:val="tx1"/>
                  </w14:solidFill>
                </w14:textFill>
              </w:rPr>
              <w:t>水性树脂</w:t>
            </w:r>
            <w:r>
              <w:rPr>
                <w:color w:val="000000" w:themeColor="text1"/>
                <w:u w:val="single"/>
                <w14:textFill>
                  <w14:solidFill>
                    <w14:schemeClr w14:val="tx1"/>
                  </w14:solidFill>
                </w14:textFill>
              </w:rPr>
              <w:t>生产线</w:t>
            </w:r>
            <w:r>
              <w:rPr>
                <w:rFonts w:hint="eastAsia"/>
                <w:color w:val="000000" w:themeColor="text1"/>
                <w:u w:val="single"/>
                <w:lang w:eastAsia="zh-CN"/>
                <w14:textFill>
                  <w14:solidFill>
                    <w14:schemeClr w14:val="tx1"/>
                  </w14:solidFill>
                </w14:textFill>
              </w:rPr>
              <w:t>，</w:t>
            </w:r>
            <w:r>
              <w:rPr>
                <w:color w:val="000000" w:themeColor="text1"/>
                <w:u w:val="single"/>
                <w14:textFill>
                  <w14:solidFill>
                    <w14:schemeClr w14:val="tx1"/>
                  </w14:solidFill>
                </w14:textFill>
              </w:rPr>
              <w:t>位于厂区南部区东侧</w:t>
            </w:r>
          </w:p>
        </w:tc>
        <w:tc>
          <w:tcPr>
            <w:tcW w:w="397" w:type="pct"/>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4#丙类仓库</w:t>
            </w:r>
          </w:p>
        </w:tc>
        <w:tc>
          <w:tcPr>
            <w:tcW w:w="2876" w:type="pct"/>
            <w:gridSpan w:val="2"/>
            <w:vAlign w:val="center"/>
          </w:tcPr>
          <w:p>
            <w:pPr>
              <w:pStyle w:val="38"/>
              <w:rPr>
                <w:rFonts w:hint="default"/>
                <w:color w:val="000000" w:themeColor="text1"/>
                <w:u w:val="single"/>
                <w14:textFill>
                  <w14:solidFill>
                    <w14:schemeClr w14:val="tx1"/>
                  </w14:solidFill>
                </w14:textFill>
              </w:rPr>
            </w:pPr>
            <w:r>
              <w:rPr>
                <w:color w:val="000000" w:themeColor="text1"/>
                <w:u w:val="single"/>
                <w14:textFill>
                  <w14:solidFill>
                    <w14:schemeClr w14:val="tx1"/>
                  </w14:solidFill>
                </w14:textFill>
              </w:rPr>
              <w:t>2F，</w:t>
            </w:r>
            <w:r>
              <w:rPr>
                <w:rFonts w:hint="eastAsia"/>
                <w:color w:val="000000" w:themeColor="text1"/>
                <w:u w:val="single"/>
                <w:lang w:eastAsia="zh-CN"/>
                <w14:textFill>
                  <w14:solidFill>
                    <w14:schemeClr w14:val="tx1"/>
                  </w14:solidFill>
                </w14:textFill>
              </w:rPr>
              <w:t>彩钢结构，</w:t>
            </w:r>
            <w:r>
              <w:rPr>
                <w:color w:val="000000" w:themeColor="text1"/>
                <w:u w:val="single"/>
                <w14:textFill>
                  <w14:solidFill>
                    <w14:schemeClr w14:val="tx1"/>
                  </w14:solidFill>
                </w14:textFill>
              </w:rPr>
              <w:t>占地面积2360.94m</w:t>
            </w:r>
            <w:r>
              <w:rPr>
                <w:color w:val="000000" w:themeColor="text1"/>
                <w:u w:val="single"/>
                <w:vertAlign w:val="superscript"/>
                <w14:textFill>
                  <w14:solidFill>
                    <w14:schemeClr w14:val="tx1"/>
                  </w14:solidFill>
                </w14:textFill>
              </w:rPr>
              <w:t>2</w:t>
            </w:r>
            <w:r>
              <w:rPr>
                <w:color w:val="000000" w:themeColor="text1"/>
                <w:u w:val="single"/>
                <w14:textFill>
                  <w14:solidFill>
                    <w14:schemeClr w14:val="tx1"/>
                  </w14:solidFill>
                </w14:textFill>
              </w:rPr>
              <w:t>，设置储罐区位于1层180m</w:t>
            </w:r>
            <w:r>
              <w:rPr>
                <w:color w:val="000000" w:themeColor="text1"/>
                <w:u w:val="single"/>
                <w:vertAlign w:val="superscript"/>
                <w14:textFill>
                  <w14:solidFill>
                    <w14:schemeClr w14:val="tx1"/>
                  </w14:solidFill>
                </w14:textFill>
              </w:rPr>
              <w:t>2</w:t>
            </w:r>
            <w:r>
              <w:rPr>
                <w:color w:val="000000" w:themeColor="text1"/>
                <w:u w:val="single"/>
                <w14:textFill>
                  <w14:solidFill>
                    <w14:schemeClr w14:val="tx1"/>
                  </w14:solidFill>
                </w14:textFill>
              </w:rPr>
              <w:t>，粉料区位于1层北部区占地1800m</w:t>
            </w:r>
            <w:r>
              <w:rPr>
                <w:color w:val="000000" w:themeColor="text1"/>
                <w:u w:val="single"/>
                <w:vertAlign w:val="superscript"/>
                <w14:textFill>
                  <w14:solidFill>
                    <w14:schemeClr w14:val="tx1"/>
                  </w14:solidFill>
                </w14:textFill>
              </w:rPr>
              <w:t>2</w:t>
            </w:r>
            <w:r>
              <w:rPr>
                <w:color w:val="000000" w:themeColor="text1"/>
                <w:u w:val="single"/>
                <w14:textFill>
                  <w14:solidFill>
                    <w14:schemeClr w14:val="tx1"/>
                  </w14:solidFill>
                </w14:textFill>
              </w:rPr>
              <w:t>，袋装及桶装原料位于2层，仓库位于厂区中部</w:t>
            </w:r>
          </w:p>
        </w:tc>
        <w:tc>
          <w:tcPr>
            <w:tcW w:w="397" w:type="pct"/>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辅助工程</w:t>
            </w: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办公楼</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6F，厂区东北侧，建筑面积约3968.63m</w:t>
            </w:r>
            <w:r>
              <w:rPr>
                <w:color w:val="000000" w:themeColor="text1"/>
                <w:vertAlign w:val="superscript"/>
                <w14:textFill>
                  <w14:solidFill>
                    <w14:schemeClr w14:val="tx1"/>
                  </w14:solidFill>
                </w14:textFill>
              </w:rPr>
              <w:t>2</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餐厅</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2F，厂区东北侧，建筑面积552.96m</w:t>
            </w:r>
            <w:r>
              <w:rPr>
                <w:color w:val="000000" w:themeColor="text1"/>
                <w:vertAlign w:val="superscript"/>
                <w14:textFill>
                  <w14:solidFill>
                    <w14:schemeClr w14:val="tx1"/>
                  </w14:solidFill>
                </w14:textFill>
              </w:rPr>
              <w:t>2</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门卫室</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厂区中部东侧大门，建筑面积47.74m</w:t>
            </w:r>
            <w:r>
              <w:rPr>
                <w:color w:val="000000" w:themeColor="text1"/>
                <w:vertAlign w:val="superscript"/>
                <w14:textFill>
                  <w14:solidFill>
                    <w14:schemeClr w14:val="tx1"/>
                  </w14:solidFill>
                </w14:textFill>
              </w:rPr>
              <w:t>2</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公用工程</w:t>
            </w: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用水</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采用市政供水。</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排水</w:t>
            </w:r>
          </w:p>
        </w:tc>
        <w:tc>
          <w:tcPr>
            <w:tcW w:w="2876" w:type="pct"/>
            <w:gridSpan w:val="2"/>
            <w:vAlign w:val="center"/>
          </w:tcPr>
          <w:p>
            <w:pPr>
              <w:pStyle w:val="38"/>
              <w:rPr>
                <w:rFonts w:hint="eastAsia" w:eastAsia="宋体"/>
                <w:color w:val="000000" w:themeColor="text1"/>
                <w:lang w:eastAsia="zh-CN"/>
                <w14:textFill>
                  <w14:solidFill>
                    <w14:schemeClr w14:val="tx1"/>
                  </w14:solidFill>
                </w14:textFill>
              </w:rPr>
            </w:pPr>
            <w:r>
              <w:rPr>
                <w:rFonts w:hint="eastAsia" w:eastAsia="宋体"/>
                <w:color w:val="000000" w:themeColor="text1"/>
                <w:lang w:eastAsia="zh-CN"/>
                <w14:textFill>
                  <w14:solidFill>
                    <w14:schemeClr w14:val="tx1"/>
                  </w14:solidFill>
                </w14:textFill>
              </w:rPr>
              <w:t>生活污水经隔油池、化粪池预处理后进入厂区污水处理站，厂区内设置1个50t/d污水站，汇同项目生产废水经厂内污水站处置达标后排入平顶山第三污水处理厂处理</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用电</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当地电网引入</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供热</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采用园区集中供热</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590" w:type="pct"/>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环保工程</w:t>
            </w:r>
          </w:p>
        </w:tc>
        <w:tc>
          <w:tcPr>
            <w:tcW w:w="423" w:type="pct"/>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废气治理</w:t>
            </w:r>
          </w:p>
        </w:tc>
        <w:tc>
          <w:tcPr>
            <w:tcW w:w="1345" w:type="pct"/>
            <w:gridSpan w:val="2"/>
            <w:vAlign w:val="center"/>
          </w:tcPr>
          <w:p>
            <w:pPr>
              <w:pStyle w:val="25"/>
              <w:widowControl/>
              <w:spacing w:beforeAutospacing="0" w:afterAutospacing="0"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EPDM</w:t>
            </w:r>
            <w:r>
              <w:rPr>
                <w:rFonts w:hint="eastAsia"/>
                <w:color w:val="000000" w:themeColor="text1"/>
                <w:sz w:val="21"/>
                <w:szCs w:val="21"/>
                <w:lang w:eastAsia="zh-CN"/>
                <w14:textFill>
                  <w14:solidFill>
                    <w14:schemeClr w14:val="tx1"/>
                  </w14:solidFill>
                </w14:textFill>
              </w:rPr>
              <w:t>颗粒</w:t>
            </w:r>
            <w:r>
              <w:rPr>
                <w:rFonts w:hint="eastAsia"/>
                <w:color w:val="000000" w:themeColor="text1"/>
                <w:sz w:val="21"/>
                <w:szCs w:val="21"/>
                <w14:textFill>
                  <w14:solidFill>
                    <w14:schemeClr w14:val="tx1"/>
                  </w14:solidFill>
                </w14:textFill>
              </w:rPr>
              <w:t>生产线废气</w:t>
            </w:r>
          </w:p>
        </w:tc>
        <w:tc>
          <w:tcPr>
            <w:tcW w:w="2244" w:type="pct"/>
            <w:vMerge w:val="restart"/>
            <w:vAlign w:val="center"/>
          </w:tcPr>
          <w:p>
            <w:pPr>
              <w:pStyle w:val="25"/>
              <w:widowControl/>
              <w:spacing w:beforeAutospacing="0" w:afterAutospacing="0"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硫化废气、上料、密炼和粉碎废气收集后先经袋式除尘器处理，排入</w:t>
            </w:r>
            <w:r>
              <w:rPr>
                <w:rFonts w:hint="eastAsia"/>
                <w:color w:val="000000" w:themeColor="text1"/>
                <w:sz w:val="21"/>
                <w:szCs w:val="21"/>
                <w:lang w:eastAsia="zh-CN"/>
                <w14:textFill>
                  <w14:solidFill>
                    <w14:schemeClr w14:val="tx1"/>
                  </w14:solidFill>
                </w14:textFill>
              </w:rPr>
              <w:t>“活性炭吸附箱+RCO废气处理工艺”</w:t>
            </w:r>
            <w:r>
              <w:rPr>
                <w:rFonts w:hint="eastAsia"/>
                <w:color w:val="000000" w:themeColor="text1"/>
                <w:sz w:val="21"/>
                <w:szCs w:val="21"/>
                <w14:textFill>
                  <w14:solidFill>
                    <w14:schemeClr w14:val="tx1"/>
                  </w14:solidFill>
                </w14:textFill>
              </w:rPr>
              <w:t>处置后经15米</w:t>
            </w:r>
            <w:r>
              <w:rPr>
                <w:rFonts w:hint="eastAsia"/>
                <w:color w:val="000000" w:themeColor="text1"/>
                <w:sz w:val="21"/>
                <w:szCs w:val="21"/>
                <w:lang w:val="en-US" w:eastAsia="zh-CN"/>
                <w14:textFill>
                  <w14:solidFill>
                    <w14:schemeClr w14:val="tx1"/>
                  </w14:solidFill>
                </w14:textFill>
              </w:rPr>
              <w:t>DA001</w:t>
            </w:r>
            <w:r>
              <w:rPr>
                <w:rFonts w:hint="eastAsia"/>
                <w:color w:val="000000" w:themeColor="text1"/>
                <w:sz w:val="21"/>
                <w:szCs w:val="21"/>
                <w14:textFill>
                  <w14:solidFill>
                    <w14:schemeClr w14:val="tx1"/>
                  </w14:solidFill>
                </w14:textFill>
              </w:rPr>
              <w:t>排气筒排放；</w:t>
            </w:r>
          </w:p>
        </w:tc>
        <w:tc>
          <w:tcPr>
            <w:tcW w:w="397" w:type="pct"/>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1345" w:type="pct"/>
            <w:gridSpan w:val="2"/>
            <w:vAlign w:val="center"/>
          </w:tcPr>
          <w:p>
            <w:pPr>
              <w:pStyle w:val="25"/>
              <w:widowControl/>
              <w:spacing w:beforeAutospacing="0" w:afterAutospacing="0"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人造草坪生产线废气</w:t>
            </w:r>
          </w:p>
        </w:tc>
        <w:tc>
          <w:tcPr>
            <w:tcW w:w="2244" w:type="pct"/>
            <w:vMerge w:val="continue"/>
            <w:vAlign w:val="center"/>
          </w:tcPr>
          <w:p>
            <w:pPr>
              <w:pStyle w:val="25"/>
              <w:widowControl/>
              <w:spacing w:beforeAutospacing="0" w:afterAutospacing="0" w:line="240" w:lineRule="auto"/>
              <w:ind w:firstLine="0" w:firstLineChars="0"/>
              <w:jc w:val="center"/>
              <w:rPr>
                <w:color w:val="000000" w:themeColor="text1"/>
                <w:sz w:val="21"/>
                <w:szCs w:val="21"/>
                <w14:textFill>
                  <w14:solidFill>
                    <w14:schemeClr w14:val="tx1"/>
                  </w14:solidFill>
                </w14:textFill>
              </w:rPr>
            </w:pPr>
          </w:p>
        </w:tc>
        <w:tc>
          <w:tcPr>
            <w:tcW w:w="397" w:type="pct"/>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1345"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水性树脂生产线废气</w:t>
            </w:r>
          </w:p>
        </w:tc>
        <w:tc>
          <w:tcPr>
            <w:tcW w:w="2244" w:type="pct"/>
            <w:vMerge w:val="restart"/>
            <w:vAlign w:val="center"/>
          </w:tcPr>
          <w:p>
            <w:pPr>
              <w:pStyle w:val="38"/>
              <w:rPr>
                <w:rFonts w:hint="default" w:eastAsia="宋体"/>
                <w:color w:val="000000" w:themeColor="text1"/>
                <w:lang w:val="en-US" w:eastAsia="zh-CN"/>
                <w14:textFill>
                  <w14:solidFill>
                    <w14:schemeClr w14:val="tx1"/>
                  </w14:solidFill>
                </w14:textFill>
              </w:rPr>
            </w:pPr>
            <w:r>
              <w:rPr>
                <w:color w:val="000000" w:themeColor="text1"/>
                <w14:textFill>
                  <w14:solidFill>
                    <w14:schemeClr w14:val="tx1"/>
                  </w14:solidFill>
                </w14:textFill>
              </w:rPr>
              <w:t>水喷淋洗涤塔+干式分离器+活性炭吸附箱+RCO废气处理工艺+</w:t>
            </w:r>
            <w:r>
              <w:rPr>
                <w:rFonts w:hint="eastAsia"/>
                <w:color w:val="000000" w:themeColor="text1"/>
                <w:lang w:val="en-US" w:eastAsia="zh-CN"/>
                <w14:textFill>
                  <w14:solidFill>
                    <w14:schemeClr w14:val="tx1"/>
                  </w14:solidFill>
                </w14:textFill>
              </w:rPr>
              <w:t>15</w:t>
            </w:r>
            <w:r>
              <w:rPr>
                <w:color w:val="000000" w:themeColor="text1"/>
                <w14:textFill>
                  <w14:solidFill>
                    <w14:schemeClr w14:val="tx1"/>
                  </w14:solidFill>
                </w14:textFill>
              </w:rPr>
              <w:t>m排气筒高空排放</w:t>
            </w:r>
            <w:r>
              <w:rPr>
                <w:rFonts w:hint="eastAsia"/>
                <w:color w:val="000000" w:themeColor="text1"/>
                <w:lang w:val="en-US" w:eastAsia="zh-CN"/>
                <w14:textFill>
                  <w14:solidFill>
                    <w14:schemeClr w14:val="tx1"/>
                  </w14:solidFill>
                </w14:textFill>
              </w:rPr>
              <w:t>DA002</w:t>
            </w:r>
          </w:p>
        </w:tc>
        <w:tc>
          <w:tcPr>
            <w:tcW w:w="397" w:type="pct"/>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1345" w:type="pct"/>
            <w:gridSpan w:val="2"/>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硅PU生产</w:t>
            </w:r>
            <w:r>
              <w:rPr>
                <w:color w:val="000000" w:themeColor="text1"/>
                <w14:textFill>
                  <w14:solidFill>
                    <w14:schemeClr w14:val="tx1"/>
                  </w14:solidFill>
                </w14:textFill>
              </w:rPr>
              <w:t>线废气</w:t>
            </w:r>
          </w:p>
        </w:tc>
        <w:tc>
          <w:tcPr>
            <w:tcW w:w="2244" w:type="pct"/>
            <w:vMerge w:val="continue"/>
            <w:vAlign w:val="center"/>
          </w:tcPr>
          <w:p>
            <w:pPr>
              <w:pStyle w:val="38"/>
              <w:rPr>
                <w:rFonts w:hint="default"/>
                <w:color w:val="000000" w:themeColor="text1"/>
                <w14:textFill>
                  <w14:solidFill>
                    <w14:schemeClr w14:val="tx1"/>
                  </w14:solidFill>
                </w14:textFill>
              </w:rPr>
            </w:pPr>
          </w:p>
        </w:tc>
        <w:tc>
          <w:tcPr>
            <w:tcW w:w="397" w:type="pct"/>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1345"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单组份胶水生产线废气</w:t>
            </w:r>
          </w:p>
        </w:tc>
        <w:tc>
          <w:tcPr>
            <w:tcW w:w="2244" w:type="pct"/>
            <w:vMerge w:val="continue"/>
            <w:vAlign w:val="center"/>
          </w:tcPr>
          <w:p>
            <w:pPr>
              <w:pStyle w:val="38"/>
              <w:rPr>
                <w:rFonts w:hint="default"/>
                <w:color w:val="000000" w:themeColor="text1"/>
                <w14:textFill>
                  <w14:solidFill>
                    <w14:schemeClr w14:val="tx1"/>
                  </w14:solidFill>
                </w14:textFill>
              </w:rPr>
            </w:pPr>
          </w:p>
        </w:tc>
        <w:tc>
          <w:tcPr>
            <w:tcW w:w="397" w:type="pct"/>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1345"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双组份胶水生产线废气</w:t>
            </w:r>
          </w:p>
        </w:tc>
        <w:tc>
          <w:tcPr>
            <w:tcW w:w="2244" w:type="pct"/>
            <w:vMerge w:val="continue"/>
            <w:vAlign w:val="center"/>
          </w:tcPr>
          <w:p>
            <w:pPr>
              <w:pStyle w:val="38"/>
              <w:rPr>
                <w:rFonts w:hint="default"/>
                <w:color w:val="000000" w:themeColor="text1"/>
                <w14:textFill>
                  <w14:solidFill>
                    <w14:schemeClr w14:val="tx1"/>
                  </w14:solidFill>
                </w14:textFill>
              </w:rPr>
            </w:pPr>
          </w:p>
        </w:tc>
        <w:tc>
          <w:tcPr>
            <w:tcW w:w="397" w:type="pct"/>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1345"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跑道专用漆生产线废气</w:t>
            </w:r>
          </w:p>
        </w:tc>
        <w:tc>
          <w:tcPr>
            <w:tcW w:w="2244" w:type="pct"/>
            <w:vMerge w:val="continue"/>
            <w:vAlign w:val="center"/>
          </w:tcPr>
          <w:p>
            <w:pPr>
              <w:pStyle w:val="38"/>
              <w:rPr>
                <w:rFonts w:hint="default"/>
                <w:color w:val="000000" w:themeColor="text1"/>
                <w14:textFill>
                  <w14:solidFill>
                    <w14:schemeClr w14:val="tx1"/>
                  </w14:solidFill>
                </w14:textFill>
              </w:rPr>
            </w:pPr>
          </w:p>
        </w:tc>
        <w:tc>
          <w:tcPr>
            <w:tcW w:w="397" w:type="pct"/>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1345"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食堂油烟</w:t>
            </w:r>
          </w:p>
        </w:tc>
        <w:tc>
          <w:tcPr>
            <w:tcW w:w="2244"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安装油烟净化器，净化后经排气筒排放</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1345"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污水处理站废气</w:t>
            </w:r>
          </w:p>
        </w:tc>
        <w:tc>
          <w:tcPr>
            <w:tcW w:w="2244" w:type="pct"/>
            <w:vAlign w:val="center"/>
          </w:tcPr>
          <w:p>
            <w:pPr>
              <w:pStyle w:val="38"/>
              <w:jc w:val="center"/>
              <w:rPr>
                <w:rFonts w:hint="default" w:eastAsia="宋体"/>
                <w:color w:val="000000" w:themeColor="text1"/>
                <w:lang w:val="en-US" w:eastAsia="zh-CN"/>
                <w14:textFill>
                  <w14:solidFill>
                    <w14:schemeClr w14:val="tx1"/>
                  </w14:solidFill>
                </w14:textFill>
              </w:rPr>
            </w:pPr>
            <w:r>
              <w:rPr>
                <w:rFonts w:hint="eastAsia"/>
                <w:color w:val="000000" w:themeColor="text1"/>
                <w:u w:val="single"/>
                <w:lang w:eastAsia="zh-CN"/>
                <w14:textFill>
                  <w14:solidFill>
                    <w14:schemeClr w14:val="tx1"/>
                  </w14:solidFill>
                </w14:textFill>
              </w:rPr>
              <w:t>密封</w:t>
            </w:r>
            <w:r>
              <w:rPr>
                <w:color w:val="000000" w:themeColor="text1"/>
                <w:u w:val="single"/>
                <w14:textFill>
                  <w14:solidFill>
                    <w14:schemeClr w14:val="tx1"/>
                  </w14:solidFill>
                </w14:textFill>
              </w:rPr>
              <w:t>+二级活性炭吸附+15m排气筒高空排放</w:t>
            </w:r>
            <w:r>
              <w:rPr>
                <w:rFonts w:hint="eastAsia"/>
                <w:color w:val="000000" w:themeColor="text1"/>
                <w:u w:val="single"/>
                <w:lang w:val="en-US" w:eastAsia="zh-CN"/>
                <w14:textFill>
                  <w14:solidFill>
                    <w14:schemeClr w14:val="tx1"/>
                  </w14:solidFill>
                </w14:textFill>
              </w:rPr>
              <w:t>DA003</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25"/>
              <w:widowControl/>
              <w:spacing w:beforeAutospacing="0" w:afterAutospacing="0"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废水</w:t>
            </w:r>
          </w:p>
        </w:tc>
        <w:tc>
          <w:tcPr>
            <w:tcW w:w="2876" w:type="pct"/>
            <w:gridSpan w:val="2"/>
            <w:vAlign w:val="center"/>
          </w:tcPr>
          <w:p>
            <w:pPr>
              <w:pStyle w:val="25"/>
              <w:widowControl/>
              <w:spacing w:beforeAutospacing="0" w:afterAutospacing="0" w:line="240" w:lineRule="auto"/>
              <w:ind w:firstLine="0" w:firstLineChars="0"/>
              <w:jc w:val="center"/>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u w:val="single"/>
                <w14:textFill>
                  <w14:solidFill>
                    <w14:schemeClr w14:val="tx1"/>
                  </w14:solidFill>
                </w14:textFill>
              </w:rPr>
              <w:t>生活污水经</w:t>
            </w:r>
            <w:r>
              <w:rPr>
                <w:rFonts w:hint="eastAsia"/>
                <w:color w:val="000000" w:themeColor="text1"/>
                <w:sz w:val="21"/>
                <w:szCs w:val="21"/>
                <w:u w:val="single"/>
                <w:lang w:eastAsia="zh-CN"/>
                <w14:textFill>
                  <w14:solidFill>
                    <w14:schemeClr w14:val="tx1"/>
                  </w14:solidFill>
                </w14:textFill>
              </w:rPr>
              <w:t>隔油池、</w:t>
            </w:r>
            <w:r>
              <w:rPr>
                <w:rFonts w:hint="eastAsia"/>
                <w:color w:val="000000" w:themeColor="text1"/>
                <w:sz w:val="21"/>
                <w:szCs w:val="21"/>
                <w:u w:val="single"/>
                <w14:textFill>
                  <w14:solidFill>
                    <w14:schemeClr w14:val="tx1"/>
                  </w14:solidFill>
                </w14:textFill>
              </w:rPr>
              <w:t>化粪池预处理后进入厂区污水处理站，厂区内设置1个50t/d污水站，</w:t>
            </w:r>
            <w:r>
              <w:rPr>
                <w:rFonts w:hint="eastAsia"/>
                <w:color w:val="000000" w:themeColor="text1"/>
                <w:sz w:val="21"/>
                <w:szCs w:val="21"/>
                <w:u w:val="single"/>
                <w:lang w:eastAsia="zh-CN"/>
                <w14:textFill>
                  <w14:solidFill>
                    <w14:schemeClr w14:val="tx1"/>
                  </w14:solidFill>
                </w14:textFill>
              </w:rPr>
              <w:t>汇同</w:t>
            </w:r>
            <w:r>
              <w:rPr>
                <w:rFonts w:hint="eastAsia"/>
                <w:color w:val="000000" w:themeColor="text1"/>
                <w:sz w:val="21"/>
                <w:szCs w:val="21"/>
                <w:u w:val="single"/>
                <w14:textFill>
                  <w14:solidFill>
                    <w14:schemeClr w14:val="tx1"/>
                  </w14:solidFill>
                </w14:textFill>
              </w:rPr>
              <w:t>项目生产废水经厂内污水站处置达标后排入平顶山第三污水处理厂</w:t>
            </w:r>
            <w:r>
              <w:rPr>
                <w:rFonts w:hint="eastAsia"/>
                <w:color w:val="000000" w:themeColor="text1"/>
                <w:sz w:val="21"/>
                <w:szCs w:val="21"/>
                <w:u w:val="single"/>
                <w:lang w:eastAsia="zh-CN"/>
                <w14:textFill>
                  <w14:solidFill>
                    <w14:schemeClr w14:val="tx1"/>
                  </w14:solidFill>
                </w14:textFill>
              </w:rPr>
              <w:t>处理</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固废</w:t>
            </w:r>
          </w:p>
        </w:tc>
        <w:tc>
          <w:tcPr>
            <w:tcW w:w="713"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生活垃圾</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垃圾桶</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713"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一般固废</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100m</w:t>
            </w:r>
            <w:r>
              <w:rPr>
                <w:color w:val="000000" w:themeColor="text1"/>
                <w:vertAlign w:val="superscript"/>
                <w14:textFill>
                  <w14:solidFill>
                    <w14:schemeClr w14:val="tx1"/>
                  </w14:solidFill>
                </w14:textFill>
              </w:rPr>
              <w:t>2</w:t>
            </w:r>
            <w:r>
              <w:rPr>
                <w:color w:val="000000" w:themeColor="text1"/>
                <w14:textFill>
                  <w14:solidFill>
                    <w14:schemeClr w14:val="tx1"/>
                  </w14:solidFill>
                </w14:textFill>
              </w:rPr>
              <w:t>一般固废暂存间，设置在综合仓库内部南侧，暂存后定期处理</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423" w:type="pct"/>
            <w:vMerge w:val="continue"/>
            <w:vAlign w:val="center"/>
          </w:tcPr>
          <w:p>
            <w:pPr>
              <w:pStyle w:val="38"/>
              <w:rPr>
                <w:rFonts w:hint="default"/>
                <w:color w:val="000000" w:themeColor="text1"/>
                <w14:textFill>
                  <w14:solidFill>
                    <w14:schemeClr w14:val="tx1"/>
                  </w14:solidFill>
                </w14:textFill>
              </w:rPr>
            </w:pPr>
          </w:p>
        </w:tc>
        <w:tc>
          <w:tcPr>
            <w:tcW w:w="713"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危险废物</w:t>
            </w:r>
          </w:p>
        </w:tc>
        <w:tc>
          <w:tcPr>
            <w:tcW w:w="287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50m</w:t>
            </w:r>
            <w:r>
              <w:rPr>
                <w:color w:val="000000" w:themeColor="text1"/>
                <w:vertAlign w:val="superscript"/>
                <w14:textFill>
                  <w14:solidFill>
                    <w14:schemeClr w14:val="tx1"/>
                  </w14:solidFill>
                </w14:textFill>
              </w:rPr>
              <w:t>2</w:t>
            </w:r>
            <w:r>
              <w:rPr>
                <w:color w:val="000000" w:themeColor="text1"/>
                <w14:textFill>
                  <w14:solidFill>
                    <w14:schemeClr w14:val="tx1"/>
                  </w14:solidFill>
                </w14:textFill>
              </w:rPr>
              <w:t>危废暂存间，设置在综合仓库内部南侧，暂存后定期交有资质单位处理</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噪声</w:t>
            </w:r>
          </w:p>
        </w:tc>
        <w:tc>
          <w:tcPr>
            <w:tcW w:w="2876" w:type="pct"/>
            <w:gridSpan w:val="2"/>
            <w:vAlign w:val="center"/>
          </w:tcPr>
          <w:p>
            <w:pPr>
              <w:pStyle w:val="38"/>
              <w:rPr>
                <w:rFonts w:hint="default"/>
                <w:color w:val="000000" w:themeColor="text1"/>
                <w14:textFill>
                  <w14:solidFill>
                    <w14:schemeClr w14:val="tx1"/>
                  </w14:solidFill>
                </w14:textFill>
              </w:rPr>
            </w:pPr>
            <w:r>
              <w:rPr>
                <w:rFonts w:hint="eastAsia"/>
                <w:color w:val="000000" w:themeColor="text1"/>
                <w:u w:val="single"/>
                <w:lang w:eastAsia="zh-CN"/>
                <w14:textFill>
                  <w14:solidFill>
                    <w14:schemeClr w14:val="tx1"/>
                  </w14:solidFill>
                </w14:textFill>
              </w:rPr>
              <w:t>设备选择</w:t>
            </w:r>
            <w:r>
              <w:rPr>
                <w:rFonts w:hint="default"/>
                <w:color w:val="000000" w:themeColor="text1"/>
                <w:u w:val="single"/>
                <w:lang w:eastAsia="zh-CN"/>
                <w14:textFill>
                  <w14:solidFill>
                    <w14:schemeClr w14:val="tx1"/>
                  </w14:solidFill>
                </w14:textFill>
              </w:rPr>
              <w:t>低噪声型号设备，</w:t>
            </w:r>
            <w:r>
              <w:rPr>
                <w:rFonts w:hint="eastAsia"/>
                <w:color w:val="000000" w:themeColor="text1"/>
                <w:u w:val="single"/>
                <w:lang w:eastAsia="zh-CN"/>
                <w14:textFill>
                  <w14:solidFill>
                    <w14:schemeClr w14:val="tx1"/>
                  </w14:solidFill>
                </w14:textFill>
              </w:rPr>
              <w:t>厂区采用</w:t>
            </w:r>
            <w:r>
              <w:rPr>
                <w:rFonts w:hint="default"/>
                <w:color w:val="000000" w:themeColor="text1"/>
                <w:u w:val="single"/>
                <w:lang w:eastAsia="zh-CN"/>
                <w14:textFill>
                  <w14:solidFill>
                    <w14:schemeClr w14:val="tx1"/>
                  </w14:solidFill>
                </w14:textFill>
              </w:rPr>
              <w:t>“闹静分开”和合理布局的设置原则，尽量将高噪声源远离厂界，在设备连接处安装减震垫、车间内墙加装隔音棉，主排风管道增加消音器，厂区种植降噪绿植等治理措施</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90" w:type="pct"/>
            <w:vMerge w:val="continue"/>
            <w:vAlign w:val="center"/>
          </w:tcPr>
          <w:p>
            <w:pPr>
              <w:pStyle w:val="38"/>
              <w:rPr>
                <w:rFonts w:hint="default"/>
                <w:color w:val="000000" w:themeColor="text1"/>
                <w14:textFill>
                  <w14:solidFill>
                    <w14:schemeClr w14:val="tx1"/>
                  </w14:solidFill>
                </w14:textFill>
              </w:rPr>
            </w:pPr>
          </w:p>
        </w:tc>
        <w:tc>
          <w:tcPr>
            <w:tcW w:w="1136" w:type="pct"/>
            <w:gridSpan w:val="2"/>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环境风险</w:t>
            </w:r>
          </w:p>
        </w:tc>
        <w:tc>
          <w:tcPr>
            <w:tcW w:w="2876" w:type="pct"/>
            <w:gridSpan w:val="2"/>
            <w:vAlign w:val="center"/>
          </w:tcPr>
          <w:p>
            <w:pPr>
              <w:pStyle w:val="38"/>
              <w:rPr>
                <w:rFonts w:hint="default"/>
                <w:color w:val="000000" w:themeColor="text1"/>
                <w14:textFill>
                  <w14:solidFill>
                    <w14:schemeClr w14:val="tx1"/>
                  </w14:solidFill>
                </w14:textFill>
              </w:rPr>
            </w:pPr>
            <w:r>
              <w:rPr>
                <w:rFonts w:hint="eastAsia"/>
                <w:lang w:eastAsia="zh-CN"/>
              </w:rPr>
              <w:t>在罐区</w:t>
            </w:r>
            <w:r>
              <w:t>设置围堰，安装可燃及有毒气体泄漏报警仪；编制应急预案，加强演练等、1000m</w:t>
            </w:r>
            <w:r>
              <w:rPr>
                <w:vertAlign w:val="superscript"/>
              </w:rPr>
              <w:t>3</w:t>
            </w:r>
            <w:r>
              <w:t>应急事故池、300m</w:t>
            </w:r>
            <w:r>
              <w:rPr>
                <w:vertAlign w:val="superscript"/>
              </w:rPr>
              <w:t>3</w:t>
            </w:r>
            <w:r>
              <w:t>初期雨水池</w:t>
            </w:r>
          </w:p>
        </w:tc>
        <w:tc>
          <w:tcPr>
            <w:tcW w:w="397" w:type="pc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新建</w:t>
            </w:r>
          </w:p>
        </w:tc>
      </w:tr>
    </w:tbl>
    <w:p>
      <w:pPr>
        <w:pStyle w:val="25"/>
        <w:widowControl/>
        <w:spacing w:beforeAutospacing="0" w:afterAutospacing="0"/>
        <w:ind w:firstLine="480"/>
        <w:sectPr>
          <w:pgSz w:w="11906" w:h="16838"/>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pPr>
    </w:p>
    <w:p>
      <w:pPr>
        <w:ind w:firstLine="480"/>
        <w:jc w:val="center"/>
      </w:pPr>
      <w:r>
        <w:drawing>
          <wp:inline distT="0" distB="0" distL="114300" distR="114300">
            <wp:extent cx="6884035" cy="5267960"/>
            <wp:effectExtent l="0" t="0" r="12065" b="8890"/>
            <wp:docPr id="6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9"/>
                    <pic:cNvPicPr>
                      <a:picLocks noChangeAspect="1"/>
                    </pic:cNvPicPr>
                  </pic:nvPicPr>
                  <pic:blipFill>
                    <a:blip r:embed="rId33"/>
                    <a:stretch>
                      <a:fillRect/>
                    </a:stretch>
                  </pic:blipFill>
                  <pic:spPr>
                    <a:xfrm>
                      <a:off x="0" y="0"/>
                      <a:ext cx="6884035" cy="5267960"/>
                    </a:xfrm>
                    <a:prstGeom prst="rect">
                      <a:avLst/>
                    </a:prstGeom>
                    <a:noFill/>
                    <a:ln>
                      <a:noFill/>
                    </a:ln>
                  </pic:spPr>
                </pic:pic>
              </a:graphicData>
            </a:graphic>
          </wp:inline>
        </w:drawing>
      </w:r>
    </w:p>
    <w:p>
      <w:pPr>
        <w:pStyle w:val="25"/>
        <w:widowControl/>
        <w:spacing w:beforeAutospacing="0" w:afterAutospacing="0"/>
        <w:ind w:firstLine="0" w:firstLineChars="0"/>
        <w:jc w:val="center"/>
        <w:rPr>
          <w:b/>
          <w:bCs/>
        </w:rPr>
        <w:sectPr>
          <w:pgSz w:w="16838" w:h="11906" w:orient="landscape"/>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pPr>
      <w:r>
        <w:rPr>
          <w:b/>
          <w:bCs/>
        </w:rPr>
        <w:t>图3.2-1  项目厂区平面布置图</w:t>
      </w:r>
    </w:p>
    <w:p>
      <w:pPr>
        <w:pStyle w:val="7"/>
        <w:ind w:firstLine="562"/>
      </w:pPr>
      <w:r>
        <w:t>3.</w:t>
      </w:r>
      <w:r>
        <w:rPr>
          <w:rFonts w:hint="eastAsia"/>
        </w:rPr>
        <w:t>2.3</w:t>
      </w:r>
      <w:r>
        <w:t xml:space="preserve"> 主要生产设备</w:t>
      </w:r>
    </w:p>
    <w:p>
      <w:pPr>
        <w:pStyle w:val="25"/>
        <w:widowControl/>
        <w:spacing w:beforeAutospacing="0" w:afterAutospacing="0"/>
        <w:ind w:firstLine="480"/>
      </w:pPr>
      <w:r>
        <w:t>本项目主要生产设备见下表。</w:t>
      </w:r>
    </w:p>
    <w:p>
      <w:pPr>
        <w:pStyle w:val="25"/>
        <w:widowControl/>
        <w:spacing w:beforeAutospacing="0" w:afterAutospacing="0"/>
        <w:ind w:firstLine="0" w:firstLineChars="0"/>
        <w:jc w:val="center"/>
        <w:rPr>
          <w:rFonts w:hint="eastAsia"/>
          <w:b/>
          <w:bCs/>
        </w:rPr>
      </w:pPr>
      <w:r>
        <w:rPr>
          <w:rFonts w:hint="eastAsia"/>
          <w:b/>
          <w:bCs/>
        </w:rPr>
        <w:t>表3.2-2  主要设备清单</w:t>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7"/>
        <w:gridCol w:w="5"/>
        <w:gridCol w:w="1679"/>
        <w:gridCol w:w="9"/>
        <w:gridCol w:w="3"/>
        <w:gridCol w:w="2359"/>
        <w:gridCol w:w="20"/>
        <w:gridCol w:w="3"/>
        <w:gridCol w:w="3"/>
        <w:gridCol w:w="1674"/>
        <w:gridCol w:w="28"/>
        <w:gridCol w:w="3"/>
        <w:gridCol w:w="1813"/>
        <w:gridCol w:w="40"/>
        <w:gridCol w:w="6"/>
        <w:gridCol w:w="1140"/>
        <w:gridCol w:w="51"/>
        <w:gridCol w:w="6"/>
        <w:gridCol w:w="3"/>
        <w:gridCol w:w="2140"/>
        <w:gridCol w:w="63"/>
        <w:gridCol w:w="9"/>
        <w:gridCol w:w="2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98" w:type="pct"/>
            <w:gridSpan w:val="23"/>
          </w:tcPr>
          <w:p>
            <w:pPr>
              <w:widowControl/>
              <w:kinsoku w:val="0"/>
              <w:autoSpaceDE w:val="0"/>
              <w:autoSpaceDN w:val="0"/>
              <w:spacing w:line="240" w:lineRule="auto"/>
              <w:ind w:firstLine="0" w:firstLineChars="0"/>
              <w:jc w:val="both"/>
              <w:textAlignment w:val="baseline"/>
              <w:rPr>
                <w:rFonts w:cs="Times New Roman"/>
                <w:kern w:val="21"/>
                <w:sz w:val="21"/>
                <w:szCs w:val="21"/>
              </w:rPr>
            </w:pPr>
            <w:r>
              <w:rPr>
                <w:rFonts w:hint="eastAsia" w:cs="Times New Roman"/>
                <w:b/>
                <w:bCs/>
                <w:kern w:val="21"/>
                <w:sz w:val="21"/>
                <w:szCs w:val="21"/>
                <w:lang w:eastAsia="zh-CN"/>
              </w:rPr>
              <w:t>产品</w:t>
            </w:r>
            <w:r>
              <w:rPr>
                <w:rFonts w:hint="eastAsia" w:cs="Times New Roman"/>
                <w:b/>
                <w:bCs/>
                <w:kern w:val="21"/>
                <w:sz w:val="21"/>
                <w:szCs w:val="21"/>
                <w:lang w:val="en-US" w:eastAsia="zh-CN"/>
              </w:rPr>
              <w:t>-</w:t>
            </w:r>
            <w:r>
              <w:rPr>
                <w:rFonts w:hint="eastAsia" w:cs="Times New Roman"/>
                <w:b/>
                <w:bCs/>
                <w:kern w:val="21"/>
                <w:sz w:val="21"/>
                <w:szCs w:val="21"/>
                <w:lang w:eastAsia="zh-CN"/>
              </w:rPr>
              <w:t>EPDM颗粒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251"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序号</w:t>
            </w:r>
          </w:p>
        </w:tc>
        <w:tc>
          <w:tcPr>
            <w:tcW w:w="595"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设备名称</w:t>
            </w:r>
          </w:p>
        </w:tc>
        <w:tc>
          <w:tcPr>
            <w:tcW w:w="839"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设备型号</w:t>
            </w:r>
          </w:p>
        </w:tc>
        <w:tc>
          <w:tcPr>
            <w:tcW w:w="599"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最高温度（℃）</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最大压力（</w:t>
            </w:r>
            <w:r>
              <w:rPr>
                <w:rFonts w:hint="eastAsia" w:cs="Times New Roman"/>
                <w:kern w:val="21"/>
                <w:sz w:val="21"/>
                <w:szCs w:val="21"/>
                <w:lang w:val="en-US" w:eastAsia="zh-CN"/>
              </w:rPr>
              <w:t>MPa</w:t>
            </w:r>
            <w:r>
              <w:rPr>
                <w:rFonts w:hint="eastAsia" w:cs="Times New Roman"/>
                <w:kern w:val="21"/>
                <w:sz w:val="21"/>
                <w:szCs w:val="21"/>
                <w:lang w:eastAsia="zh-CN"/>
              </w:rPr>
              <w:t>）</w:t>
            </w:r>
          </w:p>
        </w:tc>
        <w:tc>
          <w:tcPr>
            <w:tcW w:w="421"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设备数量</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设备位置</w:t>
            </w:r>
          </w:p>
        </w:tc>
        <w:tc>
          <w:tcPr>
            <w:tcW w:w="861"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251" w:type="pct"/>
            <w:gridSpan w:val="2"/>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1</w:t>
            </w:r>
          </w:p>
        </w:tc>
        <w:tc>
          <w:tcPr>
            <w:tcW w:w="595" w:type="pct"/>
            <w:gridSpan w:val="3"/>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eastAsia="zh-CN"/>
              </w:rPr>
            </w:pPr>
            <w:r>
              <w:rPr>
                <w:rFonts w:hint="eastAsia" w:ascii="宋体" w:hAnsi="宋体" w:cs="宋体"/>
                <w:kern w:val="21"/>
                <w:sz w:val="21"/>
                <w:szCs w:val="21"/>
                <w:lang w:eastAsia="zh-CN"/>
              </w:rPr>
              <w:t>自动提升上料机</w:t>
            </w:r>
          </w:p>
        </w:tc>
        <w:tc>
          <w:tcPr>
            <w:tcW w:w="839" w:type="pct"/>
            <w:gridSpan w:val="4"/>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w:t>
            </w:r>
          </w:p>
        </w:tc>
        <w:tc>
          <w:tcPr>
            <w:tcW w:w="599"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1</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3#丙类厂房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51" w:type="pct"/>
            <w:gridSpan w:val="2"/>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2</w:t>
            </w:r>
          </w:p>
        </w:tc>
        <w:tc>
          <w:tcPr>
            <w:tcW w:w="595" w:type="pct"/>
            <w:gridSpan w:val="3"/>
            <w:vAlign w:val="top"/>
          </w:tcPr>
          <w:p>
            <w:pPr>
              <w:widowControl/>
              <w:kinsoku w:val="0"/>
              <w:autoSpaceDE w:val="0"/>
              <w:autoSpaceDN w:val="0"/>
              <w:spacing w:line="240" w:lineRule="auto"/>
              <w:ind w:firstLine="0" w:firstLineChars="0"/>
              <w:jc w:val="center"/>
              <w:textAlignment w:val="baseline"/>
              <w:rPr>
                <w:rFonts w:ascii="宋体" w:hAnsi="宋体" w:cs="宋体"/>
                <w:kern w:val="21"/>
                <w:sz w:val="21"/>
                <w:szCs w:val="21"/>
              </w:rPr>
            </w:pPr>
            <w:r>
              <w:rPr>
                <w:rFonts w:ascii="宋体" w:hAnsi="宋体" w:cs="宋体"/>
                <w:kern w:val="21"/>
                <w:sz w:val="21"/>
                <w:szCs w:val="21"/>
              </w:rPr>
              <w:t>密炼机</w:t>
            </w:r>
          </w:p>
        </w:tc>
        <w:tc>
          <w:tcPr>
            <w:tcW w:w="839" w:type="pct"/>
            <w:gridSpan w:val="4"/>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cs="Times New Roman"/>
                <w:kern w:val="21"/>
                <w:sz w:val="21"/>
                <w:szCs w:val="21"/>
              </w:rPr>
              <w:t>X（S）M110</w:t>
            </w:r>
          </w:p>
        </w:tc>
        <w:tc>
          <w:tcPr>
            <w:tcW w:w="599"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110</w:t>
            </w:r>
          </w:p>
        </w:tc>
        <w:tc>
          <w:tcPr>
            <w:tcW w:w="654"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3</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lang w:val="en-US" w:eastAsia="zh-CN"/>
              </w:rPr>
              <w:t>3#丙类厂房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1" w:type="pct"/>
            <w:gridSpan w:val="2"/>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3</w:t>
            </w:r>
          </w:p>
        </w:tc>
        <w:tc>
          <w:tcPr>
            <w:tcW w:w="59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ascii="宋体" w:hAnsi="宋体" w:cs="宋体"/>
                <w:kern w:val="21"/>
                <w:sz w:val="21"/>
                <w:szCs w:val="21"/>
              </w:rPr>
              <w:t>挤</w:t>
            </w:r>
            <w:r>
              <w:rPr>
                <w:rFonts w:hint="eastAsia" w:ascii="宋体" w:hAnsi="宋体" w:cs="宋体"/>
                <w:kern w:val="21"/>
                <w:sz w:val="21"/>
                <w:szCs w:val="21"/>
                <w:lang w:eastAsia="zh-CN"/>
              </w:rPr>
              <w:t>出</w:t>
            </w:r>
            <w:r>
              <w:rPr>
                <w:rFonts w:ascii="宋体" w:hAnsi="宋体" w:cs="宋体"/>
                <w:kern w:val="21"/>
                <w:sz w:val="21"/>
                <w:szCs w:val="21"/>
              </w:rPr>
              <w:t>机</w:t>
            </w:r>
          </w:p>
        </w:tc>
        <w:tc>
          <w:tcPr>
            <w:tcW w:w="839" w:type="pct"/>
            <w:gridSpan w:val="4"/>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cs="Times New Roman"/>
                <w:kern w:val="21"/>
                <w:sz w:val="21"/>
                <w:szCs w:val="21"/>
              </w:rPr>
              <w:t>XJ-200</w:t>
            </w:r>
          </w:p>
        </w:tc>
        <w:tc>
          <w:tcPr>
            <w:tcW w:w="599"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220</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常压</w:t>
            </w:r>
          </w:p>
        </w:tc>
        <w:tc>
          <w:tcPr>
            <w:tcW w:w="421"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3</w:t>
            </w:r>
          </w:p>
        </w:tc>
        <w:tc>
          <w:tcPr>
            <w:tcW w:w="77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3#丙类厂房</w:t>
            </w:r>
          </w:p>
        </w:tc>
        <w:tc>
          <w:tcPr>
            <w:tcW w:w="861" w:type="pct"/>
            <w:gridSpan w:val="2"/>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1" w:type="pct"/>
            <w:gridSpan w:val="2"/>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4</w:t>
            </w:r>
          </w:p>
        </w:tc>
        <w:tc>
          <w:tcPr>
            <w:tcW w:w="59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ascii="宋体" w:hAnsi="宋体" w:cs="宋体"/>
                <w:kern w:val="21"/>
                <w:sz w:val="21"/>
                <w:szCs w:val="21"/>
              </w:rPr>
              <w:t>硫化罐</w:t>
            </w:r>
          </w:p>
        </w:tc>
        <w:tc>
          <w:tcPr>
            <w:tcW w:w="839" w:type="pct"/>
            <w:gridSpan w:val="4"/>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cs="Times New Roman"/>
                <w:kern w:val="21"/>
                <w:sz w:val="21"/>
                <w:szCs w:val="21"/>
              </w:rPr>
              <w:t>1500*4000</w:t>
            </w:r>
          </w:p>
        </w:tc>
        <w:tc>
          <w:tcPr>
            <w:tcW w:w="599"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130</w:t>
            </w:r>
          </w:p>
        </w:tc>
        <w:tc>
          <w:tcPr>
            <w:tcW w:w="654"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4.0</w:t>
            </w:r>
          </w:p>
        </w:tc>
        <w:tc>
          <w:tcPr>
            <w:tcW w:w="421"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3</w:t>
            </w:r>
          </w:p>
        </w:tc>
        <w:tc>
          <w:tcPr>
            <w:tcW w:w="77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3#丙类厂房</w:t>
            </w:r>
          </w:p>
        </w:tc>
        <w:tc>
          <w:tcPr>
            <w:tcW w:w="861" w:type="pct"/>
            <w:gridSpan w:val="2"/>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1" w:type="pct"/>
            <w:gridSpan w:val="2"/>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5</w:t>
            </w:r>
          </w:p>
        </w:tc>
        <w:tc>
          <w:tcPr>
            <w:tcW w:w="59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ascii="宋体" w:hAnsi="宋体" w:cs="宋体"/>
                <w:kern w:val="21"/>
                <w:sz w:val="21"/>
                <w:szCs w:val="21"/>
              </w:rPr>
              <w:t>粉碎机</w:t>
            </w:r>
          </w:p>
        </w:tc>
        <w:tc>
          <w:tcPr>
            <w:tcW w:w="839" w:type="pct"/>
            <w:gridSpan w:val="4"/>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cs="Times New Roman"/>
                <w:kern w:val="21"/>
                <w:sz w:val="21"/>
                <w:szCs w:val="21"/>
              </w:rPr>
              <w:t>500加强型</w:t>
            </w:r>
          </w:p>
        </w:tc>
        <w:tc>
          <w:tcPr>
            <w:tcW w:w="599"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常温</w:t>
            </w:r>
          </w:p>
        </w:tc>
        <w:tc>
          <w:tcPr>
            <w:tcW w:w="654"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eastAsia="zh-CN"/>
              </w:rPr>
              <w:t>常压</w:t>
            </w:r>
          </w:p>
        </w:tc>
        <w:tc>
          <w:tcPr>
            <w:tcW w:w="421"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6</w:t>
            </w:r>
          </w:p>
        </w:tc>
        <w:tc>
          <w:tcPr>
            <w:tcW w:w="77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3#丙类厂房</w:t>
            </w:r>
          </w:p>
        </w:tc>
        <w:tc>
          <w:tcPr>
            <w:tcW w:w="861" w:type="pct"/>
            <w:gridSpan w:val="2"/>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jc w:val="center"/>
        </w:trPr>
        <w:tc>
          <w:tcPr>
            <w:tcW w:w="251" w:type="pct"/>
            <w:gridSpan w:val="2"/>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6</w:t>
            </w:r>
          </w:p>
        </w:tc>
        <w:tc>
          <w:tcPr>
            <w:tcW w:w="59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ascii="宋体" w:hAnsi="宋体" w:cs="宋体"/>
                <w:kern w:val="21"/>
                <w:sz w:val="21"/>
                <w:szCs w:val="21"/>
              </w:rPr>
              <w:t>白矿油油罐</w:t>
            </w:r>
          </w:p>
        </w:tc>
        <w:tc>
          <w:tcPr>
            <w:tcW w:w="839" w:type="pct"/>
            <w:gridSpan w:val="4"/>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50T</w:t>
            </w:r>
          </w:p>
        </w:tc>
        <w:tc>
          <w:tcPr>
            <w:tcW w:w="599" w:type="pct"/>
            <w:gridSpan w:val="3"/>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lang w:val="en-US" w:eastAsia="zh-CN"/>
              </w:rPr>
              <w:t>常温</w:t>
            </w:r>
          </w:p>
        </w:tc>
        <w:tc>
          <w:tcPr>
            <w:tcW w:w="654" w:type="pct"/>
            <w:gridSpan w:val="3"/>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lang w:eastAsia="zh-CN"/>
              </w:rPr>
              <w:t>常压</w:t>
            </w:r>
          </w:p>
        </w:tc>
        <w:tc>
          <w:tcPr>
            <w:tcW w:w="421"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2</w:t>
            </w:r>
          </w:p>
        </w:tc>
        <w:tc>
          <w:tcPr>
            <w:tcW w:w="77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3#丙类厂房</w:t>
            </w:r>
          </w:p>
        </w:tc>
        <w:tc>
          <w:tcPr>
            <w:tcW w:w="861" w:type="pct"/>
            <w:gridSpan w:val="2"/>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ascii="宋体" w:hAnsi="宋体" w:cs="宋体"/>
                <w:kern w:val="21"/>
                <w:sz w:val="21"/>
                <w:szCs w:val="21"/>
              </w:rPr>
              <w:t>白矿油油罐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98" w:type="pct"/>
            <w:gridSpan w:val="23"/>
          </w:tcPr>
          <w:p>
            <w:pPr>
              <w:widowControl/>
              <w:kinsoku w:val="0"/>
              <w:autoSpaceDE w:val="0"/>
              <w:autoSpaceDN w:val="0"/>
              <w:spacing w:line="240" w:lineRule="auto"/>
              <w:ind w:firstLine="0" w:firstLineChars="0"/>
              <w:jc w:val="both"/>
              <w:textAlignment w:val="baseline"/>
              <w:rPr>
                <w:rFonts w:cs="Times New Roman"/>
                <w:kern w:val="21"/>
                <w:sz w:val="21"/>
                <w:szCs w:val="21"/>
              </w:rPr>
            </w:pPr>
            <w:r>
              <w:rPr>
                <w:rFonts w:hint="eastAsia" w:cs="Times New Roman"/>
                <w:b/>
                <w:bCs/>
                <w:kern w:val="21"/>
                <w:sz w:val="21"/>
                <w:szCs w:val="21"/>
                <w:lang w:eastAsia="zh-CN"/>
              </w:rPr>
              <w:t>产品</w:t>
            </w:r>
            <w:r>
              <w:rPr>
                <w:rFonts w:hint="eastAsia" w:cs="Times New Roman"/>
                <w:b/>
                <w:bCs/>
                <w:kern w:val="21"/>
                <w:sz w:val="21"/>
                <w:szCs w:val="21"/>
                <w:lang w:val="en-US" w:eastAsia="zh-CN"/>
              </w:rPr>
              <w:t>-</w:t>
            </w:r>
            <w:r>
              <w:rPr>
                <w:rFonts w:hint="eastAsia" w:cs="Times New Roman"/>
                <w:b/>
                <w:bCs/>
                <w:kern w:val="21"/>
                <w:sz w:val="21"/>
                <w:szCs w:val="21"/>
                <w:lang w:eastAsia="zh-CN"/>
              </w:rPr>
              <w:t>硅</w:t>
            </w:r>
            <w:r>
              <w:rPr>
                <w:rFonts w:hint="eastAsia" w:cs="Times New Roman"/>
                <w:b/>
                <w:bCs/>
                <w:kern w:val="21"/>
                <w:sz w:val="21"/>
                <w:szCs w:val="21"/>
                <w:lang w:val="en-US" w:eastAsia="zh-CN"/>
              </w:rPr>
              <w:t>PU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247" w:type="pct"/>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序号</w:t>
            </w:r>
          </w:p>
        </w:tc>
        <w:tc>
          <w:tcPr>
            <w:tcW w:w="593"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设备名称</w:t>
            </w:r>
          </w:p>
        </w:tc>
        <w:tc>
          <w:tcPr>
            <w:tcW w:w="83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设备型号</w:t>
            </w:r>
          </w:p>
        </w:tc>
        <w:tc>
          <w:tcPr>
            <w:tcW w:w="598"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最高温度（℃）</w:t>
            </w:r>
          </w:p>
        </w:tc>
        <w:tc>
          <w:tcPr>
            <w:tcW w:w="649"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最大压力（</w:t>
            </w:r>
            <w:r>
              <w:rPr>
                <w:rFonts w:hint="eastAsia" w:cs="Times New Roman"/>
                <w:kern w:val="21"/>
                <w:sz w:val="21"/>
                <w:szCs w:val="21"/>
                <w:lang w:val="en-US" w:eastAsia="zh-CN"/>
              </w:rPr>
              <w:t>MPa</w:t>
            </w:r>
            <w:r>
              <w:rPr>
                <w:rFonts w:hint="eastAsia" w:cs="Times New Roman"/>
                <w:kern w:val="21"/>
                <w:sz w:val="21"/>
                <w:szCs w:val="21"/>
                <w:lang w:eastAsia="zh-CN"/>
              </w:rPr>
              <w:t>）</w:t>
            </w:r>
          </w:p>
        </w:tc>
        <w:tc>
          <w:tcPr>
            <w:tcW w:w="417"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设备数量</w:t>
            </w:r>
          </w:p>
        </w:tc>
        <w:tc>
          <w:tcPr>
            <w:tcW w:w="774" w:type="pct"/>
            <w:gridSpan w:val="4"/>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设备位置</w:t>
            </w:r>
          </w:p>
        </w:tc>
        <w:tc>
          <w:tcPr>
            <w:tcW w:w="882"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247"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1</w:t>
            </w:r>
          </w:p>
        </w:tc>
        <w:tc>
          <w:tcPr>
            <w:tcW w:w="593" w:type="pct"/>
            <w:gridSpan w:val="2"/>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eastAsia="zh-CN"/>
              </w:rPr>
            </w:pPr>
            <w:r>
              <w:rPr>
                <w:rFonts w:hint="eastAsia" w:ascii="宋体" w:hAnsi="宋体" w:cs="宋体"/>
                <w:kern w:val="21"/>
                <w:sz w:val="21"/>
                <w:szCs w:val="21"/>
                <w:lang w:eastAsia="zh-CN"/>
              </w:rPr>
              <w:t>螺旋上料机</w:t>
            </w:r>
          </w:p>
        </w:tc>
        <w:tc>
          <w:tcPr>
            <w:tcW w:w="834" w:type="pct"/>
            <w:gridSpan w:val="3"/>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w:t>
            </w:r>
          </w:p>
        </w:tc>
        <w:tc>
          <w:tcPr>
            <w:tcW w:w="598"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常温</w:t>
            </w:r>
          </w:p>
        </w:tc>
        <w:tc>
          <w:tcPr>
            <w:tcW w:w="649" w:type="pct"/>
            <w:gridSpan w:val="3"/>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eastAsia="zh-CN"/>
              </w:rPr>
              <w:t>常压</w:t>
            </w:r>
          </w:p>
        </w:tc>
        <w:tc>
          <w:tcPr>
            <w:tcW w:w="417"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16</w:t>
            </w:r>
          </w:p>
        </w:tc>
        <w:tc>
          <w:tcPr>
            <w:tcW w:w="774" w:type="pct"/>
            <w:gridSpan w:val="4"/>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5#丙类厂房</w:t>
            </w:r>
          </w:p>
        </w:tc>
        <w:tc>
          <w:tcPr>
            <w:tcW w:w="882" w:type="pct"/>
            <w:gridSpan w:val="3"/>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47"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2</w:t>
            </w:r>
          </w:p>
        </w:tc>
        <w:tc>
          <w:tcPr>
            <w:tcW w:w="593" w:type="pct"/>
            <w:gridSpan w:val="2"/>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eastAsia="zh-CN"/>
              </w:rPr>
            </w:pPr>
            <w:r>
              <w:rPr>
                <w:rFonts w:hint="eastAsia" w:ascii="宋体" w:hAnsi="宋体" w:cs="宋体"/>
                <w:kern w:val="21"/>
                <w:sz w:val="21"/>
                <w:szCs w:val="21"/>
                <w:lang w:eastAsia="zh-CN"/>
              </w:rPr>
              <w:t>真空泵</w:t>
            </w:r>
          </w:p>
        </w:tc>
        <w:tc>
          <w:tcPr>
            <w:tcW w:w="834" w:type="pct"/>
            <w:gridSpan w:val="3"/>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cs="Times New Roman"/>
                <w:kern w:val="21"/>
                <w:sz w:val="21"/>
                <w:szCs w:val="21"/>
              </w:rPr>
              <w:t>机械泵</w:t>
            </w:r>
          </w:p>
        </w:tc>
        <w:tc>
          <w:tcPr>
            <w:tcW w:w="598" w:type="pct"/>
            <w:gridSpan w:val="4"/>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49"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负压</w:t>
            </w:r>
          </w:p>
        </w:tc>
        <w:tc>
          <w:tcPr>
            <w:tcW w:w="417" w:type="pct"/>
            <w:gridSpan w:val="3"/>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val="en-US" w:eastAsia="zh-CN"/>
              </w:rPr>
              <w:t>8</w:t>
            </w:r>
          </w:p>
        </w:tc>
        <w:tc>
          <w:tcPr>
            <w:tcW w:w="774" w:type="pct"/>
            <w:gridSpan w:val="4"/>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lang w:val="en-US" w:eastAsia="zh-CN"/>
              </w:rPr>
              <w:t>5#丙类厂房</w:t>
            </w:r>
          </w:p>
        </w:tc>
        <w:tc>
          <w:tcPr>
            <w:tcW w:w="882"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7" w:type="pct"/>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3</w:t>
            </w:r>
          </w:p>
        </w:tc>
        <w:tc>
          <w:tcPr>
            <w:tcW w:w="593"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ascii="宋体" w:hAnsi="宋体" w:cs="宋体"/>
                <w:kern w:val="21"/>
                <w:sz w:val="21"/>
                <w:szCs w:val="21"/>
                <w:lang w:eastAsia="zh-CN"/>
              </w:rPr>
              <w:t>反应釜</w:t>
            </w:r>
          </w:p>
        </w:tc>
        <w:tc>
          <w:tcPr>
            <w:tcW w:w="834"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5000L</w:t>
            </w:r>
          </w:p>
        </w:tc>
        <w:tc>
          <w:tcPr>
            <w:tcW w:w="598" w:type="pct"/>
            <w:gridSpan w:val="4"/>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rPr>
            </w:pPr>
            <w:r>
              <w:rPr>
                <w:rFonts w:hint="eastAsia" w:cs="Times New Roman"/>
                <w:kern w:val="21"/>
                <w:sz w:val="21"/>
                <w:szCs w:val="21"/>
                <w:lang w:val="en-US" w:eastAsia="zh-CN"/>
              </w:rPr>
              <w:t>100</w:t>
            </w:r>
          </w:p>
        </w:tc>
        <w:tc>
          <w:tcPr>
            <w:tcW w:w="649"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常压</w:t>
            </w:r>
          </w:p>
        </w:tc>
        <w:tc>
          <w:tcPr>
            <w:tcW w:w="417"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val="en-US" w:eastAsia="zh-CN"/>
              </w:rPr>
              <w:t>8</w:t>
            </w:r>
          </w:p>
        </w:tc>
        <w:tc>
          <w:tcPr>
            <w:tcW w:w="774" w:type="pct"/>
            <w:gridSpan w:val="4"/>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5#丙类厂房</w:t>
            </w:r>
          </w:p>
        </w:tc>
        <w:tc>
          <w:tcPr>
            <w:tcW w:w="882"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247" w:type="pct"/>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4</w:t>
            </w:r>
          </w:p>
        </w:tc>
        <w:tc>
          <w:tcPr>
            <w:tcW w:w="593"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ascii="宋体" w:hAnsi="宋体" w:cs="宋体"/>
                <w:kern w:val="21"/>
                <w:sz w:val="21"/>
                <w:szCs w:val="21"/>
                <w:lang w:eastAsia="zh-CN"/>
              </w:rPr>
              <w:t>计量称</w:t>
            </w:r>
          </w:p>
        </w:tc>
        <w:tc>
          <w:tcPr>
            <w:tcW w:w="83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电子</w:t>
            </w:r>
          </w:p>
        </w:tc>
        <w:tc>
          <w:tcPr>
            <w:tcW w:w="598"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常温</w:t>
            </w:r>
          </w:p>
        </w:tc>
        <w:tc>
          <w:tcPr>
            <w:tcW w:w="649"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eastAsia="zh-CN"/>
              </w:rPr>
              <w:t>常压</w:t>
            </w:r>
          </w:p>
        </w:tc>
        <w:tc>
          <w:tcPr>
            <w:tcW w:w="417"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16</w:t>
            </w:r>
          </w:p>
        </w:tc>
        <w:tc>
          <w:tcPr>
            <w:tcW w:w="774" w:type="pct"/>
            <w:gridSpan w:val="4"/>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5#丙类厂房</w:t>
            </w:r>
          </w:p>
        </w:tc>
        <w:tc>
          <w:tcPr>
            <w:tcW w:w="882"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反应釜配套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247" w:type="pct"/>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5</w:t>
            </w:r>
          </w:p>
        </w:tc>
        <w:tc>
          <w:tcPr>
            <w:tcW w:w="593" w:type="pct"/>
            <w:gridSpan w:val="2"/>
          </w:tcPr>
          <w:p>
            <w:pPr>
              <w:widowControl/>
              <w:kinsoku w:val="0"/>
              <w:autoSpaceDE w:val="0"/>
              <w:autoSpaceDN w:val="0"/>
              <w:spacing w:line="240" w:lineRule="auto"/>
              <w:ind w:firstLine="0" w:firstLineChars="0"/>
              <w:jc w:val="center"/>
              <w:textAlignment w:val="baseline"/>
              <w:rPr>
                <w:rFonts w:hint="eastAsia" w:ascii="宋体" w:hAnsi="宋体" w:cs="宋体"/>
                <w:kern w:val="21"/>
                <w:sz w:val="21"/>
                <w:szCs w:val="21"/>
                <w:lang w:eastAsia="zh-CN"/>
              </w:rPr>
            </w:pPr>
            <w:r>
              <w:rPr>
                <w:rFonts w:hint="eastAsia" w:ascii="宋体" w:hAnsi="宋体" w:cs="宋体"/>
                <w:kern w:val="21"/>
                <w:sz w:val="21"/>
                <w:szCs w:val="21"/>
                <w:lang w:eastAsia="zh-CN"/>
              </w:rPr>
              <w:t>粉料槽</w:t>
            </w:r>
          </w:p>
        </w:tc>
        <w:tc>
          <w:tcPr>
            <w:tcW w:w="834" w:type="pct"/>
            <w:gridSpan w:val="3"/>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20m</w:t>
            </w:r>
            <w:r>
              <w:rPr>
                <w:rFonts w:hint="eastAsia" w:cs="Times New Roman"/>
                <w:kern w:val="21"/>
                <w:sz w:val="21"/>
                <w:szCs w:val="21"/>
                <w:vertAlign w:val="superscript"/>
                <w:lang w:val="en-US" w:eastAsia="zh-CN"/>
              </w:rPr>
              <w:t>3</w:t>
            </w:r>
          </w:p>
        </w:tc>
        <w:tc>
          <w:tcPr>
            <w:tcW w:w="598" w:type="pct"/>
            <w:gridSpan w:val="4"/>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49"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17" w:type="pct"/>
            <w:gridSpan w:val="3"/>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4</w:t>
            </w:r>
          </w:p>
        </w:tc>
        <w:tc>
          <w:tcPr>
            <w:tcW w:w="774" w:type="pct"/>
            <w:gridSpan w:val="4"/>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5#丙类厂房</w:t>
            </w:r>
          </w:p>
        </w:tc>
        <w:tc>
          <w:tcPr>
            <w:tcW w:w="882" w:type="pct"/>
            <w:gridSpan w:val="3"/>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247" w:type="pct"/>
            <w:vAlign w:val="top"/>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6</w:t>
            </w:r>
          </w:p>
        </w:tc>
        <w:tc>
          <w:tcPr>
            <w:tcW w:w="593" w:type="pct"/>
            <w:gridSpan w:val="2"/>
          </w:tcPr>
          <w:p>
            <w:pPr>
              <w:widowControl/>
              <w:kinsoku w:val="0"/>
              <w:autoSpaceDE w:val="0"/>
              <w:autoSpaceDN w:val="0"/>
              <w:spacing w:line="240" w:lineRule="auto"/>
              <w:ind w:firstLine="0" w:firstLineChars="0"/>
              <w:jc w:val="center"/>
              <w:textAlignment w:val="baseline"/>
              <w:rPr>
                <w:rFonts w:hint="eastAsia" w:ascii="宋体" w:hAnsi="宋体" w:cs="宋体"/>
                <w:kern w:val="21"/>
                <w:sz w:val="21"/>
                <w:szCs w:val="21"/>
                <w:lang w:eastAsia="zh-CN"/>
              </w:rPr>
            </w:pPr>
            <w:r>
              <w:rPr>
                <w:rFonts w:hint="eastAsia" w:ascii="宋体" w:hAnsi="宋体" w:cs="宋体"/>
                <w:kern w:val="21"/>
                <w:sz w:val="21"/>
                <w:szCs w:val="21"/>
                <w:lang w:eastAsia="zh-CN"/>
              </w:rPr>
              <w:t>缓冲罐</w:t>
            </w:r>
          </w:p>
        </w:tc>
        <w:tc>
          <w:tcPr>
            <w:tcW w:w="834" w:type="pct"/>
            <w:gridSpan w:val="3"/>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1000L</w:t>
            </w:r>
          </w:p>
        </w:tc>
        <w:tc>
          <w:tcPr>
            <w:tcW w:w="598" w:type="pct"/>
            <w:gridSpan w:val="4"/>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49"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17"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4</w:t>
            </w:r>
          </w:p>
        </w:tc>
        <w:tc>
          <w:tcPr>
            <w:tcW w:w="774" w:type="pct"/>
            <w:gridSpan w:val="4"/>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5#丙类厂房</w:t>
            </w:r>
          </w:p>
        </w:tc>
        <w:tc>
          <w:tcPr>
            <w:tcW w:w="882" w:type="pct"/>
            <w:gridSpan w:val="3"/>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99" w:type="pct"/>
            <w:gridSpan w:val="23"/>
          </w:tcPr>
          <w:p>
            <w:pPr>
              <w:widowControl/>
              <w:kinsoku w:val="0"/>
              <w:autoSpaceDE w:val="0"/>
              <w:autoSpaceDN w:val="0"/>
              <w:spacing w:line="240" w:lineRule="auto"/>
              <w:ind w:firstLine="0" w:firstLineChars="0"/>
              <w:jc w:val="both"/>
              <w:textAlignment w:val="baseline"/>
              <w:rPr>
                <w:rFonts w:cs="Times New Roman"/>
                <w:kern w:val="21"/>
                <w:sz w:val="21"/>
                <w:szCs w:val="21"/>
              </w:rPr>
            </w:pPr>
            <w:r>
              <w:rPr>
                <w:rFonts w:hint="eastAsia" w:cs="Times New Roman"/>
                <w:b/>
                <w:bCs/>
                <w:kern w:val="21"/>
                <w:sz w:val="21"/>
                <w:szCs w:val="21"/>
                <w:lang w:eastAsia="zh-CN"/>
              </w:rPr>
              <w:t>产品</w:t>
            </w:r>
            <w:r>
              <w:rPr>
                <w:rFonts w:hint="eastAsia" w:cs="Times New Roman"/>
                <w:b/>
                <w:bCs/>
                <w:kern w:val="21"/>
                <w:sz w:val="21"/>
                <w:szCs w:val="21"/>
                <w:lang w:val="en-US" w:eastAsia="zh-CN"/>
              </w:rPr>
              <w:t>-</w:t>
            </w:r>
            <w:r>
              <w:rPr>
                <w:rFonts w:hint="eastAsia" w:cs="Times New Roman"/>
                <w:b/>
                <w:bCs/>
                <w:kern w:val="21"/>
                <w:sz w:val="21"/>
                <w:szCs w:val="21"/>
              </w:rPr>
              <w:t>人造草坪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248" w:type="pct"/>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序号</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设备名称</w:t>
            </w:r>
          </w:p>
        </w:tc>
        <w:tc>
          <w:tcPr>
            <w:tcW w:w="839"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设备型号</w:t>
            </w:r>
          </w:p>
        </w:tc>
        <w:tc>
          <w:tcPr>
            <w:tcW w:w="601"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最高温度（℃）</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最大压力（</w:t>
            </w:r>
            <w:r>
              <w:rPr>
                <w:rFonts w:hint="eastAsia" w:cs="Times New Roman"/>
                <w:kern w:val="21"/>
                <w:sz w:val="21"/>
                <w:szCs w:val="21"/>
                <w:lang w:val="en-US" w:eastAsia="zh-CN"/>
              </w:rPr>
              <w:t>MPa</w:t>
            </w:r>
            <w:r>
              <w:rPr>
                <w:rFonts w:hint="eastAsia" w:cs="Times New Roman"/>
                <w:kern w:val="21"/>
                <w:sz w:val="21"/>
                <w:szCs w:val="21"/>
                <w:lang w:eastAsia="zh-CN"/>
              </w:rPr>
              <w:t>）</w:t>
            </w:r>
          </w:p>
        </w:tc>
        <w:tc>
          <w:tcPr>
            <w:tcW w:w="421"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设备数量</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设备位置</w:t>
            </w:r>
          </w:p>
        </w:tc>
        <w:tc>
          <w:tcPr>
            <w:tcW w:w="861"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1</w:t>
            </w:r>
          </w:p>
        </w:tc>
        <w:tc>
          <w:tcPr>
            <w:tcW w:w="596" w:type="pct"/>
            <w:gridSpan w:val="3"/>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eastAsia="zh-CN"/>
              </w:rPr>
            </w:pPr>
            <w:r>
              <w:rPr>
                <w:rFonts w:hint="eastAsia" w:ascii="宋体" w:hAnsi="宋体" w:cs="宋体"/>
                <w:kern w:val="21"/>
                <w:sz w:val="21"/>
                <w:szCs w:val="21"/>
              </w:rPr>
              <w:t>拉丝机</w:t>
            </w:r>
          </w:p>
        </w:tc>
        <w:tc>
          <w:tcPr>
            <w:tcW w:w="839" w:type="pct"/>
            <w:gridSpan w:val="4"/>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cs="Times New Roman"/>
                <w:kern w:val="21"/>
                <w:sz w:val="21"/>
                <w:szCs w:val="21"/>
              </w:rPr>
              <w:t>ST-ZCS-80*33-1250型</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250</w:t>
            </w:r>
          </w:p>
        </w:tc>
        <w:tc>
          <w:tcPr>
            <w:tcW w:w="654" w:type="pct"/>
            <w:gridSpan w:val="3"/>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2</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1#、2#丙类厂房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配套挤出机、冷却水槽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2</w:t>
            </w:r>
          </w:p>
        </w:tc>
        <w:tc>
          <w:tcPr>
            <w:tcW w:w="596" w:type="pct"/>
            <w:gridSpan w:val="3"/>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eastAsia="zh-CN"/>
              </w:rPr>
            </w:pPr>
            <w:r>
              <w:rPr>
                <w:rFonts w:hint="eastAsia"/>
                <w:kern w:val="21"/>
                <w:sz w:val="21"/>
                <w:szCs w:val="21"/>
              </w:rPr>
              <w:t>倍捻机</w:t>
            </w:r>
          </w:p>
        </w:tc>
        <w:tc>
          <w:tcPr>
            <w:tcW w:w="839" w:type="pct"/>
            <w:gridSpan w:val="4"/>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cs="Times New Roman"/>
                <w:kern w:val="21"/>
                <w:sz w:val="21"/>
                <w:szCs w:val="21"/>
              </w:rPr>
              <w:t>TZ628A</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val="en-US" w:eastAsia="zh-CN"/>
              </w:rPr>
              <w:t>2</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lang w:val="en-US" w:eastAsia="zh-CN"/>
              </w:rPr>
              <w:t>1#、2#丙类厂房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8" w:type="pct"/>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3</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kern w:val="21"/>
                <w:sz w:val="21"/>
                <w:szCs w:val="21"/>
              </w:rPr>
              <w:t>织草机</w:t>
            </w:r>
          </w:p>
        </w:tc>
        <w:tc>
          <w:tcPr>
            <w:tcW w:w="839" w:type="pct"/>
            <w:gridSpan w:val="4"/>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cs="Times New Roman"/>
                <w:kern w:val="21"/>
                <w:sz w:val="21"/>
                <w:szCs w:val="21"/>
              </w:rPr>
              <w:t>CW4000</w:t>
            </w:r>
          </w:p>
        </w:tc>
        <w:tc>
          <w:tcPr>
            <w:tcW w:w="601" w:type="pct"/>
            <w:gridSpan w:val="4"/>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rPr>
            </w:pPr>
            <w:r>
              <w:rPr>
                <w:rFonts w:hint="eastAsia" w:cs="Times New Roman"/>
                <w:kern w:val="21"/>
                <w:sz w:val="21"/>
                <w:szCs w:val="21"/>
                <w:lang w:val="en-US" w:eastAsia="zh-CN"/>
              </w:rPr>
              <w:t>常温</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常压</w:t>
            </w:r>
          </w:p>
        </w:tc>
        <w:tc>
          <w:tcPr>
            <w:tcW w:w="421"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val="en-US" w:eastAsia="zh-CN"/>
              </w:rPr>
              <w:t>2</w:t>
            </w:r>
          </w:p>
        </w:tc>
        <w:tc>
          <w:tcPr>
            <w:tcW w:w="77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1#、2#丙类厂房</w:t>
            </w:r>
          </w:p>
        </w:tc>
        <w:tc>
          <w:tcPr>
            <w:tcW w:w="861" w:type="pct"/>
            <w:gridSpan w:val="2"/>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4</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kern w:val="21"/>
                <w:sz w:val="21"/>
                <w:szCs w:val="21"/>
              </w:rPr>
              <w:t>背胶机</w:t>
            </w:r>
          </w:p>
        </w:tc>
        <w:tc>
          <w:tcPr>
            <w:tcW w:w="839"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cs="Times New Roman"/>
                <w:kern w:val="21"/>
                <w:sz w:val="21"/>
                <w:szCs w:val="21"/>
              </w:rPr>
              <w:t>4300型</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eastAsia="zh-CN"/>
              </w:rPr>
              <w:t>常压</w:t>
            </w:r>
          </w:p>
        </w:tc>
        <w:tc>
          <w:tcPr>
            <w:tcW w:w="421"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2</w:t>
            </w:r>
          </w:p>
        </w:tc>
        <w:tc>
          <w:tcPr>
            <w:tcW w:w="77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1#、2#丙类厂房</w:t>
            </w:r>
          </w:p>
        </w:tc>
        <w:tc>
          <w:tcPr>
            <w:tcW w:w="861"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5</w:t>
            </w:r>
          </w:p>
        </w:tc>
        <w:tc>
          <w:tcPr>
            <w:tcW w:w="596" w:type="pct"/>
            <w:gridSpan w:val="3"/>
          </w:tcPr>
          <w:p>
            <w:pPr>
              <w:widowControl/>
              <w:kinsoku w:val="0"/>
              <w:autoSpaceDE w:val="0"/>
              <w:autoSpaceDN w:val="0"/>
              <w:spacing w:line="240" w:lineRule="auto"/>
              <w:ind w:firstLine="0" w:firstLineChars="0"/>
              <w:jc w:val="center"/>
              <w:textAlignment w:val="baseline"/>
              <w:rPr>
                <w:rFonts w:hint="eastAsia" w:ascii="宋体" w:hAnsi="宋体" w:cs="宋体"/>
                <w:kern w:val="21"/>
                <w:sz w:val="21"/>
                <w:szCs w:val="21"/>
                <w:lang w:eastAsia="zh-CN"/>
              </w:rPr>
            </w:pPr>
            <w:r>
              <w:rPr>
                <w:rFonts w:ascii="宋体" w:hAnsi="宋体" w:cs="宋体"/>
                <w:kern w:val="21"/>
                <w:sz w:val="21"/>
                <w:szCs w:val="21"/>
              </w:rPr>
              <w:t>烘干箱</w:t>
            </w:r>
          </w:p>
        </w:tc>
        <w:tc>
          <w:tcPr>
            <w:tcW w:w="839" w:type="pct"/>
            <w:gridSpan w:val="4"/>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rPr>
              <w:t>22.5*6.5*2.5m</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150</w:t>
            </w:r>
          </w:p>
        </w:tc>
        <w:tc>
          <w:tcPr>
            <w:tcW w:w="654"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1" w:type="pct"/>
            <w:gridSpan w:val="3"/>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2</w:t>
            </w:r>
          </w:p>
        </w:tc>
        <w:tc>
          <w:tcPr>
            <w:tcW w:w="775" w:type="pct"/>
            <w:gridSpan w:val="3"/>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1#、2#丙类厂房</w:t>
            </w:r>
          </w:p>
        </w:tc>
        <w:tc>
          <w:tcPr>
            <w:tcW w:w="861" w:type="pct"/>
            <w:gridSpan w:val="2"/>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配套冷却水槽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6</w:t>
            </w:r>
          </w:p>
        </w:tc>
        <w:tc>
          <w:tcPr>
            <w:tcW w:w="596" w:type="pct"/>
            <w:gridSpan w:val="3"/>
          </w:tcPr>
          <w:p>
            <w:pPr>
              <w:widowControl/>
              <w:kinsoku w:val="0"/>
              <w:autoSpaceDE w:val="0"/>
              <w:autoSpaceDN w:val="0"/>
              <w:spacing w:line="240" w:lineRule="auto"/>
              <w:ind w:firstLine="0" w:firstLineChars="0"/>
              <w:jc w:val="center"/>
              <w:textAlignment w:val="baseline"/>
              <w:rPr>
                <w:rFonts w:hint="eastAsia" w:ascii="宋体" w:hAnsi="宋体" w:cs="宋体"/>
                <w:kern w:val="21"/>
                <w:sz w:val="21"/>
                <w:szCs w:val="21"/>
                <w:lang w:eastAsia="zh-CN"/>
              </w:rPr>
            </w:pPr>
            <w:r>
              <w:rPr>
                <w:rFonts w:ascii="宋体" w:hAnsi="宋体" w:cs="宋体"/>
                <w:kern w:val="21"/>
                <w:sz w:val="21"/>
                <w:szCs w:val="21"/>
              </w:rPr>
              <w:t>钙粉储罐</w:t>
            </w:r>
          </w:p>
        </w:tc>
        <w:tc>
          <w:tcPr>
            <w:tcW w:w="839" w:type="pct"/>
            <w:gridSpan w:val="4"/>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5m</w:t>
            </w:r>
            <w:r>
              <w:rPr>
                <w:rFonts w:hint="eastAsia" w:cs="Times New Roman"/>
                <w:kern w:val="21"/>
                <w:sz w:val="21"/>
                <w:szCs w:val="21"/>
                <w:vertAlign w:val="superscript"/>
                <w:lang w:val="en-US" w:eastAsia="zh-CN"/>
              </w:rPr>
              <w:t>3</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2</w:t>
            </w:r>
          </w:p>
        </w:tc>
        <w:tc>
          <w:tcPr>
            <w:tcW w:w="775" w:type="pct"/>
            <w:gridSpan w:val="3"/>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1#、2#丙类厂房</w:t>
            </w:r>
          </w:p>
        </w:tc>
        <w:tc>
          <w:tcPr>
            <w:tcW w:w="861" w:type="pct"/>
            <w:gridSpan w:val="2"/>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99" w:type="pct"/>
            <w:gridSpan w:val="23"/>
          </w:tcPr>
          <w:p>
            <w:pPr>
              <w:widowControl/>
              <w:kinsoku w:val="0"/>
              <w:autoSpaceDE w:val="0"/>
              <w:autoSpaceDN w:val="0"/>
              <w:spacing w:line="240" w:lineRule="auto"/>
              <w:ind w:firstLine="0" w:firstLineChars="0"/>
              <w:jc w:val="both"/>
              <w:textAlignment w:val="baseline"/>
              <w:rPr>
                <w:rFonts w:cs="Times New Roman"/>
                <w:kern w:val="21"/>
                <w:sz w:val="21"/>
                <w:szCs w:val="21"/>
              </w:rPr>
            </w:pPr>
            <w:r>
              <w:rPr>
                <w:rFonts w:hint="eastAsia" w:cs="Times New Roman"/>
                <w:b/>
                <w:bCs/>
                <w:kern w:val="21"/>
                <w:sz w:val="21"/>
                <w:szCs w:val="21"/>
                <w:lang w:eastAsia="zh-CN"/>
              </w:rPr>
              <w:t>产品</w:t>
            </w:r>
            <w:r>
              <w:rPr>
                <w:rFonts w:hint="eastAsia" w:cs="Times New Roman"/>
                <w:b/>
                <w:bCs/>
                <w:kern w:val="21"/>
                <w:sz w:val="21"/>
                <w:szCs w:val="21"/>
                <w:lang w:val="en-US" w:eastAsia="zh-CN"/>
              </w:rPr>
              <w:t>-</w:t>
            </w:r>
            <w:r>
              <w:rPr>
                <w:rFonts w:cs="Times New Roman"/>
                <w:b/>
                <w:bCs/>
                <w:kern w:val="21"/>
                <w:sz w:val="21"/>
                <w:szCs w:val="21"/>
              </w:rPr>
              <w:t>单组份胶水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248" w:type="pct"/>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序号</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设备名称</w:t>
            </w:r>
          </w:p>
        </w:tc>
        <w:tc>
          <w:tcPr>
            <w:tcW w:w="839"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设备型号</w:t>
            </w:r>
          </w:p>
        </w:tc>
        <w:tc>
          <w:tcPr>
            <w:tcW w:w="601"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最高温度（℃）</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最大压力（</w:t>
            </w:r>
            <w:r>
              <w:rPr>
                <w:rFonts w:hint="eastAsia" w:cs="Times New Roman"/>
                <w:kern w:val="21"/>
                <w:sz w:val="21"/>
                <w:szCs w:val="21"/>
                <w:lang w:val="en-US" w:eastAsia="zh-CN"/>
              </w:rPr>
              <w:t>MPa</w:t>
            </w:r>
            <w:r>
              <w:rPr>
                <w:rFonts w:hint="eastAsia" w:cs="Times New Roman"/>
                <w:kern w:val="21"/>
                <w:sz w:val="21"/>
                <w:szCs w:val="21"/>
                <w:lang w:eastAsia="zh-CN"/>
              </w:rPr>
              <w:t>）</w:t>
            </w:r>
          </w:p>
        </w:tc>
        <w:tc>
          <w:tcPr>
            <w:tcW w:w="421"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设备数量</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设备位置</w:t>
            </w:r>
          </w:p>
        </w:tc>
        <w:tc>
          <w:tcPr>
            <w:tcW w:w="861"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1</w:t>
            </w:r>
          </w:p>
        </w:tc>
        <w:tc>
          <w:tcPr>
            <w:tcW w:w="596" w:type="pct"/>
            <w:gridSpan w:val="3"/>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eastAsia="zh-CN"/>
              </w:rPr>
            </w:pPr>
            <w:r>
              <w:rPr>
                <w:rFonts w:hint="eastAsia" w:ascii="宋体" w:hAnsi="宋体" w:eastAsia="宋体" w:cs="宋体"/>
                <w:kern w:val="21"/>
                <w:sz w:val="21"/>
                <w:szCs w:val="21"/>
                <w:lang w:eastAsia="zh-CN"/>
              </w:rPr>
              <w:t>反应釜</w:t>
            </w:r>
          </w:p>
        </w:tc>
        <w:tc>
          <w:tcPr>
            <w:tcW w:w="839"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1000L</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150</w:t>
            </w:r>
          </w:p>
        </w:tc>
        <w:tc>
          <w:tcPr>
            <w:tcW w:w="654" w:type="pct"/>
            <w:gridSpan w:val="3"/>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8</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6#丙类厂房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6用2备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2</w:t>
            </w:r>
          </w:p>
        </w:tc>
        <w:tc>
          <w:tcPr>
            <w:tcW w:w="596" w:type="pct"/>
            <w:gridSpan w:val="3"/>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val="en-US" w:eastAsia="zh-CN"/>
              </w:rPr>
            </w:pPr>
            <w:r>
              <w:rPr>
                <w:rFonts w:hint="eastAsia" w:ascii="宋体" w:hAnsi="宋体" w:cs="宋体"/>
                <w:kern w:val="21"/>
                <w:sz w:val="21"/>
                <w:szCs w:val="21"/>
                <w:lang w:val="en-US" w:eastAsia="zh-CN"/>
              </w:rPr>
              <w:t>真空泵</w:t>
            </w:r>
          </w:p>
        </w:tc>
        <w:tc>
          <w:tcPr>
            <w:tcW w:w="839" w:type="pct"/>
            <w:gridSpan w:val="4"/>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cs="Times New Roman"/>
                <w:kern w:val="21"/>
                <w:sz w:val="21"/>
                <w:szCs w:val="21"/>
              </w:rPr>
              <w:t>机械泵</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负压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4</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lang w:val="en-US" w:eastAsia="zh-CN"/>
              </w:rPr>
              <w:t>6#丙类厂房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8" w:type="pct"/>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3</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kern w:val="21"/>
                <w:sz w:val="21"/>
                <w:szCs w:val="21"/>
                <w:lang w:eastAsia="zh-CN"/>
              </w:rPr>
              <w:t>计量器</w:t>
            </w:r>
          </w:p>
        </w:tc>
        <w:tc>
          <w:tcPr>
            <w:tcW w:w="839" w:type="pct"/>
            <w:gridSpan w:val="4"/>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cs="Times New Roman"/>
                <w:kern w:val="21"/>
                <w:sz w:val="21"/>
                <w:szCs w:val="21"/>
              </w:rPr>
              <w:t>CW4000</w:t>
            </w:r>
          </w:p>
        </w:tc>
        <w:tc>
          <w:tcPr>
            <w:tcW w:w="601" w:type="pct"/>
            <w:gridSpan w:val="4"/>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rPr>
            </w:pPr>
            <w:r>
              <w:rPr>
                <w:rFonts w:hint="eastAsia" w:cs="Times New Roman"/>
                <w:kern w:val="21"/>
                <w:sz w:val="21"/>
                <w:szCs w:val="21"/>
                <w:lang w:val="en-US" w:eastAsia="zh-CN"/>
              </w:rPr>
              <w:t>常温</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常压</w:t>
            </w:r>
          </w:p>
        </w:tc>
        <w:tc>
          <w:tcPr>
            <w:tcW w:w="421"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8</w:t>
            </w:r>
          </w:p>
        </w:tc>
        <w:tc>
          <w:tcPr>
            <w:tcW w:w="77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6#丙类厂房</w:t>
            </w:r>
          </w:p>
        </w:tc>
        <w:tc>
          <w:tcPr>
            <w:tcW w:w="861" w:type="pct"/>
            <w:gridSpan w:val="2"/>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99" w:type="pct"/>
            <w:gridSpan w:val="23"/>
          </w:tcPr>
          <w:p>
            <w:pPr>
              <w:widowControl/>
              <w:kinsoku w:val="0"/>
              <w:autoSpaceDE w:val="0"/>
              <w:autoSpaceDN w:val="0"/>
              <w:spacing w:line="240" w:lineRule="auto"/>
              <w:ind w:firstLine="0" w:firstLineChars="0"/>
              <w:jc w:val="both"/>
              <w:textAlignment w:val="baseline"/>
              <w:rPr>
                <w:rFonts w:cs="Times New Roman"/>
                <w:kern w:val="21"/>
                <w:sz w:val="21"/>
                <w:szCs w:val="21"/>
              </w:rPr>
            </w:pPr>
            <w:r>
              <w:rPr>
                <w:rFonts w:hint="eastAsia" w:cs="Times New Roman"/>
                <w:b/>
                <w:bCs/>
                <w:kern w:val="21"/>
                <w:sz w:val="21"/>
                <w:szCs w:val="21"/>
                <w:lang w:eastAsia="zh-CN"/>
              </w:rPr>
              <w:t>产品</w:t>
            </w:r>
            <w:r>
              <w:rPr>
                <w:rFonts w:hint="eastAsia" w:cs="Times New Roman"/>
                <w:b/>
                <w:bCs/>
                <w:kern w:val="21"/>
                <w:sz w:val="21"/>
                <w:szCs w:val="21"/>
                <w:lang w:val="en-US" w:eastAsia="zh-CN"/>
              </w:rPr>
              <w:t>-</w:t>
            </w:r>
            <w:r>
              <w:rPr>
                <w:rFonts w:hint="eastAsia" w:cs="Times New Roman"/>
                <w:b/>
                <w:bCs/>
                <w:kern w:val="21"/>
                <w:sz w:val="21"/>
                <w:szCs w:val="21"/>
                <w:lang w:eastAsia="zh-CN"/>
              </w:rPr>
              <w:t>双</w:t>
            </w:r>
            <w:r>
              <w:rPr>
                <w:rFonts w:cs="Times New Roman"/>
                <w:b/>
                <w:bCs/>
                <w:kern w:val="21"/>
                <w:sz w:val="21"/>
                <w:szCs w:val="21"/>
              </w:rPr>
              <w:t>组份胶水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248" w:type="pct"/>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序号</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设备名称</w:t>
            </w:r>
          </w:p>
        </w:tc>
        <w:tc>
          <w:tcPr>
            <w:tcW w:w="839"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设备型号</w:t>
            </w:r>
          </w:p>
        </w:tc>
        <w:tc>
          <w:tcPr>
            <w:tcW w:w="601"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最高温度（℃）</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最大压力（</w:t>
            </w:r>
            <w:r>
              <w:rPr>
                <w:rFonts w:hint="eastAsia" w:cs="Times New Roman"/>
                <w:kern w:val="21"/>
                <w:sz w:val="21"/>
                <w:szCs w:val="21"/>
                <w:lang w:val="en-US" w:eastAsia="zh-CN"/>
              </w:rPr>
              <w:t>MPa</w:t>
            </w:r>
            <w:r>
              <w:rPr>
                <w:rFonts w:hint="eastAsia" w:cs="Times New Roman"/>
                <w:kern w:val="21"/>
                <w:sz w:val="21"/>
                <w:szCs w:val="21"/>
                <w:lang w:eastAsia="zh-CN"/>
              </w:rPr>
              <w:t>）</w:t>
            </w:r>
          </w:p>
        </w:tc>
        <w:tc>
          <w:tcPr>
            <w:tcW w:w="421"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设备数量</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设备位置</w:t>
            </w:r>
          </w:p>
        </w:tc>
        <w:tc>
          <w:tcPr>
            <w:tcW w:w="861"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1</w:t>
            </w:r>
          </w:p>
        </w:tc>
        <w:tc>
          <w:tcPr>
            <w:tcW w:w="596" w:type="pct"/>
            <w:gridSpan w:val="3"/>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eastAsia="zh-CN"/>
              </w:rPr>
            </w:pPr>
            <w:r>
              <w:rPr>
                <w:rFonts w:hint="eastAsia" w:ascii="宋体" w:hAnsi="宋体" w:eastAsia="宋体" w:cs="宋体"/>
                <w:kern w:val="21"/>
                <w:sz w:val="21"/>
                <w:szCs w:val="21"/>
                <w:lang w:eastAsia="zh-CN"/>
              </w:rPr>
              <w:t>反应釜</w:t>
            </w:r>
          </w:p>
        </w:tc>
        <w:tc>
          <w:tcPr>
            <w:tcW w:w="839"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1000L</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150</w:t>
            </w:r>
          </w:p>
        </w:tc>
        <w:tc>
          <w:tcPr>
            <w:tcW w:w="654" w:type="pct"/>
            <w:gridSpan w:val="3"/>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10</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6#丙类厂房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2</w:t>
            </w:r>
          </w:p>
        </w:tc>
        <w:tc>
          <w:tcPr>
            <w:tcW w:w="596" w:type="pct"/>
            <w:gridSpan w:val="3"/>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val="en-US" w:eastAsia="zh-CN"/>
              </w:rPr>
            </w:pPr>
            <w:r>
              <w:rPr>
                <w:rFonts w:hint="eastAsia" w:ascii="宋体" w:hAnsi="宋体" w:cs="宋体"/>
                <w:kern w:val="21"/>
                <w:sz w:val="21"/>
                <w:szCs w:val="21"/>
                <w:lang w:val="en-US" w:eastAsia="zh-CN"/>
              </w:rPr>
              <w:t>真空泵</w:t>
            </w:r>
          </w:p>
        </w:tc>
        <w:tc>
          <w:tcPr>
            <w:tcW w:w="839" w:type="pct"/>
            <w:gridSpan w:val="4"/>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cs="Times New Roman"/>
                <w:kern w:val="21"/>
                <w:sz w:val="21"/>
                <w:szCs w:val="21"/>
              </w:rPr>
              <w:t>机械泵</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负压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4</w:t>
            </w:r>
          </w:p>
        </w:tc>
        <w:tc>
          <w:tcPr>
            <w:tcW w:w="775" w:type="pct"/>
            <w:gridSpan w:val="3"/>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lang w:val="en-US" w:eastAsia="zh-CN"/>
              </w:rPr>
              <w:t>6#丙类厂房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8" w:type="pct"/>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3</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kern w:val="21"/>
                <w:sz w:val="21"/>
                <w:szCs w:val="21"/>
                <w:lang w:eastAsia="zh-CN"/>
              </w:rPr>
              <w:t>计量器</w:t>
            </w:r>
          </w:p>
        </w:tc>
        <w:tc>
          <w:tcPr>
            <w:tcW w:w="839" w:type="pct"/>
            <w:gridSpan w:val="4"/>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cs="Times New Roman"/>
                <w:kern w:val="21"/>
                <w:sz w:val="21"/>
                <w:szCs w:val="21"/>
              </w:rPr>
              <w:t>CW4000</w:t>
            </w:r>
          </w:p>
        </w:tc>
        <w:tc>
          <w:tcPr>
            <w:tcW w:w="601" w:type="pct"/>
            <w:gridSpan w:val="4"/>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rPr>
            </w:pPr>
            <w:r>
              <w:rPr>
                <w:rFonts w:hint="eastAsia" w:cs="Times New Roman"/>
                <w:kern w:val="21"/>
                <w:sz w:val="21"/>
                <w:szCs w:val="21"/>
                <w:lang w:val="en-US" w:eastAsia="zh-CN"/>
              </w:rPr>
              <w:t>常温</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10</w:t>
            </w:r>
          </w:p>
        </w:tc>
        <w:tc>
          <w:tcPr>
            <w:tcW w:w="775"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6#丙类厂房</w:t>
            </w:r>
          </w:p>
        </w:tc>
        <w:tc>
          <w:tcPr>
            <w:tcW w:w="861" w:type="pct"/>
            <w:gridSpan w:val="2"/>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4</w:t>
            </w:r>
          </w:p>
        </w:tc>
        <w:tc>
          <w:tcPr>
            <w:tcW w:w="596" w:type="pct"/>
            <w:gridSpan w:val="3"/>
          </w:tcPr>
          <w:p>
            <w:pPr>
              <w:widowControl/>
              <w:kinsoku w:val="0"/>
              <w:autoSpaceDE w:val="0"/>
              <w:autoSpaceDN w:val="0"/>
              <w:spacing w:line="240" w:lineRule="auto"/>
              <w:ind w:firstLine="0" w:firstLineChars="0"/>
              <w:jc w:val="center"/>
              <w:textAlignment w:val="baseline"/>
              <w:rPr>
                <w:rFonts w:hint="eastAsia"/>
                <w:kern w:val="21"/>
                <w:sz w:val="21"/>
                <w:szCs w:val="21"/>
                <w:lang w:eastAsia="zh-CN"/>
              </w:rPr>
            </w:pPr>
            <w:r>
              <w:rPr>
                <w:rFonts w:hint="eastAsia"/>
                <w:kern w:val="21"/>
                <w:sz w:val="21"/>
                <w:szCs w:val="21"/>
                <w:lang w:eastAsia="zh-CN"/>
              </w:rPr>
              <w:t>粉料槽</w:t>
            </w:r>
          </w:p>
        </w:tc>
        <w:tc>
          <w:tcPr>
            <w:tcW w:w="839" w:type="pct"/>
            <w:gridSpan w:val="4"/>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5m</w:t>
            </w:r>
            <w:r>
              <w:rPr>
                <w:rFonts w:hint="eastAsia" w:cs="Times New Roman"/>
                <w:kern w:val="21"/>
                <w:sz w:val="21"/>
                <w:szCs w:val="21"/>
                <w:vertAlign w:val="superscript"/>
                <w:lang w:val="en-US" w:eastAsia="zh-CN"/>
              </w:rPr>
              <w:t>3</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2</w:t>
            </w:r>
          </w:p>
        </w:tc>
        <w:tc>
          <w:tcPr>
            <w:tcW w:w="775"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6#丙类厂房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99" w:type="pct"/>
            <w:gridSpan w:val="23"/>
          </w:tcPr>
          <w:p>
            <w:pPr>
              <w:widowControl/>
              <w:kinsoku w:val="0"/>
              <w:autoSpaceDE w:val="0"/>
              <w:autoSpaceDN w:val="0"/>
              <w:spacing w:line="240" w:lineRule="auto"/>
              <w:ind w:firstLine="0" w:firstLineChars="0"/>
              <w:jc w:val="both"/>
              <w:textAlignment w:val="baseline"/>
              <w:rPr>
                <w:rFonts w:cs="Times New Roman"/>
                <w:kern w:val="21"/>
                <w:sz w:val="21"/>
                <w:szCs w:val="21"/>
              </w:rPr>
            </w:pPr>
            <w:r>
              <w:rPr>
                <w:rFonts w:hint="eastAsia" w:cs="Times New Roman"/>
                <w:b/>
                <w:bCs/>
                <w:kern w:val="21"/>
                <w:sz w:val="21"/>
                <w:szCs w:val="21"/>
                <w:lang w:eastAsia="zh-CN"/>
              </w:rPr>
              <w:t>产品</w:t>
            </w:r>
            <w:r>
              <w:rPr>
                <w:rFonts w:hint="eastAsia" w:cs="Times New Roman"/>
                <w:b/>
                <w:bCs/>
                <w:kern w:val="21"/>
                <w:sz w:val="21"/>
                <w:szCs w:val="21"/>
                <w:lang w:val="en-US" w:eastAsia="zh-CN"/>
              </w:rPr>
              <w:t>-</w:t>
            </w:r>
            <w:r>
              <w:rPr>
                <w:rFonts w:hint="eastAsia" w:cs="Times New Roman"/>
                <w:b/>
                <w:bCs/>
                <w:kern w:val="21"/>
                <w:sz w:val="21"/>
                <w:szCs w:val="21"/>
                <w:lang w:eastAsia="zh-CN"/>
              </w:rPr>
              <w:t>跑道专用面漆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248" w:type="pct"/>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序号</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设备名称</w:t>
            </w:r>
          </w:p>
        </w:tc>
        <w:tc>
          <w:tcPr>
            <w:tcW w:w="838"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设备型号</w:t>
            </w:r>
          </w:p>
        </w:tc>
        <w:tc>
          <w:tcPr>
            <w:tcW w:w="601"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最高温度（℃）</w:t>
            </w:r>
          </w:p>
        </w:tc>
        <w:tc>
          <w:tcPr>
            <w:tcW w:w="653"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最大压力（</w:t>
            </w:r>
            <w:r>
              <w:rPr>
                <w:rFonts w:hint="eastAsia" w:cs="Times New Roman"/>
                <w:kern w:val="21"/>
                <w:sz w:val="21"/>
                <w:szCs w:val="21"/>
                <w:lang w:val="en-US" w:eastAsia="zh-CN"/>
              </w:rPr>
              <w:t>MPa</w:t>
            </w:r>
            <w:r>
              <w:rPr>
                <w:rFonts w:hint="eastAsia" w:cs="Times New Roman"/>
                <w:kern w:val="21"/>
                <w:sz w:val="21"/>
                <w:szCs w:val="21"/>
                <w:lang w:eastAsia="zh-CN"/>
              </w:rPr>
              <w:t>）</w:t>
            </w:r>
          </w:p>
        </w:tc>
        <w:tc>
          <w:tcPr>
            <w:tcW w:w="421"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设备数量</w:t>
            </w:r>
          </w:p>
        </w:tc>
        <w:tc>
          <w:tcPr>
            <w:tcW w:w="778" w:type="pct"/>
            <w:gridSpan w:val="4"/>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设备位置</w:t>
            </w:r>
          </w:p>
        </w:tc>
        <w:tc>
          <w:tcPr>
            <w:tcW w:w="861" w:type="pct"/>
            <w:gridSpan w:val="2"/>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1</w:t>
            </w:r>
          </w:p>
        </w:tc>
        <w:tc>
          <w:tcPr>
            <w:tcW w:w="596" w:type="pct"/>
            <w:gridSpan w:val="3"/>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eastAsia="zh-CN"/>
              </w:rPr>
            </w:pPr>
            <w:r>
              <w:rPr>
                <w:rFonts w:hint="eastAsia" w:ascii="宋体" w:hAnsi="宋体" w:cs="宋体"/>
                <w:kern w:val="21"/>
                <w:sz w:val="21"/>
                <w:szCs w:val="21"/>
                <w:lang w:eastAsia="zh-CN"/>
              </w:rPr>
              <w:t>分散罐</w:t>
            </w:r>
          </w:p>
        </w:tc>
        <w:tc>
          <w:tcPr>
            <w:tcW w:w="838"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2000L</w:t>
            </w:r>
          </w:p>
        </w:tc>
        <w:tc>
          <w:tcPr>
            <w:tcW w:w="601"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常温</w:t>
            </w:r>
          </w:p>
        </w:tc>
        <w:tc>
          <w:tcPr>
            <w:tcW w:w="653" w:type="pct"/>
            <w:gridSpan w:val="3"/>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eastAsia="zh-CN"/>
              </w:rPr>
              <w:t>常压</w:t>
            </w:r>
          </w:p>
        </w:tc>
        <w:tc>
          <w:tcPr>
            <w:tcW w:w="421"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4</w:t>
            </w:r>
          </w:p>
        </w:tc>
        <w:tc>
          <w:tcPr>
            <w:tcW w:w="778" w:type="pct"/>
            <w:gridSpan w:val="4"/>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6#丙类厂房</w:t>
            </w:r>
          </w:p>
        </w:tc>
        <w:tc>
          <w:tcPr>
            <w:tcW w:w="861" w:type="pct"/>
            <w:gridSpan w:val="2"/>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2</w:t>
            </w:r>
          </w:p>
        </w:tc>
        <w:tc>
          <w:tcPr>
            <w:tcW w:w="596" w:type="pct"/>
            <w:gridSpan w:val="3"/>
            <w:vAlign w:val="center"/>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val="en-US" w:eastAsia="zh-CN"/>
              </w:rPr>
            </w:pPr>
            <w:r>
              <w:rPr>
                <w:rFonts w:hint="eastAsia" w:ascii="宋体" w:hAnsi="宋体" w:cs="宋体"/>
                <w:kern w:val="21"/>
                <w:sz w:val="21"/>
                <w:szCs w:val="21"/>
                <w:lang w:val="en-US" w:eastAsia="zh-CN"/>
              </w:rPr>
              <w:t>搅拌分散釜</w:t>
            </w:r>
          </w:p>
        </w:tc>
        <w:tc>
          <w:tcPr>
            <w:tcW w:w="838"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TQF-15，直径1400mm，</w:t>
            </w:r>
          </w:p>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2.5t</w:t>
            </w:r>
          </w:p>
        </w:tc>
        <w:tc>
          <w:tcPr>
            <w:tcW w:w="601" w:type="pct"/>
            <w:gridSpan w:val="4"/>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3" w:type="pct"/>
            <w:gridSpan w:val="3"/>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1" w:type="pct"/>
            <w:gridSpan w:val="3"/>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2</w:t>
            </w:r>
          </w:p>
        </w:tc>
        <w:tc>
          <w:tcPr>
            <w:tcW w:w="778" w:type="pct"/>
            <w:gridSpan w:val="4"/>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lang w:val="en-US" w:eastAsia="zh-CN"/>
              </w:rPr>
              <w:t>6#丙类厂房</w:t>
            </w:r>
          </w:p>
        </w:tc>
        <w:tc>
          <w:tcPr>
            <w:tcW w:w="861" w:type="pct"/>
            <w:gridSpan w:val="2"/>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8" w:type="pct"/>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3</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kern w:val="21"/>
                <w:sz w:val="21"/>
                <w:szCs w:val="21"/>
                <w:lang w:eastAsia="zh-CN"/>
              </w:rPr>
              <w:t>振动筛分过滤机</w:t>
            </w:r>
          </w:p>
        </w:tc>
        <w:tc>
          <w:tcPr>
            <w:tcW w:w="838"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default" w:eastAsia="宋体" w:cs="Times New Roman"/>
                <w:kern w:val="21"/>
                <w:sz w:val="21"/>
                <w:szCs w:val="21"/>
                <w:lang w:val="en-US" w:eastAsia="zh-CN"/>
              </w:rPr>
              <w:t>TSQ-400</w:t>
            </w:r>
          </w:p>
        </w:tc>
        <w:tc>
          <w:tcPr>
            <w:tcW w:w="601" w:type="pct"/>
            <w:gridSpan w:val="4"/>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rPr>
            </w:pPr>
            <w:r>
              <w:rPr>
                <w:rFonts w:hint="eastAsia" w:cs="Times New Roman"/>
                <w:kern w:val="21"/>
                <w:sz w:val="21"/>
                <w:szCs w:val="21"/>
                <w:lang w:val="en-US" w:eastAsia="zh-CN"/>
              </w:rPr>
              <w:t>常温</w:t>
            </w:r>
          </w:p>
        </w:tc>
        <w:tc>
          <w:tcPr>
            <w:tcW w:w="653"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常压</w:t>
            </w:r>
          </w:p>
        </w:tc>
        <w:tc>
          <w:tcPr>
            <w:tcW w:w="421"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2</w:t>
            </w:r>
          </w:p>
        </w:tc>
        <w:tc>
          <w:tcPr>
            <w:tcW w:w="778" w:type="pct"/>
            <w:gridSpan w:val="4"/>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6#丙类厂房</w:t>
            </w:r>
          </w:p>
        </w:tc>
        <w:tc>
          <w:tcPr>
            <w:tcW w:w="861" w:type="pct"/>
            <w:gridSpan w:val="2"/>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8" w:type="pct"/>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4</w:t>
            </w:r>
          </w:p>
        </w:tc>
        <w:tc>
          <w:tcPr>
            <w:tcW w:w="596" w:type="pct"/>
            <w:gridSpan w:val="3"/>
          </w:tcPr>
          <w:p>
            <w:pPr>
              <w:widowControl/>
              <w:kinsoku w:val="0"/>
              <w:autoSpaceDE w:val="0"/>
              <w:autoSpaceDN w:val="0"/>
              <w:spacing w:line="240" w:lineRule="auto"/>
              <w:ind w:firstLine="0" w:firstLineChars="0"/>
              <w:jc w:val="center"/>
              <w:textAlignment w:val="baseline"/>
              <w:rPr>
                <w:rFonts w:hint="eastAsia"/>
                <w:kern w:val="21"/>
                <w:sz w:val="21"/>
                <w:szCs w:val="21"/>
                <w:lang w:eastAsia="zh-CN"/>
              </w:rPr>
            </w:pPr>
            <w:r>
              <w:rPr>
                <w:rFonts w:hint="eastAsia"/>
                <w:kern w:val="21"/>
                <w:sz w:val="21"/>
                <w:szCs w:val="21"/>
                <w:lang w:eastAsia="zh-CN"/>
              </w:rPr>
              <w:t>粉料槽</w:t>
            </w:r>
          </w:p>
        </w:tc>
        <w:tc>
          <w:tcPr>
            <w:tcW w:w="838"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1m</w:t>
            </w:r>
            <w:r>
              <w:rPr>
                <w:rFonts w:hint="eastAsia" w:cs="Times New Roman"/>
                <w:kern w:val="21"/>
                <w:sz w:val="21"/>
                <w:szCs w:val="21"/>
                <w:vertAlign w:val="superscript"/>
                <w:lang w:val="en-US" w:eastAsia="zh-CN"/>
              </w:rPr>
              <w:t>3</w:t>
            </w:r>
          </w:p>
        </w:tc>
        <w:tc>
          <w:tcPr>
            <w:tcW w:w="601" w:type="pct"/>
            <w:gridSpan w:val="4"/>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3" w:type="pct"/>
            <w:gridSpan w:val="3"/>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1" w:type="pct"/>
            <w:gridSpan w:val="3"/>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2</w:t>
            </w:r>
          </w:p>
        </w:tc>
        <w:tc>
          <w:tcPr>
            <w:tcW w:w="778" w:type="pct"/>
            <w:gridSpan w:val="4"/>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6#丙类厂房</w:t>
            </w:r>
          </w:p>
        </w:tc>
        <w:tc>
          <w:tcPr>
            <w:tcW w:w="861" w:type="pct"/>
            <w:gridSpan w:val="2"/>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23"/>
          </w:tcPr>
          <w:p>
            <w:pPr>
              <w:widowControl/>
              <w:kinsoku w:val="0"/>
              <w:autoSpaceDE w:val="0"/>
              <w:autoSpaceDN w:val="0"/>
              <w:spacing w:line="240" w:lineRule="auto"/>
              <w:ind w:firstLine="0" w:firstLineChars="0"/>
              <w:jc w:val="both"/>
              <w:textAlignment w:val="baseline"/>
              <w:rPr>
                <w:rFonts w:cs="Times New Roman"/>
                <w:kern w:val="21"/>
                <w:sz w:val="21"/>
                <w:szCs w:val="21"/>
              </w:rPr>
            </w:pPr>
            <w:r>
              <w:rPr>
                <w:rFonts w:hint="eastAsia" w:cs="Times New Roman"/>
                <w:b/>
                <w:bCs/>
                <w:kern w:val="21"/>
                <w:sz w:val="21"/>
                <w:szCs w:val="21"/>
                <w:lang w:eastAsia="zh-CN"/>
              </w:rPr>
              <w:t>产品</w:t>
            </w:r>
            <w:r>
              <w:rPr>
                <w:rFonts w:hint="eastAsia" w:cs="Times New Roman"/>
                <w:b/>
                <w:bCs/>
                <w:kern w:val="21"/>
                <w:sz w:val="21"/>
                <w:szCs w:val="21"/>
                <w:lang w:val="en-US" w:eastAsia="zh-CN"/>
              </w:rPr>
              <w:t>-</w:t>
            </w:r>
            <w:r>
              <w:rPr>
                <w:rFonts w:hint="eastAsia" w:cs="Times New Roman"/>
                <w:b/>
                <w:bCs/>
                <w:kern w:val="21"/>
                <w:sz w:val="21"/>
                <w:szCs w:val="21"/>
                <w:lang w:eastAsia="zh-CN"/>
              </w:rPr>
              <w:t>水性树脂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249" w:type="pct"/>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序号</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设备名称</w:t>
            </w:r>
          </w:p>
        </w:tc>
        <w:tc>
          <w:tcPr>
            <w:tcW w:w="838"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设备型号</w:t>
            </w:r>
          </w:p>
        </w:tc>
        <w:tc>
          <w:tcPr>
            <w:tcW w:w="602" w:type="pct"/>
            <w:gridSpan w:val="5"/>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最高温度（℃）</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最大压力（</w:t>
            </w:r>
            <w:r>
              <w:rPr>
                <w:rFonts w:hint="eastAsia" w:cs="Times New Roman"/>
                <w:kern w:val="21"/>
                <w:sz w:val="21"/>
                <w:szCs w:val="21"/>
                <w:lang w:val="en-US" w:eastAsia="zh-CN"/>
              </w:rPr>
              <w:t>MPa</w:t>
            </w:r>
            <w:r>
              <w:rPr>
                <w:rFonts w:hint="eastAsia" w:cs="Times New Roman"/>
                <w:kern w:val="21"/>
                <w:sz w:val="21"/>
                <w:szCs w:val="21"/>
                <w:lang w:eastAsia="zh-CN"/>
              </w:rPr>
              <w:t>）</w:t>
            </w:r>
          </w:p>
        </w:tc>
        <w:tc>
          <w:tcPr>
            <w:tcW w:w="422" w:type="pct"/>
            <w:gridSpan w:val="4"/>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设备数量</w:t>
            </w:r>
          </w:p>
        </w:tc>
        <w:tc>
          <w:tcPr>
            <w:tcW w:w="778" w:type="pct"/>
            <w:gridSpan w:val="3"/>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设备位置</w:t>
            </w:r>
          </w:p>
        </w:tc>
        <w:tc>
          <w:tcPr>
            <w:tcW w:w="858" w:type="pct"/>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249"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1</w:t>
            </w:r>
          </w:p>
        </w:tc>
        <w:tc>
          <w:tcPr>
            <w:tcW w:w="596" w:type="pct"/>
            <w:gridSpan w:val="3"/>
            <w:vAlign w:val="top"/>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eastAsia="zh-CN"/>
              </w:rPr>
            </w:pPr>
            <w:r>
              <w:rPr>
                <w:rFonts w:hint="eastAsia" w:ascii="宋体" w:hAnsi="宋体" w:cs="宋体"/>
                <w:kern w:val="21"/>
                <w:sz w:val="21"/>
                <w:szCs w:val="21"/>
                <w:lang w:eastAsia="zh-CN"/>
              </w:rPr>
              <w:t>乳化釜</w:t>
            </w:r>
          </w:p>
        </w:tc>
        <w:tc>
          <w:tcPr>
            <w:tcW w:w="838" w:type="pct"/>
            <w:gridSpan w:val="3"/>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2000L</w:t>
            </w:r>
          </w:p>
        </w:tc>
        <w:tc>
          <w:tcPr>
            <w:tcW w:w="602" w:type="pct"/>
            <w:gridSpan w:val="5"/>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eastAsia="zh-CN"/>
              </w:rPr>
              <w:t>常压</w:t>
            </w:r>
          </w:p>
        </w:tc>
        <w:tc>
          <w:tcPr>
            <w:tcW w:w="422"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8</w:t>
            </w:r>
          </w:p>
        </w:tc>
        <w:tc>
          <w:tcPr>
            <w:tcW w:w="778" w:type="pct"/>
            <w:gridSpan w:val="3"/>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6#丙类厂房</w:t>
            </w:r>
          </w:p>
        </w:tc>
        <w:tc>
          <w:tcPr>
            <w:tcW w:w="858" w:type="pct"/>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49" w:type="pct"/>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2</w:t>
            </w:r>
          </w:p>
        </w:tc>
        <w:tc>
          <w:tcPr>
            <w:tcW w:w="596" w:type="pct"/>
            <w:gridSpan w:val="3"/>
            <w:vAlign w:val="center"/>
          </w:tcPr>
          <w:p>
            <w:pPr>
              <w:widowControl/>
              <w:kinsoku w:val="0"/>
              <w:autoSpaceDE w:val="0"/>
              <w:autoSpaceDN w:val="0"/>
              <w:spacing w:line="240" w:lineRule="auto"/>
              <w:ind w:firstLine="0" w:firstLineChars="0"/>
              <w:jc w:val="center"/>
              <w:textAlignment w:val="baseline"/>
              <w:rPr>
                <w:rFonts w:hint="eastAsia" w:ascii="宋体" w:hAnsi="宋体" w:eastAsia="宋体" w:cs="宋体"/>
                <w:kern w:val="21"/>
                <w:sz w:val="21"/>
                <w:szCs w:val="21"/>
                <w:lang w:val="en-US" w:eastAsia="zh-CN"/>
              </w:rPr>
            </w:pPr>
            <w:r>
              <w:rPr>
                <w:rFonts w:hint="eastAsia" w:ascii="宋体" w:hAnsi="宋体" w:cs="宋体"/>
                <w:kern w:val="21"/>
                <w:sz w:val="21"/>
                <w:szCs w:val="21"/>
                <w:lang w:val="en-US" w:eastAsia="zh-CN"/>
              </w:rPr>
              <w:t>聚合反应釜</w:t>
            </w:r>
          </w:p>
        </w:tc>
        <w:tc>
          <w:tcPr>
            <w:tcW w:w="838"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TQF-15，直径1400mm，</w:t>
            </w:r>
          </w:p>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2.5t</w:t>
            </w:r>
          </w:p>
        </w:tc>
        <w:tc>
          <w:tcPr>
            <w:tcW w:w="602" w:type="pct"/>
            <w:gridSpan w:val="5"/>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2" w:type="pct"/>
            <w:gridSpan w:val="4"/>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8</w:t>
            </w:r>
          </w:p>
        </w:tc>
        <w:tc>
          <w:tcPr>
            <w:tcW w:w="778" w:type="pct"/>
            <w:gridSpan w:val="3"/>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lang w:val="en-US" w:eastAsia="zh-CN"/>
              </w:rPr>
              <w:t>6#丙类厂房</w:t>
            </w:r>
          </w:p>
        </w:tc>
        <w:tc>
          <w:tcPr>
            <w:tcW w:w="858" w:type="pct"/>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vAlign w:val="top"/>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3</w:t>
            </w:r>
          </w:p>
        </w:tc>
        <w:tc>
          <w:tcPr>
            <w:tcW w:w="596"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kern w:val="21"/>
                <w:sz w:val="21"/>
                <w:szCs w:val="21"/>
                <w:lang w:eastAsia="zh-CN"/>
              </w:rPr>
              <w:t>振动筛分过滤机</w:t>
            </w:r>
          </w:p>
        </w:tc>
        <w:tc>
          <w:tcPr>
            <w:tcW w:w="838"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default" w:eastAsia="宋体" w:cs="Times New Roman"/>
                <w:kern w:val="21"/>
                <w:sz w:val="21"/>
                <w:szCs w:val="21"/>
                <w:lang w:val="en-US" w:eastAsia="zh-CN"/>
              </w:rPr>
              <w:t>TSQ-400</w:t>
            </w:r>
          </w:p>
        </w:tc>
        <w:tc>
          <w:tcPr>
            <w:tcW w:w="602" w:type="pct"/>
            <w:gridSpan w:val="5"/>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rPr>
            </w:pPr>
            <w:r>
              <w:rPr>
                <w:rFonts w:hint="eastAsia" w:cs="Times New Roman"/>
                <w:kern w:val="21"/>
                <w:sz w:val="21"/>
                <w:szCs w:val="21"/>
                <w:lang w:val="en-US" w:eastAsia="zh-CN"/>
              </w:rPr>
              <w:t>常温</w:t>
            </w:r>
          </w:p>
        </w:tc>
        <w:tc>
          <w:tcPr>
            <w:tcW w:w="654" w:type="pct"/>
            <w:gridSpan w:val="3"/>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eastAsia="zh-CN"/>
              </w:rPr>
            </w:pPr>
            <w:r>
              <w:rPr>
                <w:rFonts w:hint="eastAsia" w:cs="Times New Roman"/>
                <w:kern w:val="21"/>
                <w:sz w:val="21"/>
                <w:szCs w:val="21"/>
                <w:lang w:eastAsia="zh-CN"/>
              </w:rPr>
              <w:t>常压</w:t>
            </w:r>
          </w:p>
        </w:tc>
        <w:tc>
          <w:tcPr>
            <w:tcW w:w="422" w:type="pct"/>
            <w:gridSpan w:val="4"/>
            <w:vAlign w:val="top"/>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8</w:t>
            </w:r>
          </w:p>
        </w:tc>
        <w:tc>
          <w:tcPr>
            <w:tcW w:w="778" w:type="pct"/>
            <w:gridSpan w:val="3"/>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lang w:val="en-US" w:eastAsia="zh-CN"/>
              </w:rPr>
              <w:t>6#丙类厂房</w:t>
            </w:r>
          </w:p>
        </w:tc>
        <w:tc>
          <w:tcPr>
            <w:tcW w:w="858" w:type="pct"/>
          </w:tcPr>
          <w:p>
            <w:pPr>
              <w:widowControl/>
              <w:kinsoku w:val="0"/>
              <w:autoSpaceDE w:val="0"/>
              <w:autoSpaceDN w:val="0"/>
              <w:spacing w:line="240" w:lineRule="auto"/>
              <w:ind w:firstLine="0" w:firstLineChars="0"/>
              <w:jc w:val="center"/>
              <w:textAlignment w:val="baseline"/>
              <w:rPr>
                <w:rFonts w:cs="Times New Roman"/>
                <w:kern w:val="21"/>
                <w:sz w:val="21"/>
                <w:szCs w:val="21"/>
              </w:rPr>
            </w:pP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vAlign w:val="top"/>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lang w:val="en-US" w:eastAsia="zh-CN"/>
              </w:rPr>
            </w:pPr>
            <w:r>
              <w:rPr>
                <w:rFonts w:hint="eastAsia" w:cs="Times New Roman"/>
                <w:kern w:val="21"/>
                <w:sz w:val="21"/>
                <w:szCs w:val="21"/>
                <w:lang w:val="en-US" w:eastAsia="zh-CN"/>
              </w:rPr>
              <w:t>4</w:t>
            </w:r>
          </w:p>
        </w:tc>
        <w:tc>
          <w:tcPr>
            <w:tcW w:w="596" w:type="pct"/>
            <w:gridSpan w:val="3"/>
          </w:tcPr>
          <w:p>
            <w:pPr>
              <w:widowControl/>
              <w:kinsoku w:val="0"/>
              <w:autoSpaceDE w:val="0"/>
              <w:autoSpaceDN w:val="0"/>
              <w:spacing w:line="240" w:lineRule="auto"/>
              <w:ind w:firstLine="0" w:firstLineChars="0"/>
              <w:jc w:val="center"/>
              <w:textAlignment w:val="baseline"/>
              <w:rPr>
                <w:rFonts w:hint="eastAsia"/>
                <w:kern w:val="21"/>
                <w:sz w:val="21"/>
                <w:szCs w:val="21"/>
                <w:lang w:eastAsia="zh-CN"/>
              </w:rPr>
            </w:pPr>
            <w:r>
              <w:rPr>
                <w:rFonts w:hint="eastAsia"/>
                <w:kern w:val="21"/>
                <w:sz w:val="21"/>
                <w:szCs w:val="21"/>
                <w:lang w:eastAsia="zh-CN"/>
              </w:rPr>
              <w:t>粉料槽</w:t>
            </w:r>
          </w:p>
        </w:tc>
        <w:tc>
          <w:tcPr>
            <w:tcW w:w="838" w:type="pct"/>
            <w:gridSpan w:val="3"/>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lang w:val="en-US" w:eastAsia="zh-CN"/>
              </w:rPr>
            </w:pPr>
            <w:r>
              <w:rPr>
                <w:rFonts w:hint="eastAsia" w:cs="Times New Roman"/>
                <w:kern w:val="21"/>
                <w:sz w:val="21"/>
                <w:szCs w:val="21"/>
                <w:lang w:val="en-US" w:eastAsia="zh-CN"/>
              </w:rPr>
              <w:t>1m</w:t>
            </w:r>
            <w:r>
              <w:rPr>
                <w:rFonts w:hint="eastAsia" w:cs="Times New Roman"/>
                <w:kern w:val="21"/>
                <w:sz w:val="21"/>
                <w:szCs w:val="21"/>
                <w:vertAlign w:val="superscript"/>
                <w:lang w:val="en-US" w:eastAsia="zh-CN"/>
              </w:rPr>
              <w:t>3</w:t>
            </w:r>
          </w:p>
        </w:tc>
        <w:tc>
          <w:tcPr>
            <w:tcW w:w="602" w:type="pct"/>
            <w:gridSpan w:val="5"/>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2" w:type="pct"/>
            <w:gridSpan w:val="4"/>
            <w:vAlign w:val="top"/>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8</w:t>
            </w:r>
          </w:p>
        </w:tc>
        <w:tc>
          <w:tcPr>
            <w:tcW w:w="778" w:type="pct"/>
            <w:gridSpan w:val="3"/>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6#丙类厂房</w:t>
            </w:r>
          </w:p>
        </w:tc>
        <w:tc>
          <w:tcPr>
            <w:tcW w:w="858" w:type="pct"/>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 w:type="pct"/>
            <w:vAlign w:val="top"/>
          </w:tcPr>
          <w:p>
            <w:pPr>
              <w:widowControl/>
              <w:kinsoku w:val="0"/>
              <w:autoSpaceDE w:val="0"/>
              <w:autoSpaceDN w:val="0"/>
              <w:spacing w:line="240" w:lineRule="auto"/>
              <w:ind w:firstLine="0" w:firstLineChars="0"/>
              <w:jc w:val="center"/>
              <w:textAlignment w:val="baseline"/>
              <w:rPr>
                <w:rFonts w:hint="default" w:cs="Times New Roman"/>
                <w:kern w:val="21"/>
                <w:sz w:val="21"/>
                <w:szCs w:val="21"/>
                <w:lang w:val="en-US" w:eastAsia="zh-CN"/>
              </w:rPr>
            </w:pPr>
            <w:r>
              <w:rPr>
                <w:rFonts w:hint="eastAsia" w:cs="Times New Roman"/>
                <w:kern w:val="21"/>
                <w:sz w:val="21"/>
                <w:szCs w:val="21"/>
                <w:lang w:val="en-US" w:eastAsia="zh-CN"/>
              </w:rPr>
              <w:t>5</w:t>
            </w:r>
          </w:p>
        </w:tc>
        <w:tc>
          <w:tcPr>
            <w:tcW w:w="596" w:type="pct"/>
            <w:gridSpan w:val="3"/>
          </w:tcPr>
          <w:p>
            <w:pPr>
              <w:widowControl/>
              <w:kinsoku w:val="0"/>
              <w:autoSpaceDE w:val="0"/>
              <w:autoSpaceDN w:val="0"/>
              <w:spacing w:line="240" w:lineRule="auto"/>
              <w:ind w:firstLine="0" w:firstLineChars="0"/>
              <w:jc w:val="center"/>
              <w:textAlignment w:val="baseline"/>
              <w:rPr>
                <w:rFonts w:hint="eastAsia"/>
                <w:kern w:val="21"/>
                <w:sz w:val="21"/>
                <w:szCs w:val="21"/>
                <w:lang w:eastAsia="zh-CN"/>
              </w:rPr>
            </w:pPr>
            <w:r>
              <w:rPr>
                <w:rFonts w:hint="eastAsia"/>
                <w:kern w:val="21"/>
                <w:sz w:val="21"/>
                <w:szCs w:val="21"/>
                <w:lang w:eastAsia="zh-CN"/>
              </w:rPr>
              <w:t>全自动包装机</w:t>
            </w:r>
          </w:p>
        </w:tc>
        <w:tc>
          <w:tcPr>
            <w:tcW w:w="838" w:type="pct"/>
            <w:gridSpan w:val="3"/>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6min/桶</w:t>
            </w:r>
          </w:p>
        </w:tc>
        <w:tc>
          <w:tcPr>
            <w:tcW w:w="602" w:type="pct"/>
            <w:gridSpan w:val="5"/>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常温</w:t>
            </w:r>
          </w:p>
        </w:tc>
        <w:tc>
          <w:tcPr>
            <w:tcW w:w="654"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eastAsia="zh-CN"/>
              </w:rPr>
            </w:pPr>
            <w:r>
              <w:rPr>
                <w:rFonts w:hint="eastAsia" w:cs="Times New Roman"/>
                <w:kern w:val="21"/>
                <w:sz w:val="21"/>
                <w:szCs w:val="21"/>
                <w:lang w:eastAsia="zh-CN"/>
              </w:rPr>
              <w:t>常压</w:t>
            </w:r>
          </w:p>
        </w:tc>
        <w:tc>
          <w:tcPr>
            <w:tcW w:w="422" w:type="pct"/>
            <w:gridSpan w:val="4"/>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2</w:t>
            </w:r>
          </w:p>
        </w:tc>
        <w:tc>
          <w:tcPr>
            <w:tcW w:w="778" w:type="pct"/>
            <w:gridSpan w:val="3"/>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lang w:val="en-US" w:eastAsia="zh-CN"/>
              </w:rPr>
            </w:pPr>
            <w:r>
              <w:rPr>
                <w:rFonts w:hint="eastAsia" w:cs="Times New Roman"/>
                <w:kern w:val="21"/>
                <w:sz w:val="21"/>
                <w:szCs w:val="21"/>
                <w:lang w:val="en-US" w:eastAsia="zh-CN"/>
              </w:rPr>
              <w:t>6#丙类厂房</w:t>
            </w:r>
          </w:p>
        </w:tc>
        <w:tc>
          <w:tcPr>
            <w:tcW w:w="858" w:type="pct"/>
            <w:vAlign w:val="top"/>
          </w:tcPr>
          <w:p>
            <w:pPr>
              <w:widowControl/>
              <w:kinsoku w:val="0"/>
              <w:autoSpaceDE w:val="0"/>
              <w:autoSpaceDN w:val="0"/>
              <w:spacing w:line="240" w:lineRule="auto"/>
              <w:ind w:firstLine="0" w:firstLineChars="0"/>
              <w:jc w:val="center"/>
              <w:textAlignment w:val="baseline"/>
              <w:rPr>
                <w:rFonts w:hint="eastAsia" w:cs="Times New Roman"/>
                <w:kern w:val="21"/>
                <w:sz w:val="21"/>
                <w:szCs w:val="21"/>
              </w:rPr>
            </w:pPr>
          </w:p>
        </w:tc>
      </w:tr>
    </w:tbl>
    <w:p>
      <w:pPr>
        <w:pStyle w:val="25"/>
        <w:widowControl/>
        <w:spacing w:beforeAutospacing="0" w:afterAutospacing="0"/>
        <w:ind w:firstLine="0" w:firstLineChars="0"/>
        <w:jc w:val="center"/>
        <w:rPr>
          <w:rFonts w:hint="eastAsia"/>
          <w:b/>
          <w:bCs/>
        </w:rPr>
      </w:pPr>
    </w:p>
    <w:p>
      <w:pPr>
        <w:pStyle w:val="7"/>
        <w:ind w:firstLine="562"/>
      </w:pPr>
      <w:r>
        <w:t>3.</w:t>
      </w:r>
      <w:r>
        <w:rPr>
          <w:rFonts w:hint="eastAsia"/>
        </w:rPr>
        <w:t>2.4</w:t>
      </w:r>
      <w:r>
        <w:t xml:space="preserve"> 主要原辅材料及理化特性</w:t>
      </w:r>
    </w:p>
    <w:p>
      <w:pPr>
        <w:pStyle w:val="25"/>
        <w:widowControl/>
        <w:spacing w:beforeAutospacing="0" w:afterAutospacing="0"/>
        <w:ind w:firstLine="480"/>
      </w:pPr>
      <w:r>
        <w:t>1、主要原辅材料</w:t>
      </w:r>
    </w:p>
    <w:p>
      <w:pPr>
        <w:pStyle w:val="25"/>
        <w:widowControl/>
        <w:spacing w:beforeAutospacing="0" w:afterAutospacing="0"/>
        <w:ind w:firstLine="480"/>
      </w:pPr>
      <w:r>
        <w:t>本项目主要原辅材料见下表。</w:t>
      </w:r>
    </w:p>
    <w:p>
      <w:pPr>
        <w:pStyle w:val="25"/>
        <w:widowControl/>
        <w:spacing w:beforeAutospacing="0" w:afterAutospacing="0"/>
        <w:ind w:firstLine="0" w:firstLineChars="0"/>
        <w:jc w:val="center"/>
        <w:rPr>
          <w:b/>
          <w:bCs/>
        </w:rPr>
      </w:pPr>
      <w:r>
        <w:rPr>
          <w:rFonts w:hint="eastAsia"/>
          <w:b/>
          <w:bCs/>
        </w:rPr>
        <w:t>表3.2-3  原辅材料消耗表</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1163"/>
        <w:gridCol w:w="1550"/>
        <w:gridCol w:w="1400"/>
        <w:gridCol w:w="1863"/>
        <w:gridCol w:w="1368"/>
        <w:gridCol w:w="902"/>
        <w:gridCol w:w="1357"/>
        <w:gridCol w:w="1064"/>
        <w:gridCol w:w="1112"/>
        <w:gridCol w:w="800"/>
        <w:gridCol w:w="9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序号</w:t>
            </w:r>
          </w:p>
        </w:tc>
        <w:tc>
          <w:tcPr>
            <w:tcW w:w="409"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产品名称</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原料名称</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总用量（</w:t>
            </w:r>
            <w:r>
              <w:rPr>
                <w:rFonts w:hint="default" w:ascii="Times New Roman" w:hAnsi="Times New Roman" w:cs="Times New Roman"/>
                <w:b w:val="0"/>
                <w:bCs w:val="0"/>
                <w:kern w:val="21"/>
                <w:sz w:val="21"/>
                <w:szCs w:val="21"/>
                <w:u w:val="none"/>
                <w:lang w:val="en-US" w:eastAsia="zh-CN"/>
              </w:rPr>
              <w:t>t/a</w:t>
            </w:r>
            <w:r>
              <w:rPr>
                <w:rFonts w:hint="default" w:ascii="Times New Roman" w:hAnsi="Times New Roman" w:cs="Times New Roman"/>
                <w:b w:val="0"/>
                <w:bCs w:val="0"/>
                <w:kern w:val="21"/>
                <w:sz w:val="21"/>
                <w:szCs w:val="21"/>
                <w:u w:val="none"/>
                <w:lang w:eastAsia="zh-CN"/>
              </w:rPr>
              <w:t>）</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最大储存量（t/a）</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储存位置</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状态</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储存方式</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运输方式</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投料方式</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来源</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1</w:t>
            </w:r>
          </w:p>
        </w:tc>
        <w:tc>
          <w:tcPr>
            <w:tcW w:w="409" w:type="pct"/>
            <w:vMerge w:val="restar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rPr>
              <w:t>EPDM</w:t>
            </w:r>
            <w:r>
              <w:rPr>
                <w:rFonts w:hint="default" w:ascii="Times New Roman" w:hAnsi="Times New Roman" w:cs="Times New Roman"/>
                <w:kern w:val="21"/>
                <w:sz w:val="21"/>
                <w:szCs w:val="21"/>
                <w:u w:val="none"/>
                <w:lang w:eastAsia="zh-CN"/>
              </w:rPr>
              <w:t>颗粒</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钙粉</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2916.67</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eastAsia" w:cs="Times New Roman"/>
                <w:kern w:val="21"/>
                <w:sz w:val="21"/>
                <w:szCs w:val="21"/>
                <w:u w:val="none"/>
                <w:lang w:val="en-US" w:eastAsia="zh-CN"/>
              </w:rPr>
              <w:t>50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粉末</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袋装、50kg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机械投料</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2</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白矿油</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388.89</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3#丙类厂房</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储罐、</w:t>
            </w:r>
            <w:r>
              <w:rPr>
                <w:rFonts w:hint="default" w:ascii="Times New Roman" w:hAnsi="Times New Roman" w:cs="Times New Roman"/>
                <w:kern w:val="21"/>
                <w:sz w:val="21"/>
                <w:szCs w:val="21"/>
                <w:u w:val="none"/>
              </w:rPr>
              <w:t>50T</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3</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三元乙丙橡胶</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155.55</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固体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机械投料</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4</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硫磺</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7.58</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固体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手动</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M促进剂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rPr>
            </w:pPr>
            <w:r>
              <w:rPr>
                <w:rFonts w:hint="default" w:ascii="Times New Roman" w:hAnsi="Times New Roman" w:cs="Times New Roman"/>
                <w:kern w:val="21"/>
                <w:sz w:val="21"/>
                <w:szCs w:val="21"/>
                <w:u w:val="none"/>
                <w:lang w:val="en-US" w:eastAsia="zh-CN"/>
              </w:rPr>
              <w:t>4.566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0.5</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sz w:val="21"/>
                <w:szCs w:val="21"/>
                <w:u w:val="none"/>
                <w:vertAlign w:val="baseline"/>
              </w:rPr>
              <w:t>粒状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手动</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6</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双T促进剂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4.67</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0.5</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sz w:val="21"/>
                <w:szCs w:val="21"/>
                <w:u w:val="none"/>
                <w:vertAlign w:val="baseline"/>
              </w:rPr>
              <w:t>粒状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手动</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7</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val="en-US" w:eastAsia="zh-CN"/>
              </w:rPr>
              <w:t>色粉</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val="en-US" w:eastAsia="zh-CN"/>
              </w:rPr>
              <w:t>22.63</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粉末</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机械投料</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序号</w:t>
            </w:r>
          </w:p>
        </w:tc>
        <w:tc>
          <w:tcPr>
            <w:tcW w:w="409"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产品名称</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原料名称</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总用量（</w:t>
            </w:r>
            <w:r>
              <w:rPr>
                <w:rFonts w:hint="default" w:ascii="Times New Roman" w:hAnsi="Times New Roman" w:cs="Times New Roman"/>
                <w:b w:val="0"/>
                <w:bCs w:val="0"/>
                <w:kern w:val="21"/>
                <w:sz w:val="21"/>
                <w:szCs w:val="21"/>
                <w:u w:val="none"/>
                <w:lang w:val="en-US" w:eastAsia="zh-CN"/>
              </w:rPr>
              <w:t>t/a</w:t>
            </w:r>
            <w:r>
              <w:rPr>
                <w:rFonts w:hint="default" w:ascii="Times New Roman" w:hAnsi="Times New Roman" w:cs="Times New Roman"/>
                <w:b w:val="0"/>
                <w:bCs w:val="0"/>
                <w:kern w:val="21"/>
                <w:sz w:val="21"/>
                <w:szCs w:val="21"/>
                <w:u w:val="none"/>
                <w:lang w:eastAsia="zh-CN"/>
              </w:rPr>
              <w:t>）</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最大储存量（t/a）</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储存位置</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状态</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储存方式</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运输方式</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投料方式</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来源</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1</w:t>
            </w:r>
          </w:p>
        </w:tc>
        <w:tc>
          <w:tcPr>
            <w:tcW w:w="409" w:type="pct"/>
            <w:vMerge w:val="restar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硅</w:t>
            </w:r>
            <w:r>
              <w:rPr>
                <w:rFonts w:hint="default" w:ascii="Times New Roman" w:hAnsi="Times New Roman" w:cs="Times New Roman"/>
                <w:kern w:val="21"/>
                <w:sz w:val="21"/>
                <w:szCs w:val="21"/>
                <w:u w:val="none"/>
                <w:lang w:val="en-US" w:eastAsia="zh-CN"/>
              </w:rPr>
              <w:t>PU</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聚醚</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1</w:t>
            </w:r>
            <w:r>
              <w:rPr>
                <w:rFonts w:hint="default" w:ascii="Times New Roman" w:hAnsi="Times New Roman" w:cs="Times New Roman"/>
                <w:kern w:val="21"/>
                <w:sz w:val="21"/>
                <w:szCs w:val="21"/>
                <w:u w:val="none"/>
                <w:lang w:val="en-US" w:eastAsia="zh-CN"/>
              </w:rPr>
              <w:t>6</w:t>
            </w:r>
            <w:r>
              <w:rPr>
                <w:rFonts w:hint="default" w:ascii="Times New Roman" w:hAnsi="Times New Roman" w:cs="Times New Roman"/>
                <w:kern w:val="21"/>
                <w:sz w:val="21"/>
                <w:szCs w:val="21"/>
                <w:u w:val="none"/>
              </w:rPr>
              <w:t>34.45</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2</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滑石粉</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32</w:t>
            </w:r>
            <w:r>
              <w:rPr>
                <w:rFonts w:hint="default" w:ascii="Times New Roman" w:hAnsi="Times New Roman" w:cs="Times New Roman"/>
                <w:kern w:val="21"/>
                <w:sz w:val="21"/>
                <w:szCs w:val="21"/>
                <w:u w:val="none"/>
              </w:rPr>
              <w:t>54.31</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5#丙类厂房</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eastAsia="宋体" w:cs="Times New Roman"/>
                <w:kern w:val="21"/>
                <w:sz w:val="21"/>
                <w:szCs w:val="21"/>
                <w:u w:val="none"/>
                <w:lang w:eastAsia="zh-CN"/>
              </w:rPr>
              <w:t>粉状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袋装、50kg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机械投料</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800目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3</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高岭土</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18</w:t>
            </w:r>
            <w:r>
              <w:rPr>
                <w:rFonts w:hint="default" w:ascii="Times New Roman" w:hAnsi="Times New Roman" w:cs="Times New Roman"/>
                <w:kern w:val="21"/>
                <w:sz w:val="21"/>
                <w:szCs w:val="21"/>
                <w:u w:val="none"/>
              </w:rPr>
              <w:t>64.59</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5#丙类厂房</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eastAsia="宋体" w:cs="Times New Roman"/>
                <w:kern w:val="21"/>
                <w:sz w:val="21"/>
                <w:szCs w:val="21"/>
                <w:u w:val="none"/>
                <w:lang w:eastAsia="zh-CN"/>
              </w:rPr>
              <w:t>粉状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机械投料</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1250目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4</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水性</w:t>
            </w:r>
            <w:r>
              <w:rPr>
                <w:rFonts w:hint="default" w:ascii="Times New Roman" w:hAnsi="Times New Roman" w:cs="Times New Roman"/>
                <w:kern w:val="21"/>
                <w:sz w:val="21"/>
                <w:szCs w:val="21"/>
                <w:u w:val="none"/>
              </w:rPr>
              <w:t>色浆</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rPr>
            </w:pPr>
            <w:r>
              <w:rPr>
                <w:rFonts w:hint="default" w:ascii="Times New Roman" w:hAnsi="Times New Roman" w:cs="Times New Roman"/>
                <w:kern w:val="21"/>
                <w:sz w:val="21"/>
                <w:szCs w:val="21"/>
                <w:u w:val="none"/>
                <w:lang w:val="en-US" w:eastAsia="zh-CN"/>
              </w:rPr>
              <w:t>74.64</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手动</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5</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DMC</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150</w:t>
            </w:r>
            <w:r>
              <w:rPr>
                <w:rFonts w:hint="default" w:ascii="Times New Roman" w:hAnsi="Times New Roman" w:cs="Times New Roman"/>
                <w:kern w:val="21"/>
                <w:sz w:val="21"/>
                <w:szCs w:val="21"/>
                <w:u w:val="none"/>
                <w:lang w:val="en-US"/>
              </w:rPr>
              <w:t>.52</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手动</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6</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MDI50</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rPr>
            </w:pPr>
            <w:r>
              <w:rPr>
                <w:rFonts w:hint="default" w:ascii="Times New Roman" w:hAnsi="Times New Roman" w:cs="Times New Roman"/>
                <w:kern w:val="21"/>
                <w:sz w:val="21"/>
                <w:szCs w:val="21"/>
                <w:u w:val="none"/>
              </w:rPr>
              <w:t>1034.80</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手动</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序号</w:t>
            </w:r>
          </w:p>
        </w:tc>
        <w:tc>
          <w:tcPr>
            <w:tcW w:w="409"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产品名称</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原料名称</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总用量（</w:t>
            </w:r>
            <w:r>
              <w:rPr>
                <w:rFonts w:hint="default" w:ascii="Times New Roman" w:hAnsi="Times New Roman" w:cs="Times New Roman"/>
                <w:b w:val="0"/>
                <w:bCs w:val="0"/>
                <w:kern w:val="21"/>
                <w:sz w:val="21"/>
                <w:szCs w:val="21"/>
                <w:u w:val="none"/>
                <w:lang w:val="en-US" w:eastAsia="zh-CN"/>
              </w:rPr>
              <w:t>t/a</w:t>
            </w:r>
            <w:r>
              <w:rPr>
                <w:rFonts w:hint="default" w:ascii="Times New Roman" w:hAnsi="Times New Roman" w:cs="Times New Roman"/>
                <w:b w:val="0"/>
                <w:bCs w:val="0"/>
                <w:kern w:val="21"/>
                <w:sz w:val="21"/>
                <w:szCs w:val="21"/>
                <w:u w:val="none"/>
                <w:lang w:eastAsia="zh-CN"/>
              </w:rPr>
              <w:t>）</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最大储存量（t/a）</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储存位置</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状态</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储存方式</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运输方式</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投料方式</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来源</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1</w:t>
            </w:r>
          </w:p>
        </w:tc>
        <w:tc>
          <w:tcPr>
            <w:tcW w:w="409" w:type="pct"/>
            <w:vMerge w:val="restar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人造草坪</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聚乙烯</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1000</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颗粒</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手动</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2</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拉丝助剂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rPr>
            </w:pPr>
            <w:r>
              <w:rPr>
                <w:rFonts w:hint="default" w:ascii="Times New Roman" w:hAnsi="Times New Roman" w:cs="Times New Roman"/>
                <w:kern w:val="21"/>
                <w:sz w:val="21"/>
                <w:szCs w:val="21"/>
                <w:u w:val="none"/>
                <w:lang w:val="en-US" w:eastAsia="zh-CN"/>
              </w:rPr>
              <w:t>25.26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颗粒</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手动</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3</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丁苯乳胶</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w:t>
            </w:r>
            <w:r>
              <w:rPr>
                <w:rFonts w:hint="default" w:ascii="Times New Roman" w:hAnsi="Times New Roman" w:cs="Times New Roman"/>
                <w:kern w:val="21"/>
                <w:sz w:val="21"/>
                <w:szCs w:val="21"/>
                <w:u w:val="none"/>
              </w:rPr>
              <w:t>64.59</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4</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钙粉</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rPr>
            </w:pPr>
            <w:r>
              <w:rPr>
                <w:rFonts w:hint="default" w:ascii="Times New Roman" w:hAnsi="Times New Roman" w:cs="Times New Roman"/>
                <w:kern w:val="21"/>
                <w:sz w:val="21"/>
                <w:szCs w:val="21"/>
                <w:u w:val="none"/>
                <w:lang w:val="en-US" w:eastAsia="zh-CN"/>
              </w:rPr>
              <w:t>774.64</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1#、2#丙类厂房</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粉状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袋装、50kg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机械加料</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2000目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5</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PP底布</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rPr>
            </w:pPr>
            <w:r>
              <w:rPr>
                <w:rFonts w:hint="default" w:ascii="Times New Roman" w:hAnsi="Times New Roman" w:cs="Times New Roman"/>
                <w:kern w:val="21"/>
                <w:sz w:val="21"/>
                <w:szCs w:val="21"/>
                <w:u w:val="none"/>
                <w:lang w:val="en-US" w:eastAsia="zh-CN"/>
              </w:rPr>
              <w:t>155万m</w:t>
            </w:r>
            <w:r>
              <w:rPr>
                <w:rFonts w:hint="default" w:ascii="Times New Roman" w:hAnsi="Times New Roman" w:cs="Times New Roman"/>
                <w:kern w:val="21"/>
                <w:sz w:val="21"/>
                <w:szCs w:val="21"/>
                <w:u w:val="none"/>
                <w:vertAlign w:val="superscript"/>
                <w:lang w:val="en-US" w:eastAsia="zh-CN"/>
              </w:rPr>
              <w:t>2</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固体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卷筒、200kg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手动</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序号</w:t>
            </w:r>
          </w:p>
        </w:tc>
        <w:tc>
          <w:tcPr>
            <w:tcW w:w="409"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产品名称</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原料名称</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总用量（</w:t>
            </w:r>
            <w:r>
              <w:rPr>
                <w:rFonts w:hint="default" w:ascii="Times New Roman" w:hAnsi="Times New Roman" w:cs="Times New Roman"/>
                <w:b w:val="0"/>
                <w:bCs w:val="0"/>
                <w:kern w:val="21"/>
                <w:sz w:val="21"/>
                <w:szCs w:val="21"/>
                <w:u w:val="none"/>
                <w:lang w:val="en-US" w:eastAsia="zh-CN"/>
              </w:rPr>
              <w:t>t/a</w:t>
            </w:r>
            <w:r>
              <w:rPr>
                <w:rFonts w:hint="default" w:ascii="Times New Roman" w:hAnsi="Times New Roman" w:cs="Times New Roman"/>
                <w:b w:val="0"/>
                <w:bCs w:val="0"/>
                <w:kern w:val="21"/>
                <w:sz w:val="21"/>
                <w:szCs w:val="21"/>
                <w:u w:val="none"/>
                <w:lang w:eastAsia="zh-CN"/>
              </w:rPr>
              <w:t>）</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最大储存量（t/a）</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储存位置</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状态</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储存方式</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运输方式</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投料方式</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来源</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1</w:t>
            </w:r>
          </w:p>
        </w:tc>
        <w:tc>
          <w:tcPr>
            <w:tcW w:w="409" w:type="pct"/>
            <w:vMerge w:val="restar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单组份胶水</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聚醚多元醇</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3647.76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eastAsia"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2</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环保增塑剂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102.96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3</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氯化石蜡</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22</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0.5</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eastAsia="宋体" w:cs="Times New Roman"/>
                <w:kern w:val="21"/>
                <w:sz w:val="21"/>
                <w:szCs w:val="21"/>
                <w:u w:val="none"/>
                <w:lang w:eastAsia="zh-CN"/>
              </w:rPr>
              <w:t>油状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4</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甲苯二异氰酸酯</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82.58</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eastAsia"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5</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二苯基甲烷二异氰酸酯</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216.13</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eastAsia"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6</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有机锡催化剂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1.2</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0.1</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序号</w:t>
            </w:r>
          </w:p>
        </w:tc>
        <w:tc>
          <w:tcPr>
            <w:tcW w:w="409"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产品名称</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原料名称</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总用量（</w:t>
            </w:r>
            <w:r>
              <w:rPr>
                <w:rFonts w:hint="default" w:ascii="Times New Roman" w:hAnsi="Times New Roman" w:cs="Times New Roman"/>
                <w:b w:val="0"/>
                <w:bCs w:val="0"/>
                <w:kern w:val="21"/>
                <w:sz w:val="21"/>
                <w:szCs w:val="21"/>
                <w:u w:val="none"/>
                <w:lang w:val="en-US" w:eastAsia="zh-CN"/>
              </w:rPr>
              <w:t>t/a</w:t>
            </w:r>
            <w:r>
              <w:rPr>
                <w:rFonts w:hint="default" w:ascii="Times New Roman" w:hAnsi="Times New Roman" w:cs="Times New Roman"/>
                <w:b w:val="0"/>
                <w:bCs w:val="0"/>
                <w:kern w:val="21"/>
                <w:sz w:val="21"/>
                <w:szCs w:val="21"/>
                <w:u w:val="none"/>
                <w:lang w:eastAsia="zh-CN"/>
              </w:rPr>
              <w:t>）</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最大储存量（t/a）</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储存位置</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状态</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储存方式</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运输方式</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投料方式</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来源</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1</w:t>
            </w:r>
          </w:p>
        </w:tc>
        <w:tc>
          <w:tcPr>
            <w:tcW w:w="409" w:type="pct"/>
            <w:vMerge w:val="restar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双组份胶水-A</w:t>
            </w:r>
            <w:r>
              <w:rPr>
                <w:rFonts w:hint="eastAsia" w:cs="Times New Roman"/>
                <w:kern w:val="21"/>
                <w:sz w:val="21"/>
                <w:szCs w:val="21"/>
                <w:u w:val="none"/>
                <w:lang w:val="en-US" w:eastAsia="zh-CN"/>
              </w:rPr>
              <w:t>组分</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聚醚多元醇</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3647.76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2</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环保增塑剂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102.96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3</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氯化石蜡</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22</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0.5</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eastAsia="宋体" w:cs="Times New Roman"/>
                <w:kern w:val="21"/>
                <w:sz w:val="21"/>
                <w:szCs w:val="21"/>
                <w:u w:val="none"/>
                <w:lang w:eastAsia="zh-CN"/>
              </w:rPr>
              <w:t>油状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4</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甲苯二异氰酸酯</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82.58</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eastAsia"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5</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二苯基甲烷二异氰酸酯</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216.13</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eastAsia"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6</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有机锡催化剂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1.2</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0.1</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7</w:t>
            </w:r>
          </w:p>
        </w:tc>
        <w:tc>
          <w:tcPr>
            <w:tcW w:w="409" w:type="pct"/>
            <w:vMerge w:val="restar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双组份胶水-B</w:t>
            </w:r>
            <w:r>
              <w:rPr>
                <w:rFonts w:hint="eastAsia" w:cs="Times New Roman"/>
                <w:kern w:val="21"/>
                <w:sz w:val="21"/>
                <w:szCs w:val="21"/>
                <w:u w:val="none"/>
                <w:lang w:val="en-US" w:eastAsia="zh-CN"/>
              </w:rPr>
              <w:t>组分</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聚醚多元醇</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2747.76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8</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环保增塑剂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86.64</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keepNext w:val="0"/>
              <w:keepLines w:val="0"/>
              <w:pageBreakBefore w:val="0"/>
              <w:widowControl/>
              <w:kinsoku w:val="0"/>
              <w:wordWrap/>
              <w:overflowPunct/>
              <w:topLinePunct w:val="0"/>
              <w:autoSpaceDE w:val="0"/>
              <w:autoSpaceDN w:val="0"/>
              <w:bidi w:val="0"/>
              <w:adjustRightInd/>
              <w:snapToGrid/>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Merge w:val="restar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9</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滑石粉</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1047.52</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eastAsia="宋体" w:cs="Times New Roman"/>
                <w:kern w:val="21"/>
                <w:sz w:val="21"/>
                <w:szCs w:val="21"/>
                <w:u w:val="none"/>
                <w:lang w:eastAsia="zh-CN"/>
              </w:rPr>
              <w:t>粉状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袋装、50kg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机械上料</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keepNext w:val="0"/>
              <w:keepLines w:val="0"/>
              <w:pageBreakBefore w:val="0"/>
              <w:widowControl/>
              <w:kinsoku w:val="0"/>
              <w:wordWrap/>
              <w:overflowPunct/>
              <w:topLinePunct w:val="0"/>
              <w:autoSpaceDE w:val="0"/>
              <w:autoSpaceDN w:val="0"/>
              <w:bidi w:val="0"/>
              <w:adjustRightInd/>
              <w:snapToGrid/>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碳酸</w:t>
            </w:r>
            <w:r>
              <w:rPr>
                <w:rFonts w:hint="eastAsia" w:cs="Times New Roman"/>
                <w:kern w:val="21"/>
                <w:sz w:val="21"/>
                <w:szCs w:val="21"/>
                <w:u w:val="none"/>
                <w:lang w:eastAsia="zh-CN"/>
              </w:rPr>
              <w:t>二甲酯</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25.22</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0.5</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keepNext w:val="0"/>
              <w:keepLines w:val="0"/>
              <w:pageBreakBefore w:val="0"/>
              <w:widowControl/>
              <w:kinsoku w:val="0"/>
              <w:wordWrap/>
              <w:overflowPunct/>
              <w:topLinePunct w:val="0"/>
              <w:autoSpaceDE w:val="0"/>
              <w:autoSpaceDN w:val="0"/>
              <w:bidi w:val="0"/>
              <w:adjustRightInd/>
              <w:snapToGrid/>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扩链剂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2.17</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0.5</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keepNext w:val="0"/>
              <w:keepLines w:val="0"/>
              <w:pageBreakBefore w:val="0"/>
              <w:widowControl/>
              <w:kinsoku w:val="0"/>
              <w:wordWrap/>
              <w:overflowPunct/>
              <w:topLinePunct w:val="0"/>
              <w:autoSpaceDE w:val="0"/>
              <w:autoSpaceDN w:val="0"/>
              <w:bidi w:val="0"/>
              <w:adjustRightInd/>
              <w:snapToGrid/>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11</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水性</w:t>
            </w:r>
            <w:r>
              <w:rPr>
                <w:rFonts w:hint="default" w:ascii="Times New Roman" w:hAnsi="Times New Roman" w:cs="Times New Roman"/>
                <w:kern w:val="21"/>
                <w:sz w:val="21"/>
                <w:szCs w:val="21"/>
                <w:u w:val="none"/>
              </w:rPr>
              <w:t>色浆</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27.37</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keepNext w:val="0"/>
              <w:keepLines w:val="0"/>
              <w:pageBreakBefore w:val="0"/>
              <w:widowControl/>
              <w:kinsoku w:val="0"/>
              <w:wordWrap/>
              <w:overflowPunct/>
              <w:topLinePunct w:val="0"/>
              <w:autoSpaceDE w:val="0"/>
              <w:autoSpaceDN w:val="0"/>
              <w:bidi w:val="0"/>
              <w:adjustRightInd/>
              <w:snapToGrid/>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序号</w:t>
            </w:r>
          </w:p>
        </w:tc>
        <w:tc>
          <w:tcPr>
            <w:tcW w:w="409"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产品名称</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原料名称</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总用量（</w:t>
            </w:r>
            <w:r>
              <w:rPr>
                <w:rFonts w:hint="default" w:ascii="Times New Roman" w:hAnsi="Times New Roman" w:cs="Times New Roman"/>
                <w:b w:val="0"/>
                <w:bCs w:val="0"/>
                <w:kern w:val="21"/>
                <w:sz w:val="21"/>
                <w:szCs w:val="21"/>
                <w:u w:val="none"/>
                <w:lang w:val="en-US" w:eastAsia="zh-CN"/>
              </w:rPr>
              <w:t>t/a</w:t>
            </w:r>
            <w:r>
              <w:rPr>
                <w:rFonts w:hint="default" w:ascii="Times New Roman" w:hAnsi="Times New Roman" w:cs="Times New Roman"/>
                <w:b w:val="0"/>
                <w:bCs w:val="0"/>
                <w:kern w:val="21"/>
                <w:sz w:val="21"/>
                <w:szCs w:val="21"/>
                <w:u w:val="none"/>
                <w:lang w:eastAsia="zh-CN"/>
              </w:rPr>
              <w:t>）</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最大储存量（t/a）</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储存位置</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状态</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储存方式</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运输方式</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投料方式</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来源</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1</w:t>
            </w:r>
          </w:p>
        </w:tc>
        <w:tc>
          <w:tcPr>
            <w:tcW w:w="409" w:type="pct"/>
            <w:vMerge w:val="restar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跑道专用面漆</w:t>
            </w: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羟基丙烯酸乳液</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rPr>
              <w:t>410</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2</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成膜助剂</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rPr>
              <w:t>2.6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2.0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3</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eastAsia" w:ascii="Times New Roman" w:hAnsi="Times New Roman" w:eastAsia="宋体" w:cs="Times New Roman"/>
                <w:kern w:val="21"/>
                <w:sz w:val="21"/>
                <w:szCs w:val="21"/>
                <w:u w:val="none"/>
                <w:lang w:eastAsia="zh-CN"/>
              </w:rPr>
            </w:pPr>
            <w:r>
              <w:rPr>
                <w:rFonts w:hint="eastAsia" w:ascii="Times New Roman" w:hAnsi="Times New Roman" w:cs="Times New Roman"/>
                <w:kern w:val="21"/>
                <w:sz w:val="21"/>
                <w:szCs w:val="21"/>
                <w:u w:val="none"/>
                <w:lang w:eastAsia="zh-CN"/>
              </w:rPr>
              <w:t>纯水</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996.2</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管道</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自制</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4</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轻钙粉</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rPr>
              <w:t>280</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粉状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袋装、50kg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5</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重钙粉</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rPr>
              <w:t>160</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粉状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袋装、50kg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6</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钛白粉</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rPr>
              <w:t>180</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5.0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粉状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袋装、50kg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7</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色浆</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rPr>
              <w:t>2.6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序号</w:t>
            </w:r>
          </w:p>
        </w:tc>
        <w:tc>
          <w:tcPr>
            <w:tcW w:w="409"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产品名称</w:t>
            </w: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原料名称</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总用量（</w:t>
            </w:r>
            <w:r>
              <w:rPr>
                <w:rFonts w:hint="default" w:ascii="Times New Roman" w:hAnsi="Times New Roman" w:cs="Times New Roman"/>
                <w:b w:val="0"/>
                <w:bCs w:val="0"/>
                <w:kern w:val="21"/>
                <w:sz w:val="21"/>
                <w:szCs w:val="21"/>
                <w:u w:val="none"/>
                <w:lang w:val="en-US" w:eastAsia="zh-CN"/>
              </w:rPr>
              <w:t>t/a</w:t>
            </w:r>
            <w:r>
              <w:rPr>
                <w:rFonts w:hint="default" w:ascii="Times New Roman" w:hAnsi="Times New Roman" w:cs="Times New Roman"/>
                <w:b w:val="0"/>
                <w:bCs w:val="0"/>
                <w:kern w:val="21"/>
                <w:sz w:val="21"/>
                <w:szCs w:val="21"/>
                <w:u w:val="none"/>
                <w:lang w:eastAsia="zh-CN"/>
              </w:rPr>
              <w:t>）</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最大储存量（t/a）</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val="en-US" w:eastAsia="zh-CN"/>
              </w:rPr>
            </w:pPr>
            <w:r>
              <w:rPr>
                <w:rFonts w:hint="default" w:ascii="Times New Roman" w:hAnsi="Times New Roman" w:cs="Times New Roman"/>
                <w:b w:val="0"/>
                <w:bCs w:val="0"/>
                <w:kern w:val="21"/>
                <w:sz w:val="21"/>
                <w:szCs w:val="21"/>
                <w:u w:val="none"/>
                <w:lang w:val="en-US" w:eastAsia="zh-CN"/>
              </w:rPr>
              <w:t>储存位置</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状态</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储存方式</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运输方式</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投料方式</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来源</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b w:val="0"/>
                <w:bCs w:val="0"/>
                <w:kern w:val="21"/>
                <w:sz w:val="21"/>
                <w:szCs w:val="21"/>
                <w:u w:val="none"/>
                <w:lang w:eastAsia="zh-CN"/>
              </w:rPr>
            </w:pPr>
            <w:r>
              <w:rPr>
                <w:rFonts w:hint="default" w:ascii="Times New Roman" w:hAnsi="Times New Roman" w:cs="Times New Roman"/>
                <w:b w:val="0"/>
                <w:bCs w:val="0"/>
                <w:kern w:val="21"/>
                <w:sz w:val="21"/>
                <w:szCs w:val="21"/>
                <w:u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1</w:t>
            </w:r>
          </w:p>
        </w:tc>
        <w:tc>
          <w:tcPr>
            <w:tcW w:w="409" w:type="pct"/>
            <w:vMerge w:val="restar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水性树脂</w:t>
            </w: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丙烯酸</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rPr>
              <w:t>85</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罐区</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桶装、250L</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2</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甲基丙烯酸甲酯</w:t>
            </w:r>
          </w:p>
        </w:tc>
        <w:tc>
          <w:tcPr>
            <w:tcW w:w="492" w:type="pct"/>
            <w:vAlign w:val="center"/>
          </w:tcPr>
          <w:p>
            <w:pPr>
              <w:spacing w:line="240" w:lineRule="auto"/>
              <w:ind w:firstLine="0" w:firstLineChars="0"/>
              <w:jc w:val="center"/>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rPr>
              <w:t>780</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eastAsia" w:cs="Times New Roman"/>
                <w:kern w:val="21"/>
                <w:sz w:val="21"/>
                <w:szCs w:val="21"/>
                <w:u w:val="none"/>
                <w:lang w:val="en-US" w:eastAsia="zh-CN"/>
              </w:rPr>
              <w:t>3.5</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罐区</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桶装、250L</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3</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丙烯酸丁酯</w:t>
            </w:r>
          </w:p>
        </w:tc>
        <w:tc>
          <w:tcPr>
            <w:tcW w:w="492" w:type="pct"/>
            <w:vAlign w:val="center"/>
          </w:tcPr>
          <w:p>
            <w:pPr>
              <w:spacing w:line="240" w:lineRule="auto"/>
              <w:ind w:firstLine="0" w:firstLineChars="0"/>
              <w:jc w:val="center"/>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rPr>
              <w:t>780</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eastAsia" w:cs="Times New Roman"/>
                <w:kern w:val="21"/>
                <w:sz w:val="21"/>
                <w:szCs w:val="21"/>
                <w:u w:val="none"/>
                <w:lang w:val="en-US" w:eastAsia="zh-CN"/>
              </w:rPr>
              <w:t>3.5</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桶装、250L</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4</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OP-10</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36</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1.0</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桶装、200L</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5</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spacing w:line="240" w:lineRule="auto"/>
              <w:ind w:firstLine="0" w:firstLineChars="0"/>
              <w:jc w:val="center"/>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rPr>
              <w:t>过硫酸铵</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4</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0.1</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val="en-US" w:eastAsia="zh-CN"/>
              </w:rPr>
              <w:t>4#仓库</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r>
              <w:rPr>
                <w:rFonts w:hint="default" w:ascii="Times New Roman" w:hAnsi="Times New Roman" w:cs="Times New Roman"/>
                <w:kern w:val="21"/>
                <w:sz w:val="21"/>
                <w:szCs w:val="21"/>
                <w:u w:val="none"/>
                <w:lang w:eastAsia="zh-CN"/>
              </w:rPr>
              <w:t>粉状</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eastAsia="宋体"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袋装、25kg</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汽运</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外购</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48"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6</w:t>
            </w:r>
          </w:p>
        </w:tc>
        <w:tc>
          <w:tcPr>
            <w:tcW w:w="409" w:type="pct"/>
            <w:vMerge w:val="continue"/>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rPr>
            </w:pPr>
          </w:p>
        </w:tc>
        <w:tc>
          <w:tcPr>
            <w:tcW w:w="545" w:type="pct"/>
            <w:vAlign w:val="center"/>
          </w:tcPr>
          <w:p>
            <w:pPr>
              <w:spacing w:line="240" w:lineRule="auto"/>
              <w:ind w:firstLine="0" w:firstLineChars="0"/>
              <w:jc w:val="center"/>
              <w:rPr>
                <w:rFonts w:hint="eastAsia" w:ascii="Times New Roman" w:hAnsi="Times New Roman" w:eastAsia="宋体" w:cs="Times New Roman"/>
                <w:kern w:val="21"/>
                <w:sz w:val="21"/>
                <w:szCs w:val="21"/>
                <w:u w:val="none"/>
                <w:lang w:eastAsia="zh-CN"/>
              </w:rPr>
            </w:pPr>
            <w:r>
              <w:rPr>
                <w:rFonts w:hint="eastAsia" w:ascii="Times New Roman" w:hAnsi="Times New Roman" w:cs="Times New Roman"/>
                <w:kern w:val="21"/>
                <w:sz w:val="21"/>
                <w:szCs w:val="21"/>
                <w:u w:val="none"/>
                <w:lang w:eastAsia="zh-CN"/>
              </w:rPr>
              <w:t>纯水</w:t>
            </w:r>
          </w:p>
        </w:tc>
        <w:tc>
          <w:tcPr>
            <w:tcW w:w="492"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1824.1</w:t>
            </w:r>
          </w:p>
        </w:tc>
        <w:tc>
          <w:tcPr>
            <w:tcW w:w="65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c>
          <w:tcPr>
            <w:tcW w:w="4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纯水站</w:t>
            </w:r>
          </w:p>
        </w:tc>
        <w:tc>
          <w:tcPr>
            <w:tcW w:w="31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eastAsia="zh-CN"/>
              </w:rPr>
            </w:pPr>
            <w:r>
              <w:rPr>
                <w:rFonts w:hint="default" w:ascii="Times New Roman" w:hAnsi="Times New Roman" w:cs="Times New Roman"/>
                <w:kern w:val="21"/>
                <w:sz w:val="21"/>
                <w:szCs w:val="21"/>
                <w:u w:val="none"/>
                <w:lang w:eastAsia="zh-CN"/>
              </w:rPr>
              <w:t>液体</w:t>
            </w:r>
          </w:p>
        </w:tc>
        <w:tc>
          <w:tcPr>
            <w:tcW w:w="477"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c>
          <w:tcPr>
            <w:tcW w:w="374"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管道</w:t>
            </w:r>
          </w:p>
        </w:tc>
        <w:tc>
          <w:tcPr>
            <w:tcW w:w="39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泵入</w:t>
            </w:r>
          </w:p>
        </w:tc>
        <w:tc>
          <w:tcPr>
            <w:tcW w:w="281"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自制</w:t>
            </w:r>
          </w:p>
        </w:tc>
        <w:tc>
          <w:tcPr>
            <w:tcW w:w="325" w:type="pct"/>
            <w:vAlign w:val="center"/>
          </w:tcPr>
          <w:p>
            <w:pPr>
              <w:widowControl/>
              <w:kinsoku w:val="0"/>
              <w:autoSpaceDE w:val="0"/>
              <w:autoSpaceDN w:val="0"/>
              <w:spacing w:line="240" w:lineRule="auto"/>
              <w:ind w:firstLine="0" w:firstLineChars="0"/>
              <w:jc w:val="center"/>
              <w:textAlignment w:val="baseline"/>
              <w:rPr>
                <w:rFonts w:hint="default" w:ascii="Times New Roman" w:hAnsi="Times New Roman" w:cs="Times New Roman"/>
                <w:kern w:val="21"/>
                <w:sz w:val="21"/>
                <w:szCs w:val="21"/>
                <w:u w:val="none"/>
                <w:lang w:val="en-US" w:eastAsia="zh-CN"/>
              </w:rPr>
            </w:pPr>
            <w:r>
              <w:rPr>
                <w:rFonts w:hint="default" w:ascii="Times New Roman" w:hAnsi="Times New Roman" w:cs="Times New Roman"/>
                <w:kern w:val="21"/>
                <w:sz w:val="21"/>
                <w:szCs w:val="21"/>
                <w:u w:val="none"/>
                <w:lang w:val="en-US" w:eastAsia="zh-CN"/>
              </w:rPr>
              <w:t>/</w:t>
            </w:r>
          </w:p>
        </w:tc>
      </w:tr>
    </w:tbl>
    <w:p>
      <w:pPr>
        <w:ind w:firstLine="480"/>
      </w:pPr>
      <w:r>
        <w:t>2、主要原辅材料理化特性</w:t>
      </w:r>
    </w:p>
    <w:p>
      <w:pPr>
        <w:pStyle w:val="25"/>
        <w:widowControl/>
        <w:spacing w:beforeAutospacing="0" w:afterAutospacing="0"/>
        <w:ind w:firstLine="0" w:firstLineChars="0"/>
        <w:jc w:val="center"/>
        <w:rPr>
          <w:b/>
          <w:bCs/>
        </w:rPr>
      </w:pPr>
      <w:r>
        <w:rPr>
          <w:rFonts w:hint="eastAsia"/>
          <w:b/>
          <w:bCs/>
        </w:rPr>
        <w:t>表3.2-4  主要原料理化性质</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0"/>
        <w:gridCol w:w="1090"/>
        <w:gridCol w:w="1704"/>
        <w:gridCol w:w="1793"/>
        <w:gridCol w:w="1830"/>
        <w:gridCol w:w="1668"/>
        <w:gridCol w:w="1721"/>
        <w:gridCol w:w="2083"/>
        <w:gridCol w:w="1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lang w:eastAsia="zh-CN"/>
              </w:rPr>
            </w:pPr>
            <w:r>
              <w:rPr>
                <w:rFonts w:hint="default" w:ascii="Times New Roman" w:hAnsi="Times New Roman" w:eastAsia="宋体" w:cs="Times New Roman"/>
                <w:b/>
                <w:bCs/>
                <w:sz w:val="21"/>
                <w:szCs w:val="21"/>
                <w:vertAlign w:val="baseline"/>
                <w:lang w:eastAsia="zh-CN"/>
              </w:rPr>
              <w:t>物质名称</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钙粉</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白矿油</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三元乙丙橡胶</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硫磺</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M促进剂</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双T促进剂</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lang w:val="en-US" w:eastAsia="zh-CN"/>
              </w:rPr>
              <w:t>色粉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成分</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石灰石</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矿物油</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乙烯</w:t>
            </w:r>
            <w:r>
              <w:rPr>
                <w:rFonts w:hint="default" w:ascii="Times New Roman" w:hAnsi="Times New Roman" w:eastAsia="宋体" w:cs="Times New Roman"/>
                <w:sz w:val="21"/>
                <w:szCs w:val="21"/>
                <w:vertAlign w:val="baseline"/>
                <w:lang w:eastAsia="zh-CN"/>
              </w:rPr>
              <w:t>、丙烯和非共轭二烯烃的三元共聚物</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硫</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"https://www.chembk.com/cn/chem/二硫化二苯并噻唑"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二硫化二苯并噻唑</w:t>
            </w:r>
            <w:r>
              <w:rPr>
                <w:rFonts w:hint="default" w:ascii="Times New Roman" w:hAnsi="Times New Roman" w:eastAsia="宋体" w:cs="Times New Roman"/>
                <w:sz w:val="21"/>
                <w:szCs w:val="21"/>
                <w:vertAlign w:val="baseline"/>
              </w:rPr>
              <w:fldChar w:fldCharType="end"/>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"https://www.chembk.com/cn/chem/二硫化四甲基秋兰姆"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二硫化四甲基秋兰姆</w:t>
            </w:r>
            <w:r>
              <w:rPr>
                <w:rFonts w:hint="default" w:ascii="Times New Roman" w:hAnsi="Times New Roman" w:eastAsia="宋体" w:cs="Times New Roman"/>
                <w:sz w:val="21"/>
                <w:szCs w:val="21"/>
                <w:vertAlign w:val="baseline"/>
              </w:rPr>
              <w:fldChar w:fldCharType="end"/>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色母粒，主要成分是树脂有机颜料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CAS号</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471-34-1</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8042-47-5</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63705-05-5</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"https://www.chembk.com/cn/chem/120-78-5"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120-78-5</w:t>
            </w:r>
            <w:r>
              <w:rPr>
                <w:rFonts w:hint="default" w:ascii="Times New Roman" w:hAnsi="Times New Roman" w:eastAsia="宋体" w:cs="Times New Roman"/>
                <w:sz w:val="21"/>
                <w:szCs w:val="21"/>
                <w:vertAlign w:val="baseline"/>
              </w:rPr>
              <w:fldChar w:fldCharType="end"/>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"https://www.chembk.com/cn/chem/137-26-8"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137-26-8</w:t>
            </w:r>
            <w:r>
              <w:rPr>
                <w:rFonts w:hint="default" w:ascii="Times New Roman" w:hAnsi="Times New Roman" w:eastAsia="宋体" w:cs="Times New Roman"/>
                <w:sz w:val="21"/>
                <w:szCs w:val="21"/>
                <w:vertAlign w:val="baseline"/>
              </w:rPr>
              <w:fldChar w:fldCharType="end"/>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化学式</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GaCO</w:t>
            </w:r>
            <w:r>
              <w:rPr>
                <w:rFonts w:hint="default" w:ascii="Times New Roman" w:hAnsi="Times New Roman" w:eastAsia="宋体" w:cs="Times New Roman"/>
                <w:sz w:val="21"/>
                <w:szCs w:val="21"/>
                <w:vertAlign w:val="subscript"/>
                <w:lang w:val="en-US" w:eastAsia="zh-CN"/>
              </w:rPr>
              <w:t>3</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CxHy（C</w:t>
            </w:r>
            <w:r>
              <w:rPr>
                <w:rFonts w:hint="default" w:ascii="Times New Roman" w:hAnsi="Times New Roman" w:eastAsia="宋体" w:cs="Times New Roman"/>
                <w:sz w:val="21"/>
                <w:szCs w:val="21"/>
                <w:vertAlign w:val="subscript"/>
                <w:lang w:val="en-US" w:eastAsia="zh-CN"/>
              </w:rPr>
              <w:t>16</w:t>
            </w:r>
            <w:r>
              <w:rPr>
                <w:rFonts w:hint="default" w:ascii="Times New Roman" w:hAnsi="Times New Roman" w:eastAsia="宋体" w:cs="Times New Roman"/>
                <w:sz w:val="21"/>
                <w:szCs w:val="21"/>
                <w:vertAlign w:val="baseline"/>
                <w:lang w:val="en-US" w:eastAsia="zh-CN"/>
              </w:rPr>
              <w:t>-C</w:t>
            </w:r>
            <w:r>
              <w:rPr>
                <w:rFonts w:hint="default" w:ascii="Times New Roman" w:hAnsi="Times New Roman" w:eastAsia="宋体" w:cs="Times New Roman"/>
                <w:sz w:val="21"/>
                <w:szCs w:val="21"/>
                <w:vertAlign w:val="subscript"/>
                <w:lang w:val="en-US" w:eastAsia="zh-CN"/>
              </w:rPr>
              <w:t>20</w:t>
            </w: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S</w:t>
            </w:r>
            <w:r>
              <w:rPr>
                <w:rFonts w:hint="default" w:ascii="Times New Roman" w:hAnsi="Times New Roman" w:eastAsia="宋体" w:cs="Times New Roman"/>
                <w:sz w:val="21"/>
                <w:szCs w:val="21"/>
                <w:vertAlign w:val="subscript"/>
              </w:rPr>
              <w:t>8</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"https://www.chembk.com/cn/search/C14H8N2S4"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C</w:t>
            </w:r>
            <w:r>
              <w:rPr>
                <w:rFonts w:hint="default" w:ascii="Times New Roman" w:hAnsi="Times New Roman" w:eastAsia="宋体" w:cs="Times New Roman"/>
                <w:sz w:val="21"/>
                <w:szCs w:val="21"/>
                <w:vertAlign w:val="subscript"/>
              </w:rPr>
              <w:t>14</w:t>
            </w:r>
            <w:r>
              <w:rPr>
                <w:rFonts w:hint="default" w:ascii="Times New Roman" w:hAnsi="Times New Roman" w:eastAsia="宋体" w:cs="Times New Roman"/>
                <w:sz w:val="21"/>
                <w:szCs w:val="21"/>
                <w:vertAlign w:val="baseline"/>
              </w:rPr>
              <w:t>H</w:t>
            </w:r>
            <w:r>
              <w:rPr>
                <w:rFonts w:hint="default" w:ascii="Times New Roman" w:hAnsi="Times New Roman" w:eastAsia="宋体" w:cs="Times New Roman"/>
                <w:sz w:val="21"/>
                <w:szCs w:val="21"/>
                <w:vertAlign w:val="subscript"/>
              </w:rPr>
              <w:t>8</w:t>
            </w:r>
            <w:r>
              <w:rPr>
                <w:rFonts w:hint="default" w:ascii="Times New Roman" w:hAnsi="Times New Roman" w:eastAsia="宋体" w:cs="Times New Roman"/>
                <w:sz w:val="21"/>
                <w:szCs w:val="21"/>
                <w:vertAlign w:val="baseline"/>
              </w:rPr>
              <w:t>N</w:t>
            </w:r>
            <w:r>
              <w:rPr>
                <w:rFonts w:hint="default" w:ascii="Times New Roman" w:hAnsi="Times New Roman" w:eastAsia="宋体" w:cs="Times New Roman"/>
                <w:sz w:val="21"/>
                <w:szCs w:val="21"/>
                <w:vertAlign w:val="subscript"/>
              </w:rPr>
              <w:t>2</w:t>
            </w:r>
            <w:r>
              <w:rPr>
                <w:rFonts w:hint="default" w:ascii="Times New Roman" w:hAnsi="Times New Roman" w:eastAsia="宋体" w:cs="Times New Roman"/>
                <w:sz w:val="21"/>
                <w:szCs w:val="21"/>
                <w:vertAlign w:val="baseline"/>
              </w:rPr>
              <w:t>S</w:t>
            </w:r>
            <w:r>
              <w:rPr>
                <w:rFonts w:hint="default" w:ascii="Times New Roman" w:hAnsi="Times New Roman" w:eastAsia="宋体" w:cs="Times New Roman"/>
                <w:sz w:val="21"/>
                <w:szCs w:val="21"/>
                <w:vertAlign w:val="subscript"/>
              </w:rPr>
              <w:t>4</w:t>
            </w:r>
            <w:r>
              <w:rPr>
                <w:rFonts w:hint="default" w:ascii="Times New Roman" w:hAnsi="Times New Roman" w:eastAsia="宋体" w:cs="Times New Roman"/>
                <w:sz w:val="21"/>
                <w:szCs w:val="21"/>
                <w:vertAlign w:val="baseline"/>
              </w:rPr>
              <w:fldChar w:fldCharType="end"/>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"https://www.chembk.com/cn/search/C6H12N2S4"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C</w:t>
            </w:r>
            <w:r>
              <w:rPr>
                <w:rFonts w:hint="default" w:ascii="Times New Roman" w:hAnsi="Times New Roman" w:eastAsia="宋体" w:cs="Times New Roman"/>
                <w:sz w:val="21"/>
                <w:szCs w:val="21"/>
                <w:vertAlign w:val="subscript"/>
              </w:rPr>
              <w:t>6</w:t>
            </w:r>
            <w:r>
              <w:rPr>
                <w:rFonts w:hint="default" w:ascii="Times New Roman" w:hAnsi="Times New Roman" w:eastAsia="宋体" w:cs="Times New Roman"/>
                <w:sz w:val="21"/>
                <w:szCs w:val="21"/>
                <w:vertAlign w:val="baseline"/>
              </w:rPr>
              <w:t>H</w:t>
            </w:r>
            <w:r>
              <w:rPr>
                <w:rFonts w:hint="default" w:ascii="Times New Roman" w:hAnsi="Times New Roman" w:eastAsia="宋体" w:cs="Times New Roman"/>
                <w:sz w:val="21"/>
                <w:szCs w:val="21"/>
                <w:vertAlign w:val="subscript"/>
              </w:rPr>
              <w:t>12</w:t>
            </w:r>
            <w:r>
              <w:rPr>
                <w:rFonts w:hint="default" w:ascii="Times New Roman" w:hAnsi="Times New Roman" w:eastAsia="宋体" w:cs="Times New Roman"/>
                <w:sz w:val="21"/>
                <w:szCs w:val="21"/>
                <w:vertAlign w:val="baseline"/>
              </w:rPr>
              <w:t>N</w:t>
            </w:r>
            <w:r>
              <w:rPr>
                <w:rFonts w:hint="default" w:ascii="Times New Roman" w:hAnsi="Times New Roman" w:eastAsia="宋体" w:cs="Times New Roman"/>
                <w:sz w:val="21"/>
                <w:szCs w:val="21"/>
                <w:vertAlign w:val="subscript"/>
              </w:rPr>
              <w:t>2</w:t>
            </w:r>
            <w:r>
              <w:rPr>
                <w:rFonts w:hint="default" w:ascii="Times New Roman" w:hAnsi="Times New Roman" w:eastAsia="宋体" w:cs="Times New Roman"/>
                <w:sz w:val="21"/>
                <w:szCs w:val="21"/>
                <w:vertAlign w:val="baseline"/>
              </w:rPr>
              <w:t>S</w:t>
            </w:r>
            <w:r>
              <w:rPr>
                <w:rFonts w:hint="default" w:ascii="Times New Roman" w:hAnsi="Times New Roman" w:eastAsia="宋体" w:cs="Times New Roman"/>
                <w:sz w:val="21"/>
                <w:szCs w:val="21"/>
                <w:vertAlign w:val="subscript"/>
              </w:rPr>
              <w:t>4</w:t>
            </w:r>
            <w:r>
              <w:rPr>
                <w:rFonts w:hint="default" w:ascii="Times New Roman" w:hAnsi="Times New Roman" w:eastAsia="宋体" w:cs="Times New Roman"/>
                <w:sz w:val="21"/>
                <w:szCs w:val="21"/>
                <w:vertAlign w:val="baseline"/>
              </w:rPr>
              <w:fldChar w:fldCharType="end"/>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分子量</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100.09</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224~280</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84.06~</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34.081</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332.49</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240.43</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理化性质</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外观与性状</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白色</w:t>
            </w:r>
            <w:r>
              <w:rPr>
                <w:rFonts w:hint="default" w:ascii="Times New Roman" w:hAnsi="Times New Roman" w:eastAsia="宋体" w:cs="Times New Roman"/>
                <w:sz w:val="21"/>
                <w:szCs w:val="21"/>
                <w:vertAlign w:val="baseline"/>
                <w:lang w:eastAsia="zh-CN"/>
              </w:rPr>
              <w:t>粉末</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无色透明液体</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白色</w:t>
            </w:r>
            <w:r>
              <w:rPr>
                <w:rFonts w:hint="default" w:ascii="Times New Roman" w:hAnsi="Times New Roman" w:eastAsia="宋体" w:cs="Times New Roman"/>
                <w:sz w:val="21"/>
                <w:szCs w:val="21"/>
                <w:vertAlign w:val="baseline"/>
                <w:lang w:eastAsia="zh-CN"/>
              </w:rPr>
              <w:t>固体</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淡黄色</w:t>
            </w:r>
            <w:r>
              <w:rPr>
                <w:rFonts w:hint="default" w:ascii="Times New Roman" w:hAnsi="Times New Roman" w:eastAsia="宋体" w:cs="Times New Roman"/>
                <w:sz w:val="21"/>
                <w:szCs w:val="21"/>
                <w:vertAlign w:val="baseline"/>
                <w:lang w:eastAsia="zh-CN"/>
              </w:rPr>
              <w:t>固体</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白色粒状</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白色、灰白色粉末或粒状</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粒状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熔点</w:t>
            </w:r>
            <w:r>
              <w:rPr>
                <w:rFonts w:hint="default" w:ascii="Times New Roman" w:hAnsi="Times New Roman" w:eastAsia="宋体" w:cs="Times New Roman"/>
                <w:sz w:val="21"/>
                <w:szCs w:val="21"/>
                <w:vertAlign w:val="baseline"/>
              </w:rPr>
              <w:t>℃</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1339</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115.21</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180</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156-158</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沸点</w:t>
            </w:r>
            <w:r>
              <w:rPr>
                <w:rFonts w:hint="default" w:ascii="Times New Roman" w:hAnsi="Times New Roman" w:eastAsia="宋体" w:cs="Times New Roman"/>
                <w:sz w:val="21"/>
                <w:szCs w:val="21"/>
                <w:vertAlign w:val="baseline"/>
              </w:rPr>
              <w:t>℃</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444.72</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532.5</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129</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饱和蒸汽压</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相对密度</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2.93</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0.86-0.905</w:t>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rPr>
              <w:t>25</w:t>
            </w:r>
            <w:r>
              <w:rPr>
                <w:rFonts w:hint="default" w:ascii="Times New Roman" w:hAnsi="Times New Roman" w:eastAsia="宋体" w:cs="Times New Roman"/>
                <w:sz w:val="21"/>
                <w:szCs w:val="21"/>
                <w:vertAlign w:val="baseline"/>
                <w:lang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0.86~</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2.36</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1.50</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1.43</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4.5-5.3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溶解性</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不溶于水</w:t>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rPr>
              <w:t>可溶于乙酸、盐酸等稀酸</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不溶于</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"http://www.ichemistry.cn/chemistry/7732-18-5.htm"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水</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"http://www.ichemistry.cn/chemistry/56-81-5.htm"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甘油</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、冷</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"http://www.ichemistry.cn/chemistry/64-17-5.htm"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乙醇</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lang w:eastAsia="zh-CN"/>
              </w:rPr>
              <w:t>，溶于</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"http://www.ichemistry.cn/chemistry/71-43-2.htm"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苯</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"http://www.ichemistry.cn/chemistry/60-29-7.htm"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乙醚</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"http://www.ichemistry.cn/chemistry/67-66-3.htm"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氯仿</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"http://www.ichemistry.cn/cas/.B6.FE.C1.F2.BB.AF.CC.BC"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二硫化碳</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、热乙</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"http://www.ichemistry.cn/cas/.B4.BC"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醇</w:t>
            </w:r>
            <w:r>
              <w:rPr>
                <w:rFonts w:hint="default" w:ascii="Times New Roman" w:hAnsi="Times New Roman" w:eastAsia="宋体" w:cs="Times New Roman"/>
                <w:sz w:val="21"/>
                <w:szCs w:val="21"/>
                <w:vertAlign w:val="baseline"/>
                <w:lang w:eastAsia="zh-CN"/>
              </w:rPr>
              <w:fldChar w:fldCharType="end"/>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不溶于</w:t>
            </w:r>
            <w:r>
              <w:rPr>
                <w:rFonts w:hint="default" w:ascii="Times New Roman" w:hAnsi="Times New Roman" w:eastAsia="宋体" w:cs="Times New Roman"/>
                <w:sz w:val="21"/>
                <w:szCs w:val="21"/>
                <w:vertAlign w:val="baseline"/>
                <w:lang w:eastAsia="zh-CN"/>
              </w:rPr>
              <w:t>冷</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"http://www.ichemistry.cn/chemistry/7732-18-5.htm"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水</w:t>
            </w:r>
            <w:r>
              <w:rPr>
                <w:rFonts w:hint="default" w:ascii="Times New Roman" w:hAnsi="Times New Roman" w:eastAsia="宋体" w:cs="Times New Roman"/>
                <w:sz w:val="21"/>
                <w:szCs w:val="21"/>
                <w:vertAlign w:val="baseline"/>
              </w:rPr>
              <w:fldChar w:fldCharType="end"/>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能溶于二硫化碳，不溶于水</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微溶于苯、二氯甲烷、四氯化碳、丙酮、乙醇、乙醚等，不溶于水、乙酸乙酯、汽油及碱</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易溶于苯、氯仿</w:t>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"https://baike.so.com/doc/1434401-1516194.html" \t "https://baike.so.com/doc/_blank"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微溶</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于乙醇，不溶于水，不溶于稀</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"https://baike.so.com/doc/5906014-6118916.html" \t "https://baike.so.com/doc/_blank"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碱液</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、汽油</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不溶于水</w:t>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rPr>
              <w:t>微溶于苯、二氯甲烷、四氯化碳、丙酮、乙醇、乙醚等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危险性</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刺激眼睛和皮肤</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眼睛、呼吸道和皮肤有刺激作用</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易燃固体</w:t>
            </w:r>
            <w:r>
              <w:rPr>
                <w:rFonts w:hint="default" w:ascii="Times New Roman" w:hAnsi="Times New Roman" w:eastAsia="宋体" w:cs="Times New Roman"/>
                <w:sz w:val="21"/>
                <w:szCs w:val="21"/>
                <w:vertAlign w:val="baseline"/>
                <w:lang w:eastAsia="zh-CN"/>
              </w:rPr>
              <w:t>；对眼睛、</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"https://baike.so.com/doc/2467180-2607701.html" \t "https://baike.so.com/doc/_blank"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皮肤</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eastAsia" w:cs="Times New Roman"/>
                <w:sz w:val="21"/>
                <w:szCs w:val="21"/>
                <w:vertAlign w:val="baseline"/>
                <w:lang w:eastAsia="zh-CN"/>
              </w:rPr>
              <w:t>黏膜</w:t>
            </w:r>
            <w:r>
              <w:rPr>
                <w:rFonts w:hint="default" w:ascii="Times New Roman" w:hAnsi="Times New Roman" w:eastAsia="宋体" w:cs="Times New Roman"/>
                <w:sz w:val="21"/>
                <w:szCs w:val="21"/>
                <w:vertAlign w:val="baseline"/>
                <w:lang w:eastAsia="zh-CN"/>
              </w:rPr>
              <w:t>和呼吸道有强烈的刺激作用</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遇酸释放有毒气体</w:t>
            </w:r>
            <w:r>
              <w:rPr>
                <w:rFonts w:hint="default" w:ascii="Times New Roman" w:hAnsi="Times New Roman" w:eastAsia="宋体" w:cs="Times New Roman"/>
                <w:sz w:val="21"/>
                <w:szCs w:val="21"/>
                <w:vertAlign w:val="baseline"/>
                <w:lang w:val="en-US" w:eastAsia="zh-CN"/>
              </w:rPr>
              <w:t>；与皮肤接触可能致敏；</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有毒物品</w:t>
            </w:r>
            <w:r>
              <w:rPr>
                <w:rFonts w:hint="default" w:ascii="Times New Roman" w:hAnsi="Times New Roman" w:eastAsia="宋体" w:cs="Times New Roman"/>
                <w:sz w:val="21"/>
                <w:szCs w:val="21"/>
                <w:vertAlign w:val="baseline"/>
                <w:lang w:eastAsia="zh-CN"/>
              </w:rPr>
              <w:t>；刺激眼睛和皮肤；</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火灾危险</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闪点（</w:t>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lang w:eastAsia="zh-CN"/>
              </w:rPr>
              <w:t>）</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138</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220</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168</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271</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89</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爆炸极限</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急性毒性</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LC</w:t>
            </w:r>
            <w:r>
              <w:rPr>
                <w:rFonts w:hint="default" w:ascii="Times New Roman" w:hAnsi="Times New Roman" w:eastAsia="宋体" w:cs="Times New Roman"/>
                <w:sz w:val="21"/>
                <w:szCs w:val="21"/>
                <w:vertAlign w:val="subscript"/>
                <w:lang w:val="en-US" w:eastAsia="zh-CN"/>
              </w:rPr>
              <w:t>50</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10mg/kg</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700</w:t>
            </w:r>
            <w:r>
              <w:rPr>
                <w:rFonts w:hint="default" w:ascii="Times New Roman" w:hAnsi="Times New Roman" w:eastAsia="宋体" w:cs="Times New Roman"/>
                <w:sz w:val="21"/>
                <w:szCs w:val="21"/>
                <w:vertAlign w:val="baseline"/>
              </w:rPr>
              <w:t>0mg/kg</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1250mg/kg</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LD</w:t>
            </w:r>
            <w:r>
              <w:rPr>
                <w:rFonts w:hint="default" w:ascii="Times New Roman" w:hAnsi="Times New Roman" w:eastAsia="宋体" w:cs="Times New Roman"/>
                <w:sz w:val="21"/>
                <w:szCs w:val="21"/>
                <w:vertAlign w:val="subscript"/>
                <w:lang w:val="en-US" w:eastAsia="zh-CN"/>
              </w:rPr>
              <w:t>50</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6450mg/</w:t>
            </w:r>
            <w:r>
              <w:rPr>
                <w:rFonts w:hint="default" w:ascii="Times New Roman" w:hAnsi="Times New Roman" w:eastAsia="宋体" w:cs="Times New Roman"/>
                <w:sz w:val="21"/>
                <w:szCs w:val="21"/>
                <w:vertAlign w:val="baseline"/>
                <w:lang w:val="en-US" w:eastAsia="zh-CN"/>
              </w:rPr>
              <w:t>k</w:t>
            </w:r>
            <w:r>
              <w:rPr>
                <w:rFonts w:hint="default" w:ascii="Times New Roman" w:hAnsi="Times New Roman" w:eastAsia="宋体" w:cs="Times New Roman"/>
                <w:sz w:val="21"/>
                <w:szCs w:val="21"/>
                <w:vertAlign w:val="baseline"/>
              </w:rPr>
              <w:t>g</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260</w:t>
            </w:r>
            <w:r>
              <w:rPr>
                <w:rFonts w:hint="default" w:ascii="Times New Roman" w:hAnsi="Times New Roman" w:eastAsia="宋体" w:cs="Times New Roman"/>
                <w:sz w:val="21"/>
                <w:szCs w:val="21"/>
                <w:vertAlign w:val="baseline"/>
              </w:rPr>
              <w:t>0mg/kg</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560mg/kg</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lang w:eastAsia="zh-CN"/>
              </w:rPr>
            </w:pPr>
            <w:r>
              <w:rPr>
                <w:rFonts w:hint="default" w:ascii="Times New Roman" w:hAnsi="Times New Roman" w:eastAsia="宋体" w:cs="Times New Roman"/>
                <w:b/>
                <w:bCs/>
                <w:sz w:val="21"/>
                <w:szCs w:val="21"/>
                <w:vertAlign w:val="baseline"/>
                <w:lang w:eastAsia="zh-CN"/>
              </w:rPr>
              <w:t>物质名称</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聚醚</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滑石粉</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高岭土</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lang w:eastAsia="zh-CN"/>
              </w:rPr>
              <w:t>水性</w:t>
            </w:r>
            <w:r>
              <w:rPr>
                <w:rFonts w:hint="default" w:ascii="Times New Roman" w:hAnsi="Times New Roman" w:eastAsia="宋体" w:cs="Times New Roman"/>
                <w:b/>
                <w:bCs/>
                <w:sz w:val="21"/>
                <w:szCs w:val="21"/>
                <w:vertAlign w:val="baseline"/>
              </w:rPr>
              <w:t>色浆</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DMC</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MDI50</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钙粉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成分</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聚乙二醇醚</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水合硅酸镁</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高岭石</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水</w:t>
            </w:r>
            <w:r>
              <w:rPr>
                <w:rFonts w:hint="default" w:ascii="Times New Roman" w:hAnsi="Times New Roman" w:eastAsia="宋体" w:cs="Times New Roman"/>
                <w:sz w:val="21"/>
                <w:szCs w:val="21"/>
                <w:vertAlign w:val="baseline"/>
                <w:lang w:val="en-US" w:eastAsia="zh-CN"/>
              </w:rPr>
              <w:t>/</w:t>
            </w:r>
            <w:r>
              <w:rPr>
                <w:rFonts w:hint="default" w:ascii="Times New Roman" w:hAnsi="Times New Roman" w:eastAsia="宋体" w:cs="Times New Roman"/>
                <w:sz w:val="21"/>
                <w:szCs w:val="21"/>
                <w:vertAlign w:val="baseline"/>
                <w:lang w:eastAsia="zh-CN"/>
              </w:rPr>
              <w:t>表面活性剂分散而成</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"https://www.chembk.com/cn/chem/碳酸二甲酯"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碳酸二甲酯</w:t>
            </w:r>
            <w:r>
              <w:rPr>
                <w:rFonts w:hint="default" w:ascii="Times New Roman" w:hAnsi="Times New Roman" w:eastAsia="宋体" w:cs="Times New Roman"/>
                <w:sz w:val="21"/>
                <w:szCs w:val="21"/>
                <w:vertAlign w:val="baseline"/>
              </w:rPr>
              <w:fldChar w:fldCharType="end"/>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二甲苯烷二异氰酸酯</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石灰石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CAS号</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9003-11-6</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14807-96-6</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52624-41-6</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"https://www.chembk.com/cn/chem/616-38-6"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616-38-6</w:t>
            </w:r>
            <w:r>
              <w:rPr>
                <w:rFonts w:hint="default" w:ascii="Times New Roman" w:hAnsi="Times New Roman" w:eastAsia="宋体" w:cs="Times New Roman"/>
                <w:sz w:val="21"/>
                <w:szCs w:val="21"/>
                <w:vertAlign w:val="baseline"/>
              </w:rPr>
              <w:fldChar w:fldCharType="end"/>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26447-40-5</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471-34-1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化学式</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HO.（C</w:t>
            </w:r>
            <w:r>
              <w:rPr>
                <w:rFonts w:hint="default" w:ascii="Times New Roman" w:hAnsi="Times New Roman" w:eastAsia="宋体" w:cs="Times New Roman"/>
                <w:sz w:val="21"/>
                <w:szCs w:val="21"/>
                <w:vertAlign w:val="subscript"/>
                <w:lang w:val="en-US" w:eastAsia="zh-CN"/>
              </w:rPr>
              <w:t>2</w:t>
            </w:r>
            <w:r>
              <w:rPr>
                <w:rFonts w:hint="default" w:ascii="Times New Roman" w:hAnsi="Times New Roman" w:eastAsia="宋体" w:cs="Times New Roman"/>
                <w:sz w:val="21"/>
                <w:szCs w:val="21"/>
                <w:vertAlign w:val="baseline"/>
                <w:lang w:val="en-US" w:eastAsia="zh-CN"/>
              </w:rPr>
              <w:t>H</w:t>
            </w:r>
            <w:r>
              <w:rPr>
                <w:rFonts w:hint="default" w:ascii="Times New Roman" w:hAnsi="Times New Roman" w:eastAsia="宋体" w:cs="Times New Roman"/>
                <w:sz w:val="21"/>
                <w:szCs w:val="21"/>
                <w:vertAlign w:val="subscript"/>
                <w:lang w:val="en-US" w:eastAsia="zh-CN"/>
              </w:rPr>
              <w:t>4</w:t>
            </w:r>
            <w:r>
              <w:rPr>
                <w:rFonts w:hint="default" w:ascii="Times New Roman" w:hAnsi="Times New Roman" w:eastAsia="宋体" w:cs="Times New Roman"/>
                <w:sz w:val="21"/>
                <w:szCs w:val="21"/>
                <w:vertAlign w:val="baseline"/>
                <w:lang w:val="en-US" w:eastAsia="zh-CN"/>
              </w:rPr>
              <w:t>O）m.（C</w:t>
            </w:r>
            <w:r>
              <w:rPr>
                <w:rFonts w:hint="default" w:ascii="Times New Roman" w:hAnsi="Times New Roman" w:eastAsia="宋体" w:cs="Times New Roman"/>
                <w:sz w:val="21"/>
                <w:szCs w:val="21"/>
                <w:vertAlign w:val="subscript"/>
                <w:lang w:val="en-US" w:eastAsia="zh-CN"/>
              </w:rPr>
              <w:t>3</w:t>
            </w:r>
            <w:r>
              <w:rPr>
                <w:rFonts w:hint="default" w:ascii="Times New Roman" w:hAnsi="Times New Roman" w:eastAsia="宋体" w:cs="Times New Roman"/>
                <w:sz w:val="21"/>
                <w:szCs w:val="21"/>
                <w:vertAlign w:val="baseline"/>
                <w:lang w:val="en-US" w:eastAsia="zh-CN"/>
              </w:rPr>
              <w:t>H</w:t>
            </w:r>
            <w:r>
              <w:rPr>
                <w:rFonts w:hint="default" w:ascii="Times New Roman" w:hAnsi="Times New Roman" w:eastAsia="宋体" w:cs="Times New Roman"/>
                <w:sz w:val="21"/>
                <w:szCs w:val="21"/>
                <w:vertAlign w:val="subscript"/>
                <w:lang w:val="en-US" w:eastAsia="zh-CN"/>
              </w:rPr>
              <w:t>6</w:t>
            </w:r>
            <w:r>
              <w:rPr>
                <w:rFonts w:hint="default" w:ascii="Times New Roman" w:hAnsi="Times New Roman" w:eastAsia="宋体" w:cs="Times New Roman"/>
                <w:sz w:val="21"/>
                <w:szCs w:val="21"/>
                <w:vertAlign w:val="baseline"/>
                <w:lang w:val="en-US" w:eastAsia="zh-CN"/>
              </w:rPr>
              <w:t>O）n.H</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Mg</w:t>
            </w:r>
            <w:r>
              <w:rPr>
                <w:rFonts w:hint="default" w:ascii="Times New Roman" w:hAnsi="Times New Roman" w:eastAsia="宋体" w:cs="Times New Roman"/>
                <w:sz w:val="21"/>
                <w:szCs w:val="21"/>
                <w:vertAlign w:val="subscript"/>
                <w:lang w:val="en-US" w:eastAsia="zh-CN"/>
              </w:rPr>
              <w:t>3</w:t>
            </w:r>
            <w:r>
              <w:rPr>
                <w:rFonts w:hint="default" w:ascii="Times New Roman" w:hAnsi="Times New Roman" w:eastAsia="宋体" w:cs="Times New Roman"/>
                <w:sz w:val="21"/>
                <w:szCs w:val="21"/>
                <w:vertAlign w:val="baseline"/>
                <w:lang w:val="en-US" w:eastAsia="zh-CN"/>
              </w:rPr>
              <w:t>〔Si</w:t>
            </w:r>
            <w:r>
              <w:rPr>
                <w:rFonts w:hint="default" w:ascii="Times New Roman" w:hAnsi="Times New Roman" w:eastAsia="宋体" w:cs="Times New Roman"/>
                <w:sz w:val="21"/>
                <w:szCs w:val="21"/>
                <w:vertAlign w:val="subscript"/>
                <w:lang w:val="en-US" w:eastAsia="zh-CN"/>
              </w:rPr>
              <w:t>4</w:t>
            </w:r>
            <w:r>
              <w:rPr>
                <w:rFonts w:hint="default" w:ascii="Times New Roman" w:hAnsi="Times New Roman" w:eastAsia="宋体" w:cs="Times New Roman"/>
                <w:sz w:val="21"/>
                <w:szCs w:val="21"/>
                <w:vertAlign w:val="baseline"/>
                <w:lang w:val="en-US" w:eastAsia="zh-CN"/>
              </w:rPr>
              <w:t>O</w:t>
            </w:r>
            <w:r>
              <w:rPr>
                <w:rFonts w:hint="default" w:ascii="Times New Roman" w:hAnsi="Times New Roman" w:eastAsia="宋体" w:cs="Times New Roman"/>
                <w:sz w:val="21"/>
                <w:szCs w:val="21"/>
                <w:vertAlign w:val="subscript"/>
                <w:lang w:val="en-US" w:eastAsia="zh-CN"/>
              </w:rPr>
              <w:t>10</w:t>
            </w:r>
            <w:r>
              <w:rPr>
                <w:rFonts w:hint="default" w:ascii="Times New Roman" w:hAnsi="Times New Roman" w:eastAsia="宋体" w:cs="Times New Roman"/>
                <w:sz w:val="21"/>
                <w:szCs w:val="21"/>
                <w:vertAlign w:val="baseline"/>
                <w:lang w:val="en-US" w:eastAsia="zh-CN"/>
              </w:rPr>
              <w:t>〕（OH）</w:t>
            </w:r>
            <w:r>
              <w:rPr>
                <w:rFonts w:hint="default" w:ascii="Times New Roman" w:hAnsi="Times New Roman" w:eastAsia="宋体" w:cs="Times New Roman"/>
                <w:sz w:val="21"/>
                <w:szCs w:val="21"/>
                <w:vertAlign w:val="subscript"/>
                <w:lang w:val="en-US" w:eastAsia="zh-CN"/>
              </w:rPr>
              <w:t>2</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Al</w:t>
            </w:r>
            <w:r>
              <w:rPr>
                <w:rFonts w:hint="default" w:ascii="Times New Roman" w:hAnsi="Times New Roman" w:eastAsia="宋体" w:cs="Times New Roman"/>
                <w:sz w:val="21"/>
                <w:szCs w:val="21"/>
                <w:vertAlign w:val="subscript"/>
                <w:lang w:val="en-US" w:eastAsia="zh-CN"/>
              </w:rPr>
              <w:t>2</w:t>
            </w:r>
            <w:r>
              <w:rPr>
                <w:rFonts w:hint="default" w:ascii="Times New Roman" w:hAnsi="Times New Roman" w:eastAsia="宋体" w:cs="Times New Roman"/>
                <w:sz w:val="21"/>
                <w:szCs w:val="21"/>
                <w:vertAlign w:val="baseline"/>
                <w:lang w:val="en-US" w:eastAsia="zh-CN"/>
              </w:rPr>
              <w:t>O</w:t>
            </w:r>
            <w:r>
              <w:rPr>
                <w:rFonts w:hint="default" w:ascii="Times New Roman" w:hAnsi="Times New Roman" w:eastAsia="宋体" w:cs="Times New Roman"/>
                <w:sz w:val="21"/>
                <w:szCs w:val="21"/>
                <w:vertAlign w:val="subscript"/>
                <w:lang w:val="en-US" w:eastAsia="zh-CN"/>
              </w:rPr>
              <w:t>3</w:t>
            </w:r>
            <w:r>
              <w:rPr>
                <w:rFonts w:hint="default" w:ascii="Times New Roman" w:hAnsi="Times New Roman" w:eastAsia="宋体" w:cs="Times New Roman"/>
                <w:sz w:val="21"/>
                <w:szCs w:val="21"/>
                <w:vertAlign w:val="baseline"/>
                <w:lang w:val="en-US" w:eastAsia="zh-CN"/>
              </w:rPr>
              <w:t>·2SiO</w:t>
            </w:r>
            <w:r>
              <w:rPr>
                <w:rFonts w:hint="default" w:ascii="Times New Roman" w:hAnsi="Times New Roman" w:eastAsia="宋体" w:cs="Times New Roman"/>
                <w:sz w:val="21"/>
                <w:szCs w:val="21"/>
                <w:vertAlign w:val="subscript"/>
                <w:lang w:val="en-US" w:eastAsia="zh-CN"/>
              </w:rPr>
              <w:t>2</w:t>
            </w:r>
            <w:r>
              <w:rPr>
                <w:rFonts w:hint="default" w:ascii="Times New Roman" w:hAnsi="Times New Roman" w:eastAsia="宋体" w:cs="Times New Roman"/>
                <w:sz w:val="21"/>
                <w:szCs w:val="21"/>
                <w:vertAlign w:val="baseline"/>
                <w:lang w:val="en-US" w:eastAsia="zh-CN"/>
              </w:rPr>
              <w:t>·2H</w:t>
            </w:r>
            <w:r>
              <w:rPr>
                <w:rFonts w:hint="default" w:ascii="Times New Roman" w:hAnsi="Times New Roman" w:eastAsia="宋体" w:cs="Times New Roman"/>
                <w:sz w:val="21"/>
                <w:szCs w:val="21"/>
                <w:vertAlign w:val="subscript"/>
                <w:lang w:val="en-US" w:eastAsia="zh-CN"/>
              </w:rPr>
              <w:t>2</w:t>
            </w:r>
            <w:r>
              <w:rPr>
                <w:rFonts w:hint="default" w:ascii="Times New Roman" w:hAnsi="Times New Roman" w:eastAsia="宋体" w:cs="Times New Roman"/>
                <w:sz w:val="21"/>
                <w:szCs w:val="21"/>
                <w:vertAlign w:val="baseline"/>
                <w:lang w:val="en-US" w:eastAsia="zh-CN"/>
              </w:rPr>
              <w:t>O</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"https://www.chembk.com/cn/search/C3H6O3"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C</w:t>
            </w:r>
            <w:r>
              <w:rPr>
                <w:rFonts w:hint="default" w:ascii="Times New Roman" w:hAnsi="Times New Roman" w:eastAsia="宋体" w:cs="Times New Roman"/>
                <w:sz w:val="21"/>
                <w:szCs w:val="21"/>
                <w:vertAlign w:val="subscript"/>
              </w:rPr>
              <w:t>3</w:t>
            </w:r>
            <w:r>
              <w:rPr>
                <w:rFonts w:hint="default" w:ascii="Times New Roman" w:hAnsi="Times New Roman" w:eastAsia="宋体" w:cs="Times New Roman"/>
                <w:sz w:val="21"/>
                <w:szCs w:val="21"/>
                <w:vertAlign w:val="baseline"/>
              </w:rPr>
              <w:t>H</w:t>
            </w:r>
            <w:r>
              <w:rPr>
                <w:rFonts w:hint="default" w:ascii="Times New Roman" w:hAnsi="Times New Roman" w:eastAsia="宋体" w:cs="Times New Roman"/>
                <w:sz w:val="21"/>
                <w:szCs w:val="21"/>
                <w:vertAlign w:val="subscript"/>
              </w:rPr>
              <w:t>6</w:t>
            </w:r>
            <w:r>
              <w:rPr>
                <w:rFonts w:hint="default" w:ascii="Times New Roman" w:hAnsi="Times New Roman" w:eastAsia="宋体" w:cs="Times New Roman"/>
                <w:sz w:val="21"/>
                <w:szCs w:val="21"/>
                <w:vertAlign w:val="baseline"/>
              </w:rPr>
              <w:t>O</w:t>
            </w:r>
            <w:r>
              <w:rPr>
                <w:rFonts w:hint="default" w:ascii="Times New Roman" w:hAnsi="Times New Roman" w:eastAsia="宋体" w:cs="Times New Roman"/>
                <w:sz w:val="21"/>
                <w:szCs w:val="21"/>
                <w:vertAlign w:val="subscript"/>
              </w:rPr>
              <w:t>3</w:t>
            </w:r>
            <w:r>
              <w:rPr>
                <w:rFonts w:hint="default" w:ascii="Times New Roman" w:hAnsi="Times New Roman" w:eastAsia="宋体" w:cs="Times New Roman"/>
                <w:sz w:val="21"/>
                <w:szCs w:val="21"/>
                <w:vertAlign w:val="baseline"/>
              </w:rPr>
              <w:fldChar w:fldCharType="end"/>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C</w:t>
            </w:r>
            <w:r>
              <w:rPr>
                <w:rFonts w:hint="default" w:ascii="Times New Roman" w:hAnsi="Times New Roman" w:eastAsia="宋体" w:cs="Times New Roman"/>
                <w:sz w:val="21"/>
                <w:szCs w:val="21"/>
                <w:vertAlign w:val="subscript"/>
              </w:rPr>
              <w:t>15</w:t>
            </w:r>
            <w:r>
              <w:rPr>
                <w:rFonts w:hint="default" w:ascii="Times New Roman" w:hAnsi="Times New Roman" w:eastAsia="宋体" w:cs="Times New Roman"/>
                <w:sz w:val="21"/>
                <w:szCs w:val="21"/>
                <w:vertAlign w:val="baseline"/>
              </w:rPr>
              <w:t>H</w:t>
            </w:r>
            <w:r>
              <w:rPr>
                <w:rFonts w:hint="default" w:ascii="Times New Roman" w:hAnsi="Times New Roman" w:eastAsia="宋体" w:cs="Times New Roman"/>
                <w:sz w:val="21"/>
                <w:szCs w:val="21"/>
                <w:vertAlign w:val="subscript"/>
              </w:rPr>
              <w:t>10</w:t>
            </w:r>
            <w:r>
              <w:rPr>
                <w:rFonts w:hint="default" w:ascii="Times New Roman" w:hAnsi="Times New Roman" w:eastAsia="宋体" w:cs="Times New Roman"/>
                <w:sz w:val="21"/>
                <w:szCs w:val="21"/>
                <w:vertAlign w:val="baseline"/>
              </w:rPr>
              <w:t>N</w:t>
            </w:r>
            <w:r>
              <w:rPr>
                <w:rFonts w:hint="default" w:ascii="Times New Roman" w:hAnsi="Times New Roman" w:eastAsia="宋体" w:cs="Times New Roman"/>
                <w:sz w:val="21"/>
                <w:szCs w:val="21"/>
                <w:vertAlign w:val="subscript"/>
              </w:rPr>
              <w:t>2</w:t>
            </w:r>
            <w:r>
              <w:rPr>
                <w:rFonts w:hint="default" w:ascii="Times New Roman" w:hAnsi="Times New Roman" w:eastAsia="宋体" w:cs="Times New Roman"/>
                <w:sz w:val="21"/>
                <w:szCs w:val="21"/>
                <w:vertAlign w:val="baseline"/>
              </w:rPr>
              <w:t>O</w:t>
            </w:r>
            <w:r>
              <w:rPr>
                <w:rFonts w:hint="default" w:ascii="Times New Roman" w:hAnsi="Times New Roman" w:eastAsia="宋体" w:cs="Times New Roman"/>
                <w:sz w:val="21"/>
                <w:szCs w:val="21"/>
                <w:vertAlign w:val="subscript"/>
              </w:rPr>
              <w:t>2</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GaCO</w:t>
            </w:r>
            <w:r>
              <w:rPr>
                <w:rFonts w:hint="default" w:ascii="Times New Roman" w:hAnsi="Times New Roman" w:eastAsia="宋体" w:cs="Times New Roman"/>
                <w:sz w:val="21"/>
                <w:szCs w:val="21"/>
                <w:vertAlign w:val="sub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分子量</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102.13</w:t>
            </w: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379.266</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276.18</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90.08</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250.25</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100.09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理化性质</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外观与性状</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黄色透明油状液体</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白色</w:t>
            </w:r>
            <w:r>
              <w:rPr>
                <w:rFonts w:hint="default" w:ascii="Times New Roman" w:hAnsi="Times New Roman" w:eastAsia="宋体" w:cs="Times New Roman"/>
                <w:sz w:val="21"/>
                <w:szCs w:val="21"/>
                <w:vertAlign w:val="baseline"/>
                <w:lang w:eastAsia="zh-CN"/>
              </w:rPr>
              <w:t>粉末</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灰白色粉末</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黏稠状</w:t>
            </w:r>
            <w:r>
              <w:rPr>
                <w:rFonts w:hint="default" w:ascii="Times New Roman" w:hAnsi="Times New Roman" w:eastAsia="宋体" w:cs="Times New Roman"/>
                <w:sz w:val="21"/>
                <w:szCs w:val="21"/>
                <w:vertAlign w:val="baseline"/>
                <w:lang w:eastAsia="zh-CN"/>
              </w:rPr>
              <w:t>液体</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无色透明液体</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无色至微黄色透明液体状态</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白色</w:t>
            </w:r>
            <w:r>
              <w:rPr>
                <w:rFonts w:hint="default" w:ascii="Times New Roman" w:hAnsi="Times New Roman" w:eastAsia="宋体" w:cs="Times New Roman"/>
                <w:sz w:val="21"/>
                <w:szCs w:val="21"/>
                <w:vertAlign w:val="baseline"/>
                <w:lang w:eastAsia="zh-CN"/>
              </w:rPr>
              <w:t>粉末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熔点</w:t>
            </w:r>
            <w:r>
              <w:rPr>
                <w:rFonts w:hint="default" w:ascii="Times New Roman" w:hAnsi="Times New Roman" w:eastAsia="宋体" w:cs="Times New Roman"/>
                <w:sz w:val="21"/>
                <w:szCs w:val="21"/>
                <w:vertAlign w:val="baseline"/>
              </w:rPr>
              <w:t>℃</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57-61</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800</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1750</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2~4</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38-44</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1339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沸点</w:t>
            </w:r>
            <w:r>
              <w:rPr>
                <w:rFonts w:hint="default" w:ascii="Times New Roman" w:hAnsi="Times New Roman" w:eastAsia="宋体" w:cs="Times New Roman"/>
                <w:sz w:val="21"/>
                <w:szCs w:val="21"/>
                <w:vertAlign w:val="baseline"/>
              </w:rPr>
              <w:t>℃</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200</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90</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392</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饱和蒸汽压</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18mmHg（21.1℃）</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9.02E-06mmHg（25℃）</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相对密度</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1.095</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2.7-2.8（</w:t>
            </w:r>
            <w:r>
              <w:rPr>
                <w:rFonts w:hint="default" w:ascii="Times New Roman" w:hAnsi="Times New Roman" w:eastAsia="宋体" w:cs="Times New Roman"/>
                <w:sz w:val="21"/>
                <w:szCs w:val="21"/>
                <w:vertAlign w:val="baseline"/>
              </w:rPr>
              <w:t>25</w:t>
            </w:r>
            <w:r>
              <w:rPr>
                <w:rFonts w:hint="default" w:ascii="Times New Roman" w:hAnsi="Times New Roman" w:eastAsia="宋体" w:cs="Times New Roman"/>
                <w:sz w:val="21"/>
                <w:szCs w:val="21"/>
                <w:vertAlign w:val="baseline"/>
                <w:lang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2.54～2.60</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1.069</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1.19</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溶解性</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能与冷</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"http://www.ichemistry.cn/chemistry/7732-18-5.htm"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水</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"http://www.ichemistry.cn/chemistry/64-17-5.htm"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乙醇</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"http://www.ichemistry.cn/chemistry/67-64-1.htm"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丙酮</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和</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"http://www.ichemistry.cn/chemistry/60-29-7.htm"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乙醚</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等有机溶剂互溶</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在水、</w:t>
            </w:r>
            <w:r>
              <w:rPr>
                <w:rFonts w:hint="eastAsia" w:cs="Times New Roman"/>
                <w:sz w:val="21"/>
                <w:szCs w:val="21"/>
                <w:vertAlign w:val="baseline"/>
                <w:lang w:eastAsia="zh-CN"/>
              </w:rPr>
              <w:t>稀硫酸</w:t>
            </w:r>
            <w:r>
              <w:rPr>
                <w:rFonts w:hint="default" w:ascii="Times New Roman" w:hAnsi="Times New Roman" w:eastAsia="宋体" w:cs="Times New Roman"/>
                <w:sz w:val="21"/>
                <w:szCs w:val="21"/>
                <w:vertAlign w:val="baseline"/>
                <w:lang w:eastAsia="zh-CN"/>
              </w:rPr>
              <w:t>或稀氢氧化碱溶液中均不溶解</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在水、</w:t>
            </w:r>
            <w:r>
              <w:rPr>
                <w:rFonts w:hint="eastAsia" w:cs="Times New Roman"/>
                <w:sz w:val="21"/>
                <w:szCs w:val="21"/>
                <w:vertAlign w:val="baseline"/>
                <w:lang w:eastAsia="zh-CN"/>
              </w:rPr>
              <w:t>稀硫酸</w:t>
            </w:r>
            <w:r>
              <w:rPr>
                <w:rFonts w:hint="default" w:ascii="Times New Roman" w:hAnsi="Times New Roman" w:eastAsia="宋体" w:cs="Times New Roman"/>
                <w:sz w:val="21"/>
                <w:szCs w:val="21"/>
                <w:vertAlign w:val="baseline"/>
                <w:lang w:eastAsia="zh-CN"/>
              </w:rPr>
              <w:t>或稀氢氧化碱溶液中均不溶解</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能溶于水</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不溶于水，溶于乙醇、乙醚等有机溶剂</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易溶于苯、氯仿</w:t>
            </w:r>
            <w:r>
              <w:rPr>
                <w:rFonts w:hint="default" w:ascii="Times New Roman" w:hAnsi="Times New Roman" w:eastAsia="宋体" w:cs="Times New Roman"/>
                <w:sz w:val="21"/>
                <w:szCs w:val="21"/>
                <w:vertAlign w:val="baseline"/>
                <w:lang w:eastAsia="zh-CN"/>
              </w:rPr>
              <w:t>等</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不溶于水</w:t>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rPr>
              <w:t>可溶于乙酸、盐酸等稀酸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危险性</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对眼睛、呼吸道和皮肤有刺激作用</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吸入有害</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高度易燃；有刺激性气味</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刺激眼睛和皮肤；</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刺激眼睛和皮肤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火灾危险</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闪点（</w:t>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lang w:eastAsia="zh-CN"/>
              </w:rPr>
              <w:t>）</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230</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65</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213</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138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爆炸极限</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急性毒性</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LC</w:t>
            </w:r>
            <w:r>
              <w:rPr>
                <w:rFonts w:hint="default" w:ascii="Times New Roman" w:hAnsi="Times New Roman" w:eastAsia="宋体" w:cs="Times New Roman"/>
                <w:sz w:val="21"/>
                <w:szCs w:val="21"/>
                <w:vertAlign w:val="subscript"/>
                <w:lang w:val="en-US" w:eastAsia="zh-CN"/>
              </w:rPr>
              <w:t>50</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600</w:t>
            </w:r>
            <w:r>
              <w:rPr>
                <w:rFonts w:hint="default" w:ascii="Times New Roman" w:hAnsi="Times New Roman" w:eastAsia="宋体" w:cs="Times New Roman"/>
                <w:sz w:val="21"/>
                <w:szCs w:val="21"/>
                <w:vertAlign w:val="baseline"/>
              </w:rPr>
              <w:t>0mg/kg</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LD</w:t>
            </w:r>
            <w:r>
              <w:rPr>
                <w:rFonts w:hint="default" w:ascii="Times New Roman" w:hAnsi="Times New Roman" w:eastAsia="宋体" w:cs="Times New Roman"/>
                <w:sz w:val="21"/>
                <w:szCs w:val="21"/>
                <w:vertAlign w:val="subscript"/>
                <w:lang w:val="en-US" w:eastAsia="zh-CN"/>
              </w:rPr>
              <w:t>50</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379.4</w:t>
            </w:r>
            <w:r>
              <w:rPr>
                <w:rFonts w:hint="default" w:ascii="Times New Roman" w:hAnsi="Times New Roman" w:eastAsia="宋体" w:cs="Times New Roman"/>
                <w:sz w:val="21"/>
                <w:szCs w:val="21"/>
                <w:vertAlign w:val="baseline"/>
              </w:rPr>
              <w:t>mg/</w:t>
            </w:r>
            <w:r>
              <w:rPr>
                <w:rFonts w:hint="default" w:ascii="Times New Roman" w:hAnsi="Times New Roman" w:eastAsia="宋体" w:cs="Times New Roman"/>
                <w:sz w:val="21"/>
                <w:szCs w:val="21"/>
                <w:vertAlign w:val="baseline"/>
                <w:lang w:val="en-US" w:eastAsia="zh-CN"/>
              </w:rPr>
              <w:t>k</w:t>
            </w:r>
            <w:r>
              <w:rPr>
                <w:rFonts w:hint="default" w:ascii="Times New Roman" w:hAnsi="Times New Roman" w:eastAsia="宋体" w:cs="Times New Roman"/>
                <w:sz w:val="21"/>
                <w:szCs w:val="21"/>
                <w:vertAlign w:val="baseline"/>
              </w:rPr>
              <w:t>g</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1300</w:t>
            </w:r>
            <w:r>
              <w:rPr>
                <w:rFonts w:hint="default" w:ascii="Times New Roman" w:hAnsi="Times New Roman" w:eastAsia="宋体" w:cs="Times New Roman"/>
                <w:sz w:val="21"/>
                <w:szCs w:val="21"/>
                <w:vertAlign w:val="baseline"/>
              </w:rPr>
              <w:t>0mg/kg</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6450mg/</w:t>
            </w:r>
            <w:r>
              <w:rPr>
                <w:rFonts w:hint="default" w:ascii="Times New Roman" w:hAnsi="Times New Roman" w:eastAsia="宋体" w:cs="Times New Roman"/>
                <w:sz w:val="21"/>
                <w:szCs w:val="21"/>
                <w:vertAlign w:val="baseline"/>
                <w:lang w:val="en-US" w:eastAsia="zh-CN"/>
              </w:rPr>
              <w:t>k</w:t>
            </w:r>
            <w:r>
              <w:rPr>
                <w:rFonts w:hint="default" w:ascii="Times New Roman" w:hAnsi="Times New Roman" w:eastAsia="宋体" w:cs="Times New Roman"/>
                <w:sz w:val="21"/>
                <w:szCs w:val="21"/>
                <w:vertAlign w:val="baseline"/>
              </w:rPr>
              <w:t>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lang w:eastAsia="zh-CN"/>
              </w:rPr>
            </w:pPr>
            <w:r>
              <w:rPr>
                <w:rFonts w:hint="default" w:ascii="Times New Roman" w:hAnsi="Times New Roman" w:eastAsia="宋体" w:cs="Times New Roman"/>
                <w:b/>
                <w:bCs/>
                <w:sz w:val="21"/>
                <w:szCs w:val="21"/>
                <w:vertAlign w:val="baseline"/>
                <w:lang w:eastAsia="zh-CN"/>
              </w:rPr>
              <w:t>物质名称</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聚乙烯</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丁苯乳胶</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PP底布</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聚乙烯</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环保增塑剂</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氯化石蜡</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甲苯二异氰酸酯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成分</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线性低密度聚乙烯</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丁二烯-苯乙烯共聚物</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b w:val="0"/>
                <w:bCs w:val="0"/>
                <w:sz w:val="21"/>
                <w:szCs w:val="21"/>
                <w:vertAlign w:val="baseline"/>
              </w:rPr>
              <w:t>PP</w:t>
            </w:r>
            <w:r>
              <w:rPr>
                <w:rFonts w:hint="default" w:ascii="Times New Roman" w:hAnsi="Times New Roman" w:eastAsia="宋体" w:cs="Times New Roman"/>
                <w:b w:val="0"/>
                <w:bCs w:val="0"/>
                <w:sz w:val="21"/>
                <w:szCs w:val="21"/>
                <w:vertAlign w:val="baseline"/>
                <w:lang w:eastAsia="zh-CN"/>
              </w:rPr>
              <w:t>材质无纺布</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线性低密度聚乙烯</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己二酸二异辛酯</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C10～C30不同碳数的直链烷烃经氯气进行自由基反应而成的氯化衍生物的混合物</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甲苯二异氰酸酯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CAS号</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9002-88-4</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9002-88-4</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1330-86-5</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63449-39-8</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584-84-9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化学式</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eastAsia="zh-CN"/>
              </w:rPr>
              <w:t>（C</w:t>
            </w:r>
            <w:r>
              <w:rPr>
                <w:rFonts w:hint="default" w:ascii="Times New Roman" w:hAnsi="Times New Roman" w:eastAsia="宋体" w:cs="Times New Roman"/>
                <w:sz w:val="21"/>
                <w:szCs w:val="21"/>
                <w:vertAlign w:val="subscript"/>
                <w:lang w:eastAsia="zh-CN"/>
              </w:rPr>
              <w:t>2</w:t>
            </w:r>
            <w:r>
              <w:rPr>
                <w:rFonts w:hint="default" w:ascii="Times New Roman" w:hAnsi="Times New Roman" w:eastAsia="宋体" w:cs="Times New Roman"/>
                <w:sz w:val="21"/>
                <w:szCs w:val="21"/>
                <w:vertAlign w:val="baseline"/>
                <w:lang w:eastAsia="zh-CN"/>
              </w:rPr>
              <w:t>H</w:t>
            </w:r>
            <w:r>
              <w:rPr>
                <w:rFonts w:hint="default" w:ascii="Times New Roman" w:hAnsi="Times New Roman" w:eastAsia="宋体" w:cs="Times New Roman"/>
                <w:sz w:val="21"/>
                <w:szCs w:val="21"/>
                <w:vertAlign w:val="subscript"/>
                <w:lang w:eastAsia="zh-CN"/>
              </w:rPr>
              <w:t>4</w:t>
            </w:r>
            <w:r>
              <w:rPr>
                <w:rFonts w:hint="default" w:ascii="Times New Roman" w:hAnsi="Times New Roman" w:eastAsia="宋体" w:cs="Times New Roman"/>
                <w:sz w:val="21"/>
                <w:szCs w:val="21"/>
                <w:vertAlign w:val="baseline"/>
                <w:lang w:eastAsia="zh-CN"/>
              </w:rPr>
              <w:t>）n</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（C</w:t>
            </w:r>
            <w:r>
              <w:rPr>
                <w:rFonts w:hint="default" w:ascii="Times New Roman" w:hAnsi="Times New Roman" w:eastAsia="宋体" w:cs="Times New Roman"/>
                <w:sz w:val="21"/>
                <w:szCs w:val="21"/>
                <w:vertAlign w:val="subscript"/>
                <w:lang w:eastAsia="zh-CN"/>
              </w:rPr>
              <w:t>2</w:t>
            </w:r>
            <w:r>
              <w:rPr>
                <w:rFonts w:hint="default" w:ascii="Times New Roman" w:hAnsi="Times New Roman" w:eastAsia="宋体" w:cs="Times New Roman"/>
                <w:sz w:val="21"/>
                <w:szCs w:val="21"/>
                <w:vertAlign w:val="baseline"/>
                <w:lang w:eastAsia="zh-CN"/>
              </w:rPr>
              <w:t>H</w:t>
            </w:r>
            <w:r>
              <w:rPr>
                <w:rFonts w:hint="default" w:ascii="Times New Roman" w:hAnsi="Times New Roman" w:eastAsia="宋体" w:cs="Times New Roman"/>
                <w:sz w:val="21"/>
                <w:szCs w:val="21"/>
                <w:vertAlign w:val="subscript"/>
                <w:lang w:eastAsia="zh-CN"/>
              </w:rPr>
              <w:t>4</w:t>
            </w:r>
            <w:r>
              <w:rPr>
                <w:rFonts w:hint="default" w:ascii="Times New Roman" w:hAnsi="Times New Roman" w:eastAsia="宋体" w:cs="Times New Roman"/>
                <w:sz w:val="21"/>
                <w:szCs w:val="21"/>
                <w:vertAlign w:val="baseline"/>
                <w:lang w:eastAsia="zh-CN"/>
              </w:rPr>
              <w:t>）n</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C</w:t>
            </w:r>
            <w:r>
              <w:rPr>
                <w:rFonts w:hint="default" w:ascii="Times New Roman" w:hAnsi="Times New Roman" w:eastAsia="宋体" w:cs="Times New Roman"/>
                <w:sz w:val="21"/>
                <w:szCs w:val="21"/>
                <w:vertAlign w:val="subscript"/>
                <w:lang w:val="en-US" w:eastAsia="zh-CN"/>
              </w:rPr>
              <w:t>22</w:t>
            </w:r>
            <w:r>
              <w:rPr>
                <w:rFonts w:hint="default" w:ascii="Times New Roman" w:hAnsi="Times New Roman" w:eastAsia="宋体" w:cs="Times New Roman"/>
                <w:sz w:val="21"/>
                <w:szCs w:val="21"/>
                <w:vertAlign w:val="baseline"/>
                <w:lang w:val="en-US" w:eastAsia="zh-CN"/>
              </w:rPr>
              <w:t>H</w:t>
            </w:r>
            <w:r>
              <w:rPr>
                <w:rFonts w:hint="default" w:ascii="Times New Roman" w:hAnsi="Times New Roman" w:eastAsia="宋体" w:cs="Times New Roman"/>
                <w:sz w:val="21"/>
                <w:szCs w:val="21"/>
                <w:vertAlign w:val="subscript"/>
                <w:lang w:val="en-US" w:eastAsia="zh-CN"/>
              </w:rPr>
              <w:t>42</w:t>
            </w:r>
            <w:r>
              <w:rPr>
                <w:rFonts w:hint="default" w:ascii="Times New Roman" w:hAnsi="Times New Roman" w:eastAsia="宋体" w:cs="Times New Roman"/>
                <w:sz w:val="21"/>
                <w:szCs w:val="21"/>
                <w:vertAlign w:val="baseline"/>
                <w:lang w:val="en-US" w:eastAsia="zh-CN"/>
              </w:rPr>
              <w:t>O</w:t>
            </w:r>
            <w:r>
              <w:rPr>
                <w:rFonts w:hint="default" w:ascii="Times New Roman" w:hAnsi="Times New Roman" w:eastAsia="宋体" w:cs="Times New Roman"/>
                <w:sz w:val="21"/>
                <w:szCs w:val="21"/>
                <w:vertAlign w:val="subscript"/>
                <w:lang w:val="en-US" w:eastAsia="zh-CN"/>
              </w:rPr>
              <w:t>4</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C</w:t>
            </w:r>
            <w:r>
              <w:rPr>
                <w:rFonts w:hint="default" w:ascii="Times New Roman" w:hAnsi="Times New Roman" w:eastAsia="宋体" w:cs="Times New Roman"/>
                <w:sz w:val="21"/>
                <w:szCs w:val="21"/>
                <w:vertAlign w:val="subscript"/>
                <w:lang w:val="en-US" w:eastAsia="zh-CN"/>
              </w:rPr>
              <w:t>24</w:t>
            </w:r>
            <w:r>
              <w:rPr>
                <w:rFonts w:hint="default" w:ascii="Times New Roman" w:hAnsi="Times New Roman" w:eastAsia="宋体" w:cs="Times New Roman"/>
                <w:sz w:val="21"/>
                <w:szCs w:val="21"/>
                <w:vertAlign w:val="baseline"/>
                <w:lang w:val="en-US" w:eastAsia="zh-CN"/>
              </w:rPr>
              <w:t>H</w:t>
            </w:r>
            <w:r>
              <w:rPr>
                <w:rFonts w:hint="default" w:ascii="Times New Roman" w:hAnsi="Times New Roman" w:eastAsia="宋体" w:cs="Times New Roman"/>
                <w:sz w:val="21"/>
                <w:szCs w:val="21"/>
                <w:vertAlign w:val="subscript"/>
                <w:lang w:val="en-US" w:eastAsia="zh-CN"/>
              </w:rPr>
              <w:t>30</w:t>
            </w:r>
            <w:r>
              <w:rPr>
                <w:rFonts w:hint="default" w:ascii="Times New Roman" w:hAnsi="Times New Roman" w:eastAsia="宋体" w:cs="Times New Roman"/>
                <w:sz w:val="21"/>
                <w:szCs w:val="21"/>
                <w:vertAlign w:val="baseline"/>
                <w:lang w:val="en-US" w:eastAsia="zh-CN"/>
              </w:rPr>
              <w:t>Cl</w:t>
            </w:r>
            <w:r>
              <w:rPr>
                <w:rFonts w:hint="default" w:ascii="Times New Roman" w:hAnsi="Times New Roman" w:eastAsia="宋体" w:cs="Times New Roman"/>
                <w:sz w:val="21"/>
                <w:szCs w:val="21"/>
                <w:vertAlign w:val="subscript"/>
                <w:lang w:val="en-US" w:eastAsia="zh-CN"/>
              </w:rPr>
              <w:t>20</w:t>
            </w:r>
            <w:r>
              <w:rPr>
                <w:rFonts w:hint="default" w:ascii="Times New Roman" w:hAnsi="Times New Roman" w:eastAsia="宋体" w:cs="Times New Roman"/>
                <w:sz w:val="21"/>
                <w:szCs w:val="21"/>
                <w:vertAlign w:val="baseline"/>
                <w:lang w:val="en-US" w:eastAsia="zh-CN"/>
              </w:rPr>
              <w:t>-C</w:t>
            </w:r>
            <w:r>
              <w:rPr>
                <w:rFonts w:hint="default" w:ascii="Times New Roman" w:hAnsi="Times New Roman" w:eastAsia="宋体" w:cs="Times New Roman"/>
                <w:sz w:val="21"/>
                <w:szCs w:val="21"/>
                <w:vertAlign w:val="subscript"/>
                <w:lang w:val="en-US" w:eastAsia="zh-CN"/>
              </w:rPr>
              <w:t>15</w:t>
            </w:r>
            <w:r>
              <w:rPr>
                <w:rFonts w:hint="default" w:ascii="Times New Roman" w:hAnsi="Times New Roman" w:eastAsia="宋体" w:cs="Times New Roman"/>
                <w:sz w:val="21"/>
                <w:szCs w:val="21"/>
                <w:vertAlign w:val="baseline"/>
                <w:lang w:val="en-US" w:eastAsia="zh-CN"/>
              </w:rPr>
              <w:t>H</w:t>
            </w:r>
            <w:r>
              <w:rPr>
                <w:rFonts w:hint="default" w:ascii="Times New Roman" w:hAnsi="Times New Roman" w:eastAsia="宋体" w:cs="Times New Roman"/>
                <w:sz w:val="21"/>
                <w:szCs w:val="21"/>
                <w:vertAlign w:val="subscript"/>
                <w:lang w:val="en-US" w:eastAsia="zh-CN"/>
              </w:rPr>
              <w:t>14</w:t>
            </w:r>
            <w:r>
              <w:rPr>
                <w:rFonts w:hint="default" w:ascii="Times New Roman" w:hAnsi="Times New Roman" w:eastAsia="宋体" w:cs="Times New Roman"/>
                <w:sz w:val="21"/>
                <w:szCs w:val="21"/>
                <w:vertAlign w:val="baseline"/>
                <w:lang w:val="en-US" w:eastAsia="zh-CN"/>
              </w:rPr>
              <w:t>Cl</w:t>
            </w:r>
            <w:r>
              <w:rPr>
                <w:rFonts w:hint="default" w:ascii="Times New Roman" w:hAnsi="Times New Roman" w:eastAsia="宋体" w:cs="Times New Roman"/>
                <w:sz w:val="21"/>
                <w:szCs w:val="21"/>
                <w:vertAlign w:val="subscript"/>
                <w:lang w:val="en-US" w:eastAsia="zh-CN"/>
              </w:rPr>
              <w:t>18</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C</w:t>
            </w:r>
            <w:r>
              <w:rPr>
                <w:rFonts w:hint="default" w:ascii="Times New Roman" w:hAnsi="Times New Roman" w:eastAsia="宋体" w:cs="Times New Roman"/>
                <w:sz w:val="21"/>
                <w:szCs w:val="21"/>
                <w:u w:val="none"/>
                <w:vertAlign w:val="subscript"/>
              </w:rPr>
              <w:t>9</w:t>
            </w:r>
            <w:r>
              <w:rPr>
                <w:rFonts w:hint="default" w:ascii="Times New Roman" w:hAnsi="Times New Roman" w:eastAsia="宋体" w:cs="Times New Roman"/>
                <w:sz w:val="21"/>
                <w:szCs w:val="21"/>
                <w:u w:val="none"/>
              </w:rPr>
              <w:t>H</w:t>
            </w:r>
            <w:r>
              <w:rPr>
                <w:rFonts w:hint="default" w:ascii="Times New Roman" w:hAnsi="Times New Roman" w:eastAsia="宋体" w:cs="Times New Roman"/>
                <w:sz w:val="21"/>
                <w:szCs w:val="21"/>
                <w:u w:val="none"/>
                <w:vertAlign w:val="subscript"/>
              </w:rPr>
              <w:t>6</w:t>
            </w:r>
            <w:r>
              <w:rPr>
                <w:rFonts w:hint="default" w:ascii="Times New Roman" w:hAnsi="Times New Roman" w:eastAsia="宋体" w:cs="Times New Roman"/>
                <w:sz w:val="21"/>
                <w:szCs w:val="21"/>
                <w:u w:val="none"/>
              </w:rPr>
              <w:t>N</w:t>
            </w:r>
            <w:r>
              <w:rPr>
                <w:rFonts w:hint="default" w:ascii="Times New Roman" w:hAnsi="Times New Roman" w:eastAsia="宋体" w:cs="Times New Roman"/>
                <w:sz w:val="21"/>
                <w:szCs w:val="21"/>
                <w:u w:val="none"/>
                <w:vertAlign w:val="subscript"/>
              </w:rPr>
              <w:t>2</w:t>
            </w:r>
            <w:r>
              <w:rPr>
                <w:rFonts w:hint="default" w:ascii="Times New Roman" w:hAnsi="Times New Roman" w:eastAsia="宋体" w:cs="Times New Roman"/>
                <w:sz w:val="21"/>
                <w:szCs w:val="21"/>
                <w:u w:val="none"/>
              </w:rPr>
              <w:t>O</w:t>
            </w:r>
            <w:r>
              <w:rPr>
                <w:rFonts w:hint="default" w:ascii="Times New Roman" w:hAnsi="Times New Roman" w:eastAsia="宋体" w:cs="Times New Roman"/>
                <w:sz w:val="21"/>
                <w:szCs w:val="21"/>
                <w:u w:val="none"/>
                <w:vertAlign w:val="sub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分子量</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28.05316~</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28.05316~</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370.57</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174.156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理化性质</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外观与性状</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白色粒状</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乳白色水分散体</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织布</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白色粒状</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无色澄清透明液体</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kern w:val="21"/>
                <w:sz w:val="21"/>
                <w:szCs w:val="21"/>
                <w:u w:val="none"/>
                <w:lang w:eastAsia="zh-CN"/>
              </w:rPr>
              <w:t>油状</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无色透明或淡黄色易燃液体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熔点</w:t>
            </w:r>
            <w:r>
              <w:rPr>
                <w:rFonts w:hint="default" w:ascii="Times New Roman" w:hAnsi="Times New Roman" w:eastAsia="宋体" w:cs="Times New Roman"/>
                <w:sz w:val="21"/>
                <w:szCs w:val="21"/>
                <w:vertAlign w:val="baseline"/>
              </w:rPr>
              <w:t>℃</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117～130</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117～130</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-67</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-30</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20-22℃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沸点</w:t>
            </w:r>
            <w:r>
              <w:rPr>
                <w:rFonts w:hint="default" w:ascii="Times New Roman" w:hAnsi="Times New Roman" w:eastAsia="宋体" w:cs="Times New Roman"/>
                <w:sz w:val="21"/>
                <w:szCs w:val="21"/>
                <w:vertAlign w:val="baseline"/>
              </w:rPr>
              <w:t>℃</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48～110</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48～110</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214</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413～508</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247℃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饱和蒸汽压</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相对密度</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0.92～0.93</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0.92～0.93</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0.927</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1.22～1.26</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1.22g/mL(25℃)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溶解性</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不溶于</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"http://www.ichemistry.cn/chemistry/7732-18-5.htm"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水</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"http://www.ichemistry.cn/chemistry/56-81-5.htm"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甘油</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、冷</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"http://www.ichemistry.cn/chemistry/64-17-5.htm"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乙醇</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"http://www.ichemistry.cn/chemistry/71-43-2.htm"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苯</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"http://www.ichemistry.cn/chemistry/60-29-7.htm"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乙醚</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"http://www.ichemistry.cn/chemistry/67-66-3.htm"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氯仿</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"http://www.ichemistry.cn/cas/.B6.FE.C1.F2.BB.AF.CC.BC"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二硫化碳</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、热乙</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"http://www.ichemistry.cn/cas/.B4.BC"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醇</w:t>
            </w:r>
            <w:r>
              <w:rPr>
                <w:rFonts w:hint="default" w:ascii="Times New Roman" w:hAnsi="Times New Roman" w:eastAsia="宋体" w:cs="Times New Roman"/>
                <w:sz w:val="21"/>
                <w:szCs w:val="21"/>
                <w:vertAlign w:val="baseline"/>
                <w:lang w:eastAsia="zh-CN"/>
              </w:rPr>
              <w:fldChar w:fldCharType="end"/>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不溶于</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"http://www.ichemistry.cn/chemistry/7732-18-5.htm"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水</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"http://www.ichemistry.cn/chemistry/56-81-5.htm"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甘油</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、冷</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"http://www.ichemistry.cn/chemistry/64-17-5.htm" \t "http://www.ichemistry.cn/chemistry/_blank"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乙醇</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"http://www.ichemistry.cn/chemistry/71-43-2.htm"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苯</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"http://www.ichemistry.cn/chemistry/60-29-7.htm"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乙醚</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"http://www.ichemistry.cn/chemistry/67-66-3.htm"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氯仿</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"http://www.ichemistry.cn/cas/.B6.FE.C1.F2.BB.AF.CC.BC"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二硫化碳</w:t>
            </w:r>
            <w:r>
              <w:rPr>
                <w:rFonts w:hint="default" w:ascii="Times New Roman" w:hAnsi="Times New Roman" w:eastAsia="宋体" w:cs="Times New Roman"/>
                <w:sz w:val="21"/>
                <w:szCs w:val="21"/>
                <w:vertAlign w:val="baseline"/>
                <w:lang w:eastAsia="zh-CN"/>
              </w:rPr>
              <w:fldChar w:fldCharType="end"/>
            </w:r>
            <w:r>
              <w:rPr>
                <w:rFonts w:hint="default" w:ascii="Times New Roman" w:hAnsi="Times New Roman" w:eastAsia="宋体" w:cs="Times New Roman"/>
                <w:sz w:val="21"/>
                <w:szCs w:val="21"/>
                <w:vertAlign w:val="baseline"/>
                <w:lang w:eastAsia="zh-CN"/>
              </w:rPr>
              <w:t>、热乙</w:t>
            </w:r>
            <w:r>
              <w:rPr>
                <w:rFonts w:hint="default" w:ascii="Times New Roman" w:hAnsi="Times New Roman" w:eastAsia="宋体" w:cs="Times New Roman"/>
                <w:sz w:val="21"/>
                <w:szCs w:val="21"/>
                <w:vertAlign w:val="baseline"/>
                <w:lang w:eastAsia="zh-CN"/>
              </w:rPr>
              <w:fldChar w:fldCharType="begin"/>
            </w:r>
            <w:r>
              <w:rPr>
                <w:rFonts w:hint="default" w:ascii="Times New Roman" w:hAnsi="Times New Roman" w:eastAsia="宋体" w:cs="Times New Roman"/>
                <w:sz w:val="21"/>
                <w:szCs w:val="21"/>
                <w:vertAlign w:val="baseline"/>
                <w:lang w:eastAsia="zh-CN"/>
              </w:rPr>
              <w:instrText xml:space="preserve"> HYPERLINK "http://www.ichemistry.cn/cas/.B4.BC" \t "http://www.ichemistry.cn/chemistry/_blank" </w:instrText>
            </w:r>
            <w:r>
              <w:rPr>
                <w:rFonts w:hint="default" w:ascii="Times New Roman" w:hAnsi="Times New Roman" w:eastAsia="宋体" w:cs="Times New Roman"/>
                <w:sz w:val="21"/>
                <w:szCs w:val="21"/>
                <w:vertAlign w:val="baseline"/>
                <w:lang w:eastAsia="zh-CN"/>
              </w:rPr>
              <w:fldChar w:fldCharType="separate"/>
            </w:r>
            <w:r>
              <w:rPr>
                <w:rFonts w:hint="default" w:ascii="Times New Roman" w:hAnsi="Times New Roman" w:eastAsia="宋体" w:cs="Times New Roman"/>
                <w:sz w:val="21"/>
                <w:szCs w:val="21"/>
                <w:vertAlign w:val="baseline"/>
                <w:lang w:eastAsia="zh-CN"/>
              </w:rPr>
              <w:t>醇</w:t>
            </w:r>
            <w:r>
              <w:rPr>
                <w:rFonts w:hint="default" w:ascii="Times New Roman" w:hAnsi="Times New Roman" w:eastAsia="宋体" w:cs="Times New Roman"/>
                <w:sz w:val="21"/>
                <w:szCs w:val="21"/>
                <w:vertAlign w:val="baseline"/>
                <w:lang w:eastAsia="zh-CN"/>
              </w:rPr>
              <w:fldChar w:fldCharType="end"/>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不溶于水</w:t>
            </w:r>
            <w:r>
              <w:rPr>
                <w:rFonts w:hint="default" w:ascii="Times New Roman" w:hAnsi="Times New Roman" w:eastAsia="宋体" w:cs="Times New Roman"/>
                <w:sz w:val="21"/>
                <w:szCs w:val="21"/>
                <w:vertAlign w:val="baseline"/>
                <w:lang w:eastAsia="zh-CN"/>
              </w:rPr>
              <w:t>，</w:t>
            </w:r>
            <w:r>
              <w:rPr>
                <w:rFonts w:hint="default" w:ascii="Times New Roman" w:hAnsi="Times New Roman" w:eastAsia="宋体" w:cs="Times New Roman"/>
                <w:sz w:val="21"/>
                <w:szCs w:val="21"/>
                <w:vertAlign w:val="baseline"/>
              </w:rPr>
              <w:t>可溶于甲醇、乙醇、</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"https://baike.so.com/doc/6744681-6959224.html" \t "https://baike.so.com/doc/_blank"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乙醚</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等</w:t>
            </w:r>
            <w:r>
              <w:rPr>
                <w:rFonts w:hint="default" w:ascii="Times New Roman" w:hAnsi="Times New Roman" w:eastAsia="宋体" w:cs="Times New Roman"/>
                <w:sz w:val="21"/>
                <w:szCs w:val="21"/>
                <w:vertAlign w:val="baseline"/>
                <w:lang w:eastAsia="zh-CN"/>
              </w:rPr>
              <w:t>有机溶剂</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溶于苯、</w:t>
            </w: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"https://baike.so.com/doc/1396101-1475990.html" \t "https://baike.so.com/doc/_blank"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醚</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，微溶于醇，不溶于水</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危险性</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无毒</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无毒</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无毒</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eastAsia="zh-CN"/>
              </w:rPr>
              <w:t>低毒</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毒性极低</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火灾危险</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闪点（</w:t>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lang w:eastAsia="zh-CN"/>
              </w:rPr>
              <w:t>）</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270</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270</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rPr>
              <w:t>168.9</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110.5℃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爆炸极限</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0.02ppm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急性毒性</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LC</w:t>
            </w:r>
            <w:r>
              <w:rPr>
                <w:rFonts w:hint="default" w:ascii="Times New Roman" w:hAnsi="Times New Roman" w:eastAsia="宋体" w:cs="Times New Roman"/>
                <w:sz w:val="21"/>
                <w:szCs w:val="21"/>
                <w:vertAlign w:val="subscript"/>
                <w:lang w:val="en-US" w:eastAsia="zh-CN"/>
              </w:rPr>
              <w:t>50</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9100</w:t>
            </w:r>
            <w:r>
              <w:rPr>
                <w:rFonts w:hint="default" w:ascii="Times New Roman" w:hAnsi="Times New Roman" w:eastAsia="宋体" w:cs="Times New Roman"/>
                <w:sz w:val="21"/>
                <w:szCs w:val="21"/>
                <w:vertAlign w:val="baseline"/>
              </w:rPr>
              <w:t>mg/</w:t>
            </w:r>
            <w:r>
              <w:rPr>
                <w:rFonts w:hint="default" w:ascii="Times New Roman" w:hAnsi="Times New Roman" w:eastAsia="宋体" w:cs="Times New Roman"/>
                <w:sz w:val="21"/>
                <w:szCs w:val="21"/>
                <w:vertAlign w:val="baseline"/>
                <w:lang w:val="en-US" w:eastAsia="zh-CN"/>
              </w:rPr>
              <w:t>k</w:t>
            </w:r>
            <w:r>
              <w:rPr>
                <w:rFonts w:hint="default" w:ascii="Times New Roman" w:hAnsi="Times New Roman" w:eastAsia="宋体" w:cs="Times New Roman"/>
                <w:sz w:val="21"/>
                <w:szCs w:val="21"/>
                <w:vertAlign w:val="baseline"/>
              </w:rPr>
              <w:t>g</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610mg/m</w:t>
            </w:r>
            <w:r>
              <w:rPr>
                <w:rFonts w:hint="default" w:ascii="Times New Roman" w:hAnsi="Times New Roman" w:eastAsia="宋体" w:cs="Times New Roman"/>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LD</w:t>
            </w:r>
            <w:r>
              <w:rPr>
                <w:rFonts w:hint="default" w:ascii="Times New Roman" w:hAnsi="Times New Roman" w:eastAsia="宋体" w:cs="Times New Roman"/>
                <w:sz w:val="21"/>
                <w:szCs w:val="21"/>
                <w:vertAlign w:val="subscript"/>
                <w:lang w:val="en-US" w:eastAsia="zh-CN"/>
              </w:rPr>
              <w:t>50</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900</w:t>
            </w:r>
            <w:r>
              <w:rPr>
                <w:rFonts w:hint="default" w:ascii="Times New Roman" w:hAnsi="Times New Roman" w:eastAsia="宋体" w:cs="Times New Roman"/>
                <w:sz w:val="21"/>
                <w:szCs w:val="21"/>
                <w:vertAlign w:val="baseline"/>
              </w:rPr>
              <w:t>mg/</w:t>
            </w:r>
            <w:r>
              <w:rPr>
                <w:rFonts w:hint="default" w:ascii="Times New Roman" w:hAnsi="Times New Roman" w:eastAsia="宋体" w:cs="Times New Roman"/>
                <w:sz w:val="21"/>
                <w:szCs w:val="21"/>
                <w:vertAlign w:val="baseline"/>
                <w:lang w:val="en-US" w:eastAsia="zh-CN"/>
              </w:rPr>
              <w:t>k</w:t>
            </w:r>
            <w:r>
              <w:rPr>
                <w:rFonts w:hint="default" w:ascii="Times New Roman" w:hAnsi="Times New Roman" w:eastAsia="宋体" w:cs="Times New Roman"/>
                <w:sz w:val="21"/>
                <w:szCs w:val="21"/>
                <w:vertAlign w:val="baseline"/>
              </w:rPr>
              <w:t>g</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5800mg/kg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lang w:eastAsia="zh-CN"/>
              </w:rPr>
            </w:pPr>
            <w:r>
              <w:rPr>
                <w:rFonts w:hint="default" w:ascii="Times New Roman" w:hAnsi="Times New Roman" w:eastAsia="宋体" w:cs="Times New Roman"/>
                <w:b/>
                <w:bCs/>
                <w:sz w:val="21"/>
                <w:szCs w:val="21"/>
                <w:vertAlign w:val="baseline"/>
                <w:lang w:eastAsia="zh-CN"/>
              </w:rPr>
              <w:t>物质名称</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二苯基甲烷二异氰酸酯</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有机锡催化剂</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羟基丙烯酸乳液</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成膜助剂</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钛白粉</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丙烯酸</w:t>
            </w: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u w:val="single"/>
              </w:rPr>
              <w:t>甲基丙烯酸甲酯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成分</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b w:val="0"/>
                <w:bCs w:val="0"/>
                <w:sz w:val="21"/>
                <w:szCs w:val="21"/>
                <w:u w:val="none"/>
              </w:rPr>
              <w:t>二苯基甲烷二异氰酸酯</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b w:val="0"/>
                <w:bCs w:val="0"/>
                <w:sz w:val="21"/>
                <w:szCs w:val="21"/>
                <w:u w:val="none"/>
              </w:rPr>
              <w:fldChar w:fldCharType="begin"/>
            </w:r>
            <w:r>
              <w:rPr>
                <w:rFonts w:hint="default" w:ascii="Times New Roman" w:hAnsi="Times New Roman" w:eastAsia="宋体" w:cs="Times New Roman"/>
                <w:b w:val="0"/>
                <w:bCs w:val="0"/>
                <w:sz w:val="21"/>
                <w:szCs w:val="21"/>
                <w:u w:val="none"/>
              </w:rPr>
              <w:instrText xml:space="preserve"> HYPERLINK "https://baike.so.com/doc/2537182-2680217.html" \t "https://baike.so.com/doc/_blank" </w:instrText>
            </w:r>
            <w:r>
              <w:rPr>
                <w:rFonts w:hint="default" w:ascii="Times New Roman" w:hAnsi="Times New Roman" w:eastAsia="宋体" w:cs="Times New Roman"/>
                <w:b w:val="0"/>
                <w:bCs w:val="0"/>
                <w:sz w:val="21"/>
                <w:szCs w:val="21"/>
                <w:u w:val="none"/>
              </w:rPr>
              <w:fldChar w:fldCharType="separate"/>
            </w:r>
            <w:r>
              <w:rPr>
                <w:rFonts w:hint="default" w:ascii="Times New Roman" w:hAnsi="Times New Roman" w:eastAsia="宋体" w:cs="Times New Roman"/>
                <w:b w:val="0"/>
                <w:bCs w:val="0"/>
                <w:sz w:val="21"/>
                <w:szCs w:val="21"/>
                <w:u w:val="none"/>
              </w:rPr>
              <w:t>锡</w:t>
            </w:r>
            <w:r>
              <w:rPr>
                <w:rFonts w:hint="default" w:ascii="Times New Roman" w:hAnsi="Times New Roman" w:eastAsia="宋体" w:cs="Times New Roman"/>
                <w:b w:val="0"/>
                <w:bCs w:val="0"/>
                <w:sz w:val="21"/>
                <w:szCs w:val="21"/>
                <w:u w:val="none"/>
              </w:rPr>
              <w:fldChar w:fldCharType="end"/>
            </w:r>
            <w:r>
              <w:rPr>
                <w:rFonts w:hint="default" w:ascii="Times New Roman" w:hAnsi="Times New Roman" w:eastAsia="宋体" w:cs="Times New Roman"/>
                <w:b w:val="0"/>
                <w:bCs w:val="0"/>
                <w:sz w:val="21"/>
                <w:szCs w:val="21"/>
                <w:u w:val="none"/>
              </w:rPr>
              <w:t>和碳元素直接结合所形成的金属有机化合物</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val="en-US" w:eastAsia="zh-CN"/>
              </w:rPr>
              <w:t>乳胶漆基料，其中单体丙烯酸含量约为0.02%</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十二碳醇酯</w:t>
            </w: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二氧化钛</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丙烯酸</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b w:val="0"/>
                <w:bCs w:val="0"/>
                <w:sz w:val="21"/>
                <w:szCs w:val="21"/>
                <w:u w:val="none"/>
              </w:rPr>
              <w:t>甲基丙烯酸甲酯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CAS号</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101-68-8</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rPr>
              <w:t>25265-77-4</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vertAlign w:val="baseline"/>
                <w:lang w:eastAsia="zh-CN"/>
              </w:rPr>
              <w:t>1317-80-2</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79-10-7</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80-62-6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化学式</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C</w:t>
            </w:r>
            <w:r>
              <w:rPr>
                <w:rFonts w:hint="default" w:ascii="Times New Roman" w:hAnsi="Times New Roman" w:eastAsia="宋体" w:cs="Times New Roman"/>
                <w:sz w:val="21"/>
                <w:szCs w:val="21"/>
                <w:u w:val="none"/>
                <w:vertAlign w:val="subscript"/>
              </w:rPr>
              <w:t>15</w:t>
            </w:r>
            <w:r>
              <w:rPr>
                <w:rFonts w:hint="default" w:ascii="Times New Roman" w:hAnsi="Times New Roman" w:eastAsia="宋体" w:cs="Times New Roman"/>
                <w:sz w:val="21"/>
                <w:szCs w:val="21"/>
                <w:u w:val="none"/>
              </w:rPr>
              <w:t>H</w:t>
            </w:r>
            <w:r>
              <w:rPr>
                <w:rFonts w:hint="default" w:ascii="Times New Roman" w:hAnsi="Times New Roman" w:eastAsia="宋体" w:cs="Times New Roman"/>
                <w:sz w:val="21"/>
                <w:szCs w:val="21"/>
                <w:u w:val="none"/>
                <w:vertAlign w:val="subscript"/>
              </w:rPr>
              <w:t>10</w:t>
            </w:r>
            <w:r>
              <w:rPr>
                <w:rFonts w:hint="default" w:ascii="Times New Roman" w:hAnsi="Times New Roman" w:eastAsia="宋体" w:cs="Times New Roman"/>
                <w:sz w:val="21"/>
                <w:szCs w:val="21"/>
                <w:u w:val="none"/>
              </w:rPr>
              <w:t>N</w:t>
            </w:r>
            <w:r>
              <w:rPr>
                <w:rFonts w:hint="default" w:ascii="Times New Roman" w:hAnsi="Times New Roman" w:eastAsia="宋体" w:cs="Times New Roman"/>
                <w:sz w:val="21"/>
                <w:szCs w:val="21"/>
                <w:u w:val="none"/>
                <w:vertAlign w:val="subscript"/>
              </w:rPr>
              <w:t>2</w:t>
            </w:r>
            <w:r>
              <w:rPr>
                <w:rFonts w:hint="default" w:ascii="Times New Roman" w:hAnsi="Times New Roman" w:eastAsia="宋体" w:cs="Times New Roman"/>
                <w:sz w:val="21"/>
                <w:szCs w:val="21"/>
                <w:u w:val="none"/>
              </w:rPr>
              <w:t>O</w:t>
            </w:r>
            <w:r>
              <w:rPr>
                <w:rFonts w:hint="default" w:ascii="Times New Roman" w:hAnsi="Times New Roman" w:eastAsia="宋体" w:cs="Times New Roman"/>
                <w:sz w:val="21"/>
                <w:szCs w:val="21"/>
                <w:u w:val="none"/>
                <w:vertAlign w:val="subscript"/>
              </w:rPr>
              <w:t>2</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RnSnX4-(n=1-4，R为烷基或芳香基</w:t>
            </w:r>
            <w:r>
              <w:rPr>
                <w:rFonts w:hint="eastAsia" w:cs="Times New Roman"/>
                <w:sz w:val="21"/>
                <w:szCs w:val="21"/>
                <w:u w:val="none"/>
                <w:lang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C</w:t>
            </w:r>
            <w:r>
              <w:rPr>
                <w:rFonts w:hint="default" w:ascii="Times New Roman" w:hAnsi="Times New Roman" w:eastAsia="宋体" w:cs="Times New Roman"/>
                <w:sz w:val="21"/>
                <w:szCs w:val="21"/>
                <w:vertAlign w:val="subscript"/>
                <w:lang w:val="en-US" w:eastAsia="zh-CN"/>
              </w:rPr>
              <w:t>12</w:t>
            </w:r>
            <w:r>
              <w:rPr>
                <w:rFonts w:hint="default" w:ascii="Times New Roman" w:hAnsi="Times New Roman" w:eastAsia="宋体" w:cs="Times New Roman"/>
                <w:sz w:val="21"/>
                <w:szCs w:val="21"/>
                <w:vertAlign w:val="baseline"/>
                <w:lang w:val="en-US" w:eastAsia="zh-CN"/>
              </w:rPr>
              <w:t>H</w:t>
            </w:r>
            <w:r>
              <w:rPr>
                <w:rFonts w:hint="default" w:ascii="Times New Roman" w:hAnsi="Times New Roman" w:eastAsia="宋体" w:cs="Times New Roman"/>
                <w:sz w:val="21"/>
                <w:szCs w:val="21"/>
                <w:vertAlign w:val="subscript"/>
                <w:lang w:val="en-US" w:eastAsia="zh-CN"/>
              </w:rPr>
              <w:t>24</w:t>
            </w:r>
            <w:r>
              <w:rPr>
                <w:rFonts w:hint="default" w:ascii="Times New Roman" w:hAnsi="Times New Roman" w:eastAsia="宋体" w:cs="Times New Roman"/>
                <w:sz w:val="21"/>
                <w:szCs w:val="21"/>
                <w:vertAlign w:val="baseline"/>
                <w:lang w:val="en-US" w:eastAsia="zh-CN"/>
              </w:rPr>
              <w:t>O</w:t>
            </w:r>
            <w:r>
              <w:rPr>
                <w:rFonts w:hint="default" w:ascii="Times New Roman" w:hAnsi="Times New Roman" w:eastAsia="宋体" w:cs="Times New Roman"/>
                <w:sz w:val="21"/>
                <w:szCs w:val="21"/>
                <w:vertAlign w:val="subscript"/>
                <w:lang w:val="en-US" w:eastAsia="zh-CN"/>
              </w:rPr>
              <w:t>3</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vertAlign w:val="baseline"/>
                <w:lang w:eastAsia="zh-CN"/>
              </w:rPr>
              <w:t>TiO</w:t>
            </w:r>
            <w:r>
              <w:rPr>
                <w:rFonts w:hint="default" w:ascii="Times New Roman" w:hAnsi="Times New Roman" w:eastAsia="宋体" w:cs="Times New Roman"/>
                <w:sz w:val="21"/>
                <w:szCs w:val="21"/>
                <w:u w:val="none"/>
                <w:vertAlign w:val="subscript"/>
                <w:lang w:eastAsia="zh-CN"/>
              </w:rPr>
              <w:t>2</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C</w:t>
            </w:r>
            <w:r>
              <w:rPr>
                <w:rFonts w:hint="default" w:ascii="Times New Roman" w:hAnsi="Times New Roman" w:eastAsia="宋体" w:cs="Times New Roman"/>
                <w:sz w:val="21"/>
                <w:szCs w:val="21"/>
                <w:vertAlign w:val="subscript"/>
                <w:lang w:val="en-US" w:eastAsia="zh-CN"/>
              </w:rPr>
              <w:t>3</w:t>
            </w:r>
            <w:r>
              <w:rPr>
                <w:rFonts w:hint="default" w:ascii="Times New Roman" w:hAnsi="Times New Roman" w:eastAsia="宋体" w:cs="Times New Roman"/>
                <w:sz w:val="21"/>
                <w:szCs w:val="21"/>
                <w:vertAlign w:val="baseline"/>
                <w:lang w:val="en-US" w:eastAsia="zh-CN"/>
              </w:rPr>
              <w:t>H</w:t>
            </w:r>
            <w:r>
              <w:rPr>
                <w:rFonts w:hint="default" w:ascii="Times New Roman" w:hAnsi="Times New Roman" w:eastAsia="宋体" w:cs="Times New Roman"/>
                <w:sz w:val="21"/>
                <w:szCs w:val="21"/>
                <w:vertAlign w:val="subscript"/>
                <w:lang w:val="en-US" w:eastAsia="zh-CN"/>
              </w:rPr>
              <w:t>4</w:t>
            </w:r>
            <w:r>
              <w:rPr>
                <w:rFonts w:hint="default" w:ascii="Times New Roman" w:hAnsi="Times New Roman" w:eastAsia="宋体" w:cs="Times New Roman"/>
                <w:sz w:val="21"/>
                <w:szCs w:val="21"/>
                <w:vertAlign w:val="baseline"/>
                <w:lang w:val="en-US" w:eastAsia="zh-CN"/>
              </w:rPr>
              <w:t>O</w:t>
            </w:r>
            <w:r>
              <w:rPr>
                <w:rFonts w:hint="default" w:ascii="Times New Roman" w:hAnsi="Times New Roman" w:eastAsia="宋体" w:cs="Times New Roman"/>
                <w:sz w:val="21"/>
                <w:szCs w:val="21"/>
                <w:vertAlign w:val="subscript"/>
                <w:lang w:val="en-US" w:eastAsia="zh-CN"/>
              </w:rPr>
              <w:t>2</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C</w:t>
            </w:r>
            <w:r>
              <w:rPr>
                <w:rFonts w:hint="default" w:ascii="Times New Roman" w:hAnsi="Times New Roman" w:eastAsia="宋体" w:cs="Times New Roman"/>
                <w:sz w:val="21"/>
                <w:szCs w:val="21"/>
                <w:u w:val="none"/>
                <w:vertAlign w:val="subscript"/>
              </w:rPr>
              <w:t>5</w:t>
            </w:r>
            <w:r>
              <w:rPr>
                <w:rFonts w:hint="default" w:ascii="Times New Roman" w:hAnsi="Times New Roman" w:eastAsia="宋体" w:cs="Times New Roman"/>
                <w:sz w:val="21"/>
                <w:szCs w:val="21"/>
                <w:u w:val="none"/>
              </w:rPr>
              <w:t>H</w:t>
            </w:r>
            <w:r>
              <w:rPr>
                <w:rFonts w:hint="default" w:ascii="Times New Roman" w:hAnsi="Times New Roman" w:eastAsia="宋体" w:cs="Times New Roman"/>
                <w:sz w:val="21"/>
                <w:szCs w:val="21"/>
                <w:u w:val="none"/>
                <w:vertAlign w:val="subscript"/>
              </w:rPr>
              <w:t>8</w:t>
            </w:r>
            <w:r>
              <w:rPr>
                <w:rFonts w:hint="default" w:ascii="Times New Roman" w:hAnsi="Times New Roman" w:eastAsia="宋体" w:cs="Times New Roman"/>
                <w:sz w:val="21"/>
                <w:szCs w:val="21"/>
                <w:u w:val="none"/>
              </w:rPr>
              <w:t>O</w:t>
            </w:r>
            <w:r>
              <w:rPr>
                <w:rFonts w:hint="default" w:ascii="Times New Roman" w:hAnsi="Times New Roman" w:eastAsia="宋体" w:cs="Times New Roman"/>
                <w:sz w:val="21"/>
                <w:szCs w:val="21"/>
                <w:u w:val="none"/>
                <w:vertAlign w:val="sub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分子量</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250.25</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216.32</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79.87</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72.06</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100.12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理化性质</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外观与性状</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淡黄色熔融固体，有强烈刺激气味</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淡黄色透明液体</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透明黏稠液体</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"https://baike.so.com/doc/24730265-25639771.html" \t "https://baike.so.com/doc/_blank"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无色透明</w:t>
            </w:r>
            <w:r>
              <w:rPr>
                <w:rFonts w:hint="default" w:ascii="Times New Roman" w:hAnsi="Times New Roman" w:eastAsia="宋体" w:cs="Times New Roman"/>
                <w:sz w:val="21"/>
                <w:szCs w:val="21"/>
                <w:vertAlign w:val="baseline"/>
              </w:rPr>
              <w:fldChar w:fldCharType="end"/>
            </w:r>
            <w:r>
              <w:rPr>
                <w:rFonts w:hint="default" w:ascii="Times New Roman" w:hAnsi="Times New Roman" w:eastAsia="宋体" w:cs="Times New Roman"/>
                <w:sz w:val="21"/>
                <w:szCs w:val="21"/>
                <w:vertAlign w:val="baseline"/>
              </w:rPr>
              <w:t>液体</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eastAsia="zh-CN"/>
              </w:rPr>
              <w:t>白色粉状</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无色液体</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无色液体、有特殊臭味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熔点</w:t>
            </w:r>
            <w:r>
              <w:rPr>
                <w:rFonts w:hint="default" w:ascii="Times New Roman" w:hAnsi="Times New Roman" w:eastAsia="宋体" w:cs="Times New Roman"/>
                <w:sz w:val="21"/>
                <w:szCs w:val="21"/>
                <w:vertAlign w:val="baseline"/>
              </w:rPr>
              <w:t>℃</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38-44℃</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-50</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1843℃</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13</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沸点</w:t>
            </w:r>
            <w:r>
              <w:rPr>
                <w:rFonts w:hint="default" w:ascii="Times New Roman" w:hAnsi="Times New Roman" w:eastAsia="宋体" w:cs="Times New Roman"/>
                <w:sz w:val="21"/>
                <w:szCs w:val="21"/>
                <w:vertAlign w:val="baseline"/>
              </w:rPr>
              <w:t>℃</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392℃</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255</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lang w:val="en-US" w:eastAsia="zh-CN"/>
              </w:rPr>
              <w:t>2900</w:t>
            </w:r>
            <w:r>
              <w:rPr>
                <w:rFonts w:hint="default" w:ascii="Times New Roman" w:hAnsi="Times New Roman" w:eastAsia="宋体" w:cs="Times New Roman"/>
                <w:sz w:val="21"/>
                <w:szCs w:val="21"/>
                <w:u w:val="none"/>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141</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100.5℃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饱和蒸汽压</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0.066hPa(20℃)</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rPr>
              <w:t>0.013</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1.33</w:t>
            </w:r>
            <w:r>
              <w:rPr>
                <w:rFonts w:hint="default" w:ascii="Times New Roman" w:hAnsi="Times New Roman" w:eastAsia="宋体" w:cs="Times New Roman"/>
                <w:sz w:val="21"/>
                <w:szCs w:val="21"/>
                <w:u w:val="none"/>
              </w:rPr>
              <w:t>kPa</w:t>
            </w:r>
            <w:r>
              <w:rPr>
                <w:rFonts w:hint="default" w:ascii="Times New Roman" w:hAnsi="Times New Roman" w:eastAsia="宋体" w:cs="Times New Roman"/>
                <w:sz w:val="21"/>
                <w:szCs w:val="21"/>
                <w:vertAlign w:val="baseline"/>
                <w:lang w:val="en-US" w:eastAsia="zh-CN"/>
              </w:rPr>
              <w:t>(39.9℃)</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5.13kPa（25°C）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相对密度</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1.19g/mL(25℃)</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1.26</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4.17g/mL(25℃)</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1.05</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0.9440/20℃/4℃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溶解性</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溶于丙酮、苯、煤油、硝基苯</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u w:val="none"/>
              </w:rPr>
              <w:t>不</w:t>
            </w:r>
            <w:r>
              <w:rPr>
                <w:rFonts w:hint="eastAsia" w:cs="Times New Roman"/>
                <w:sz w:val="21"/>
                <w:szCs w:val="21"/>
                <w:u w:val="none"/>
                <w:lang w:eastAsia="zh-CN"/>
              </w:rPr>
              <w:t>挥发分</w:t>
            </w:r>
            <w:r>
              <w:rPr>
                <w:rFonts w:hint="default" w:ascii="Times New Roman" w:hAnsi="Times New Roman" w:eastAsia="宋体" w:cs="Times New Roman"/>
                <w:sz w:val="21"/>
                <w:szCs w:val="21"/>
                <w:u w:val="none"/>
              </w:rPr>
              <w:t>：&gt;96%</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无不溶物</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vertAlign w:val="baseline"/>
                <w:lang w:eastAsia="zh-CN"/>
              </w:rPr>
              <w:t>不溶于水，盐酸，稀硫酸，乙醇及其他有机溶剂缓慢溶于氢氟酸和热浓硫酸</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eastAsia="zh-CN"/>
              </w:rPr>
              <w:t>与水混溶，可混溶于乙醇、乙醚</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u w:val="none"/>
              </w:rPr>
              <w:t>溶于乙醇、乙醚、丙酮等多种有机溶剂，微溶于乙二醇和水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危险性</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明火可燃</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无毒</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易燃液体、中等毒性</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易发生危险性聚合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火灾危险</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闪点（</w:t>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lang w:eastAsia="zh-CN"/>
              </w:rPr>
              <w:t>）</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196℃</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244</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2500-3000℃</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51</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爆炸极限</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0.4%(V)</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lang w:val="en-US" w:eastAsia="zh-CN"/>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2.0-8.0%(V)</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1.7~8.2%</w:t>
            </w:r>
            <w:r>
              <w:rPr>
                <w:rFonts w:hint="default" w:ascii="Times New Roman" w:hAnsi="Times New Roman" w:eastAsia="宋体" w:cs="Times New Roman"/>
                <w:sz w:val="21"/>
                <w:szCs w:val="21"/>
                <w:vertAlign w:val="baseline"/>
                <w:lang w:val="en-US" w:eastAsia="zh-CN"/>
              </w:rPr>
              <w:t>(V)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急性毒性</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LC</w:t>
            </w:r>
            <w:r>
              <w:rPr>
                <w:rFonts w:hint="default" w:ascii="Times New Roman" w:hAnsi="Times New Roman" w:eastAsia="宋体" w:cs="Times New Roman"/>
                <w:sz w:val="21"/>
                <w:szCs w:val="21"/>
                <w:vertAlign w:val="subscript"/>
                <w:lang w:val="en-US" w:eastAsia="zh-CN"/>
              </w:rPr>
              <w:t>50</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vertAlign w:val="baseline"/>
                <w:lang w:val="en-US" w:eastAsia="zh-CN"/>
              </w:rPr>
              <w:t>5300mg/kg</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&gt;18500mg/kg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LD</w:t>
            </w:r>
            <w:r>
              <w:rPr>
                <w:rFonts w:hint="default" w:ascii="Times New Roman" w:hAnsi="Times New Roman" w:eastAsia="宋体" w:cs="Times New Roman"/>
                <w:sz w:val="21"/>
                <w:szCs w:val="21"/>
                <w:vertAlign w:val="subscript"/>
                <w:lang w:val="en-US" w:eastAsia="zh-CN"/>
              </w:rPr>
              <w:t>50</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rPr>
              <w:t>5000/mg/kg</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lang w:val="en-US" w:eastAsia="zh-CN"/>
              </w:rPr>
              <w:t>/</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w:t>
            </w: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sz w:val="21"/>
                <w:szCs w:val="21"/>
                <w:u w:val="none"/>
                <w:lang w:val="en-US" w:eastAsia="zh-CN"/>
              </w:rPr>
              <w:t>1337</w:t>
            </w:r>
            <w:r>
              <w:rPr>
                <w:rFonts w:hint="default" w:ascii="Times New Roman" w:hAnsi="Times New Roman" w:eastAsia="宋体" w:cs="Times New Roman"/>
                <w:sz w:val="21"/>
                <w:szCs w:val="21"/>
                <w:u w:val="none"/>
              </w:rPr>
              <w:t>mg/kg</w:t>
            </w: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u w:val="none"/>
              </w:rPr>
              <w:t>&gt;9400mg/kg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lang w:eastAsia="zh-CN"/>
              </w:rPr>
            </w:pPr>
            <w:r>
              <w:rPr>
                <w:rFonts w:hint="default" w:ascii="Times New Roman" w:hAnsi="Times New Roman" w:eastAsia="宋体" w:cs="Times New Roman"/>
                <w:b/>
                <w:bCs/>
                <w:sz w:val="21"/>
                <w:szCs w:val="21"/>
                <w:vertAlign w:val="baseline"/>
                <w:lang w:eastAsia="zh-CN"/>
              </w:rPr>
              <w:t>物质名称</w:t>
            </w:r>
          </w:p>
        </w:tc>
        <w:tc>
          <w:tcPr>
            <w:tcW w:w="159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b/>
                <w:bCs/>
                <w:sz w:val="21"/>
                <w:szCs w:val="21"/>
                <w:vertAlign w:val="baseline"/>
              </w:rPr>
              <w:t>丙烯酸丁酯</w:t>
            </w:r>
          </w:p>
        </w:tc>
        <w:tc>
          <w:tcPr>
            <w:tcW w:w="179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kern w:val="21"/>
                <w:sz w:val="21"/>
                <w:szCs w:val="21"/>
                <w:u w:val="single"/>
              </w:rPr>
              <w:t>OP-10</w:t>
            </w:r>
          </w:p>
        </w:tc>
        <w:tc>
          <w:tcPr>
            <w:tcW w:w="183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r>
              <w:rPr>
                <w:rFonts w:hint="default" w:ascii="Times New Roman" w:hAnsi="Times New Roman" w:eastAsia="宋体" w:cs="Times New Roman"/>
                <w:kern w:val="21"/>
                <w:sz w:val="21"/>
                <w:szCs w:val="21"/>
                <w:u w:val="single"/>
              </w:rPr>
              <w:t>过硫酸铵</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p>
        </w:tc>
        <w:tc>
          <w:tcPr>
            <w:tcW w:w="1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bCs/>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成分</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b w:val="0"/>
                <w:bCs w:val="0"/>
                <w:sz w:val="21"/>
                <w:szCs w:val="21"/>
                <w:u w:val="none"/>
              </w:rPr>
              <w:t>丙烯酸丁酯</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b w:val="0"/>
                <w:bCs w:val="0"/>
                <w:sz w:val="21"/>
                <w:szCs w:val="21"/>
                <w:u w:val="none"/>
                <w:lang w:eastAsia="zh-CN"/>
              </w:rPr>
              <w:t>乳化剂，主要成分</w:t>
            </w:r>
            <w:r>
              <w:rPr>
                <w:rFonts w:hint="default" w:ascii="Times New Roman" w:hAnsi="Times New Roman" w:eastAsia="宋体" w:cs="Times New Roman"/>
                <w:b w:val="0"/>
                <w:bCs w:val="0"/>
                <w:sz w:val="21"/>
                <w:szCs w:val="21"/>
                <w:u w:val="none"/>
              </w:rPr>
              <w:t>十二烷基酚聚氧乙烯醚</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b w:val="0"/>
                <w:bCs w:val="0"/>
                <w:sz w:val="21"/>
                <w:szCs w:val="21"/>
                <w:u w:val="none"/>
                <w:lang w:eastAsia="zh-CN"/>
              </w:rPr>
              <w:t>过硫酸铵</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p>
        </w:tc>
        <w:tc>
          <w:tcPr>
            <w:tcW w:w="173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CAS号</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141-32-2</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7727-54-0</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化学式</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rPr>
              <w:t>C</w:t>
            </w:r>
            <w:r>
              <w:rPr>
                <w:rFonts w:hint="default" w:ascii="Times New Roman" w:hAnsi="Times New Roman" w:eastAsia="宋体" w:cs="Times New Roman"/>
                <w:b w:val="0"/>
                <w:bCs w:val="0"/>
                <w:sz w:val="21"/>
                <w:szCs w:val="21"/>
                <w:u w:val="none"/>
                <w:vertAlign w:val="subscript"/>
              </w:rPr>
              <w:t>7</w:t>
            </w:r>
            <w:r>
              <w:rPr>
                <w:rFonts w:hint="default" w:ascii="Times New Roman" w:hAnsi="Times New Roman" w:eastAsia="宋体" w:cs="Times New Roman"/>
                <w:b w:val="0"/>
                <w:bCs w:val="0"/>
                <w:sz w:val="21"/>
                <w:szCs w:val="21"/>
                <w:u w:val="none"/>
              </w:rPr>
              <w:t>H</w:t>
            </w:r>
            <w:r>
              <w:rPr>
                <w:rFonts w:hint="default" w:ascii="Times New Roman" w:hAnsi="Times New Roman" w:eastAsia="宋体" w:cs="Times New Roman"/>
                <w:b w:val="0"/>
                <w:bCs w:val="0"/>
                <w:sz w:val="21"/>
                <w:szCs w:val="21"/>
                <w:u w:val="none"/>
                <w:vertAlign w:val="subscript"/>
              </w:rPr>
              <w:t>12</w:t>
            </w:r>
            <w:r>
              <w:rPr>
                <w:rFonts w:hint="default" w:ascii="Times New Roman" w:hAnsi="Times New Roman" w:eastAsia="宋体" w:cs="Times New Roman"/>
                <w:b w:val="0"/>
                <w:bCs w:val="0"/>
                <w:sz w:val="21"/>
                <w:szCs w:val="21"/>
                <w:u w:val="none"/>
              </w:rPr>
              <w:t>O</w:t>
            </w:r>
            <w:r>
              <w:rPr>
                <w:rFonts w:hint="default" w:ascii="Times New Roman" w:hAnsi="Times New Roman" w:eastAsia="宋体" w:cs="Times New Roman"/>
                <w:b w:val="0"/>
                <w:bCs w:val="0"/>
                <w:sz w:val="21"/>
                <w:szCs w:val="21"/>
                <w:u w:val="none"/>
                <w:vertAlign w:val="subscript"/>
              </w:rPr>
              <w:t>2</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H</w:t>
            </w:r>
            <w:r>
              <w:rPr>
                <w:rFonts w:hint="default" w:ascii="Times New Roman" w:hAnsi="Times New Roman" w:eastAsia="宋体" w:cs="Times New Roman"/>
                <w:b w:val="0"/>
                <w:bCs w:val="0"/>
                <w:sz w:val="21"/>
                <w:szCs w:val="21"/>
                <w:u w:val="none"/>
                <w:vertAlign w:val="subscript"/>
                <w:lang w:val="en-US" w:eastAsia="zh-CN"/>
              </w:rPr>
              <w:t>8</w:t>
            </w:r>
            <w:r>
              <w:rPr>
                <w:rFonts w:hint="default" w:ascii="Times New Roman" w:hAnsi="Times New Roman" w:eastAsia="宋体" w:cs="Times New Roman"/>
                <w:b w:val="0"/>
                <w:bCs w:val="0"/>
                <w:sz w:val="21"/>
                <w:szCs w:val="21"/>
                <w:u w:val="none"/>
                <w:lang w:val="en-US" w:eastAsia="zh-CN"/>
              </w:rPr>
              <w:t>N</w:t>
            </w:r>
            <w:r>
              <w:rPr>
                <w:rFonts w:hint="default" w:ascii="Times New Roman" w:hAnsi="Times New Roman" w:eastAsia="宋体" w:cs="Times New Roman"/>
                <w:b w:val="0"/>
                <w:bCs w:val="0"/>
                <w:sz w:val="21"/>
                <w:szCs w:val="21"/>
                <w:u w:val="none"/>
                <w:vertAlign w:val="subscript"/>
                <w:lang w:val="en-US" w:eastAsia="zh-CN"/>
              </w:rPr>
              <w:t>2</w:t>
            </w:r>
            <w:r>
              <w:rPr>
                <w:rFonts w:hint="default" w:ascii="Times New Roman" w:hAnsi="Times New Roman" w:eastAsia="宋体" w:cs="Times New Roman"/>
                <w:b w:val="0"/>
                <w:bCs w:val="0"/>
                <w:sz w:val="21"/>
                <w:szCs w:val="21"/>
                <w:u w:val="none"/>
                <w:lang w:val="en-US" w:eastAsia="zh-CN"/>
              </w:rPr>
              <w:t>O</w:t>
            </w:r>
            <w:r>
              <w:rPr>
                <w:rFonts w:hint="default" w:ascii="Times New Roman" w:hAnsi="Times New Roman" w:eastAsia="宋体" w:cs="Times New Roman"/>
                <w:b w:val="0"/>
                <w:bCs w:val="0"/>
                <w:sz w:val="21"/>
                <w:szCs w:val="21"/>
                <w:u w:val="none"/>
                <w:vertAlign w:val="subscript"/>
                <w:lang w:val="en-US" w:eastAsia="zh-CN"/>
              </w:rPr>
              <w:t>8</w:t>
            </w:r>
            <w:r>
              <w:rPr>
                <w:rFonts w:hint="default" w:ascii="Times New Roman" w:hAnsi="Times New Roman" w:eastAsia="宋体" w:cs="Times New Roman"/>
                <w:b w:val="0"/>
                <w:bCs w:val="0"/>
                <w:sz w:val="21"/>
                <w:szCs w:val="21"/>
                <w:u w:val="none"/>
                <w:lang w:val="en-US" w:eastAsia="zh-CN"/>
              </w:rPr>
              <w:t>S</w:t>
            </w:r>
            <w:r>
              <w:rPr>
                <w:rFonts w:hint="default" w:ascii="Times New Roman" w:hAnsi="Times New Roman" w:eastAsia="宋体" w:cs="Times New Roman"/>
                <w:b w:val="0"/>
                <w:bCs w:val="0"/>
                <w:sz w:val="21"/>
                <w:szCs w:val="21"/>
                <w:u w:val="none"/>
                <w:vertAlign w:val="subscript"/>
                <w:lang w:val="en-US" w:eastAsia="zh-CN"/>
              </w:rPr>
              <w:t>2</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7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分子量</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128.17</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228.2</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理化性质</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外观与性状</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rPr>
              <w:t>无色澄清液体</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白色及乳白色糊状物</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白色结晶或粉末</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熔点</w:t>
            </w:r>
            <w:r>
              <w:rPr>
                <w:rFonts w:hint="default" w:ascii="Times New Roman" w:hAnsi="Times New Roman" w:eastAsia="宋体" w:cs="Times New Roman"/>
                <w:sz w:val="21"/>
                <w:szCs w:val="21"/>
                <w:vertAlign w:val="baseline"/>
              </w:rPr>
              <w:t>℃</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-64.6℃</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120</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沸点</w:t>
            </w:r>
            <w:r>
              <w:rPr>
                <w:rFonts w:hint="default" w:ascii="Times New Roman" w:hAnsi="Times New Roman" w:eastAsia="宋体" w:cs="Times New Roman"/>
                <w:sz w:val="21"/>
                <w:szCs w:val="21"/>
                <w:vertAlign w:val="baseline"/>
              </w:rPr>
              <w:t>℃</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rPr>
              <w:t>145℃</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饱和蒸汽压</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rPr>
              <w:t>4.4hPa（20°C）</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相对密度</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rPr>
              <w:t>0.894g/mL(25℃)</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rPr>
              <w:t>1.982</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溶解性</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微溶于水</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b w:val="0"/>
                <w:bCs w:val="0"/>
                <w:sz w:val="21"/>
                <w:szCs w:val="21"/>
                <w:u w:val="none"/>
              </w:rPr>
              <w:t>易溶于水</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易溶于水</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危险性</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易燃液体类别3；挥发性液体</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第5.1类 氧化剂</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火灾危险</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闪点（</w:t>
            </w:r>
            <w:r>
              <w:rPr>
                <w:rFonts w:hint="default" w:ascii="Times New Roman" w:hAnsi="Times New Roman" w:eastAsia="宋体" w:cs="Times New Roman"/>
                <w:sz w:val="21"/>
                <w:szCs w:val="21"/>
                <w:vertAlign w:val="baseline"/>
              </w:rPr>
              <w:t>℃</w:t>
            </w:r>
            <w:r>
              <w:rPr>
                <w:rFonts w:hint="default" w:ascii="Times New Roman" w:hAnsi="Times New Roman" w:eastAsia="宋体" w:cs="Times New Roman"/>
                <w:sz w:val="21"/>
                <w:szCs w:val="21"/>
                <w:vertAlign w:val="baseline"/>
                <w:lang w:eastAsia="zh-CN"/>
              </w:rPr>
              <w:t>）</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36℃</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爆炸极限</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rPr>
              <w:t>上限：9.9%下限：1.3%</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急性毒性</w:t>
            </w: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LC</w:t>
            </w:r>
            <w:r>
              <w:rPr>
                <w:rFonts w:hint="default" w:ascii="Times New Roman" w:hAnsi="Times New Roman" w:eastAsia="宋体" w:cs="Times New Roman"/>
                <w:sz w:val="21"/>
                <w:szCs w:val="21"/>
                <w:vertAlign w:val="subscript"/>
                <w:lang w:val="en-US" w:eastAsia="zh-CN"/>
              </w:rPr>
              <w:t>50</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rPr>
              <w:t>4h~14311mg/m</w:t>
            </w:r>
            <w:r>
              <w:rPr>
                <w:rFonts w:hint="default" w:ascii="Times New Roman" w:hAnsi="Times New Roman" w:eastAsia="宋体" w:cs="Times New Roman"/>
                <w:b w:val="0"/>
                <w:bCs w:val="0"/>
                <w:sz w:val="21"/>
                <w:szCs w:val="21"/>
                <w:u w:val="none"/>
                <w:vertAlign w:val="superscript"/>
              </w:rPr>
              <w:t>3</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61"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1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LD</w:t>
            </w:r>
            <w:r>
              <w:rPr>
                <w:rFonts w:hint="default" w:ascii="Times New Roman" w:hAnsi="Times New Roman" w:eastAsia="宋体" w:cs="Times New Roman"/>
                <w:sz w:val="21"/>
                <w:szCs w:val="21"/>
                <w:vertAlign w:val="subscript"/>
                <w:lang w:val="en-US" w:eastAsia="zh-CN"/>
              </w:rPr>
              <w:t>50</w:t>
            </w:r>
          </w:p>
        </w:tc>
        <w:tc>
          <w:tcPr>
            <w:tcW w:w="1599"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r>
              <w:rPr>
                <w:rFonts w:hint="default" w:ascii="Times New Roman" w:hAnsi="Times New Roman" w:eastAsia="宋体" w:cs="Times New Roman"/>
                <w:b w:val="0"/>
                <w:bCs w:val="0"/>
                <w:sz w:val="21"/>
                <w:szCs w:val="21"/>
                <w:u w:val="none"/>
              </w:rPr>
              <w:t>&gt;900mg/kg</w:t>
            </w:r>
          </w:p>
        </w:tc>
        <w:tc>
          <w:tcPr>
            <w:tcW w:w="179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w:t>
            </w:r>
          </w:p>
        </w:tc>
        <w:tc>
          <w:tcPr>
            <w:tcW w:w="1830"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b w:val="0"/>
                <w:bCs w:val="0"/>
                <w:sz w:val="21"/>
                <w:szCs w:val="21"/>
                <w:u w:val="none"/>
                <w:lang w:val="en-US" w:eastAsia="zh-CN"/>
              </w:rPr>
              <w:t>820</w:t>
            </w:r>
            <w:r>
              <w:rPr>
                <w:rFonts w:hint="default" w:ascii="Times New Roman" w:hAnsi="Times New Roman" w:eastAsia="宋体" w:cs="Times New Roman"/>
                <w:b w:val="0"/>
                <w:bCs w:val="0"/>
                <w:sz w:val="21"/>
                <w:szCs w:val="21"/>
                <w:u w:val="none"/>
              </w:rPr>
              <w:t>mg/kg</w:t>
            </w:r>
          </w:p>
        </w:tc>
        <w:tc>
          <w:tcPr>
            <w:tcW w:w="171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c>
          <w:tcPr>
            <w:tcW w:w="1733"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208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vertAlign w:val="baseline"/>
              </w:rPr>
            </w:pPr>
          </w:p>
        </w:tc>
        <w:tc>
          <w:tcPr>
            <w:tcW w:w="1695"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sz w:val="21"/>
                <w:szCs w:val="21"/>
                <w:vertAlign w:val="baseline"/>
                <w:lang w:val="en-US" w:eastAsia="zh-CN"/>
              </w:rPr>
            </w:pPr>
          </w:p>
        </w:tc>
      </w:tr>
    </w:tbl>
    <w:p>
      <w:pPr>
        <w:pStyle w:val="25"/>
        <w:widowControl/>
        <w:spacing w:beforeAutospacing="0" w:afterAutospacing="0"/>
        <w:ind w:firstLine="480"/>
        <w:jc w:val="both"/>
      </w:pPr>
    </w:p>
    <w:p>
      <w:pPr>
        <w:pStyle w:val="25"/>
        <w:widowControl/>
        <w:spacing w:beforeAutospacing="0" w:afterAutospacing="0"/>
        <w:ind w:firstLine="480"/>
        <w:jc w:val="both"/>
        <w:sectPr>
          <w:pgSz w:w="16838" w:h="11906" w:orient="landscape"/>
          <w:pgMar w:top="1417" w:right="1417" w:bottom="1417" w:left="1417" w:header="680" w:footer="850" w:gutter="0"/>
          <w:pgBorders>
            <w:top w:val="none" w:sz="0" w:space="0"/>
            <w:left w:val="none" w:sz="0" w:space="0"/>
            <w:bottom w:val="none" w:sz="0" w:space="0"/>
            <w:right w:val="none" w:sz="0" w:space="0"/>
          </w:pgBorders>
          <w:cols w:space="425" w:num="1"/>
          <w:docGrid w:type="lines" w:linePitch="312" w:charSpace="0"/>
        </w:sectPr>
      </w:pPr>
    </w:p>
    <w:p>
      <w:pPr>
        <w:pStyle w:val="7"/>
        <w:ind w:firstLine="562"/>
      </w:pPr>
      <w:r>
        <w:t>3.</w:t>
      </w:r>
      <w:r>
        <w:rPr>
          <w:rFonts w:hint="eastAsia"/>
        </w:rPr>
        <w:t>2.5</w:t>
      </w:r>
      <w:r>
        <w:t xml:space="preserve"> 产品方案</w:t>
      </w:r>
    </w:p>
    <w:p>
      <w:pPr>
        <w:pStyle w:val="25"/>
        <w:widowControl/>
        <w:spacing w:beforeAutospacing="0" w:afterAutospacing="0"/>
        <w:ind w:firstLine="480"/>
      </w:pPr>
      <w:r>
        <w:t>本项目产品方案见下表。</w:t>
      </w:r>
    </w:p>
    <w:p>
      <w:pPr>
        <w:pStyle w:val="25"/>
        <w:widowControl/>
        <w:spacing w:beforeAutospacing="0" w:afterAutospacing="0"/>
        <w:ind w:firstLine="0" w:firstLineChars="0"/>
        <w:jc w:val="center"/>
        <w:rPr>
          <w:b/>
          <w:bCs/>
        </w:rPr>
      </w:pPr>
      <w:r>
        <w:rPr>
          <w:b/>
          <w:bCs/>
        </w:rPr>
        <w:t>表3</w:t>
      </w:r>
      <w:r>
        <w:rPr>
          <w:rFonts w:hint="eastAsia"/>
          <w:b/>
          <w:bCs/>
        </w:rPr>
        <w:t xml:space="preserve">.2-5 </w:t>
      </w:r>
      <w:r>
        <w:rPr>
          <w:b/>
          <w:bCs/>
        </w:rPr>
        <w:t xml:space="preserve"> 产品方案表</w:t>
      </w:r>
    </w:p>
    <w:tbl>
      <w:tblPr>
        <w:tblStyle w:val="51"/>
        <w:tblW w:w="4999"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406"/>
        <w:gridCol w:w="4940"/>
        <w:gridCol w:w="2734"/>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774" w:type="pct"/>
            <w:vAlign w:val="top"/>
          </w:tcPr>
          <w:p>
            <w:pPr>
              <w:spacing w:line="240" w:lineRule="auto"/>
              <w:ind w:firstLine="0" w:firstLineChars="0"/>
              <w:jc w:val="center"/>
              <w:rPr>
                <w:rFonts w:cs="Times New Roman"/>
                <w:kern w:val="21"/>
                <w:sz w:val="21"/>
                <w:szCs w:val="21"/>
              </w:rPr>
            </w:pPr>
            <w:r>
              <w:rPr>
                <w:rFonts w:cs="Times New Roman"/>
                <w:kern w:val="21"/>
                <w:sz w:val="21"/>
                <w:szCs w:val="21"/>
              </w:rPr>
              <w:t>序号</w:t>
            </w:r>
          </w:p>
        </w:tc>
        <w:tc>
          <w:tcPr>
            <w:tcW w:w="2719" w:type="pct"/>
            <w:vAlign w:val="top"/>
          </w:tcPr>
          <w:p>
            <w:pPr>
              <w:spacing w:line="240" w:lineRule="auto"/>
              <w:ind w:firstLine="0" w:firstLineChars="0"/>
              <w:jc w:val="center"/>
              <w:rPr>
                <w:rFonts w:cs="Times New Roman"/>
                <w:kern w:val="21"/>
                <w:sz w:val="21"/>
                <w:szCs w:val="21"/>
              </w:rPr>
            </w:pPr>
            <w:r>
              <w:rPr>
                <w:rFonts w:cs="Times New Roman"/>
                <w:kern w:val="21"/>
                <w:sz w:val="21"/>
                <w:szCs w:val="21"/>
              </w:rPr>
              <w:t>产品名称</w:t>
            </w:r>
          </w:p>
        </w:tc>
        <w:tc>
          <w:tcPr>
            <w:tcW w:w="1505" w:type="pct"/>
            <w:vAlign w:val="top"/>
          </w:tcPr>
          <w:p>
            <w:pPr>
              <w:spacing w:line="240" w:lineRule="auto"/>
              <w:ind w:firstLine="0" w:firstLineChars="0"/>
              <w:jc w:val="center"/>
              <w:rPr>
                <w:rFonts w:cs="Times New Roman"/>
                <w:kern w:val="21"/>
                <w:sz w:val="21"/>
                <w:szCs w:val="21"/>
              </w:rPr>
            </w:pPr>
            <w:r>
              <w:rPr>
                <w:rFonts w:cs="Times New Roman"/>
                <w:kern w:val="21"/>
                <w:sz w:val="21"/>
                <w:szCs w:val="21"/>
              </w:rPr>
              <w:t>设计年产量</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774" w:type="pct"/>
            <w:vAlign w:val="top"/>
          </w:tcPr>
          <w:p>
            <w:pPr>
              <w:spacing w:line="240" w:lineRule="auto"/>
              <w:ind w:firstLine="0" w:firstLineChars="0"/>
              <w:jc w:val="center"/>
              <w:rPr>
                <w:rFonts w:cs="Times New Roman"/>
                <w:kern w:val="21"/>
                <w:sz w:val="21"/>
                <w:szCs w:val="21"/>
              </w:rPr>
            </w:pPr>
            <w:r>
              <w:rPr>
                <w:rFonts w:cs="Times New Roman"/>
                <w:kern w:val="21"/>
                <w:sz w:val="21"/>
                <w:szCs w:val="21"/>
              </w:rPr>
              <w:t>1</w:t>
            </w:r>
          </w:p>
        </w:tc>
        <w:tc>
          <w:tcPr>
            <w:tcW w:w="2719" w:type="pct"/>
            <w:vAlign w:val="top"/>
          </w:tcPr>
          <w:p>
            <w:pPr>
              <w:spacing w:line="240" w:lineRule="auto"/>
              <w:ind w:firstLine="0" w:firstLineChars="0"/>
              <w:jc w:val="center"/>
              <w:rPr>
                <w:rFonts w:hint="eastAsia" w:eastAsia="宋体" w:cs="Times New Roman"/>
                <w:kern w:val="21"/>
                <w:sz w:val="21"/>
                <w:szCs w:val="21"/>
                <w:lang w:eastAsia="zh-CN"/>
              </w:rPr>
            </w:pPr>
            <w:r>
              <w:rPr>
                <w:rFonts w:cs="Times New Roman"/>
                <w:kern w:val="21"/>
                <w:sz w:val="21"/>
                <w:szCs w:val="21"/>
              </w:rPr>
              <w:t>EPDM</w:t>
            </w:r>
            <w:r>
              <w:rPr>
                <w:rFonts w:hint="eastAsia" w:cs="Times New Roman"/>
                <w:kern w:val="21"/>
                <w:sz w:val="21"/>
                <w:szCs w:val="21"/>
                <w:lang w:eastAsia="zh-CN"/>
              </w:rPr>
              <w:t>颗粒</w:t>
            </w:r>
          </w:p>
        </w:tc>
        <w:tc>
          <w:tcPr>
            <w:tcW w:w="1505" w:type="pct"/>
            <w:vAlign w:val="top"/>
          </w:tcPr>
          <w:p>
            <w:pPr>
              <w:spacing w:line="240" w:lineRule="auto"/>
              <w:ind w:firstLine="0" w:firstLineChars="0"/>
              <w:jc w:val="center"/>
              <w:rPr>
                <w:rFonts w:cs="Times New Roman"/>
                <w:kern w:val="21"/>
                <w:sz w:val="21"/>
                <w:szCs w:val="21"/>
              </w:rPr>
            </w:pPr>
            <w:r>
              <w:rPr>
                <w:rFonts w:cs="Times New Roman"/>
                <w:kern w:val="21"/>
                <w:sz w:val="21"/>
                <w:szCs w:val="21"/>
              </w:rPr>
              <w:t>3500t/a</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774" w:type="pct"/>
            <w:vAlign w:val="top"/>
          </w:tcPr>
          <w:p>
            <w:pPr>
              <w:spacing w:line="240" w:lineRule="auto"/>
              <w:ind w:firstLine="0" w:firstLineChars="0"/>
              <w:jc w:val="center"/>
              <w:rPr>
                <w:rFonts w:cs="Times New Roman"/>
                <w:kern w:val="21"/>
                <w:sz w:val="21"/>
                <w:szCs w:val="21"/>
              </w:rPr>
            </w:pPr>
            <w:r>
              <w:rPr>
                <w:rFonts w:cs="Times New Roman"/>
                <w:kern w:val="21"/>
                <w:sz w:val="21"/>
                <w:szCs w:val="21"/>
              </w:rPr>
              <w:t>2</w:t>
            </w:r>
          </w:p>
        </w:tc>
        <w:tc>
          <w:tcPr>
            <w:tcW w:w="2719" w:type="pct"/>
            <w:vAlign w:val="top"/>
          </w:tcPr>
          <w:p>
            <w:pPr>
              <w:spacing w:line="240" w:lineRule="auto"/>
              <w:ind w:firstLine="0" w:firstLineChars="0"/>
              <w:jc w:val="center"/>
              <w:rPr>
                <w:rFonts w:cs="Times New Roman"/>
                <w:kern w:val="21"/>
                <w:sz w:val="21"/>
                <w:szCs w:val="21"/>
              </w:rPr>
            </w:pPr>
            <w:r>
              <w:rPr>
                <w:rFonts w:cs="Times New Roman"/>
                <w:kern w:val="21"/>
                <w:sz w:val="21"/>
                <w:szCs w:val="21"/>
              </w:rPr>
              <w:t>硅PU</w:t>
            </w:r>
          </w:p>
        </w:tc>
        <w:tc>
          <w:tcPr>
            <w:tcW w:w="1505" w:type="pct"/>
            <w:vAlign w:val="top"/>
          </w:tcPr>
          <w:p>
            <w:pPr>
              <w:spacing w:line="240" w:lineRule="auto"/>
              <w:ind w:firstLine="0" w:firstLineChars="0"/>
              <w:jc w:val="center"/>
              <w:rPr>
                <w:rFonts w:cs="Times New Roman"/>
                <w:kern w:val="21"/>
                <w:sz w:val="21"/>
                <w:szCs w:val="21"/>
              </w:rPr>
            </w:pPr>
            <w:r>
              <w:rPr>
                <w:rFonts w:cs="Times New Roman"/>
                <w:kern w:val="21"/>
                <w:sz w:val="21"/>
                <w:szCs w:val="21"/>
              </w:rPr>
              <w:t>8000t/a</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774" w:type="pct"/>
            <w:vAlign w:val="top"/>
          </w:tcPr>
          <w:p>
            <w:pPr>
              <w:spacing w:line="240" w:lineRule="auto"/>
              <w:ind w:firstLine="0" w:firstLineChars="0"/>
              <w:jc w:val="center"/>
              <w:rPr>
                <w:rFonts w:cs="Times New Roman"/>
                <w:kern w:val="21"/>
                <w:sz w:val="21"/>
                <w:szCs w:val="21"/>
              </w:rPr>
            </w:pPr>
            <w:r>
              <w:rPr>
                <w:rFonts w:cs="Times New Roman"/>
                <w:kern w:val="21"/>
                <w:sz w:val="21"/>
                <w:szCs w:val="21"/>
              </w:rPr>
              <w:t>3</w:t>
            </w:r>
          </w:p>
        </w:tc>
        <w:tc>
          <w:tcPr>
            <w:tcW w:w="2719" w:type="pct"/>
            <w:vAlign w:val="top"/>
          </w:tcPr>
          <w:p>
            <w:pPr>
              <w:spacing w:line="240" w:lineRule="auto"/>
              <w:ind w:firstLine="0" w:firstLineChars="0"/>
              <w:jc w:val="center"/>
              <w:rPr>
                <w:rFonts w:cs="Times New Roman"/>
                <w:kern w:val="21"/>
                <w:sz w:val="21"/>
                <w:szCs w:val="21"/>
              </w:rPr>
            </w:pPr>
            <w:r>
              <w:rPr>
                <w:rFonts w:cs="Times New Roman"/>
                <w:kern w:val="21"/>
                <w:sz w:val="21"/>
                <w:szCs w:val="21"/>
              </w:rPr>
              <w:t>单组份胶水</w:t>
            </w:r>
          </w:p>
        </w:tc>
        <w:tc>
          <w:tcPr>
            <w:tcW w:w="1505" w:type="pct"/>
            <w:vAlign w:val="top"/>
          </w:tcPr>
          <w:p>
            <w:pPr>
              <w:spacing w:line="240" w:lineRule="auto"/>
              <w:ind w:firstLine="0" w:firstLineChars="0"/>
              <w:jc w:val="center"/>
              <w:rPr>
                <w:rFonts w:cs="Times New Roman"/>
                <w:kern w:val="21"/>
                <w:sz w:val="21"/>
                <w:szCs w:val="21"/>
              </w:rPr>
            </w:pPr>
            <w:r>
              <w:rPr>
                <w:rFonts w:cs="Times New Roman"/>
                <w:kern w:val="21"/>
                <w:sz w:val="21"/>
                <w:szCs w:val="21"/>
              </w:rPr>
              <w:t>4000t/a</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774" w:type="pct"/>
            <w:vAlign w:val="top"/>
          </w:tcPr>
          <w:p>
            <w:pPr>
              <w:spacing w:line="240" w:lineRule="auto"/>
              <w:ind w:firstLine="0" w:firstLineChars="0"/>
              <w:jc w:val="center"/>
              <w:rPr>
                <w:rFonts w:cs="Times New Roman"/>
                <w:kern w:val="21"/>
                <w:sz w:val="21"/>
                <w:szCs w:val="21"/>
              </w:rPr>
            </w:pPr>
            <w:r>
              <w:rPr>
                <w:rFonts w:cs="Times New Roman"/>
                <w:kern w:val="21"/>
                <w:sz w:val="21"/>
                <w:szCs w:val="21"/>
              </w:rPr>
              <w:t>4</w:t>
            </w:r>
          </w:p>
        </w:tc>
        <w:tc>
          <w:tcPr>
            <w:tcW w:w="2719" w:type="pct"/>
            <w:vAlign w:val="top"/>
          </w:tcPr>
          <w:p>
            <w:pPr>
              <w:spacing w:line="240" w:lineRule="auto"/>
              <w:ind w:firstLine="0" w:firstLineChars="0"/>
              <w:jc w:val="center"/>
              <w:rPr>
                <w:rFonts w:cs="Times New Roman"/>
                <w:kern w:val="21"/>
                <w:sz w:val="21"/>
                <w:szCs w:val="21"/>
              </w:rPr>
            </w:pPr>
            <w:r>
              <w:rPr>
                <w:rFonts w:cs="Times New Roman"/>
                <w:kern w:val="21"/>
                <w:sz w:val="21"/>
                <w:szCs w:val="21"/>
              </w:rPr>
              <w:t>水性树脂</w:t>
            </w:r>
          </w:p>
        </w:tc>
        <w:tc>
          <w:tcPr>
            <w:tcW w:w="1505" w:type="pct"/>
            <w:vAlign w:val="top"/>
          </w:tcPr>
          <w:p>
            <w:pPr>
              <w:spacing w:line="240" w:lineRule="auto"/>
              <w:ind w:firstLine="0" w:firstLineChars="0"/>
              <w:jc w:val="center"/>
              <w:rPr>
                <w:rFonts w:cs="Times New Roman"/>
                <w:kern w:val="21"/>
                <w:sz w:val="21"/>
                <w:szCs w:val="21"/>
              </w:rPr>
            </w:pPr>
            <w:r>
              <w:rPr>
                <w:rFonts w:cs="Times New Roman"/>
                <w:kern w:val="21"/>
                <w:sz w:val="21"/>
                <w:szCs w:val="21"/>
              </w:rPr>
              <w:t>3500t/a</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774" w:type="pct"/>
            <w:vAlign w:val="top"/>
          </w:tcPr>
          <w:p>
            <w:pPr>
              <w:spacing w:line="240" w:lineRule="auto"/>
              <w:ind w:firstLine="0" w:firstLineChars="0"/>
              <w:jc w:val="center"/>
              <w:rPr>
                <w:rFonts w:cs="Times New Roman"/>
                <w:kern w:val="21"/>
                <w:sz w:val="21"/>
                <w:szCs w:val="21"/>
              </w:rPr>
            </w:pPr>
            <w:r>
              <w:rPr>
                <w:rFonts w:cs="Times New Roman"/>
                <w:kern w:val="21"/>
                <w:sz w:val="21"/>
                <w:szCs w:val="21"/>
              </w:rPr>
              <w:t>5</w:t>
            </w:r>
          </w:p>
        </w:tc>
        <w:tc>
          <w:tcPr>
            <w:tcW w:w="2719" w:type="pct"/>
            <w:vAlign w:val="top"/>
          </w:tcPr>
          <w:p>
            <w:pPr>
              <w:spacing w:line="240" w:lineRule="auto"/>
              <w:ind w:firstLine="0" w:firstLineChars="0"/>
              <w:jc w:val="center"/>
              <w:rPr>
                <w:rFonts w:cs="Times New Roman"/>
                <w:kern w:val="21"/>
                <w:sz w:val="21"/>
                <w:szCs w:val="21"/>
              </w:rPr>
            </w:pPr>
            <w:r>
              <w:rPr>
                <w:rFonts w:cs="Times New Roman"/>
                <w:kern w:val="21"/>
                <w:sz w:val="21"/>
                <w:szCs w:val="21"/>
              </w:rPr>
              <w:t>跑道专用面漆</w:t>
            </w:r>
          </w:p>
        </w:tc>
        <w:tc>
          <w:tcPr>
            <w:tcW w:w="1505" w:type="pct"/>
            <w:vAlign w:val="top"/>
          </w:tcPr>
          <w:p>
            <w:pPr>
              <w:spacing w:line="240" w:lineRule="auto"/>
              <w:ind w:firstLine="0" w:firstLineChars="0"/>
              <w:jc w:val="center"/>
              <w:rPr>
                <w:rFonts w:cs="Times New Roman"/>
                <w:kern w:val="21"/>
                <w:sz w:val="21"/>
                <w:szCs w:val="21"/>
              </w:rPr>
            </w:pPr>
            <w:r>
              <w:rPr>
                <w:rFonts w:cs="Times New Roman"/>
                <w:kern w:val="21"/>
                <w:sz w:val="21"/>
                <w:szCs w:val="21"/>
              </w:rPr>
              <w:t>2000t/a</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774" w:type="pct"/>
            <w:tcBorders>
              <w:bottom w:val="single" w:color="auto" w:sz="4" w:space="0"/>
            </w:tcBorders>
            <w:vAlign w:val="top"/>
          </w:tcPr>
          <w:p>
            <w:pPr>
              <w:spacing w:line="240" w:lineRule="auto"/>
              <w:ind w:firstLine="0" w:firstLineChars="0"/>
              <w:jc w:val="center"/>
              <w:rPr>
                <w:rFonts w:cs="Times New Roman"/>
                <w:kern w:val="21"/>
                <w:sz w:val="21"/>
                <w:szCs w:val="21"/>
              </w:rPr>
            </w:pPr>
            <w:r>
              <w:rPr>
                <w:rFonts w:cs="Times New Roman"/>
                <w:kern w:val="21"/>
                <w:sz w:val="21"/>
                <w:szCs w:val="21"/>
              </w:rPr>
              <w:t>6</w:t>
            </w:r>
          </w:p>
        </w:tc>
        <w:tc>
          <w:tcPr>
            <w:tcW w:w="2719" w:type="pct"/>
            <w:tcBorders>
              <w:bottom w:val="single" w:color="auto" w:sz="4" w:space="0"/>
            </w:tcBorders>
            <w:vAlign w:val="top"/>
          </w:tcPr>
          <w:p>
            <w:pPr>
              <w:spacing w:line="240" w:lineRule="auto"/>
              <w:ind w:firstLine="0" w:firstLineChars="0"/>
              <w:jc w:val="center"/>
              <w:rPr>
                <w:rFonts w:cs="Times New Roman"/>
                <w:kern w:val="21"/>
                <w:sz w:val="21"/>
                <w:szCs w:val="21"/>
              </w:rPr>
            </w:pPr>
            <w:r>
              <w:rPr>
                <w:rFonts w:cs="Times New Roman"/>
                <w:kern w:val="21"/>
                <w:sz w:val="21"/>
                <w:szCs w:val="21"/>
              </w:rPr>
              <w:t>人造草坪</w:t>
            </w:r>
          </w:p>
        </w:tc>
        <w:tc>
          <w:tcPr>
            <w:tcW w:w="1505" w:type="pct"/>
            <w:tcBorders>
              <w:bottom w:val="single" w:color="auto" w:sz="4" w:space="0"/>
            </w:tcBorders>
            <w:vAlign w:val="top"/>
          </w:tcPr>
          <w:p>
            <w:pPr>
              <w:spacing w:line="240" w:lineRule="auto"/>
              <w:ind w:firstLine="0" w:firstLineChars="0"/>
              <w:jc w:val="center"/>
              <w:rPr>
                <w:rFonts w:cs="Times New Roman"/>
                <w:kern w:val="21"/>
                <w:sz w:val="21"/>
                <w:szCs w:val="21"/>
              </w:rPr>
            </w:pPr>
            <w:r>
              <w:rPr>
                <w:rFonts w:cs="Times New Roman"/>
                <w:kern w:val="21"/>
                <w:sz w:val="21"/>
                <w:szCs w:val="21"/>
              </w:rPr>
              <w:t>150万m</w:t>
            </w:r>
            <w:r>
              <w:rPr>
                <w:rFonts w:cs="Times New Roman"/>
                <w:kern w:val="21"/>
                <w:sz w:val="21"/>
                <w:szCs w:val="21"/>
                <w:vertAlign w:val="superscript"/>
              </w:rPr>
              <w:t>2</w:t>
            </w:r>
            <w:r>
              <w:rPr>
                <w:rFonts w:cs="Times New Roman"/>
                <w:kern w:val="21"/>
                <w:sz w:val="21"/>
                <w:szCs w:val="21"/>
              </w:rPr>
              <w:t>/a</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774" w:type="pct"/>
            <w:tcBorders>
              <w:top w:val="single" w:color="auto" w:sz="4" w:space="0"/>
            </w:tcBorders>
            <w:vAlign w:val="top"/>
          </w:tcPr>
          <w:p>
            <w:pPr>
              <w:spacing w:line="240" w:lineRule="auto"/>
              <w:ind w:firstLine="0" w:firstLineChars="0"/>
              <w:jc w:val="center"/>
              <w:rPr>
                <w:rFonts w:cs="Times New Roman"/>
                <w:kern w:val="21"/>
                <w:sz w:val="21"/>
                <w:szCs w:val="21"/>
              </w:rPr>
            </w:pPr>
            <w:r>
              <w:rPr>
                <w:rFonts w:cs="Times New Roman"/>
                <w:kern w:val="21"/>
                <w:sz w:val="21"/>
                <w:szCs w:val="21"/>
              </w:rPr>
              <w:t>7</w:t>
            </w:r>
          </w:p>
        </w:tc>
        <w:tc>
          <w:tcPr>
            <w:tcW w:w="2719" w:type="pct"/>
            <w:tcBorders>
              <w:top w:val="single" w:color="auto" w:sz="4" w:space="0"/>
            </w:tcBorders>
            <w:vAlign w:val="top"/>
          </w:tcPr>
          <w:p>
            <w:pPr>
              <w:spacing w:line="240" w:lineRule="auto"/>
              <w:ind w:firstLine="0" w:firstLineChars="0"/>
              <w:jc w:val="center"/>
              <w:rPr>
                <w:rFonts w:cs="Times New Roman"/>
                <w:kern w:val="21"/>
                <w:sz w:val="21"/>
                <w:szCs w:val="21"/>
              </w:rPr>
            </w:pPr>
            <w:r>
              <w:rPr>
                <w:rFonts w:cs="Times New Roman"/>
                <w:kern w:val="21"/>
                <w:sz w:val="21"/>
                <w:szCs w:val="21"/>
              </w:rPr>
              <w:t>双组份胶水</w:t>
            </w:r>
          </w:p>
        </w:tc>
        <w:tc>
          <w:tcPr>
            <w:tcW w:w="1505" w:type="pct"/>
            <w:tcBorders>
              <w:top w:val="single" w:color="auto" w:sz="4" w:space="0"/>
            </w:tcBorders>
            <w:vAlign w:val="top"/>
          </w:tcPr>
          <w:p>
            <w:pPr>
              <w:spacing w:line="240" w:lineRule="auto"/>
              <w:ind w:firstLine="0" w:firstLineChars="0"/>
              <w:jc w:val="center"/>
              <w:rPr>
                <w:rFonts w:cs="Times New Roman"/>
                <w:kern w:val="21"/>
                <w:sz w:val="21"/>
                <w:szCs w:val="21"/>
              </w:rPr>
            </w:pPr>
            <w:r>
              <w:rPr>
                <w:rFonts w:cs="Times New Roman"/>
                <w:kern w:val="21"/>
                <w:sz w:val="21"/>
                <w:szCs w:val="21"/>
              </w:rPr>
              <w:t>8000t/a</w:t>
            </w:r>
          </w:p>
        </w:tc>
      </w:tr>
    </w:tbl>
    <w:p>
      <w:pPr>
        <w:pStyle w:val="25"/>
        <w:widowControl/>
        <w:spacing w:beforeAutospacing="0" w:afterAutospacing="0"/>
        <w:ind w:firstLine="0" w:firstLineChars="0"/>
        <w:jc w:val="center"/>
        <w:rPr>
          <w:b/>
          <w:bCs/>
        </w:rPr>
      </w:pPr>
      <w:r>
        <w:rPr>
          <w:b/>
          <w:bCs/>
        </w:rPr>
        <w:t>表</w:t>
      </w:r>
      <w:r>
        <w:rPr>
          <w:rFonts w:hint="eastAsia"/>
          <w:b/>
          <w:bCs/>
        </w:rPr>
        <w:t>3.2-6</w:t>
      </w:r>
      <w:r>
        <w:rPr>
          <w:b/>
          <w:bCs/>
        </w:rPr>
        <w:t xml:space="preserve">  </w:t>
      </w:r>
      <w:r>
        <w:rPr>
          <w:rFonts w:hint="eastAsia"/>
          <w:b/>
          <w:bCs/>
        </w:rPr>
        <w:t>项目反应釜</w:t>
      </w:r>
      <w:r>
        <w:rPr>
          <w:b/>
          <w:bCs/>
        </w:rPr>
        <w:t>产能核实一览表</w:t>
      </w:r>
    </w:p>
    <w:tbl>
      <w:tblPr>
        <w:tblStyle w:val="51"/>
        <w:tblW w:w="5017"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580"/>
        <w:gridCol w:w="1435"/>
        <w:gridCol w:w="934"/>
        <w:gridCol w:w="885"/>
        <w:gridCol w:w="846"/>
        <w:gridCol w:w="1111"/>
        <w:gridCol w:w="1107"/>
        <w:gridCol w:w="1105"/>
        <w:gridCol w:w="111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trPr>
        <w:tc>
          <w:tcPr>
            <w:tcW w:w="318" w:type="pct"/>
            <w:tcBorders>
              <w:top w:val="single" w:color="auto" w:sz="4" w:space="0"/>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编号</w:t>
            </w:r>
          </w:p>
        </w:tc>
        <w:tc>
          <w:tcPr>
            <w:tcW w:w="787" w:type="pct"/>
            <w:tcBorders>
              <w:top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产品名称</w:t>
            </w:r>
          </w:p>
        </w:tc>
        <w:tc>
          <w:tcPr>
            <w:tcW w:w="512" w:type="pct"/>
            <w:tcBorders>
              <w:top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生产规模（t/a）</w:t>
            </w:r>
          </w:p>
        </w:tc>
        <w:tc>
          <w:tcPr>
            <w:tcW w:w="485" w:type="pct"/>
            <w:tcBorders>
              <w:top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生产周期*（h/批）</w:t>
            </w:r>
          </w:p>
        </w:tc>
        <w:tc>
          <w:tcPr>
            <w:tcW w:w="464" w:type="pct"/>
            <w:tcBorders>
              <w:top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单釜批次</w:t>
            </w:r>
          </w:p>
          <w:p>
            <w:pPr>
              <w:spacing w:line="240" w:lineRule="auto"/>
              <w:ind w:firstLine="0" w:firstLineChars="0"/>
              <w:jc w:val="center"/>
              <w:rPr>
                <w:rFonts w:cs="Times New Roman"/>
                <w:kern w:val="21"/>
                <w:sz w:val="21"/>
                <w:szCs w:val="21"/>
              </w:rPr>
            </w:pPr>
            <w:r>
              <w:rPr>
                <w:rFonts w:cs="Times New Roman"/>
                <w:kern w:val="21"/>
                <w:sz w:val="21"/>
                <w:szCs w:val="21"/>
              </w:rPr>
              <w:t>（t/批）</w:t>
            </w:r>
          </w:p>
        </w:tc>
        <w:tc>
          <w:tcPr>
            <w:tcW w:w="609" w:type="pct"/>
            <w:tcBorders>
              <w:top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投入</w:t>
            </w:r>
            <w:r>
              <w:rPr>
                <w:rFonts w:cs="Times New Roman"/>
                <w:kern w:val="21"/>
                <w:sz w:val="21"/>
                <w:szCs w:val="21"/>
              </w:rPr>
              <w:t>单釜</w:t>
            </w:r>
            <w:r>
              <w:rPr>
                <w:rFonts w:hint="eastAsia" w:cs="Times New Roman"/>
                <w:kern w:val="21"/>
                <w:sz w:val="21"/>
                <w:szCs w:val="21"/>
              </w:rPr>
              <w:t>数量（个/批）</w:t>
            </w:r>
          </w:p>
        </w:tc>
        <w:tc>
          <w:tcPr>
            <w:tcW w:w="607" w:type="pct"/>
            <w:tcBorders>
              <w:top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年生产批次（批/a）</w:t>
            </w:r>
          </w:p>
        </w:tc>
        <w:tc>
          <w:tcPr>
            <w:tcW w:w="606" w:type="pct"/>
            <w:tcBorders>
              <w:top w:val="single" w:color="auto" w:sz="4" w:space="0"/>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年生产天数（d/a）</w:t>
            </w:r>
          </w:p>
        </w:tc>
        <w:tc>
          <w:tcPr>
            <w:tcW w:w="608" w:type="pct"/>
            <w:tcBorders>
              <w:top w:val="single" w:color="auto" w:sz="4" w:space="0"/>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年运行时数（h/a）</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trPr>
        <w:tc>
          <w:tcPr>
            <w:tcW w:w="318" w:type="pct"/>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w:t>
            </w:r>
          </w:p>
        </w:tc>
        <w:tc>
          <w:tcPr>
            <w:tcW w:w="78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硅PU</w:t>
            </w:r>
          </w:p>
        </w:tc>
        <w:tc>
          <w:tcPr>
            <w:tcW w:w="512"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8000</w:t>
            </w:r>
          </w:p>
        </w:tc>
        <w:tc>
          <w:tcPr>
            <w:tcW w:w="48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8</w:t>
            </w:r>
          </w:p>
        </w:tc>
        <w:tc>
          <w:tcPr>
            <w:tcW w:w="464"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3</w:t>
            </w:r>
          </w:p>
        </w:tc>
        <w:tc>
          <w:tcPr>
            <w:tcW w:w="609"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8</w:t>
            </w:r>
          </w:p>
        </w:tc>
        <w:tc>
          <w:tcPr>
            <w:tcW w:w="607"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446</w:t>
            </w:r>
          </w:p>
        </w:tc>
        <w:tc>
          <w:tcPr>
            <w:tcW w:w="606" w:type="pct"/>
            <w:tcBorders>
              <w:righ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223</w:t>
            </w:r>
          </w:p>
        </w:tc>
        <w:tc>
          <w:tcPr>
            <w:tcW w:w="608" w:type="pct"/>
            <w:tcBorders>
              <w:righ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3568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trPr>
        <w:tc>
          <w:tcPr>
            <w:tcW w:w="318" w:type="pct"/>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2</w:t>
            </w:r>
          </w:p>
        </w:tc>
        <w:tc>
          <w:tcPr>
            <w:tcW w:w="78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水性树脂</w:t>
            </w:r>
          </w:p>
        </w:tc>
        <w:tc>
          <w:tcPr>
            <w:tcW w:w="512"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3500</w:t>
            </w:r>
          </w:p>
        </w:tc>
        <w:tc>
          <w:tcPr>
            <w:tcW w:w="485"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10</w:t>
            </w:r>
          </w:p>
        </w:tc>
        <w:tc>
          <w:tcPr>
            <w:tcW w:w="464"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3</w:t>
            </w:r>
          </w:p>
        </w:tc>
        <w:tc>
          <w:tcPr>
            <w:tcW w:w="609"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8</w:t>
            </w:r>
          </w:p>
        </w:tc>
        <w:tc>
          <w:tcPr>
            <w:tcW w:w="607"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146</w:t>
            </w:r>
          </w:p>
        </w:tc>
        <w:tc>
          <w:tcPr>
            <w:tcW w:w="606" w:type="pct"/>
            <w:tcBorders>
              <w:righ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146</w:t>
            </w:r>
          </w:p>
        </w:tc>
        <w:tc>
          <w:tcPr>
            <w:tcW w:w="608" w:type="pct"/>
            <w:tcBorders>
              <w:righ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1460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trPr>
        <w:tc>
          <w:tcPr>
            <w:tcW w:w="318" w:type="pct"/>
            <w:tcBorders>
              <w:left w:val="single" w:color="auto" w:sz="4" w:space="0"/>
            </w:tcBorders>
            <w:vAlign w:val="center"/>
          </w:tcPr>
          <w:p>
            <w:pPr>
              <w:spacing w:line="240" w:lineRule="auto"/>
              <w:ind w:firstLine="0" w:firstLineChars="0"/>
              <w:jc w:val="center"/>
              <w:rPr>
                <w:rFonts w:cs="Times New Roman"/>
                <w:color w:val="000000" w:themeColor="text1"/>
                <w:kern w:val="21"/>
                <w:sz w:val="21"/>
                <w:szCs w:val="21"/>
                <w:shd w:val="clear" w:color="auto" w:fill="auto"/>
                <w14:textFill>
                  <w14:solidFill>
                    <w14:schemeClr w14:val="tx1"/>
                  </w14:solidFill>
                </w14:textFill>
              </w:rPr>
            </w:pPr>
            <w:r>
              <w:rPr>
                <w:rFonts w:hint="eastAsia" w:cs="Times New Roman"/>
                <w:color w:val="000000" w:themeColor="text1"/>
                <w:kern w:val="21"/>
                <w:sz w:val="21"/>
                <w:szCs w:val="21"/>
                <w:shd w:val="clear" w:color="auto" w:fill="auto"/>
                <w14:textFill>
                  <w14:solidFill>
                    <w14:schemeClr w14:val="tx1"/>
                  </w14:solidFill>
                </w14:textFill>
              </w:rPr>
              <w:t>3</w:t>
            </w:r>
          </w:p>
        </w:tc>
        <w:tc>
          <w:tcPr>
            <w:tcW w:w="787" w:type="pct"/>
            <w:vAlign w:val="center"/>
          </w:tcPr>
          <w:p>
            <w:pPr>
              <w:spacing w:line="240" w:lineRule="auto"/>
              <w:ind w:firstLine="0" w:firstLineChars="0"/>
              <w:jc w:val="center"/>
              <w:rPr>
                <w:rFonts w:cs="Times New Roman"/>
                <w:color w:val="000000" w:themeColor="text1"/>
                <w:kern w:val="21"/>
                <w:sz w:val="21"/>
                <w:szCs w:val="21"/>
                <w:shd w:val="clear" w:color="auto" w:fill="auto"/>
                <w14:textFill>
                  <w14:solidFill>
                    <w14:schemeClr w14:val="tx1"/>
                  </w14:solidFill>
                </w14:textFill>
              </w:rPr>
            </w:pPr>
            <w:r>
              <w:rPr>
                <w:rFonts w:cs="Times New Roman"/>
                <w:color w:val="000000" w:themeColor="text1"/>
                <w:kern w:val="21"/>
                <w:sz w:val="21"/>
                <w:szCs w:val="21"/>
                <w:shd w:val="clear" w:color="auto" w:fill="auto"/>
                <w14:textFill>
                  <w14:solidFill>
                    <w14:schemeClr w14:val="tx1"/>
                  </w14:solidFill>
                </w14:textFill>
              </w:rPr>
              <w:t>单组份胶水</w:t>
            </w:r>
          </w:p>
        </w:tc>
        <w:tc>
          <w:tcPr>
            <w:tcW w:w="512" w:type="pct"/>
            <w:vAlign w:val="center"/>
          </w:tcPr>
          <w:p>
            <w:pPr>
              <w:spacing w:line="240" w:lineRule="auto"/>
              <w:ind w:firstLine="0" w:firstLineChars="0"/>
              <w:jc w:val="center"/>
              <w:rPr>
                <w:rFonts w:cs="Times New Roman"/>
                <w:color w:val="000000" w:themeColor="text1"/>
                <w:kern w:val="21"/>
                <w:sz w:val="21"/>
                <w:szCs w:val="21"/>
                <w:shd w:val="clear" w:color="auto" w:fill="auto"/>
                <w14:textFill>
                  <w14:solidFill>
                    <w14:schemeClr w14:val="tx1"/>
                  </w14:solidFill>
                </w14:textFill>
              </w:rPr>
            </w:pPr>
            <w:r>
              <w:rPr>
                <w:rFonts w:cs="Times New Roman"/>
                <w:color w:val="000000" w:themeColor="text1"/>
                <w:kern w:val="21"/>
                <w:sz w:val="21"/>
                <w:szCs w:val="21"/>
                <w:shd w:val="clear" w:color="auto" w:fill="auto"/>
                <w14:textFill>
                  <w14:solidFill>
                    <w14:schemeClr w14:val="tx1"/>
                  </w14:solidFill>
                </w14:textFill>
              </w:rPr>
              <w:t>4000</w:t>
            </w:r>
          </w:p>
        </w:tc>
        <w:tc>
          <w:tcPr>
            <w:tcW w:w="485" w:type="pct"/>
            <w:vAlign w:val="center"/>
          </w:tcPr>
          <w:p>
            <w:pPr>
              <w:spacing w:line="240" w:lineRule="auto"/>
              <w:ind w:firstLine="0" w:firstLineChars="0"/>
              <w:jc w:val="center"/>
              <w:rPr>
                <w:rFonts w:cs="Times New Roman"/>
                <w:color w:val="000000" w:themeColor="text1"/>
                <w:kern w:val="21"/>
                <w:sz w:val="21"/>
                <w:szCs w:val="21"/>
                <w:shd w:val="clear" w:color="auto" w:fill="auto"/>
                <w14:textFill>
                  <w14:solidFill>
                    <w14:schemeClr w14:val="tx1"/>
                  </w14:solidFill>
                </w14:textFill>
              </w:rPr>
            </w:pPr>
            <w:r>
              <w:rPr>
                <w:rFonts w:hint="eastAsia" w:cs="Times New Roman"/>
                <w:color w:val="000000" w:themeColor="text1"/>
                <w:kern w:val="21"/>
                <w:sz w:val="21"/>
                <w:szCs w:val="21"/>
                <w:shd w:val="clear" w:color="auto" w:fill="auto"/>
                <w14:textFill>
                  <w14:solidFill>
                    <w14:schemeClr w14:val="tx1"/>
                  </w14:solidFill>
                </w14:textFill>
              </w:rPr>
              <w:t>8</w:t>
            </w:r>
          </w:p>
        </w:tc>
        <w:tc>
          <w:tcPr>
            <w:tcW w:w="464" w:type="pct"/>
            <w:vAlign w:val="center"/>
          </w:tcPr>
          <w:p>
            <w:pPr>
              <w:spacing w:line="240" w:lineRule="auto"/>
              <w:ind w:firstLine="0" w:firstLineChars="0"/>
              <w:jc w:val="center"/>
              <w:rPr>
                <w:rFonts w:hint="eastAsia" w:eastAsia="宋体" w:cs="Times New Roman"/>
                <w:color w:val="000000" w:themeColor="text1"/>
                <w:kern w:val="21"/>
                <w:sz w:val="21"/>
                <w:szCs w:val="21"/>
                <w:shd w:val="clear" w:color="auto" w:fill="auto"/>
                <w:lang w:eastAsia="zh-CN"/>
                <w14:textFill>
                  <w14:solidFill>
                    <w14:schemeClr w14:val="tx1"/>
                  </w14:solidFill>
                </w14:textFill>
              </w:rPr>
            </w:pPr>
            <w:r>
              <w:rPr>
                <w:rFonts w:hint="eastAsia" w:cs="Times New Roman"/>
                <w:color w:val="000000" w:themeColor="text1"/>
                <w:kern w:val="21"/>
                <w:sz w:val="21"/>
                <w:szCs w:val="21"/>
                <w:shd w:val="clear" w:color="auto" w:fill="auto"/>
                <w:lang w:val="en-US" w:eastAsia="zh-CN"/>
                <w14:textFill>
                  <w14:solidFill>
                    <w14:schemeClr w14:val="tx1"/>
                  </w14:solidFill>
                </w14:textFill>
              </w:rPr>
              <w:t>2</w:t>
            </w:r>
          </w:p>
        </w:tc>
        <w:tc>
          <w:tcPr>
            <w:tcW w:w="609" w:type="pct"/>
            <w:vAlign w:val="center"/>
          </w:tcPr>
          <w:p>
            <w:pPr>
              <w:spacing w:line="240" w:lineRule="auto"/>
              <w:ind w:firstLine="0" w:firstLineChars="0"/>
              <w:jc w:val="center"/>
              <w:rPr>
                <w:rFonts w:hint="eastAsia" w:eastAsia="宋体" w:cs="Times New Roman"/>
                <w:color w:val="000000" w:themeColor="text1"/>
                <w:kern w:val="21"/>
                <w:sz w:val="21"/>
                <w:szCs w:val="21"/>
                <w:shd w:val="clear" w:color="auto" w:fill="auto"/>
                <w:lang w:eastAsia="zh-CN"/>
                <w14:textFill>
                  <w14:solidFill>
                    <w14:schemeClr w14:val="tx1"/>
                  </w14:solidFill>
                </w14:textFill>
              </w:rPr>
            </w:pPr>
            <w:r>
              <w:rPr>
                <w:rFonts w:hint="eastAsia" w:cs="Times New Roman"/>
                <w:color w:val="000000" w:themeColor="text1"/>
                <w:kern w:val="21"/>
                <w:sz w:val="21"/>
                <w:szCs w:val="21"/>
                <w:shd w:val="clear" w:color="auto" w:fill="auto"/>
                <w:lang w:val="en-US" w:eastAsia="zh-CN"/>
                <w14:textFill>
                  <w14:solidFill>
                    <w14:schemeClr w14:val="tx1"/>
                  </w14:solidFill>
                </w14:textFill>
              </w:rPr>
              <w:t>6</w:t>
            </w:r>
          </w:p>
        </w:tc>
        <w:tc>
          <w:tcPr>
            <w:tcW w:w="607" w:type="pct"/>
            <w:vAlign w:val="center"/>
          </w:tcPr>
          <w:p>
            <w:pPr>
              <w:spacing w:line="240" w:lineRule="auto"/>
              <w:ind w:firstLine="0" w:firstLineChars="0"/>
              <w:jc w:val="center"/>
              <w:rPr>
                <w:rFonts w:hint="default" w:eastAsia="宋体" w:cs="Times New Roman"/>
                <w:color w:val="000000" w:themeColor="text1"/>
                <w:kern w:val="21"/>
                <w:sz w:val="21"/>
                <w:szCs w:val="21"/>
                <w:shd w:val="clear" w:color="auto" w:fill="auto"/>
                <w:lang w:val="en-US" w:eastAsia="zh-CN"/>
                <w14:textFill>
                  <w14:solidFill>
                    <w14:schemeClr w14:val="tx1"/>
                  </w14:solidFill>
                </w14:textFill>
              </w:rPr>
            </w:pPr>
            <w:r>
              <w:rPr>
                <w:rFonts w:hint="eastAsia" w:cs="Times New Roman"/>
                <w:color w:val="000000" w:themeColor="text1"/>
                <w:kern w:val="21"/>
                <w:sz w:val="21"/>
                <w:szCs w:val="21"/>
                <w:shd w:val="clear" w:color="auto" w:fill="auto"/>
                <w:lang w:val="en-US" w:eastAsia="zh-CN"/>
                <w14:textFill>
                  <w14:solidFill>
                    <w14:schemeClr w14:val="tx1"/>
                  </w14:solidFill>
                </w14:textFill>
              </w:rPr>
              <w:t>334</w:t>
            </w:r>
          </w:p>
        </w:tc>
        <w:tc>
          <w:tcPr>
            <w:tcW w:w="606" w:type="pct"/>
            <w:tcBorders>
              <w:right w:val="single" w:color="auto" w:sz="4" w:space="0"/>
            </w:tcBorders>
            <w:vAlign w:val="center"/>
          </w:tcPr>
          <w:p>
            <w:pPr>
              <w:spacing w:line="240" w:lineRule="auto"/>
              <w:ind w:firstLine="0" w:firstLineChars="0"/>
              <w:jc w:val="center"/>
              <w:rPr>
                <w:rFonts w:cs="Times New Roman"/>
                <w:color w:val="000000" w:themeColor="text1"/>
                <w:kern w:val="21"/>
                <w:sz w:val="21"/>
                <w:szCs w:val="21"/>
                <w:shd w:val="clear" w:color="auto" w:fill="auto"/>
                <w14:textFill>
                  <w14:solidFill>
                    <w14:schemeClr w14:val="tx1"/>
                  </w14:solidFill>
                </w14:textFill>
              </w:rPr>
            </w:pPr>
            <w:r>
              <w:rPr>
                <w:rFonts w:hint="eastAsia" w:cs="Times New Roman"/>
                <w:color w:val="000000" w:themeColor="text1"/>
                <w:kern w:val="21"/>
                <w:sz w:val="21"/>
                <w:szCs w:val="21"/>
                <w:shd w:val="clear" w:color="auto" w:fill="auto"/>
                <w14:textFill>
                  <w14:solidFill>
                    <w14:schemeClr w14:val="tx1"/>
                  </w14:solidFill>
                </w14:textFill>
              </w:rPr>
              <w:t>223</w:t>
            </w:r>
          </w:p>
        </w:tc>
        <w:tc>
          <w:tcPr>
            <w:tcW w:w="608" w:type="pct"/>
            <w:tcBorders>
              <w:right w:val="single" w:color="auto" w:sz="4" w:space="0"/>
            </w:tcBorders>
            <w:vAlign w:val="center"/>
          </w:tcPr>
          <w:p>
            <w:pPr>
              <w:spacing w:line="240" w:lineRule="auto"/>
              <w:ind w:firstLine="0" w:firstLineChars="0"/>
              <w:jc w:val="center"/>
              <w:rPr>
                <w:rFonts w:cs="Times New Roman"/>
                <w:color w:val="000000" w:themeColor="text1"/>
                <w:kern w:val="21"/>
                <w:sz w:val="21"/>
                <w:szCs w:val="21"/>
                <w:shd w:val="clear" w:color="auto" w:fill="auto"/>
                <w14:textFill>
                  <w14:solidFill>
                    <w14:schemeClr w14:val="tx1"/>
                  </w14:solidFill>
                </w14:textFill>
              </w:rPr>
            </w:pPr>
            <w:r>
              <w:rPr>
                <w:rFonts w:hint="eastAsia" w:cs="Times New Roman"/>
                <w:color w:val="000000" w:themeColor="text1"/>
                <w:kern w:val="21"/>
                <w:sz w:val="21"/>
                <w:szCs w:val="21"/>
                <w:shd w:val="clear" w:color="auto" w:fill="auto"/>
                <w14:textFill>
                  <w14:solidFill>
                    <w14:schemeClr w14:val="tx1"/>
                  </w14:solidFill>
                </w14:textFill>
              </w:rPr>
              <w:t>2672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trPr>
        <w:tc>
          <w:tcPr>
            <w:tcW w:w="318" w:type="pct"/>
            <w:tcBorders>
              <w:lef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4</w:t>
            </w:r>
          </w:p>
        </w:tc>
        <w:tc>
          <w:tcPr>
            <w:tcW w:w="78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双组份胶水</w:t>
            </w:r>
          </w:p>
        </w:tc>
        <w:tc>
          <w:tcPr>
            <w:tcW w:w="512"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8000</w:t>
            </w:r>
          </w:p>
        </w:tc>
        <w:tc>
          <w:tcPr>
            <w:tcW w:w="485"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8</w:t>
            </w:r>
          </w:p>
        </w:tc>
        <w:tc>
          <w:tcPr>
            <w:tcW w:w="464"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3</w:t>
            </w:r>
          </w:p>
        </w:tc>
        <w:tc>
          <w:tcPr>
            <w:tcW w:w="609"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10</w:t>
            </w:r>
            <w:r>
              <w:rPr>
                <w:rFonts w:hint="eastAsia" w:ascii="宋体" w:hAnsi="宋体" w:cs="宋体"/>
                <w:kern w:val="21"/>
                <w:sz w:val="21"/>
                <w:szCs w:val="21"/>
                <w:vertAlign w:val="superscript"/>
              </w:rPr>
              <w:t>①</w:t>
            </w:r>
          </w:p>
        </w:tc>
        <w:tc>
          <w:tcPr>
            <w:tcW w:w="1107" w:type="dxa"/>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445</w:t>
            </w:r>
          </w:p>
        </w:tc>
        <w:tc>
          <w:tcPr>
            <w:tcW w:w="1105"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223</w:t>
            </w:r>
          </w:p>
        </w:tc>
        <w:tc>
          <w:tcPr>
            <w:tcW w:w="1110"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3560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trPr>
        <w:tc>
          <w:tcPr>
            <w:tcW w:w="318" w:type="pct"/>
            <w:tcBorders>
              <w:left w:val="single" w:color="auto" w:sz="4" w:space="0"/>
              <w:bottom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5</w:t>
            </w:r>
          </w:p>
        </w:tc>
        <w:tc>
          <w:tcPr>
            <w:tcW w:w="787" w:type="pct"/>
            <w:tcBorders>
              <w:bottom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跑道专用面漆</w:t>
            </w:r>
          </w:p>
        </w:tc>
        <w:tc>
          <w:tcPr>
            <w:tcW w:w="512" w:type="pct"/>
            <w:tcBorders>
              <w:bottom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2000</w:t>
            </w:r>
          </w:p>
        </w:tc>
        <w:tc>
          <w:tcPr>
            <w:tcW w:w="485" w:type="pct"/>
            <w:tcBorders>
              <w:bottom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4</w:t>
            </w:r>
          </w:p>
        </w:tc>
        <w:tc>
          <w:tcPr>
            <w:tcW w:w="464" w:type="pct"/>
            <w:tcBorders>
              <w:bottom w:val="single" w:color="auto" w:sz="4" w:space="0"/>
            </w:tcBorders>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1.5</w:t>
            </w:r>
          </w:p>
        </w:tc>
        <w:tc>
          <w:tcPr>
            <w:tcW w:w="609" w:type="pct"/>
            <w:tcBorders>
              <w:bottom w:val="single" w:color="auto" w:sz="4" w:space="0"/>
            </w:tcBorders>
            <w:vAlign w:val="center"/>
          </w:tcPr>
          <w:p>
            <w:pPr>
              <w:spacing w:line="240" w:lineRule="auto"/>
              <w:ind w:firstLine="0" w:firstLineChars="0"/>
              <w:jc w:val="center"/>
              <w:rPr>
                <w:rFonts w:hint="eastAsia" w:eastAsia="宋体" w:cs="Times New Roman"/>
                <w:kern w:val="21"/>
                <w:sz w:val="21"/>
                <w:szCs w:val="21"/>
                <w:lang w:eastAsia="zh-CN"/>
              </w:rPr>
            </w:pPr>
            <w:r>
              <w:rPr>
                <w:rFonts w:hint="eastAsia" w:cs="Times New Roman"/>
                <w:kern w:val="21"/>
                <w:sz w:val="21"/>
                <w:szCs w:val="21"/>
                <w:lang w:val="en-US" w:eastAsia="zh-CN"/>
              </w:rPr>
              <w:t>4</w:t>
            </w:r>
          </w:p>
        </w:tc>
        <w:tc>
          <w:tcPr>
            <w:tcW w:w="607" w:type="pct"/>
            <w:tcBorders>
              <w:bottom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400</w:t>
            </w:r>
          </w:p>
        </w:tc>
        <w:tc>
          <w:tcPr>
            <w:tcW w:w="606" w:type="pct"/>
            <w:tcBorders>
              <w:bottom w:val="single" w:color="auto" w:sz="4" w:space="0"/>
              <w:righ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200</w:t>
            </w:r>
          </w:p>
        </w:tc>
        <w:tc>
          <w:tcPr>
            <w:tcW w:w="608" w:type="pct"/>
            <w:tcBorders>
              <w:bottom w:val="single" w:color="auto" w:sz="4" w:space="0"/>
              <w:righ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1600</w:t>
            </w:r>
          </w:p>
        </w:tc>
      </w:tr>
    </w:tbl>
    <w:p>
      <w:pPr>
        <w:pStyle w:val="25"/>
        <w:widowControl/>
        <w:spacing w:beforeAutospacing="0" w:afterAutospacing="0"/>
        <w:ind w:firstLine="420"/>
        <w:jc w:val="both"/>
        <w:rPr>
          <w:sz w:val="21"/>
          <w:szCs w:val="21"/>
        </w:rPr>
      </w:pPr>
      <w:r>
        <w:rPr>
          <w:sz w:val="21"/>
          <w:szCs w:val="21"/>
        </w:rPr>
        <w:t>注：①A、B组分各设置</w:t>
      </w:r>
      <w:r>
        <w:rPr>
          <w:rFonts w:hint="eastAsia"/>
          <w:sz w:val="21"/>
          <w:szCs w:val="21"/>
        </w:rPr>
        <w:t>5</w:t>
      </w:r>
      <w:r>
        <w:rPr>
          <w:sz w:val="21"/>
          <w:szCs w:val="21"/>
        </w:rPr>
        <w:t>个反应釜；</w:t>
      </w:r>
    </w:p>
    <w:p>
      <w:pPr>
        <w:pStyle w:val="25"/>
        <w:widowControl/>
        <w:spacing w:beforeAutospacing="0" w:afterAutospacing="0"/>
        <w:ind w:firstLine="480"/>
        <w:jc w:val="both"/>
      </w:pPr>
      <w:r>
        <w:t>本项目生产的产品主要用于学校合成材料面层运动场地使用，故项目产品质量标准主要参照GB36246-2018《中小学合成材料面层运动场地》规定执行。</w:t>
      </w:r>
    </w:p>
    <w:p>
      <w:pPr>
        <w:pStyle w:val="25"/>
        <w:widowControl/>
        <w:spacing w:beforeAutospacing="0" w:afterAutospacing="0"/>
        <w:ind w:firstLine="0" w:firstLineChars="0"/>
        <w:jc w:val="center"/>
        <w:rPr>
          <w:b/>
          <w:bCs/>
        </w:rPr>
      </w:pPr>
      <w:r>
        <w:rPr>
          <w:b/>
          <w:bCs/>
        </w:rPr>
        <w:t>表</w:t>
      </w:r>
      <w:r>
        <w:rPr>
          <w:rFonts w:hint="eastAsia"/>
          <w:b/>
          <w:bCs/>
        </w:rPr>
        <w:t>3.2-7</w:t>
      </w:r>
      <w:r>
        <w:rPr>
          <w:b/>
          <w:bCs/>
        </w:rPr>
        <w:t xml:space="preserve">  </w:t>
      </w:r>
      <w:r>
        <w:rPr>
          <w:rFonts w:hint="eastAsia"/>
          <w:b/>
          <w:bCs/>
        </w:rPr>
        <w:t>项目</w:t>
      </w:r>
      <w:r>
        <w:rPr>
          <w:b/>
          <w:bCs/>
        </w:rPr>
        <w:t>产品质量标准</w:t>
      </w:r>
    </w:p>
    <w:p>
      <w:pPr>
        <w:pStyle w:val="25"/>
        <w:widowControl/>
        <w:spacing w:beforeAutospacing="0" w:afterAutospacing="0"/>
        <w:ind w:firstLine="0" w:firstLineChars="0"/>
        <w:jc w:val="center"/>
        <w:rPr>
          <w:b/>
          <w:bCs/>
        </w:rPr>
      </w:pPr>
      <w:r>
        <w:rPr>
          <w:b/>
          <w:bCs/>
        </w:rPr>
        <w:t>（参照GB36246-2018《中小学合成材料面层运动场地》</w:t>
      </w:r>
      <w:r>
        <w:rPr>
          <w:rFonts w:hint="eastAsia"/>
          <w:b/>
          <w:bCs/>
        </w:rPr>
        <w:t>质量标准</w:t>
      </w:r>
      <w:r>
        <w:rPr>
          <w:b/>
          <w:bCs/>
        </w:rPr>
        <w:t>）</w:t>
      </w:r>
    </w:p>
    <w:tbl>
      <w:tblPr>
        <w:tblStyle w:val="51"/>
        <w:tblW w:w="9003"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55"/>
        <w:gridCol w:w="25"/>
        <w:gridCol w:w="1223"/>
        <w:gridCol w:w="63"/>
        <w:gridCol w:w="4540"/>
        <w:gridCol w:w="229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5" w:hRule="atLeast"/>
        </w:trPr>
        <w:tc>
          <w:tcPr>
            <w:tcW w:w="9003" w:type="dxa"/>
            <w:gridSpan w:val="6"/>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Times New Roman"/>
                <w:kern w:val="21"/>
                <w:sz w:val="21"/>
                <w:szCs w:val="21"/>
              </w:rPr>
            </w:pPr>
            <w:r>
              <w:rPr>
                <w:b/>
                <w:bCs/>
                <w:sz w:val="21"/>
                <w:szCs w:val="21"/>
              </w:rPr>
              <w:t>EPDM产品质量标准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7" w:hRule="atLeast"/>
        </w:trPr>
        <w:tc>
          <w:tcPr>
            <w:tcW w:w="855" w:type="dxa"/>
            <w:tcBorders>
              <w:top w:val="single" w:color="auto" w:sz="4" w:space="0"/>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序号</w:t>
            </w:r>
          </w:p>
        </w:tc>
        <w:tc>
          <w:tcPr>
            <w:tcW w:w="5851" w:type="dxa"/>
            <w:gridSpan w:val="4"/>
            <w:tcBorders>
              <w:top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项目</w:t>
            </w:r>
          </w:p>
        </w:tc>
        <w:tc>
          <w:tcPr>
            <w:tcW w:w="2297" w:type="dxa"/>
            <w:tcBorders>
              <w:top w:val="single" w:color="auto" w:sz="4" w:space="0"/>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指    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855"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w:t>
            </w:r>
          </w:p>
        </w:tc>
        <w:tc>
          <w:tcPr>
            <w:tcW w:w="5851"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18种多环芳烃总和（mg/kg）</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855"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2</w:t>
            </w:r>
          </w:p>
        </w:tc>
        <w:tc>
          <w:tcPr>
            <w:tcW w:w="5851"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苯并[a]芘（mg/kg）</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855" w:type="dxa"/>
            <w:vMerge w:val="restart"/>
            <w:tcBorders>
              <w:left w:val="single" w:color="auto" w:sz="4" w:space="0"/>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3</w:t>
            </w:r>
          </w:p>
        </w:tc>
        <w:tc>
          <w:tcPr>
            <w:tcW w:w="1248" w:type="dxa"/>
            <w:gridSpan w:val="2"/>
            <w:vMerge w:val="restart"/>
            <w:tcBorders>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重金属含量（mg/kg）</w:t>
            </w:r>
          </w:p>
        </w:tc>
        <w:tc>
          <w:tcPr>
            <w:tcW w:w="4603"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可溶性铅</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855" w:type="dxa"/>
            <w:vMerge w:val="continue"/>
            <w:tcBorders>
              <w:top w:val="nil"/>
              <w:left w:val="single" w:color="auto" w:sz="4" w:space="0"/>
              <w:bottom w:val="nil"/>
            </w:tcBorders>
            <w:vAlign w:val="center"/>
          </w:tcPr>
          <w:p>
            <w:pPr>
              <w:spacing w:line="240" w:lineRule="auto"/>
              <w:ind w:firstLine="0" w:firstLineChars="0"/>
              <w:jc w:val="center"/>
              <w:rPr>
                <w:rFonts w:cs="Times New Roman"/>
                <w:kern w:val="21"/>
                <w:sz w:val="21"/>
                <w:szCs w:val="21"/>
              </w:rPr>
            </w:pPr>
          </w:p>
        </w:tc>
        <w:tc>
          <w:tcPr>
            <w:tcW w:w="1248" w:type="dxa"/>
            <w:gridSpan w:val="2"/>
            <w:vMerge w:val="continue"/>
            <w:tcBorders>
              <w:top w:val="nil"/>
              <w:bottom w:val="nil"/>
            </w:tcBorders>
            <w:vAlign w:val="center"/>
          </w:tcPr>
          <w:p>
            <w:pPr>
              <w:spacing w:line="240" w:lineRule="auto"/>
              <w:ind w:firstLine="0" w:firstLineChars="0"/>
              <w:jc w:val="center"/>
              <w:rPr>
                <w:rFonts w:cs="Times New Roman"/>
                <w:kern w:val="21"/>
                <w:sz w:val="21"/>
                <w:szCs w:val="21"/>
              </w:rPr>
            </w:pPr>
          </w:p>
        </w:tc>
        <w:tc>
          <w:tcPr>
            <w:tcW w:w="4603"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可溶性镉</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855" w:type="dxa"/>
            <w:vMerge w:val="continue"/>
            <w:tcBorders>
              <w:top w:val="nil"/>
              <w:left w:val="single" w:color="auto" w:sz="4" w:space="0"/>
              <w:bottom w:val="nil"/>
            </w:tcBorders>
            <w:vAlign w:val="center"/>
          </w:tcPr>
          <w:p>
            <w:pPr>
              <w:spacing w:line="240" w:lineRule="auto"/>
              <w:ind w:firstLine="0" w:firstLineChars="0"/>
              <w:jc w:val="center"/>
              <w:rPr>
                <w:rFonts w:cs="Times New Roman"/>
                <w:kern w:val="21"/>
                <w:sz w:val="21"/>
                <w:szCs w:val="21"/>
              </w:rPr>
            </w:pPr>
          </w:p>
        </w:tc>
        <w:tc>
          <w:tcPr>
            <w:tcW w:w="1248" w:type="dxa"/>
            <w:gridSpan w:val="2"/>
            <w:vMerge w:val="continue"/>
            <w:tcBorders>
              <w:top w:val="nil"/>
              <w:bottom w:val="nil"/>
            </w:tcBorders>
            <w:vAlign w:val="center"/>
          </w:tcPr>
          <w:p>
            <w:pPr>
              <w:spacing w:line="240" w:lineRule="auto"/>
              <w:ind w:firstLine="0" w:firstLineChars="0"/>
              <w:jc w:val="center"/>
              <w:rPr>
                <w:rFonts w:cs="Times New Roman"/>
                <w:kern w:val="21"/>
                <w:sz w:val="21"/>
                <w:szCs w:val="21"/>
              </w:rPr>
            </w:pPr>
          </w:p>
        </w:tc>
        <w:tc>
          <w:tcPr>
            <w:tcW w:w="4603"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可溶性铬</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855" w:type="dxa"/>
            <w:vMerge w:val="continue"/>
            <w:tcBorders>
              <w:top w:val="nil"/>
              <w:left w:val="single" w:color="auto" w:sz="4" w:space="0"/>
            </w:tcBorders>
            <w:vAlign w:val="center"/>
          </w:tcPr>
          <w:p>
            <w:pPr>
              <w:spacing w:line="240" w:lineRule="auto"/>
              <w:ind w:firstLine="0" w:firstLineChars="0"/>
              <w:jc w:val="center"/>
              <w:rPr>
                <w:rFonts w:cs="Times New Roman"/>
                <w:kern w:val="21"/>
                <w:sz w:val="21"/>
                <w:szCs w:val="21"/>
              </w:rPr>
            </w:pPr>
          </w:p>
        </w:tc>
        <w:tc>
          <w:tcPr>
            <w:tcW w:w="1248" w:type="dxa"/>
            <w:gridSpan w:val="2"/>
            <w:vMerge w:val="continue"/>
            <w:tcBorders>
              <w:top w:val="nil"/>
            </w:tcBorders>
            <w:vAlign w:val="center"/>
          </w:tcPr>
          <w:p>
            <w:pPr>
              <w:spacing w:line="240" w:lineRule="auto"/>
              <w:ind w:firstLine="0" w:firstLineChars="0"/>
              <w:jc w:val="center"/>
              <w:rPr>
                <w:rFonts w:cs="Times New Roman"/>
                <w:kern w:val="21"/>
                <w:sz w:val="21"/>
                <w:szCs w:val="21"/>
              </w:rPr>
            </w:pPr>
          </w:p>
        </w:tc>
        <w:tc>
          <w:tcPr>
            <w:tcW w:w="4603"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可溶性汞</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2" w:hRule="atLeast"/>
        </w:trPr>
        <w:tc>
          <w:tcPr>
            <w:tcW w:w="855"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4</w:t>
            </w:r>
          </w:p>
        </w:tc>
        <w:tc>
          <w:tcPr>
            <w:tcW w:w="5851"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高聚物总量（%）</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2" w:hRule="atLeast"/>
        </w:trPr>
        <w:tc>
          <w:tcPr>
            <w:tcW w:w="855" w:type="dxa"/>
            <w:tcBorders>
              <w:left w:val="single" w:color="auto" w:sz="4" w:space="0"/>
              <w:bottom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w:t>
            </w:r>
          </w:p>
        </w:tc>
        <w:tc>
          <w:tcPr>
            <w:tcW w:w="5851" w:type="dxa"/>
            <w:gridSpan w:val="4"/>
            <w:tcBorders>
              <w:bottom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气味等级</w:t>
            </w:r>
            <w:r>
              <w:rPr>
                <w:rFonts w:hint="eastAsia" w:cs="Times New Roman"/>
                <w:kern w:val="21"/>
                <w:sz w:val="21"/>
                <w:szCs w:val="21"/>
              </w:rPr>
              <w:t>（</w:t>
            </w:r>
            <w:r>
              <w:rPr>
                <w:rFonts w:cs="Times New Roman"/>
                <w:kern w:val="21"/>
                <w:sz w:val="21"/>
                <w:szCs w:val="21"/>
              </w:rPr>
              <w:t>级</w:t>
            </w:r>
            <w:r>
              <w:rPr>
                <w:rFonts w:hint="eastAsia" w:cs="Times New Roman"/>
                <w:kern w:val="21"/>
                <w:sz w:val="21"/>
                <w:szCs w:val="21"/>
              </w:rPr>
              <w:t>）</w:t>
            </w:r>
          </w:p>
        </w:tc>
        <w:tc>
          <w:tcPr>
            <w:tcW w:w="2297" w:type="dxa"/>
            <w:tcBorders>
              <w:bottom w:val="single" w:color="auto" w:sz="4" w:space="0"/>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003" w:type="dxa"/>
            <w:gridSpan w:val="6"/>
            <w:vAlign w:val="center"/>
          </w:tcPr>
          <w:p>
            <w:pPr>
              <w:spacing w:line="240" w:lineRule="auto"/>
              <w:ind w:firstLine="0" w:firstLineChars="0"/>
              <w:rPr>
                <w:rFonts w:cs="Times New Roman"/>
                <w:kern w:val="21"/>
                <w:sz w:val="21"/>
                <w:szCs w:val="21"/>
              </w:rPr>
            </w:pPr>
            <w:r>
              <w:rPr>
                <w:b/>
                <w:bCs/>
                <w:sz w:val="21"/>
                <w:szCs w:val="21"/>
              </w:rPr>
              <w:t>水性硅PU、聚氨酯树脂、</w:t>
            </w:r>
            <w:r>
              <w:rPr>
                <w:rFonts w:hint="eastAsia"/>
                <w:b/>
                <w:bCs/>
                <w:sz w:val="21"/>
                <w:szCs w:val="21"/>
              </w:rPr>
              <w:t>胶水</w:t>
            </w:r>
            <w:r>
              <w:rPr>
                <w:b/>
                <w:bCs/>
                <w:sz w:val="21"/>
                <w:szCs w:val="21"/>
              </w:rPr>
              <w:t>产品质量标准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1</w:t>
            </w:r>
          </w:p>
        </w:tc>
        <w:tc>
          <w:tcPr>
            <w:tcW w:w="5826" w:type="dxa"/>
            <w:gridSpan w:val="3"/>
            <w:vAlign w:val="center"/>
          </w:tcPr>
          <w:p>
            <w:pPr>
              <w:spacing w:line="240" w:lineRule="auto"/>
              <w:ind w:firstLine="0" w:firstLineChars="0"/>
              <w:jc w:val="center"/>
              <w:rPr>
                <w:rFonts w:cs="Times New Roman"/>
                <w:kern w:val="21"/>
                <w:sz w:val="21"/>
                <w:szCs w:val="21"/>
              </w:rPr>
            </w:pPr>
            <w:r>
              <w:rPr>
                <w:rFonts w:cs="Times New Roman"/>
                <w:kern w:val="21"/>
                <w:sz w:val="21"/>
                <w:szCs w:val="21"/>
              </w:rPr>
              <w:t>3种邻苯二甲酸酯酯类化合物（DBP、BBP、DEHP）（g/kg）</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2</w:t>
            </w:r>
          </w:p>
        </w:tc>
        <w:tc>
          <w:tcPr>
            <w:tcW w:w="5826" w:type="dxa"/>
            <w:gridSpan w:val="3"/>
            <w:vAlign w:val="center"/>
          </w:tcPr>
          <w:p>
            <w:pPr>
              <w:spacing w:line="240" w:lineRule="auto"/>
              <w:ind w:firstLine="0" w:firstLineChars="0"/>
              <w:jc w:val="center"/>
              <w:rPr>
                <w:rFonts w:cs="Times New Roman"/>
                <w:kern w:val="21"/>
                <w:sz w:val="21"/>
                <w:szCs w:val="21"/>
              </w:rPr>
            </w:pPr>
            <w:r>
              <w:rPr>
                <w:rFonts w:cs="Times New Roman"/>
                <w:kern w:val="21"/>
                <w:sz w:val="21"/>
                <w:szCs w:val="21"/>
              </w:rPr>
              <w:t>3种邻苯二甲酸酯酯类化合物（DNOP、DINP、DIDP）（g/kg）</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3</w:t>
            </w:r>
          </w:p>
        </w:tc>
        <w:tc>
          <w:tcPr>
            <w:tcW w:w="5826" w:type="dxa"/>
            <w:gridSpan w:val="3"/>
            <w:vAlign w:val="center"/>
          </w:tcPr>
          <w:p>
            <w:pPr>
              <w:spacing w:line="240" w:lineRule="auto"/>
              <w:ind w:firstLine="0" w:firstLineChars="0"/>
              <w:jc w:val="center"/>
              <w:rPr>
                <w:rFonts w:cs="Times New Roman"/>
                <w:kern w:val="21"/>
                <w:sz w:val="21"/>
                <w:szCs w:val="21"/>
              </w:rPr>
            </w:pPr>
            <w:r>
              <w:rPr>
                <w:rFonts w:cs="Times New Roman"/>
                <w:kern w:val="21"/>
                <w:sz w:val="21"/>
                <w:szCs w:val="21"/>
              </w:rPr>
              <w:t>短链氯化石蜡（C10-C13）（g/kg）</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4</w:t>
            </w:r>
          </w:p>
        </w:tc>
        <w:tc>
          <w:tcPr>
            <w:tcW w:w="5826" w:type="dxa"/>
            <w:gridSpan w:val="3"/>
            <w:vAlign w:val="center"/>
          </w:tcPr>
          <w:p>
            <w:pPr>
              <w:spacing w:line="240" w:lineRule="auto"/>
              <w:ind w:firstLine="0" w:firstLineChars="0"/>
              <w:jc w:val="center"/>
              <w:rPr>
                <w:rFonts w:cs="Times New Roman"/>
                <w:kern w:val="21"/>
                <w:sz w:val="21"/>
                <w:szCs w:val="21"/>
              </w:rPr>
            </w:pPr>
            <w:r>
              <w:rPr>
                <w:rFonts w:cs="Times New Roman"/>
                <w:kern w:val="21"/>
                <w:sz w:val="21"/>
                <w:szCs w:val="21"/>
              </w:rPr>
              <w:t>TDI、HDI总和（g/kg）</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5</w:t>
            </w:r>
          </w:p>
        </w:tc>
        <w:tc>
          <w:tcPr>
            <w:tcW w:w="5826" w:type="dxa"/>
            <w:gridSpan w:val="3"/>
            <w:vAlign w:val="center"/>
          </w:tcPr>
          <w:p>
            <w:pPr>
              <w:spacing w:line="240" w:lineRule="auto"/>
              <w:ind w:firstLine="0" w:firstLineChars="0"/>
              <w:jc w:val="center"/>
              <w:rPr>
                <w:rFonts w:cs="Times New Roman"/>
                <w:kern w:val="21"/>
                <w:sz w:val="21"/>
                <w:szCs w:val="21"/>
              </w:rPr>
            </w:pPr>
            <w:r>
              <w:rPr>
                <w:rFonts w:cs="Times New Roman"/>
                <w:kern w:val="21"/>
                <w:sz w:val="21"/>
                <w:szCs w:val="21"/>
              </w:rPr>
              <w:t>挥发性有机化合物（g/L）</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6</w:t>
            </w:r>
          </w:p>
        </w:tc>
        <w:tc>
          <w:tcPr>
            <w:tcW w:w="5826" w:type="dxa"/>
            <w:gridSpan w:val="3"/>
            <w:vAlign w:val="center"/>
          </w:tcPr>
          <w:p>
            <w:pPr>
              <w:spacing w:line="240" w:lineRule="auto"/>
              <w:ind w:firstLine="0" w:firstLineChars="0"/>
              <w:jc w:val="center"/>
              <w:rPr>
                <w:rFonts w:cs="Times New Roman"/>
                <w:kern w:val="21"/>
                <w:sz w:val="21"/>
                <w:szCs w:val="21"/>
              </w:rPr>
            </w:pPr>
            <w:r>
              <w:rPr>
                <w:rFonts w:cs="Times New Roman"/>
                <w:kern w:val="21"/>
                <w:sz w:val="21"/>
                <w:szCs w:val="21"/>
              </w:rPr>
              <w:t>游离甲醛（g/kg）</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7</w:t>
            </w:r>
          </w:p>
        </w:tc>
        <w:tc>
          <w:tcPr>
            <w:tcW w:w="5826" w:type="dxa"/>
            <w:gridSpan w:val="3"/>
            <w:vAlign w:val="center"/>
          </w:tcPr>
          <w:p>
            <w:pPr>
              <w:spacing w:line="240" w:lineRule="auto"/>
              <w:ind w:firstLine="0" w:firstLineChars="0"/>
              <w:jc w:val="center"/>
              <w:rPr>
                <w:rFonts w:cs="Times New Roman"/>
                <w:kern w:val="21"/>
                <w:sz w:val="21"/>
                <w:szCs w:val="21"/>
              </w:rPr>
            </w:pPr>
            <w:r>
              <w:rPr>
                <w:rFonts w:cs="Times New Roman"/>
                <w:kern w:val="21"/>
                <w:sz w:val="21"/>
                <w:szCs w:val="21"/>
              </w:rPr>
              <w:t>苯（g/kg）</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8</w:t>
            </w:r>
          </w:p>
        </w:tc>
        <w:tc>
          <w:tcPr>
            <w:tcW w:w="5826" w:type="dxa"/>
            <w:gridSpan w:val="3"/>
            <w:vAlign w:val="center"/>
          </w:tcPr>
          <w:p>
            <w:pPr>
              <w:spacing w:line="240" w:lineRule="auto"/>
              <w:ind w:firstLine="0" w:firstLineChars="0"/>
              <w:jc w:val="center"/>
              <w:rPr>
                <w:rFonts w:cs="Times New Roman"/>
                <w:kern w:val="21"/>
                <w:sz w:val="21"/>
                <w:szCs w:val="21"/>
              </w:rPr>
            </w:pPr>
            <w:r>
              <w:rPr>
                <w:rFonts w:cs="Times New Roman"/>
                <w:kern w:val="21"/>
                <w:sz w:val="21"/>
                <w:szCs w:val="21"/>
              </w:rPr>
              <w:t>甲苯、二甲苯和乙苯总和（g/kg）</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Merge w:val="restar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9</w:t>
            </w:r>
          </w:p>
        </w:tc>
        <w:tc>
          <w:tcPr>
            <w:tcW w:w="1286" w:type="dxa"/>
            <w:gridSpan w:val="2"/>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重金属含量（mg/kg）</w:t>
            </w:r>
          </w:p>
        </w:tc>
        <w:tc>
          <w:tcPr>
            <w:tcW w:w="454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可溶性铅</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Merge w:val="continue"/>
            <w:vAlign w:val="center"/>
          </w:tcPr>
          <w:p>
            <w:pPr>
              <w:spacing w:line="240" w:lineRule="auto"/>
              <w:ind w:firstLine="0" w:firstLineChars="0"/>
              <w:jc w:val="center"/>
              <w:rPr>
                <w:rFonts w:cs="Times New Roman"/>
                <w:kern w:val="21"/>
                <w:sz w:val="21"/>
                <w:szCs w:val="21"/>
              </w:rPr>
            </w:pPr>
          </w:p>
        </w:tc>
        <w:tc>
          <w:tcPr>
            <w:tcW w:w="1286" w:type="dxa"/>
            <w:gridSpan w:val="2"/>
            <w:vMerge w:val="continue"/>
            <w:vAlign w:val="center"/>
          </w:tcPr>
          <w:p>
            <w:pPr>
              <w:spacing w:line="240" w:lineRule="auto"/>
              <w:ind w:firstLine="0" w:firstLineChars="0"/>
              <w:jc w:val="center"/>
              <w:rPr>
                <w:rFonts w:cs="Times New Roman"/>
                <w:kern w:val="21"/>
                <w:sz w:val="21"/>
                <w:szCs w:val="21"/>
              </w:rPr>
            </w:pPr>
          </w:p>
        </w:tc>
        <w:tc>
          <w:tcPr>
            <w:tcW w:w="454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可溶性镉</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Merge w:val="continue"/>
            <w:vAlign w:val="center"/>
          </w:tcPr>
          <w:p>
            <w:pPr>
              <w:spacing w:line="240" w:lineRule="auto"/>
              <w:ind w:firstLine="0" w:firstLineChars="0"/>
              <w:jc w:val="center"/>
              <w:rPr>
                <w:rFonts w:cs="Times New Roman"/>
                <w:kern w:val="21"/>
                <w:sz w:val="21"/>
                <w:szCs w:val="21"/>
              </w:rPr>
            </w:pPr>
          </w:p>
        </w:tc>
        <w:tc>
          <w:tcPr>
            <w:tcW w:w="1286" w:type="dxa"/>
            <w:gridSpan w:val="2"/>
            <w:vMerge w:val="continue"/>
            <w:vAlign w:val="center"/>
          </w:tcPr>
          <w:p>
            <w:pPr>
              <w:spacing w:line="240" w:lineRule="auto"/>
              <w:ind w:firstLine="0" w:firstLineChars="0"/>
              <w:jc w:val="center"/>
              <w:rPr>
                <w:rFonts w:cs="Times New Roman"/>
                <w:kern w:val="21"/>
                <w:sz w:val="21"/>
                <w:szCs w:val="21"/>
              </w:rPr>
            </w:pPr>
          </w:p>
        </w:tc>
        <w:tc>
          <w:tcPr>
            <w:tcW w:w="454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可溶性铬</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80" w:type="dxa"/>
            <w:gridSpan w:val="2"/>
            <w:vMerge w:val="continue"/>
            <w:vAlign w:val="center"/>
          </w:tcPr>
          <w:p>
            <w:pPr>
              <w:spacing w:line="240" w:lineRule="auto"/>
              <w:ind w:firstLine="0" w:firstLineChars="0"/>
              <w:jc w:val="center"/>
              <w:rPr>
                <w:rFonts w:cs="Times New Roman"/>
                <w:kern w:val="21"/>
                <w:sz w:val="21"/>
                <w:szCs w:val="21"/>
              </w:rPr>
            </w:pPr>
          </w:p>
        </w:tc>
        <w:tc>
          <w:tcPr>
            <w:tcW w:w="1286" w:type="dxa"/>
            <w:gridSpan w:val="2"/>
            <w:vMerge w:val="continue"/>
            <w:vAlign w:val="center"/>
          </w:tcPr>
          <w:p>
            <w:pPr>
              <w:spacing w:line="240" w:lineRule="auto"/>
              <w:ind w:firstLine="0" w:firstLineChars="0"/>
              <w:jc w:val="center"/>
              <w:rPr>
                <w:rFonts w:cs="Times New Roman"/>
                <w:kern w:val="21"/>
                <w:sz w:val="21"/>
                <w:szCs w:val="21"/>
              </w:rPr>
            </w:pPr>
          </w:p>
        </w:tc>
        <w:tc>
          <w:tcPr>
            <w:tcW w:w="4540"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可溶性汞</w:t>
            </w:r>
          </w:p>
        </w:tc>
        <w:tc>
          <w:tcPr>
            <w:tcW w:w="2297" w:type="dxa"/>
            <w:vAlign w:val="center"/>
          </w:tcPr>
          <w:p>
            <w:pPr>
              <w:spacing w:line="240" w:lineRule="auto"/>
              <w:ind w:firstLine="0" w:firstLineChars="0"/>
              <w:jc w:val="center"/>
              <w:rPr>
                <w:rFonts w:cs="Times New Roman"/>
                <w:kern w:val="21"/>
                <w:sz w:val="21"/>
                <w:szCs w:val="21"/>
              </w:rPr>
            </w:pPr>
            <w:r>
              <w:rPr>
                <w:rFonts w:cs="Times New Roman"/>
                <w:kern w:val="21"/>
                <w:sz w:val="21"/>
                <w:szCs w:val="21"/>
              </w:rPr>
              <w:t>≤2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9003" w:type="dxa"/>
            <w:gridSpan w:val="6"/>
            <w:tcBorders>
              <w:top w:val="single" w:color="auto" w:sz="4" w:space="0"/>
              <w:left w:val="single" w:color="auto" w:sz="4" w:space="0"/>
              <w:right w:val="single" w:color="auto" w:sz="4" w:space="0"/>
            </w:tcBorders>
            <w:vAlign w:val="center"/>
          </w:tcPr>
          <w:p>
            <w:pPr>
              <w:spacing w:line="240" w:lineRule="auto"/>
              <w:ind w:firstLine="0" w:firstLineChars="0"/>
              <w:rPr>
                <w:rFonts w:cs="Times New Roman"/>
                <w:kern w:val="21"/>
                <w:sz w:val="21"/>
                <w:szCs w:val="21"/>
              </w:rPr>
            </w:pPr>
            <w:r>
              <w:rPr>
                <w:b/>
                <w:bCs/>
                <w:sz w:val="21"/>
                <w:szCs w:val="21"/>
              </w:rPr>
              <w:t>人造草坪产品质量标准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冲击吸收（%）</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45-70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2</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垂直变形（mm）</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4-11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3</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草丝拉断力（N）：单丝</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4</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单簇草丝拔出力（N）</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苯并[a]芘（mg/kg）</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6</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3种邻苯二甲酸酯酯类化合物（DBP、BBP、DEHP）（g/kg）</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7</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3种邻苯二甲酸酯酯类化合物（DNOP、DINP、DIDP）（g/kg）</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8</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18种多环芳烃总和mg/kg）</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9</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挥发性有机化合物（mg/m</w:t>
            </w:r>
            <w:r>
              <w:rPr>
                <w:rFonts w:cs="Times New Roman"/>
                <w:kern w:val="21"/>
                <w:sz w:val="21"/>
                <w:szCs w:val="21"/>
                <w:vertAlign w:val="superscript"/>
              </w:rPr>
              <w:t>2</w:t>
            </w:r>
            <w:r>
              <w:rPr>
                <w:rFonts w:cs="Times New Roman"/>
                <w:kern w:val="21"/>
                <w:sz w:val="21"/>
                <w:szCs w:val="21"/>
              </w:rPr>
              <w:t>.h）</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苯（mg/m</w:t>
            </w:r>
            <w:r>
              <w:rPr>
                <w:rFonts w:cs="Times New Roman"/>
                <w:kern w:val="21"/>
                <w:sz w:val="21"/>
                <w:szCs w:val="21"/>
                <w:vertAlign w:val="superscript"/>
              </w:rPr>
              <w:t>2</w:t>
            </w:r>
            <w:r>
              <w:rPr>
                <w:rFonts w:cs="Times New Roman"/>
                <w:kern w:val="21"/>
                <w:sz w:val="21"/>
                <w:szCs w:val="21"/>
              </w:rPr>
              <w:t>.h）</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≤0.1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11</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甲苯、二甲苯和乙苯总和（mg/m</w:t>
            </w:r>
            <w:r>
              <w:rPr>
                <w:rFonts w:cs="Times New Roman"/>
                <w:kern w:val="21"/>
                <w:sz w:val="21"/>
                <w:szCs w:val="21"/>
                <w:vertAlign w:val="superscript"/>
              </w:rPr>
              <w:t>2</w:t>
            </w:r>
            <w:r>
              <w:rPr>
                <w:rFonts w:cs="Times New Roman"/>
                <w:kern w:val="21"/>
                <w:sz w:val="21"/>
                <w:szCs w:val="21"/>
              </w:rPr>
              <w:t>.h）</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tcBorders>
              <w:left w:val="single" w:color="auto" w:sz="4" w:space="0"/>
            </w:tcBorders>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rPr>
              <w:t>12</w:t>
            </w:r>
          </w:p>
        </w:tc>
        <w:tc>
          <w:tcPr>
            <w:tcW w:w="5852" w:type="dxa"/>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甲醛（mg/m</w:t>
            </w:r>
            <w:r>
              <w:rPr>
                <w:rFonts w:cs="Times New Roman"/>
                <w:kern w:val="21"/>
                <w:sz w:val="21"/>
                <w:szCs w:val="21"/>
                <w:vertAlign w:val="superscript"/>
              </w:rPr>
              <w:t>2</w:t>
            </w:r>
            <w:r>
              <w:rPr>
                <w:rFonts w:cs="Times New Roman"/>
                <w:kern w:val="21"/>
                <w:sz w:val="21"/>
                <w:szCs w:val="21"/>
              </w:rPr>
              <w:t>.h）</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≤0.4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vMerge w:val="restart"/>
            <w:tcBorders>
              <w:left w:val="single" w:color="auto" w:sz="4" w:space="0"/>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w:t>
            </w:r>
            <w:r>
              <w:rPr>
                <w:rFonts w:hint="eastAsia" w:cs="Times New Roman"/>
                <w:kern w:val="21"/>
                <w:sz w:val="21"/>
                <w:szCs w:val="21"/>
              </w:rPr>
              <w:t>3</w:t>
            </w:r>
          </w:p>
        </w:tc>
        <w:tc>
          <w:tcPr>
            <w:tcW w:w="1248" w:type="dxa"/>
            <w:gridSpan w:val="2"/>
            <w:vMerge w:val="restart"/>
            <w:tcBorders>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重金属含量（mg/kg）</w:t>
            </w:r>
          </w:p>
        </w:tc>
        <w:tc>
          <w:tcPr>
            <w:tcW w:w="4604"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可溶性铅</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vMerge w:val="continue"/>
            <w:tcBorders>
              <w:top w:val="nil"/>
              <w:left w:val="single" w:color="auto" w:sz="4" w:space="0"/>
              <w:bottom w:val="nil"/>
            </w:tcBorders>
            <w:vAlign w:val="center"/>
          </w:tcPr>
          <w:p>
            <w:pPr>
              <w:spacing w:line="240" w:lineRule="auto"/>
              <w:ind w:firstLine="0" w:firstLineChars="0"/>
              <w:jc w:val="center"/>
              <w:rPr>
                <w:rFonts w:cs="Times New Roman"/>
                <w:kern w:val="21"/>
                <w:sz w:val="21"/>
                <w:szCs w:val="21"/>
              </w:rPr>
            </w:pPr>
          </w:p>
        </w:tc>
        <w:tc>
          <w:tcPr>
            <w:tcW w:w="1248" w:type="dxa"/>
            <w:gridSpan w:val="2"/>
            <w:vMerge w:val="continue"/>
            <w:tcBorders>
              <w:top w:val="nil"/>
              <w:bottom w:val="nil"/>
            </w:tcBorders>
            <w:vAlign w:val="center"/>
          </w:tcPr>
          <w:p>
            <w:pPr>
              <w:spacing w:line="240" w:lineRule="auto"/>
              <w:ind w:firstLine="0" w:firstLineChars="0"/>
              <w:jc w:val="center"/>
              <w:rPr>
                <w:rFonts w:cs="Times New Roman"/>
                <w:kern w:val="21"/>
                <w:sz w:val="21"/>
                <w:szCs w:val="21"/>
              </w:rPr>
            </w:pPr>
          </w:p>
        </w:tc>
        <w:tc>
          <w:tcPr>
            <w:tcW w:w="4604"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可溶性镉</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vMerge w:val="continue"/>
            <w:tcBorders>
              <w:top w:val="nil"/>
              <w:left w:val="single" w:color="auto" w:sz="4" w:space="0"/>
              <w:bottom w:val="nil"/>
            </w:tcBorders>
            <w:vAlign w:val="center"/>
          </w:tcPr>
          <w:p>
            <w:pPr>
              <w:spacing w:line="240" w:lineRule="auto"/>
              <w:ind w:firstLine="0" w:firstLineChars="0"/>
              <w:jc w:val="center"/>
              <w:rPr>
                <w:rFonts w:cs="Times New Roman"/>
                <w:kern w:val="21"/>
                <w:sz w:val="21"/>
                <w:szCs w:val="21"/>
              </w:rPr>
            </w:pPr>
          </w:p>
        </w:tc>
        <w:tc>
          <w:tcPr>
            <w:tcW w:w="1248" w:type="dxa"/>
            <w:gridSpan w:val="2"/>
            <w:vMerge w:val="continue"/>
            <w:tcBorders>
              <w:top w:val="nil"/>
              <w:bottom w:val="nil"/>
            </w:tcBorders>
            <w:vAlign w:val="center"/>
          </w:tcPr>
          <w:p>
            <w:pPr>
              <w:spacing w:line="240" w:lineRule="auto"/>
              <w:ind w:firstLine="0" w:firstLineChars="0"/>
              <w:jc w:val="center"/>
              <w:rPr>
                <w:rFonts w:cs="Times New Roman"/>
                <w:kern w:val="21"/>
                <w:sz w:val="21"/>
                <w:szCs w:val="21"/>
              </w:rPr>
            </w:pPr>
          </w:p>
        </w:tc>
        <w:tc>
          <w:tcPr>
            <w:tcW w:w="4604" w:type="dxa"/>
            <w:gridSpan w:val="2"/>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可溶性铬</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854" w:type="dxa"/>
            <w:vMerge w:val="continue"/>
            <w:tcBorders>
              <w:top w:val="nil"/>
              <w:left w:val="single" w:color="auto" w:sz="4" w:space="0"/>
              <w:bottom w:val="single" w:color="auto" w:sz="4" w:space="0"/>
            </w:tcBorders>
            <w:vAlign w:val="center"/>
          </w:tcPr>
          <w:p>
            <w:pPr>
              <w:spacing w:line="240" w:lineRule="auto"/>
              <w:ind w:firstLine="0" w:firstLineChars="0"/>
              <w:jc w:val="center"/>
              <w:rPr>
                <w:rFonts w:cs="Times New Roman"/>
                <w:kern w:val="21"/>
                <w:sz w:val="21"/>
                <w:szCs w:val="21"/>
              </w:rPr>
            </w:pPr>
          </w:p>
        </w:tc>
        <w:tc>
          <w:tcPr>
            <w:tcW w:w="1248" w:type="dxa"/>
            <w:gridSpan w:val="2"/>
            <w:vMerge w:val="continue"/>
            <w:tcBorders>
              <w:top w:val="nil"/>
              <w:bottom w:val="single" w:color="auto" w:sz="4" w:space="0"/>
            </w:tcBorders>
            <w:vAlign w:val="center"/>
          </w:tcPr>
          <w:p>
            <w:pPr>
              <w:spacing w:line="240" w:lineRule="auto"/>
              <w:ind w:firstLine="0" w:firstLineChars="0"/>
              <w:jc w:val="center"/>
              <w:rPr>
                <w:rFonts w:cs="Times New Roman"/>
                <w:kern w:val="21"/>
                <w:sz w:val="21"/>
                <w:szCs w:val="21"/>
              </w:rPr>
            </w:pPr>
          </w:p>
        </w:tc>
        <w:tc>
          <w:tcPr>
            <w:tcW w:w="4604" w:type="dxa"/>
            <w:gridSpan w:val="2"/>
            <w:tcBorders>
              <w:bottom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可溶性汞</w:t>
            </w:r>
          </w:p>
        </w:tc>
        <w:tc>
          <w:tcPr>
            <w:tcW w:w="2297" w:type="dxa"/>
            <w:tcBorders>
              <w:right w:val="single" w:color="auto"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 w:hRule="atLeast"/>
        </w:trPr>
        <w:tc>
          <w:tcPr>
            <w:tcW w:w="9003" w:type="dxa"/>
            <w:gridSpan w:val="6"/>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Times New Roman"/>
                <w:kern w:val="21"/>
                <w:sz w:val="21"/>
                <w:szCs w:val="21"/>
              </w:rPr>
            </w:pPr>
            <w:r>
              <w:rPr>
                <w:rFonts w:hint="eastAsia"/>
                <w:b/>
                <w:bCs/>
                <w:sz w:val="21"/>
                <w:szCs w:val="21"/>
              </w:rPr>
              <w:t>水性</w:t>
            </w:r>
            <w:r>
              <w:rPr>
                <w:b/>
                <w:bCs/>
                <w:sz w:val="21"/>
                <w:szCs w:val="21"/>
              </w:rPr>
              <w:t>丙烯酸球场</w:t>
            </w:r>
            <w:r>
              <w:rPr>
                <w:rFonts w:hint="eastAsia"/>
                <w:b/>
                <w:bCs/>
                <w:sz w:val="21"/>
                <w:szCs w:val="21"/>
              </w:rPr>
              <w:t>专用</w:t>
            </w:r>
            <w:r>
              <w:rPr>
                <w:b/>
                <w:bCs/>
                <w:sz w:val="21"/>
                <w:szCs w:val="21"/>
              </w:rPr>
              <w:t>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9003" w:type="dxa"/>
            <w:gridSpan w:val="6"/>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cs="Times New Roman"/>
                <w:kern w:val="21"/>
                <w:sz w:val="21"/>
                <w:szCs w:val="21"/>
              </w:rPr>
            </w:pPr>
            <w:r>
              <w:rPr>
                <w:rFonts w:cs="Times New Roman"/>
                <w:kern w:val="21"/>
                <w:sz w:val="21"/>
                <w:szCs w:val="21"/>
              </w:rPr>
              <w:t>固含量：78±2%（105℃，2H）</w:t>
            </w:r>
            <w:r>
              <w:rPr>
                <w:rFonts w:hint="eastAsia" w:cs="Times New Roman"/>
                <w:kern w:val="21"/>
                <w:sz w:val="21"/>
                <w:szCs w:val="21"/>
              </w:rPr>
              <w:t>；</w:t>
            </w:r>
            <w:r>
              <w:rPr>
                <w:rFonts w:cs="Times New Roman"/>
                <w:kern w:val="21"/>
                <w:sz w:val="21"/>
                <w:szCs w:val="21"/>
              </w:rPr>
              <w:t>硬度：2H（铅笔硬度）</w:t>
            </w:r>
            <w:r>
              <w:rPr>
                <w:rFonts w:hint="eastAsia" w:cs="Times New Roman"/>
                <w:kern w:val="21"/>
                <w:sz w:val="21"/>
                <w:szCs w:val="21"/>
              </w:rPr>
              <w:t>；</w:t>
            </w:r>
            <w:r>
              <w:rPr>
                <w:rFonts w:cs="Times New Roman"/>
                <w:kern w:val="21"/>
                <w:sz w:val="21"/>
                <w:szCs w:val="21"/>
              </w:rPr>
              <w:t>光泽：20-36（60°角）</w:t>
            </w:r>
            <w:r>
              <w:rPr>
                <w:rFonts w:hint="eastAsia" w:cs="Times New Roman"/>
                <w:kern w:val="21"/>
                <w:sz w:val="21"/>
                <w:szCs w:val="21"/>
              </w:rPr>
              <w:t>；</w:t>
            </w:r>
            <w:r>
              <w:rPr>
                <w:rFonts w:cs="Times New Roman"/>
                <w:kern w:val="21"/>
                <w:sz w:val="21"/>
                <w:szCs w:val="21"/>
              </w:rPr>
              <w:t>附着力：2.4.9mPa</w:t>
            </w:r>
            <w:r>
              <w:rPr>
                <w:rFonts w:hint="eastAsia" w:cs="Times New Roman"/>
                <w:kern w:val="21"/>
                <w:sz w:val="21"/>
                <w:szCs w:val="21"/>
              </w:rPr>
              <w:t>（</w:t>
            </w:r>
            <w:r>
              <w:rPr>
                <w:rFonts w:cs="Times New Roman"/>
                <w:kern w:val="21"/>
                <w:sz w:val="21"/>
                <w:szCs w:val="21"/>
              </w:rPr>
              <w:t>拉拔法）</w:t>
            </w:r>
            <w:r>
              <w:rPr>
                <w:rFonts w:hint="eastAsia" w:cs="Times New Roman"/>
                <w:kern w:val="21"/>
                <w:sz w:val="21"/>
                <w:szCs w:val="21"/>
              </w:rPr>
              <w:t>；</w:t>
            </w:r>
            <w:r>
              <w:rPr>
                <w:rFonts w:cs="Times New Roman"/>
                <w:kern w:val="21"/>
                <w:sz w:val="21"/>
                <w:szCs w:val="21"/>
              </w:rPr>
              <w:t>粘度：68-72QU</w:t>
            </w:r>
            <w:r>
              <w:rPr>
                <w:rFonts w:hint="eastAsia" w:cs="Times New Roman"/>
                <w:kern w:val="21"/>
                <w:sz w:val="21"/>
                <w:szCs w:val="21"/>
              </w:rPr>
              <w:t>（</w:t>
            </w:r>
            <w:r>
              <w:rPr>
                <w:rFonts w:cs="Times New Roman"/>
                <w:kern w:val="21"/>
                <w:sz w:val="21"/>
                <w:szCs w:val="21"/>
              </w:rPr>
              <w:t>斯脱墨粘度）</w:t>
            </w:r>
          </w:p>
        </w:tc>
      </w:tr>
    </w:tbl>
    <w:p>
      <w:pPr>
        <w:pStyle w:val="6"/>
        <w:ind w:firstLine="0" w:firstLineChars="0"/>
        <w:rPr>
          <w:lang w:val="en-US"/>
        </w:rPr>
      </w:pPr>
      <w:bookmarkStart w:id="59" w:name="_Toc23667"/>
      <w:r>
        <w:rPr>
          <w:rFonts w:hint="eastAsia"/>
          <w:lang w:val="en-US"/>
        </w:rPr>
        <w:t>3.3 公用工程</w:t>
      </w:r>
      <w:bookmarkEnd w:id="59"/>
    </w:p>
    <w:p>
      <w:pPr>
        <w:pStyle w:val="7"/>
        <w:ind w:firstLine="562"/>
      </w:pPr>
      <w:r>
        <w:t>3.</w:t>
      </w:r>
      <w:r>
        <w:rPr>
          <w:rFonts w:hint="eastAsia"/>
        </w:rPr>
        <w:t>3.1</w:t>
      </w:r>
      <w:r>
        <w:t xml:space="preserve"> </w:t>
      </w:r>
      <w:r>
        <w:rPr>
          <w:rFonts w:hint="eastAsia"/>
        </w:rPr>
        <w:t>供热系统</w:t>
      </w:r>
    </w:p>
    <w:p>
      <w:pPr>
        <w:pStyle w:val="25"/>
        <w:widowControl/>
        <w:spacing w:beforeAutospacing="0" w:afterAutospacing="0"/>
        <w:ind w:firstLine="480"/>
        <w:jc w:val="both"/>
      </w:pPr>
      <w:r>
        <w:t>本项目生产过程中</w:t>
      </w:r>
      <w:r>
        <w:rPr>
          <w:rFonts w:hint="eastAsia"/>
        </w:rPr>
        <w:t>人造草坪颗粒熔融阶段为电热设备</w:t>
      </w:r>
      <w:r>
        <w:t>，</w:t>
      </w:r>
      <w:r>
        <w:rPr>
          <w:rFonts w:hint="eastAsia"/>
        </w:rPr>
        <w:t>生产过程中反应釜加热采用园区蒸汽加热，冬季</w:t>
      </w:r>
      <w:r>
        <w:t>采暖采用电取暖方式，可以满足用热需求</w:t>
      </w:r>
      <w:r>
        <w:rPr>
          <w:rFonts w:hint="eastAsia"/>
        </w:rPr>
        <w:t>，项目蒸汽采用市政高压蒸汽，经厂区减压站降压后用于各个生产工序，</w:t>
      </w:r>
      <w:r>
        <w:rPr>
          <w:rFonts w:hint="eastAsia"/>
          <w:lang w:eastAsia="zh-CN"/>
        </w:rPr>
        <w:t>一部分</w:t>
      </w:r>
      <w:r>
        <w:rPr>
          <w:rFonts w:hint="eastAsia"/>
        </w:rPr>
        <w:t>蒸汽冷凝水经纯水设备处理后回用于各个生产工序</w:t>
      </w:r>
      <w:r>
        <w:rPr>
          <w:rFonts w:hint="eastAsia"/>
          <w:lang w:eastAsia="zh-CN"/>
        </w:rPr>
        <w:t>，另一部分汇同生产废水经厂内污水站处置达标后进入市政污水管网引至平顶山第三污水处理厂</w:t>
      </w:r>
      <w:r>
        <w:t>。</w:t>
      </w:r>
    </w:p>
    <w:p>
      <w:pPr>
        <w:pStyle w:val="25"/>
        <w:widowControl/>
        <w:spacing w:beforeAutospacing="0" w:afterAutospacing="0"/>
        <w:ind w:firstLine="0" w:firstLineChars="0"/>
        <w:jc w:val="center"/>
      </w:pPr>
      <w:r>
        <w:drawing>
          <wp:inline distT="0" distB="0" distL="114300" distR="114300">
            <wp:extent cx="3560445" cy="4177030"/>
            <wp:effectExtent l="0" t="0" r="1905" b="13970"/>
            <wp:docPr id="6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
                    <pic:cNvPicPr>
                      <a:picLocks noChangeAspect="1"/>
                    </pic:cNvPicPr>
                  </pic:nvPicPr>
                  <pic:blipFill>
                    <a:blip r:embed="rId34"/>
                    <a:stretch>
                      <a:fillRect/>
                    </a:stretch>
                  </pic:blipFill>
                  <pic:spPr>
                    <a:xfrm>
                      <a:off x="0" y="0"/>
                      <a:ext cx="3560445" cy="4177030"/>
                    </a:xfrm>
                    <a:prstGeom prst="rect">
                      <a:avLst/>
                    </a:prstGeom>
                    <a:noFill/>
                    <a:ln>
                      <a:noFill/>
                    </a:ln>
                  </pic:spPr>
                </pic:pic>
              </a:graphicData>
            </a:graphic>
          </wp:inline>
        </w:drawing>
      </w:r>
    </w:p>
    <w:p>
      <w:pPr>
        <w:pStyle w:val="25"/>
        <w:widowControl/>
        <w:spacing w:beforeAutospacing="0" w:afterAutospacing="0"/>
        <w:ind w:firstLine="0" w:firstLineChars="0"/>
        <w:jc w:val="center"/>
        <w:rPr>
          <w:b/>
          <w:bCs/>
        </w:rPr>
      </w:pPr>
      <w:r>
        <w:rPr>
          <w:b/>
          <w:bCs/>
        </w:rPr>
        <w:t>图3.</w:t>
      </w:r>
      <w:r>
        <w:rPr>
          <w:rFonts w:hint="eastAsia"/>
          <w:b/>
          <w:bCs/>
        </w:rPr>
        <w:t>3</w:t>
      </w:r>
      <w:r>
        <w:rPr>
          <w:b/>
          <w:bCs/>
        </w:rPr>
        <w:t>-</w:t>
      </w:r>
      <w:r>
        <w:rPr>
          <w:rFonts w:hint="eastAsia"/>
          <w:b/>
          <w:bCs/>
        </w:rPr>
        <w:t>1</w:t>
      </w:r>
      <w:r>
        <w:rPr>
          <w:b/>
          <w:bCs/>
        </w:rPr>
        <w:t xml:space="preserve">  项目</w:t>
      </w:r>
      <w:r>
        <w:rPr>
          <w:rFonts w:hint="eastAsia"/>
          <w:b/>
          <w:bCs/>
        </w:rPr>
        <w:t>蒸汽平衡图</w:t>
      </w:r>
    </w:p>
    <w:p>
      <w:pPr>
        <w:pStyle w:val="7"/>
        <w:ind w:firstLine="562"/>
      </w:pPr>
      <w:r>
        <w:rPr>
          <w:rFonts w:hint="eastAsia"/>
        </w:rPr>
        <w:t>3.3.</w:t>
      </w:r>
      <w:r>
        <w:t>2</w:t>
      </w:r>
      <w:r>
        <w:rPr>
          <w:rFonts w:hint="eastAsia"/>
        </w:rPr>
        <w:t xml:space="preserve"> </w:t>
      </w:r>
      <w:r>
        <w:t>给水</w:t>
      </w:r>
    </w:p>
    <w:p>
      <w:pPr>
        <w:pStyle w:val="25"/>
        <w:widowControl/>
        <w:spacing w:beforeAutospacing="0" w:afterAutospacing="0"/>
        <w:ind w:firstLine="480"/>
        <w:jc w:val="both"/>
        <w:rPr>
          <w:u w:val="single"/>
        </w:rPr>
      </w:pPr>
      <w:r>
        <w:rPr>
          <w:u w:val="single"/>
        </w:rPr>
        <w:t>本项目用水主要为：生产</w:t>
      </w:r>
      <w:r>
        <w:rPr>
          <w:rFonts w:hint="eastAsia"/>
          <w:u w:val="single"/>
        </w:rPr>
        <w:t>过程添加</w:t>
      </w:r>
      <w:r>
        <w:rPr>
          <w:u w:val="single"/>
        </w:rPr>
        <w:t>水、循环冷却</w:t>
      </w:r>
      <w:r>
        <w:rPr>
          <w:rFonts w:hint="eastAsia"/>
          <w:u w:val="single"/>
        </w:rPr>
        <w:t>水</w:t>
      </w:r>
      <w:r>
        <w:rPr>
          <w:u w:val="single"/>
        </w:rPr>
        <w:t>补水、</w:t>
      </w:r>
      <w:r>
        <w:rPr>
          <w:rFonts w:hint="eastAsia"/>
          <w:u w:val="single"/>
        </w:rPr>
        <w:t>设备清洗用水、水喷淋用水、纯水制备过程用水、车间</w:t>
      </w:r>
      <w:r>
        <w:rPr>
          <w:u w:val="single"/>
        </w:rPr>
        <w:t>清洗用水及职工生活用水、绿化用水等，由自</w:t>
      </w:r>
      <w:r>
        <w:rPr>
          <w:rFonts w:hint="eastAsia"/>
          <w:u w:val="single"/>
        </w:rPr>
        <w:t>园区管网</w:t>
      </w:r>
      <w:r>
        <w:rPr>
          <w:u w:val="single"/>
        </w:rPr>
        <w:t>提供。</w:t>
      </w:r>
    </w:p>
    <w:p>
      <w:pPr>
        <w:widowControl/>
        <w:ind w:firstLine="480"/>
        <w:rPr>
          <w:rFonts w:cs="Times New Roman"/>
          <w:color w:val="000000"/>
          <w:kern w:val="0"/>
          <w:u w:val="single"/>
          <w:lang w:bidi="ar"/>
        </w:rPr>
      </w:pPr>
      <w:r>
        <w:rPr>
          <w:rFonts w:cs="Times New Roman"/>
          <w:u w:val="single"/>
        </w:rPr>
        <w:t>①</w:t>
      </w:r>
      <w:r>
        <w:rPr>
          <w:rFonts w:cs="Times New Roman"/>
          <w:color w:val="000000"/>
          <w:kern w:val="0"/>
          <w:u w:val="single"/>
          <w:lang w:bidi="ar"/>
        </w:rPr>
        <w:t>项目生产的用水主要包括：硅PU、水性树脂、单组份胶水、双组份胶水、跑道专用面漆，根据</w:t>
      </w:r>
      <w:r>
        <w:rPr>
          <w:rFonts w:hint="eastAsia" w:cs="Times New Roman"/>
          <w:color w:val="000000"/>
          <w:kern w:val="0"/>
          <w:u w:val="single"/>
          <w:lang w:eastAsia="zh-CN" w:bidi="ar"/>
        </w:rPr>
        <w:t>企业</w:t>
      </w:r>
      <w:r>
        <w:rPr>
          <w:rFonts w:cs="Times New Roman"/>
          <w:color w:val="000000"/>
          <w:kern w:val="0"/>
          <w:u w:val="single"/>
          <w:lang w:bidi="ar"/>
        </w:rPr>
        <w:t>资料结合项目生产可知，项目主要生产用水情况如下：水性树脂用水</w:t>
      </w:r>
      <w:r>
        <w:rPr>
          <w:rFonts w:hint="eastAsia" w:cs="Times New Roman"/>
          <w:color w:val="000000"/>
          <w:kern w:val="0"/>
          <w:u w:val="single"/>
          <w:lang w:bidi="ar"/>
        </w:rPr>
        <w:t>（</w:t>
      </w:r>
      <w:r>
        <w:rPr>
          <w:rFonts w:hint="eastAsia" w:cs="Times New Roman"/>
          <w:color w:val="000000"/>
          <w:kern w:val="0"/>
          <w:u w:val="single"/>
          <w:lang w:eastAsia="zh-CN" w:bidi="ar"/>
        </w:rPr>
        <w:t>纯水</w:t>
      </w:r>
      <w:r>
        <w:rPr>
          <w:rFonts w:hint="eastAsia" w:cs="Times New Roman"/>
          <w:color w:val="000000"/>
          <w:kern w:val="0"/>
          <w:u w:val="single"/>
          <w:lang w:bidi="ar"/>
        </w:rPr>
        <w:t>）</w:t>
      </w:r>
      <w:r>
        <w:rPr>
          <w:rFonts w:cs="Times New Roman"/>
          <w:color w:val="000000"/>
          <w:kern w:val="0"/>
          <w:u w:val="single"/>
          <w:lang w:bidi="ar"/>
        </w:rPr>
        <w:t>水量约为</w:t>
      </w:r>
      <w:r>
        <w:rPr>
          <w:rFonts w:hint="eastAsia" w:cs="Times New Roman"/>
          <w:color w:val="000000"/>
          <w:kern w:val="0"/>
          <w:u w:val="single"/>
          <w:lang w:val="en-US" w:eastAsia="zh-CN" w:bidi="ar"/>
        </w:rPr>
        <w:t>1824.1</w:t>
      </w:r>
      <w:r>
        <w:rPr>
          <w:rFonts w:cs="Times New Roman"/>
          <w:color w:val="000000"/>
          <w:kern w:val="0"/>
          <w:u w:val="single"/>
          <w:lang w:bidi="ar"/>
        </w:rPr>
        <w:t>m</w:t>
      </w:r>
      <w:r>
        <w:rPr>
          <w:rFonts w:cs="Times New Roman"/>
          <w:color w:val="000000"/>
          <w:kern w:val="0"/>
          <w:u w:val="single"/>
          <w:vertAlign w:val="superscript"/>
          <w:lang w:bidi="ar"/>
        </w:rPr>
        <w:t>3</w:t>
      </w:r>
      <w:r>
        <w:rPr>
          <w:rFonts w:cs="Times New Roman"/>
          <w:color w:val="000000"/>
          <w:kern w:val="0"/>
          <w:u w:val="single"/>
          <w:lang w:bidi="ar"/>
        </w:rPr>
        <w:t>/a、跑道专用面漆用水</w:t>
      </w:r>
      <w:r>
        <w:rPr>
          <w:rFonts w:hint="eastAsia" w:cs="Times New Roman"/>
          <w:color w:val="000000"/>
          <w:kern w:val="0"/>
          <w:u w:val="single"/>
          <w:lang w:bidi="ar"/>
        </w:rPr>
        <w:t>（</w:t>
      </w:r>
      <w:r>
        <w:rPr>
          <w:rFonts w:hint="eastAsia" w:cs="Times New Roman"/>
          <w:color w:val="000000"/>
          <w:kern w:val="0"/>
          <w:u w:val="single"/>
          <w:lang w:eastAsia="zh-CN" w:bidi="ar"/>
        </w:rPr>
        <w:t>纯水</w:t>
      </w:r>
      <w:r>
        <w:rPr>
          <w:rFonts w:hint="eastAsia" w:cs="Times New Roman"/>
          <w:color w:val="000000"/>
          <w:kern w:val="0"/>
          <w:u w:val="single"/>
          <w:lang w:bidi="ar"/>
        </w:rPr>
        <w:t>）</w:t>
      </w:r>
      <w:r>
        <w:rPr>
          <w:rFonts w:cs="Times New Roman"/>
          <w:color w:val="000000"/>
          <w:kern w:val="0"/>
          <w:u w:val="single"/>
          <w:lang w:bidi="ar"/>
        </w:rPr>
        <w:t>水量约为</w:t>
      </w:r>
      <w:r>
        <w:rPr>
          <w:rFonts w:hint="eastAsia" w:cs="Times New Roman"/>
          <w:color w:val="000000"/>
          <w:kern w:val="0"/>
          <w:u w:val="single"/>
          <w:lang w:val="en-US" w:eastAsia="zh-CN" w:bidi="ar"/>
        </w:rPr>
        <w:t>996.2</w:t>
      </w:r>
      <w:r>
        <w:rPr>
          <w:rFonts w:cs="Times New Roman"/>
          <w:color w:val="000000"/>
          <w:kern w:val="0"/>
          <w:u w:val="single"/>
          <w:lang w:bidi="ar"/>
        </w:rPr>
        <w:t>m</w:t>
      </w:r>
      <w:r>
        <w:rPr>
          <w:rFonts w:cs="Times New Roman"/>
          <w:color w:val="000000"/>
          <w:kern w:val="0"/>
          <w:u w:val="single"/>
          <w:vertAlign w:val="superscript"/>
          <w:lang w:bidi="ar"/>
        </w:rPr>
        <w:t>3</w:t>
      </w:r>
      <w:r>
        <w:rPr>
          <w:rFonts w:cs="Times New Roman"/>
          <w:color w:val="000000"/>
          <w:kern w:val="0"/>
          <w:u w:val="single"/>
          <w:lang w:bidi="ar"/>
        </w:rPr>
        <w:t>/a，则生产用水总量约为</w:t>
      </w:r>
      <w:r>
        <w:rPr>
          <w:rFonts w:hint="eastAsia" w:cs="Times New Roman"/>
          <w:color w:val="000000"/>
          <w:kern w:val="0"/>
          <w:u w:val="single"/>
          <w:lang w:val="en-US" w:eastAsia="zh-CN" w:bidi="ar"/>
        </w:rPr>
        <w:t>2820.3</w:t>
      </w:r>
      <w:r>
        <w:rPr>
          <w:rFonts w:cs="Times New Roman"/>
          <w:color w:val="000000"/>
          <w:kern w:val="0"/>
          <w:u w:val="single"/>
          <w:lang w:bidi="ar"/>
        </w:rPr>
        <w:t>m</w:t>
      </w:r>
      <w:r>
        <w:rPr>
          <w:rFonts w:cs="Times New Roman"/>
          <w:color w:val="000000"/>
          <w:kern w:val="0"/>
          <w:u w:val="single"/>
          <w:vertAlign w:val="superscript"/>
          <w:lang w:bidi="ar"/>
        </w:rPr>
        <w:t>3</w:t>
      </w:r>
      <w:r>
        <w:rPr>
          <w:rFonts w:cs="Times New Roman"/>
          <w:color w:val="000000"/>
          <w:kern w:val="0"/>
          <w:u w:val="single"/>
          <w:lang w:bidi="ar"/>
        </w:rPr>
        <w:t>/a（</w:t>
      </w:r>
      <w:r>
        <w:rPr>
          <w:rFonts w:hint="eastAsia" w:cs="Times New Roman"/>
          <w:color w:val="000000"/>
          <w:kern w:val="0"/>
          <w:u w:val="single"/>
          <w:lang w:val="en-US" w:eastAsia="zh-CN" w:bidi="ar"/>
        </w:rPr>
        <w:t>9.401</w:t>
      </w:r>
      <w:r>
        <w:rPr>
          <w:rFonts w:cs="Times New Roman"/>
          <w:color w:val="000000"/>
          <w:kern w:val="0"/>
          <w:u w:val="single"/>
          <w:lang w:bidi="ar"/>
        </w:rPr>
        <w:t>m</w:t>
      </w:r>
      <w:r>
        <w:rPr>
          <w:rFonts w:cs="Times New Roman"/>
          <w:color w:val="000000"/>
          <w:kern w:val="0"/>
          <w:u w:val="single"/>
          <w:vertAlign w:val="superscript"/>
          <w:lang w:bidi="ar"/>
        </w:rPr>
        <w:t>3</w:t>
      </w:r>
      <w:r>
        <w:rPr>
          <w:rFonts w:cs="Times New Roman"/>
          <w:color w:val="000000"/>
          <w:kern w:val="0"/>
          <w:u w:val="single"/>
          <w:lang w:bidi="ar"/>
        </w:rPr>
        <w:t>/d）。</w:t>
      </w:r>
    </w:p>
    <w:p>
      <w:pPr>
        <w:pStyle w:val="25"/>
        <w:widowControl/>
        <w:spacing w:beforeAutospacing="0" w:afterAutospacing="0"/>
        <w:ind w:firstLine="480"/>
        <w:jc w:val="both"/>
        <w:rPr>
          <w:color w:val="000000"/>
          <w:u w:val="single"/>
          <w:lang w:bidi="zh-CN"/>
        </w:rPr>
      </w:pPr>
      <w:r>
        <w:rPr>
          <w:rFonts w:hint="eastAsia" w:ascii="宋体" w:hAnsi="宋体" w:cs="宋体"/>
          <w:u w:val="single"/>
        </w:rPr>
        <w:t>②</w:t>
      </w:r>
      <w:r>
        <w:rPr>
          <w:u w:val="single"/>
        </w:rPr>
        <w:t>循环冷却</w:t>
      </w:r>
      <w:r>
        <w:rPr>
          <w:rFonts w:hint="eastAsia"/>
          <w:u w:val="single"/>
        </w:rPr>
        <w:t>水</w:t>
      </w:r>
      <w:r>
        <w:rPr>
          <w:u w:val="single"/>
        </w:rPr>
        <w:t>补水</w:t>
      </w:r>
      <w:r>
        <w:rPr>
          <w:rFonts w:hint="eastAsia"/>
          <w:u w:val="single"/>
        </w:rPr>
        <w:t>：人造草坪</w:t>
      </w:r>
      <w:r>
        <w:rPr>
          <w:rFonts w:hint="eastAsia"/>
          <w:color w:val="000000"/>
          <w:u w:val="single"/>
          <w:lang w:bidi="zh-CN"/>
        </w:rPr>
        <w:t>生产过程中需通过间接冷却水进行控温，</w:t>
      </w:r>
      <w:r>
        <w:rPr>
          <w:color w:val="000000"/>
          <w:u w:val="single"/>
          <w:lang w:bidi="zh-CN"/>
        </w:rPr>
        <w:t>项目拟在建设</w:t>
      </w:r>
      <w:r>
        <w:rPr>
          <w:rFonts w:hint="eastAsia"/>
          <w:color w:val="000000"/>
          <w:u w:val="single"/>
          <w:lang w:bidi="zh-CN"/>
        </w:rPr>
        <w:t>2</w:t>
      </w:r>
      <w:r>
        <w:rPr>
          <w:color w:val="000000"/>
          <w:u w:val="single"/>
          <w:lang w:bidi="zh-CN"/>
        </w:rPr>
        <w:t>个</w:t>
      </w:r>
      <w:r>
        <w:rPr>
          <w:rFonts w:hint="eastAsia"/>
          <w:color w:val="000000"/>
          <w:u w:val="single"/>
          <w:lang w:bidi="zh-CN"/>
        </w:rPr>
        <w:t>不锈钢材质</w:t>
      </w:r>
      <w:r>
        <w:rPr>
          <w:color w:val="000000"/>
          <w:u w:val="single"/>
          <w:lang w:bidi="zh-CN"/>
        </w:rPr>
        <w:t>循环水池（有效容积均为长4.17*宽1.17*高2.05m约等于10m</w:t>
      </w:r>
      <w:r>
        <w:rPr>
          <w:color w:val="000000"/>
          <w:u w:val="single"/>
          <w:vertAlign w:val="superscript"/>
          <w:lang w:bidi="zh-CN"/>
        </w:rPr>
        <w:t>3</w:t>
      </w:r>
      <w:r>
        <w:rPr>
          <w:color w:val="000000"/>
          <w:u w:val="single"/>
          <w:lang w:bidi="zh-CN"/>
        </w:rPr>
        <w:t>，装水量10m</w:t>
      </w:r>
      <w:r>
        <w:rPr>
          <w:color w:val="000000"/>
          <w:u w:val="single"/>
          <w:vertAlign w:val="superscript"/>
          <w:lang w:bidi="zh-CN"/>
        </w:rPr>
        <w:t>3</w:t>
      </w:r>
      <w:r>
        <w:rPr>
          <w:color w:val="000000"/>
          <w:u w:val="single"/>
          <w:lang w:bidi="zh-CN"/>
        </w:rPr>
        <w:t>）</w:t>
      </w:r>
      <w:r>
        <w:rPr>
          <w:rFonts w:hint="eastAsia"/>
          <w:color w:val="000000"/>
          <w:u w:val="single"/>
          <w:lang w:bidi="zh-CN"/>
        </w:rPr>
        <w:t>，冷却水循环使用，但循环过程部分冷却水将由于风吹和蒸发会有损失，同时因冷却水不断地升温、降温，有机物、盐分会逐渐积累，导致水质不能满足要求，水质趋于恶化，为保证冷却水水质和冷却效果，循环过程中需定时排放少量冷却水</w:t>
      </w:r>
      <w:r>
        <w:rPr>
          <w:color w:val="000000"/>
          <w:u w:val="single"/>
          <w:lang w:bidi="zh-CN"/>
        </w:rPr>
        <w:t>，每天补充新鲜用水量约</w:t>
      </w:r>
      <w:r>
        <w:rPr>
          <w:rFonts w:hint="eastAsia"/>
          <w:color w:val="000000"/>
          <w:u w:val="single"/>
          <w:lang w:bidi="zh-CN"/>
        </w:rPr>
        <w:t>2</w:t>
      </w:r>
      <w:r>
        <w:rPr>
          <w:color w:val="000000"/>
          <w:u w:val="single"/>
          <w:lang w:bidi="zh-CN"/>
        </w:rPr>
        <w:t>t/d（</w:t>
      </w:r>
      <w:r>
        <w:rPr>
          <w:rFonts w:hint="eastAsia"/>
          <w:color w:val="000000"/>
          <w:u w:val="single"/>
          <w:lang w:bidi="zh-CN"/>
        </w:rPr>
        <w:t>6</w:t>
      </w:r>
      <w:r>
        <w:rPr>
          <w:color w:val="000000"/>
          <w:u w:val="single"/>
          <w:lang w:bidi="zh-CN"/>
        </w:rPr>
        <w:t>00t/a）</w:t>
      </w:r>
      <w:r>
        <w:rPr>
          <w:rFonts w:hint="eastAsia"/>
          <w:color w:val="000000"/>
          <w:u w:val="single"/>
          <w:lang w:bidi="zh-CN"/>
        </w:rPr>
        <w:t>。</w:t>
      </w:r>
    </w:p>
    <w:p>
      <w:pPr>
        <w:pStyle w:val="25"/>
        <w:widowControl/>
        <w:spacing w:beforeAutospacing="0" w:afterAutospacing="0"/>
        <w:ind w:firstLine="480"/>
        <w:rPr>
          <w:u w:val="single"/>
        </w:rPr>
      </w:pPr>
      <w:r>
        <w:rPr>
          <w:u w:val="single"/>
        </w:rPr>
        <w:t>本项目设置1</w:t>
      </w:r>
      <w:r>
        <w:rPr>
          <w:rFonts w:hint="eastAsia"/>
          <w:u w:val="single"/>
        </w:rPr>
        <w:t>0</w:t>
      </w:r>
      <w:r>
        <w:rPr>
          <w:u w:val="single"/>
        </w:rPr>
        <w:t>0m</w:t>
      </w:r>
      <w:r>
        <w:rPr>
          <w:rFonts w:hint="eastAsia"/>
          <w:u w:val="single"/>
          <w:vertAlign w:val="superscript"/>
        </w:rPr>
        <w:t>3</w:t>
      </w:r>
      <w:r>
        <w:rPr>
          <w:u w:val="single"/>
        </w:rPr>
        <w:t>/h的冷却循环水系统1套，回水温度37℃，出水温度32℃，供</w:t>
      </w:r>
      <w:r>
        <w:rPr>
          <w:rFonts w:hint="eastAsia"/>
          <w:u w:val="single"/>
        </w:rPr>
        <w:t>生产</w:t>
      </w:r>
      <w:r>
        <w:rPr>
          <w:u w:val="single"/>
        </w:rPr>
        <w:t>车间设备使用。循环冷却水运行过程中会有部分水以蒸发、飞溅等形式损耗掉，损失量约为循环水量的1‰，约为</w:t>
      </w:r>
      <w:r>
        <w:rPr>
          <w:rFonts w:hint="eastAsia"/>
          <w:u w:val="single"/>
        </w:rPr>
        <w:t>2.4</w:t>
      </w:r>
      <w:r>
        <w:rPr>
          <w:u w:val="single"/>
        </w:rPr>
        <w:t>m</w:t>
      </w:r>
      <w:r>
        <w:rPr>
          <w:rFonts w:hint="eastAsia"/>
          <w:u w:val="single"/>
          <w:vertAlign w:val="superscript"/>
        </w:rPr>
        <w:t>3</w:t>
      </w:r>
      <w:r>
        <w:rPr>
          <w:u w:val="single"/>
        </w:rPr>
        <w:t>/d（</w:t>
      </w:r>
      <w:r>
        <w:rPr>
          <w:rFonts w:hint="eastAsia"/>
          <w:u w:val="single"/>
        </w:rPr>
        <w:t>720</w:t>
      </w:r>
      <w:r>
        <w:rPr>
          <w:u w:val="single"/>
        </w:rPr>
        <w:t>m³/a）。</w:t>
      </w:r>
    </w:p>
    <w:p>
      <w:pPr>
        <w:pStyle w:val="39"/>
        <w:autoSpaceDE w:val="0"/>
        <w:ind w:firstLine="480"/>
        <w:jc w:val="both"/>
        <w:rPr>
          <w:rFonts w:ascii="Times New Roman" w:hAnsi="Times New Roman" w:cs="Times New Roman"/>
          <w:bCs/>
          <w:u w:val="single"/>
          <w:lang w:val="en-US"/>
        </w:rPr>
      </w:pPr>
      <w:r>
        <w:rPr>
          <w:rFonts w:ascii="Times New Roman" w:hAnsi="Times New Roman" w:cs="Times New Roman"/>
          <w:bCs/>
          <w:u w:val="single"/>
          <w:lang w:val="en-US"/>
        </w:rPr>
        <w:t>人造草坪牵伸、定型在1.6m×4m×0.5m水槽内用100℃热水中进行</w:t>
      </w:r>
      <w:r>
        <w:rPr>
          <w:rFonts w:hint="eastAsia" w:ascii="Times New Roman" w:hAnsi="Times New Roman" w:cs="Times New Roman"/>
          <w:bCs/>
          <w:u w:val="single"/>
          <w:lang w:val="en-US"/>
        </w:rPr>
        <w:t>（电加热）</w:t>
      </w:r>
      <w:r>
        <w:rPr>
          <w:rFonts w:ascii="Times New Roman" w:hAnsi="Times New Roman" w:cs="Times New Roman"/>
          <w:bCs/>
          <w:u w:val="single"/>
          <w:lang w:val="en-US"/>
        </w:rPr>
        <w:t>，拉丝机配套水槽，共4台拉丝机，配4座水槽。</w:t>
      </w:r>
      <w:r>
        <w:rPr>
          <w:rFonts w:hint="eastAsia" w:ascii="Times New Roman" w:hAnsi="Times New Roman" w:cs="Times New Roman"/>
          <w:bCs/>
          <w:u w:val="single"/>
          <w:lang w:val="en-US"/>
        </w:rPr>
        <w:t>每座水槽体积为3.2m</w:t>
      </w:r>
      <w:r>
        <w:rPr>
          <w:rFonts w:hint="eastAsia" w:ascii="Times New Roman" w:hAnsi="Times New Roman" w:cs="Times New Roman"/>
          <w:bCs/>
          <w:u w:val="single"/>
          <w:vertAlign w:val="superscript"/>
          <w:lang w:val="en-US"/>
        </w:rPr>
        <w:t>3</w:t>
      </w:r>
      <w:r>
        <w:rPr>
          <w:rFonts w:hint="eastAsia" w:ascii="Times New Roman" w:hAnsi="Times New Roman" w:cs="Times New Roman"/>
          <w:bCs/>
          <w:u w:val="single"/>
          <w:lang w:val="en-US"/>
        </w:rPr>
        <w:t>，</w:t>
      </w:r>
      <w:r>
        <w:rPr>
          <w:rFonts w:hint="eastAsia" w:ascii="Times New Roman" w:hAnsi="Times New Roman" w:cs="Times New Roman"/>
          <w:bCs/>
          <w:u w:val="single"/>
          <w:lang w:val="en-US" w:eastAsia="zh-CN"/>
        </w:rPr>
        <w:t>根据设备商设计参数</w:t>
      </w:r>
      <w:r>
        <w:rPr>
          <w:rFonts w:hint="eastAsia" w:ascii="Times New Roman" w:hAnsi="Times New Roman" w:cs="Times New Roman"/>
          <w:bCs/>
          <w:u w:val="single"/>
          <w:lang w:val="en-US"/>
        </w:rPr>
        <w:t>水槽</w:t>
      </w:r>
      <w:r>
        <w:rPr>
          <w:rFonts w:hint="eastAsia" w:ascii="Times New Roman" w:hAnsi="Times New Roman" w:cs="Times New Roman"/>
          <w:bCs/>
          <w:u w:val="single"/>
          <w:lang w:val="en-US" w:eastAsia="zh-CN"/>
        </w:rPr>
        <w:t>添</w:t>
      </w:r>
      <w:r>
        <w:rPr>
          <w:rFonts w:hint="eastAsia" w:ascii="Times New Roman" w:hAnsi="Times New Roman" w:cs="Times New Roman"/>
          <w:bCs/>
          <w:u w:val="single"/>
          <w:lang w:val="en-US"/>
        </w:rPr>
        <w:t>加水</w:t>
      </w:r>
      <w:r>
        <w:rPr>
          <w:rFonts w:hint="eastAsia" w:ascii="Times New Roman" w:hAnsi="Times New Roman" w:cs="Times New Roman"/>
          <w:bCs/>
          <w:u w:val="single"/>
          <w:lang w:val="en-US" w:eastAsia="zh-CN"/>
        </w:rPr>
        <w:t>位为</w:t>
      </w:r>
      <w:r>
        <w:rPr>
          <w:rFonts w:hint="eastAsia" w:ascii="Times New Roman" w:hAnsi="Times New Roman" w:cs="Times New Roman"/>
          <w:bCs/>
          <w:u w:val="single"/>
          <w:lang w:val="en-US"/>
        </w:rPr>
        <w:t>80%，则4座水槽共用自来水10.24m</w:t>
      </w:r>
      <w:r>
        <w:rPr>
          <w:rFonts w:hint="eastAsia" w:ascii="Times New Roman" w:hAnsi="Times New Roman" w:cs="Times New Roman"/>
          <w:bCs/>
          <w:u w:val="single"/>
          <w:vertAlign w:val="superscript"/>
          <w:lang w:val="en-US"/>
        </w:rPr>
        <w:t>3</w:t>
      </w:r>
      <w:r>
        <w:rPr>
          <w:rFonts w:hint="eastAsia" w:ascii="Times New Roman" w:hAnsi="Times New Roman" w:cs="Times New Roman"/>
          <w:bCs/>
          <w:u w:val="single"/>
          <w:lang w:val="en-US"/>
        </w:rPr>
        <w:t>。</w:t>
      </w:r>
      <w:r>
        <w:rPr>
          <w:rFonts w:ascii="Times New Roman" w:hAnsi="Times New Roman" w:cs="Times New Roman"/>
          <w:bCs/>
          <w:u w:val="single"/>
          <w:lang w:val="en-US"/>
        </w:rPr>
        <w:t>人造草坪牵伸、定型</w:t>
      </w:r>
      <w:r>
        <w:rPr>
          <w:rFonts w:hint="eastAsia" w:ascii="Times New Roman" w:hAnsi="Times New Roman" w:cs="Times New Roman"/>
          <w:bCs/>
          <w:u w:val="single"/>
          <w:lang w:val="en-US"/>
        </w:rPr>
        <w:t>过程中水分不断蒸发和被产品带走，按照总水量的20%计算，则补充用水量为2.048m</w:t>
      </w:r>
      <w:r>
        <w:rPr>
          <w:rFonts w:hint="eastAsia" w:ascii="Times New Roman" w:hAnsi="Times New Roman" w:cs="Times New Roman"/>
          <w:bCs/>
          <w:u w:val="single"/>
          <w:vertAlign w:val="superscript"/>
          <w:lang w:val="en-US"/>
        </w:rPr>
        <w:t>3</w:t>
      </w:r>
      <w:r>
        <w:rPr>
          <w:rFonts w:hint="eastAsia" w:ascii="Times New Roman" w:hAnsi="Times New Roman" w:cs="Times New Roman"/>
          <w:bCs/>
          <w:u w:val="single"/>
          <w:lang w:val="en-US"/>
        </w:rPr>
        <w:t>/d，614.4m</w:t>
      </w:r>
      <w:r>
        <w:rPr>
          <w:rFonts w:hint="eastAsia" w:ascii="Times New Roman" w:hAnsi="Times New Roman" w:cs="Times New Roman"/>
          <w:bCs/>
          <w:u w:val="single"/>
          <w:vertAlign w:val="superscript"/>
          <w:lang w:val="en-US"/>
        </w:rPr>
        <w:t>3</w:t>
      </w:r>
      <w:r>
        <w:rPr>
          <w:rFonts w:hint="eastAsia" w:ascii="Times New Roman" w:hAnsi="Times New Roman" w:cs="Times New Roman"/>
          <w:bCs/>
          <w:u w:val="single"/>
          <w:lang w:val="en-US"/>
        </w:rPr>
        <w:t>/a。此部分用水不断蒸发，定时补充，不外排。</w:t>
      </w:r>
    </w:p>
    <w:p>
      <w:pPr>
        <w:pStyle w:val="25"/>
        <w:widowControl/>
        <w:spacing w:beforeAutospacing="0" w:afterAutospacing="0"/>
        <w:ind w:firstLine="480"/>
        <w:jc w:val="both"/>
        <w:rPr>
          <w:u w:val="single"/>
        </w:rPr>
      </w:pPr>
      <w:r>
        <w:rPr>
          <w:rFonts w:hint="eastAsia" w:ascii="宋体" w:hAnsi="宋体" w:cs="宋体"/>
          <w:u w:val="single"/>
        </w:rPr>
        <w:t>③地面及</w:t>
      </w:r>
      <w:r>
        <w:rPr>
          <w:rFonts w:hint="eastAsia"/>
          <w:u w:val="single"/>
        </w:rPr>
        <w:t>设备清洗用水：本项目树脂及功能材料生产设备按产品类别实行专釜专用，生产产品连续生产不进行换洗。正常情况下不做清洗，只有在进行设备检修或设备改造时对反应釜、管道进行清洗，清洗时会产生设备清洗废水，主要污染物是CODcr、SS等。</w:t>
      </w:r>
      <w:r>
        <w:rPr>
          <w:rFonts w:hint="eastAsia"/>
          <w:u w:val="single"/>
          <w:lang w:eastAsia="zh-CN"/>
        </w:rPr>
        <w:t>根据企业提供的设备设计资料</w:t>
      </w:r>
      <w:r>
        <w:rPr>
          <w:rFonts w:hint="eastAsia"/>
          <w:u w:val="single"/>
        </w:rPr>
        <w:t>，反应釜每年清洗为2次/单釜*a，项目年投入反应釜量为32个，</w:t>
      </w:r>
      <w:r>
        <w:rPr>
          <w:rFonts w:hint="eastAsia"/>
          <w:u w:val="single"/>
          <w:lang w:eastAsia="zh-CN"/>
        </w:rPr>
        <w:t>单釜容积均为</w:t>
      </w:r>
      <w:r>
        <w:rPr>
          <w:rFonts w:hint="eastAsia"/>
          <w:u w:val="single"/>
          <w:lang w:val="en-US" w:eastAsia="zh-CN"/>
        </w:rPr>
        <w:t>5000L，</w:t>
      </w:r>
      <w:r>
        <w:rPr>
          <w:rFonts w:hint="eastAsia"/>
          <w:u w:val="single"/>
        </w:rPr>
        <w:t>清洗用水量约为3.5L/次，由此核算项目年设备清洗水用量为0.224t/a。</w:t>
      </w:r>
    </w:p>
    <w:p>
      <w:pPr>
        <w:pStyle w:val="25"/>
        <w:widowControl/>
        <w:spacing w:beforeAutospacing="0" w:afterAutospacing="0"/>
        <w:ind w:firstLine="480"/>
        <w:jc w:val="both"/>
        <w:rPr>
          <w:u w:val="single"/>
        </w:rPr>
      </w:pPr>
      <w:r>
        <w:rPr>
          <w:rFonts w:hint="eastAsia"/>
          <w:u w:val="single"/>
        </w:rPr>
        <w:t>项目在运营过程中需要定期对车间地坪进行冲洗，根据相关类比资料，车间冲洗水用量约为2L/m</w:t>
      </w:r>
      <w:r>
        <w:rPr>
          <w:rFonts w:hint="eastAsia"/>
          <w:u w:val="single"/>
          <w:vertAlign w:val="superscript"/>
        </w:rPr>
        <w:t>2</w:t>
      </w:r>
      <w:r>
        <w:rPr>
          <w:rFonts w:hint="eastAsia"/>
          <w:u w:val="single"/>
        </w:rPr>
        <w:t>，项目生产车间总面积为11673.94m</w:t>
      </w:r>
      <w:r>
        <w:rPr>
          <w:rFonts w:hint="eastAsia"/>
          <w:u w:val="single"/>
          <w:vertAlign w:val="superscript"/>
        </w:rPr>
        <w:t>2</w:t>
      </w:r>
      <w:r>
        <w:rPr>
          <w:rFonts w:hint="eastAsia"/>
          <w:u w:val="single"/>
        </w:rPr>
        <w:t>，每年按冲洗100次计，则车间冲洗新鲜水消耗量约为2334.788m</w:t>
      </w:r>
      <w:r>
        <w:rPr>
          <w:rFonts w:hint="eastAsia"/>
          <w:u w:val="single"/>
          <w:vertAlign w:val="superscript"/>
        </w:rPr>
        <w:t>3</w:t>
      </w:r>
      <w:r>
        <w:rPr>
          <w:rFonts w:hint="eastAsia"/>
          <w:u w:val="single"/>
        </w:rPr>
        <w:t>/a。</w:t>
      </w:r>
    </w:p>
    <w:p>
      <w:pPr>
        <w:pStyle w:val="25"/>
        <w:widowControl/>
        <w:spacing w:beforeAutospacing="0" w:afterAutospacing="0"/>
        <w:ind w:firstLine="480"/>
        <w:jc w:val="both"/>
        <w:rPr>
          <w:u w:val="single"/>
        </w:rPr>
      </w:pPr>
      <w:r>
        <w:rPr>
          <w:rFonts w:hint="eastAsia" w:ascii="宋体" w:hAnsi="宋体" w:cs="宋体"/>
          <w:u w:val="single"/>
        </w:rPr>
        <w:t>④</w:t>
      </w:r>
      <w:r>
        <w:rPr>
          <w:rFonts w:hint="eastAsia"/>
          <w:u w:val="single"/>
        </w:rPr>
        <w:t>水喷淋用水：生产车间的投料粉尘和工艺废气需要经过</w:t>
      </w:r>
      <w:r>
        <w:rPr>
          <w:rFonts w:hint="eastAsia"/>
          <w:u w:val="single"/>
          <w:lang w:eastAsia="zh-CN"/>
        </w:rPr>
        <w:t>“</w:t>
      </w:r>
      <w:r>
        <w:rPr>
          <w:rFonts w:hint="eastAsia"/>
          <w:u w:val="single"/>
        </w:rPr>
        <w:t>水喷淋洗涤塔+干式过滤器+活性炭吸附+RCO</w:t>
      </w:r>
      <w:r>
        <w:rPr>
          <w:rFonts w:hint="eastAsia"/>
          <w:u w:val="single"/>
          <w:lang w:eastAsia="zh-CN"/>
        </w:rPr>
        <w:t>”</w:t>
      </w:r>
      <w:r>
        <w:rPr>
          <w:rFonts w:hint="eastAsia"/>
          <w:u w:val="single"/>
        </w:rPr>
        <w:t>处理。根据建设单位提供的设计资料，喷淋塔水箱的总储水量约1.5m</w:t>
      </w:r>
      <w:r>
        <w:rPr>
          <w:rFonts w:hint="eastAsia"/>
          <w:u w:val="single"/>
          <w:vertAlign w:val="superscript"/>
        </w:rPr>
        <w:t>3</w:t>
      </w:r>
      <w:r>
        <w:rPr>
          <w:rFonts w:hint="eastAsia"/>
          <w:u w:val="single"/>
        </w:rPr>
        <w:t>，每1~4周更换一次喷淋液，本次计算取10d更换一次喷淋液。本项目生产时间为300d，则需要更换30次，即喷淋塔年用水量为45m</w:t>
      </w:r>
      <w:r>
        <w:rPr>
          <w:rFonts w:hint="eastAsia"/>
          <w:u w:val="single"/>
          <w:vertAlign w:val="superscript"/>
        </w:rPr>
        <w:t>3</w:t>
      </w:r>
      <w:r>
        <w:rPr>
          <w:rFonts w:hint="eastAsia"/>
          <w:u w:val="single"/>
        </w:rPr>
        <w:t>，则生产车间的废气喷淋用水总量为45m²/a（0.15m³/d）。</w:t>
      </w:r>
    </w:p>
    <w:p>
      <w:pPr>
        <w:pStyle w:val="25"/>
        <w:widowControl/>
        <w:spacing w:beforeAutospacing="0" w:afterAutospacing="0"/>
        <w:ind w:firstLine="480"/>
        <w:jc w:val="both"/>
        <w:rPr>
          <w:u w:val="single"/>
        </w:rPr>
      </w:pPr>
      <w:r>
        <w:rPr>
          <w:rFonts w:hint="eastAsia" w:ascii="仿宋" w:hAnsi="仿宋" w:eastAsia="仿宋" w:cs="仿宋"/>
          <w:u w:val="single"/>
        </w:rPr>
        <w:t>⑤</w:t>
      </w:r>
      <w:r>
        <w:rPr>
          <w:rFonts w:hint="eastAsia"/>
          <w:u w:val="single"/>
        </w:rPr>
        <w:t>纯水制备过程用水：本项目</w:t>
      </w:r>
      <w:r>
        <w:rPr>
          <w:rFonts w:hint="eastAsia"/>
          <w:u w:val="single"/>
          <w:lang w:eastAsia="zh-CN"/>
        </w:rPr>
        <w:t>购置</w:t>
      </w:r>
      <w:r>
        <w:rPr>
          <w:rFonts w:hint="eastAsia"/>
          <w:u w:val="single"/>
        </w:rPr>
        <w:t>一套</w:t>
      </w:r>
      <w:r>
        <w:rPr>
          <w:rFonts w:hint="eastAsia"/>
          <w:u w:val="single"/>
          <w:lang w:eastAsia="zh-CN"/>
        </w:rPr>
        <w:t>河南沁园环保单级</w:t>
      </w:r>
      <w:r>
        <w:rPr>
          <w:rFonts w:hint="eastAsia"/>
          <w:u w:val="single"/>
          <w:lang w:val="en-US" w:eastAsia="zh-CN"/>
        </w:rPr>
        <w:t>10</w:t>
      </w:r>
      <w:r>
        <w:rPr>
          <w:rFonts w:hint="eastAsia"/>
          <w:u w:val="single"/>
        </w:rPr>
        <w:t>纯水制备系统，</w:t>
      </w:r>
      <w:r>
        <w:rPr>
          <w:rFonts w:hint="eastAsia"/>
          <w:u w:val="single"/>
          <w:lang w:eastAsia="zh-CN"/>
        </w:rPr>
        <w:t>设计</w:t>
      </w:r>
      <w:r>
        <w:rPr>
          <w:rFonts w:hint="eastAsia"/>
          <w:u w:val="single"/>
        </w:rPr>
        <w:t>出水效率为70</w:t>
      </w:r>
      <w:r>
        <w:rPr>
          <w:rFonts w:hint="eastAsia"/>
          <w:u w:val="single"/>
          <w:lang w:val="en-US" w:eastAsia="zh-CN"/>
        </w:rPr>
        <w:t>~85</w:t>
      </w:r>
      <w:r>
        <w:rPr>
          <w:rFonts w:hint="eastAsia"/>
          <w:u w:val="single"/>
        </w:rPr>
        <w:t>%，</w:t>
      </w:r>
      <w:r>
        <w:rPr>
          <w:rFonts w:hint="eastAsia"/>
          <w:u w:val="single"/>
          <w:lang w:eastAsia="zh-CN"/>
        </w:rPr>
        <w:t>本项目按照最低效率</w:t>
      </w:r>
      <w:r>
        <w:rPr>
          <w:rFonts w:hint="eastAsia"/>
          <w:u w:val="single"/>
          <w:lang w:val="en-US" w:eastAsia="zh-CN"/>
        </w:rPr>
        <w:t>70%核算，</w:t>
      </w:r>
      <w:r>
        <w:rPr>
          <w:rFonts w:hint="eastAsia"/>
          <w:u w:val="single"/>
        </w:rPr>
        <w:t>项目使用纯水量为</w:t>
      </w:r>
      <w:r>
        <w:rPr>
          <w:rFonts w:hint="eastAsia"/>
          <w:u w:val="single"/>
          <w:lang w:val="en-US" w:eastAsia="zh-CN"/>
        </w:rPr>
        <w:t>2820.3</w:t>
      </w:r>
      <w:r>
        <w:rPr>
          <w:rFonts w:hint="eastAsia"/>
          <w:u w:val="single"/>
        </w:rPr>
        <w:t>t/a，项目纯水制备用水量为</w:t>
      </w:r>
      <w:r>
        <w:rPr>
          <w:rFonts w:hint="eastAsia"/>
          <w:u w:val="single"/>
          <w:lang w:val="en-US" w:eastAsia="zh-CN"/>
        </w:rPr>
        <w:t>4029</w:t>
      </w:r>
      <w:r>
        <w:rPr>
          <w:rFonts w:hint="eastAsia"/>
          <w:u w:val="single"/>
        </w:rPr>
        <w:t>t/a。</w:t>
      </w:r>
      <w:r>
        <w:rPr>
          <w:rFonts w:hint="eastAsia"/>
          <w:u w:val="single"/>
          <w:lang w:eastAsia="zh-CN"/>
        </w:rPr>
        <w:t>用水来源全部为蒸汽冷凝水</w:t>
      </w:r>
      <w:r>
        <w:rPr>
          <w:rFonts w:hint="eastAsia"/>
          <w:u w:val="single"/>
        </w:rPr>
        <w:t>。</w:t>
      </w:r>
    </w:p>
    <w:p>
      <w:pPr>
        <w:pStyle w:val="25"/>
        <w:widowControl/>
        <w:spacing w:beforeAutospacing="0" w:afterAutospacing="0"/>
        <w:ind w:firstLine="480"/>
        <w:jc w:val="both"/>
        <w:rPr>
          <w:rFonts w:hint="eastAsia"/>
          <w:u w:val="single"/>
        </w:rPr>
      </w:pPr>
      <w:r>
        <w:rPr>
          <w:u w:val="single"/>
        </w:rPr>
        <w:t>纯水系统工作过程中需要定期进行反冲洗，反冲洗废水中含有较多的悬浮物和杂质。根据建设单位提供设计资料，纯水系统平均每5天约反冲洗2次（按年生产时间300天计，即120次/a），</w:t>
      </w:r>
      <w:r>
        <w:rPr>
          <w:rFonts w:hint="eastAsia"/>
          <w:u w:val="single"/>
          <w:lang w:eastAsia="zh-CN"/>
        </w:rPr>
        <w:t>根据设备设计资料，</w:t>
      </w:r>
      <w:r>
        <w:rPr>
          <w:u w:val="single"/>
        </w:rPr>
        <w:t>每次反冲洗用水量约为4.5m</w:t>
      </w:r>
      <w:r>
        <w:rPr>
          <w:rFonts w:hint="eastAsia"/>
          <w:u w:val="single"/>
          <w:vertAlign w:val="superscript"/>
        </w:rPr>
        <w:t>3</w:t>
      </w:r>
      <w:r>
        <w:rPr>
          <w:u w:val="single"/>
        </w:rPr>
        <w:t>，则反冲洗用水量为540m</w:t>
      </w:r>
      <w:r>
        <w:rPr>
          <w:rFonts w:hint="eastAsia"/>
          <w:u w:val="single"/>
          <w:vertAlign w:val="superscript"/>
        </w:rPr>
        <w:t>3</w:t>
      </w:r>
      <w:r>
        <w:rPr>
          <w:u w:val="single"/>
        </w:rPr>
        <w:t>/a</w:t>
      </w:r>
      <w:r>
        <w:rPr>
          <w:rFonts w:hint="eastAsia"/>
          <w:u w:val="single"/>
        </w:rPr>
        <w:t>，</w:t>
      </w:r>
      <w:r>
        <w:rPr>
          <w:u w:val="single"/>
        </w:rPr>
        <w:t>即18m</w:t>
      </w:r>
      <w:r>
        <w:rPr>
          <w:u w:val="single"/>
          <w:vertAlign w:val="superscript"/>
        </w:rPr>
        <w:t>3</w:t>
      </w:r>
      <w:r>
        <w:rPr>
          <w:rFonts w:hint="eastAsia"/>
          <w:u w:val="single"/>
        </w:rPr>
        <w:t>/</w:t>
      </w:r>
      <w:r>
        <w:rPr>
          <w:u w:val="single"/>
        </w:rPr>
        <w:t>d</w:t>
      </w:r>
      <w:r>
        <w:rPr>
          <w:rFonts w:hint="eastAsia"/>
          <w:u w:val="single"/>
        </w:rPr>
        <w:t>。</w:t>
      </w:r>
    </w:p>
    <w:p>
      <w:pPr>
        <w:pStyle w:val="25"/>
        <w:widowControl/>
        <w:spacing w:beforeAutospacing="0" w:afterAutospacing="0"/>
        <w:ind w:firstLine="480"/>
        <w:rPr>
          <w:rFonts w:hint="eastAsia" w:eastAsia="宋体"/>
          <w:lang w:eastAsia="zh-CN"/>
        </w:rPr>
      </w:pPr>
      <w:r>
        <w:t>本项目拟设1套纯水制备系统，提供生产所需的纯水。纯水设计产出率为</w:t>
      </w:r>
      <w:r>
        <w:rPr>
          <w:rFonts w:hint="eastAsia"/>
          <w:lang w:val="en-US" w:eastAsia="zh-CN"/>
        </w:rPr>
        <w:t>7</w:t>
      </w:r>
      <w:r>
        <w:t>0%，纯水制备过程会产生一定量的浓水，纯水系统需定期进行反冲洗，反冲洗过程会产生反冲洗废水。制备工艺如下</w:t>
      </w:r>
      <w:r>
        <w:rPr>
          <w:rFonts w:hint="eastAsia"/>
          <w:lang w:eastAsia="zh-CN"/>
        </w:rPr>
        <w:t>：</w:t>
      </w:r>
    </w:p>
    <w:p>
      <w:pPr>
        <w:pStyle w:val="24"/>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pPr>
      <w:r>
        <w:drawing>
          <wp:inline distT="0" distB="0" distL="114300" distR="114300">
            <wp:extent cx="1673860" cy="2217420"/>
            <wp:effectExtent l="0" t="0" r="2540" b="1143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35"/>
                    <a:stretch>
                      <a:fillRect/>
                    </a:stretch>
                  </pic:blipFill>
                  <pic:spPr>
                    <a:xfrm>
                      <a:off x="0" y="0"/>
                      <a:ext cx="1673860" cy="2217420"/>
                    </a:xfrm>
                    <a:prstGeom prst="rect">
                      <a:avLst/>
                    </a:prstGeom>
                    <a:noFill/>
                    <a:ln>
                      <a:noFill/>
                    </a:ln>
                  </pic:spPr>
                </pic:pic>
              </a:graphicData>
            </a:graphic>
          </wp:inline>
        </w:drawing>
      </w:r>
    </w:p>
    <w:p>
      <w:pPr>
        <w:pStyle w:val="25"/>
        <w:keepNext w:val="0"/>
        <w:keepLines w:val="0"/>
        <w:pageBreakBefore w:val="0"/>
        <w:widowControl/>
        <w:kinsoku/>
        <w:wordWrap/>
        <w:overflowPunct/>
        <w:topLinePunct w:val="0"/>
        <w:autoSpaceDE/>
        <w:autoSpaceDN/>
        <w:bidi w:val="0"/>
        <w:adjustRightInd/>
        <w:snapToGrid/>
        <w:spacing w:beforeAutospacing="0" w:afterAutospacing="0"/>
        <w:ind w:firstLine="482"/>
        <w:jc w:val="center"/>
        <w:textAlignment w:val="auto"/>
        <w:rPr>
          <w:b/>
          <w:bCs/>
        </w:rPr>
      </w:pPr>
      <w:r>
        <w:rPr>
          <w:b/>
          <w:bCs/>
        </w:rPr>
        <w:t>图3</w:t>
      </w:r>
      <w:r>
        <w:rPr>
          <w:rFonts w:hint="eastAsia"/>
          <w:b/>
          <w:bCs/>
        </w:rPr>
        <w:t xml:space="preserve">.3-2 </w:t>
      </w:r>
      <w:r>
        <w:rPr>
          <w:b/>
          <w:bCs/>
        </w:rPr>
        <w:t xml:space="preserve"> 项目</w:t>
      </w:r>
      <w:r>
        <w:rPr>
          <w:rFonts w:hint="eastAsia"/>
          <w:b/>
          <w:bCs/>
        </w:rPr>
        <w:t>纯水制备</w:t>
      </w:r>
      <w:r>
        <w:rPr>
          <w:b/>
          <w:bCs/>
        </w:rPr>
        <w:t>（单位</w:t>
      </w:r>
      <w:r>
        <w:rPr>
          <w:rFonts w:hint="eastAsia"/>
          <w:b/>
          <w:bCs/>
        </w:rPr>
        <w:t>：</w:t>
      </w:r>
      <w:r>
        <w:rPr>
          <w:b/>
          <w:bCs/>
        </w:rPr>
        <w:t>t/d）</w:t>
      </w:r>
    </w:p>
    <w:p>
      <w:pPr>
        <w:pStyle w:val="39"/>
        <w:autoSpaceDE w:val="0"/>
        <w:ind w:firstLine="480"/>
        <w:jc w:val="both"/>
        <w:rPr>
          <w:rFonts w:ascii="Times New Roman" w:hAnsi="Times New Roman" w:cs="Times New Roman"/>
          <w:color w:val="000000"/>
          <w:u w:val="single"/>
          <w:lang w:val="en-US"/>
        </w:rPr>
      </w:pPr>
      <w:r>
        <w:rPr>
          <w:rFonts w:hint="eastAsia"/>
          <w:u w:val="single"/>
          <w:lang w:val="en-US"/>
        </w:rPr>
        <w:t>⑥职工生活用水：</w:t>
      </w:r>
      <w:r>
        <w:rPr>
          <w:rFonts w:ascii="Times New Roman" w:hAnsi="Times New Roman" w:cs="Times New Roman"/>
          <w:color w:val="000000"/>
          <w:u w:val="single"/>
          <w:lang w:val="en-US"/>
        </w:rPr>
        <w:t>本项目劳动定员</w:t>
      </w:r>
      <w:r>
        <w:rPr>
          <w:rFonts w:hint="eastAsia" w:ascii="Times New Roman" w:hAnsi="Times New Roman" w:cs="Times New Roman"/>
          <w:color w:val="000000"/>
          <w:u w:val="single"/>
          <w:lang w:val="en-US"/>
        </w:rPr>
        <w:t>100</w:t>
      </w:r>
      <w:r>
        <w:rPr>
          <w:rFonts w:ascii="Times New Roman" w:hAnsi="Times New Roman" w:cs="Times New Roman"/>
          <w:color w:val="000000"/>
          <w:u w:val="single"/>
          <w:lang w:val="en-US"/>
        </w:rPr>
        <w:t>人，厂区内提供食宿。参照《建筑给水排水设计标准》（GB50015-2019）生活用水定额平均为90~120L/人·天，本项目员工用水定额按100L/人·天计，则本项目员工生活用水量为</w:t>
      </w:r>
      <w:r>
        <w:rPr>
          <w:rFonts w:hint="eastAsia" w:ascii="Times New Roman" w:hAnsi="Times New Roman" w:cs="Times New Roman"/>
          <w:color w:val="000000"/>
          <w:u w:val="single"/>
          <w:lang w:val="en-US"/>
        </w:rPr>
        <w:t>3000</w:t>
      </w:r>
      <w:r>
        <w:rPr>
          <w:rFonts w:ascii="Times New Roman" w:hAnsi="Times New Roman" w:cs="Times New Roman"/>
          <w:color w:val="000000"/>
          <w:u w:val="single"/>
          <w:lang w:val="en-US"/>
        </w:rPr>
        <w:t>m</w:t>
      </w:r>
      <w:r>
        <w:rPr>
          <w:rFonts w:ascii="Times New Roman" w:hAnsi="Times New Roman" w:cs="Times New Roman"/>
          <w:color w:val="000000"/>
          <w:u w:val="single"/>
          <w:vertAlign w:val="superscript"/>
          <w:lang w:val="en-US"/>
        </w:rPr>
        <w:t>3</w:t>
      </w:r>
      <w:r>
        <w:rPr>
          <w:rFonts w:ascii="Times New Roman" w:hAnsi="Times New Roman" w:cs="Times New Roman"/>
          <w:color w:val="000000"/>
          <w:u w:val="single"/>
          <w:lang w:val="en-US"/>
        </w:rPr>
        <w:t>/a</w:t>
      </w:r>
      <w:r>
        <w:rPr>
          <w:rFonts w:hint="eastAsia" w:ascii="Times New Roman" w:hAnsi="Times New Roman" w:cs="Times New Roman"/>
          <w:color w:val="000000"/>
          <w:u w:val="single"/>
          <w:lang w:val="en-US"/>
        </w:rPr>
        <w:t>（10</w:t>
      </w:r>
      <w:r>
        <w:rPr>
          <w:rFonts w:ascii="Times New Roman" w:hAnsi="Times New Roman" w:cs="Times New Roman"/>
          <w:color w:val="000000"/>
          <w:u w:val="single"/>
          <w:lang w:val="en-US"/>
        </w:rPr>
        <w:t>m</w:t>
      </w:r>
      <w:r>
        <w:rPr>
          <w:rFonts w:ascii="Times New Roman" w:hAnsi="Times New Roman" w:cs="Times New Roman"/>
          <w:color w:val="000000"/>
          <w:u w:val="single"/>
          <w:vertAlign w:val="superscript"/>
          <w:lang w:val="en-US"/>
        </w:rPr>
        <w:t>3</w:t>
      </w:r>
      <w:r>
        <w:rPr>
          <w:rFonts w:ascii="Times New Roman" w:hAnsi="Times New Roman" w:cs="Times New Roman"/>
          <w:color w:val="000000"/>
          <w:u w:val="single"/>
          <w:lang w:val="en-US"/>
        </w:rPr>
        <w:t>/d</w:t>
      </w:r>
      <w:r>
        <w:rPr>
          <w:rFonts w:hint="eastAsia" w:ascii="Times New Roman" w:hAnsi="Times New Roman" w:cs="Times New Roman"/>
          <w:color w:val="000000"/>
          <w:u w:val="single"/>
          <w:lang w:val="en-US"/>
        </w:rPr>
        <w:t>）</w:t>
      </w:r>
      <w:r>
        <w:rPr>
          <w:rFonts w:ascii="Times New Roman" w:hAnsi="Times New Roman" w:cs="Times New Roman"/>
          <w:color w:val="000000"/>
          <w:u w:val="single"/>
          <w:lang w:val="en-US"/>
        </w:rPr>
        <w:t>。</w:t>
      </w:r>
    </w:p>
    <w:p>
      <w:pPr>
        <w:pStyle w:val="39"/>
        <w:autoSpaceDE w:val="0"/>
        <w:ind w:firstLine="480"/>
        <w:jc w:val="both"/>
        <w:rPr>
          <w:rFonts w:ascii="Times New Roman" w:hAnsi="Times New Roman" w:cs="Times New Roman"/>
          <w:color w:val="000000"/>
          <w:u w:val="single"/>
          <w:lang w:val="en-US"/>
        </w:rPr>
      </w:pPr>
      <w:r>
        <w:rPr>
          <w:rFonts w:hint="eastAsia"/>
          <w:bCs/>
          <w:u w:val="single"/>
          <w:lang w:val="en-US"/>
        </w:rPr>
        <w:t>⑦</w:t>
      </w:r>
      <w:r>
        <w:rPr>
          <w:rFonts w:hint="eastAsia" w:ascii="Times New Roman" w:hAnsi="Times New Roman" w:cs="Times New Roman"/>
          <w:bCs/>
          <w:u w:val="single"/>
          <w:lang w:val="en-US"/>
        </w:rPr>
        <w:t>绿化用水：根据企业控制性规划设计，项目绿地面积3991.33m</w:t>
      </w:r>
      <w:r>
        <w:rPr>
          <w:rFonts w:hint="eastAsia" w:ascii="Times New Roman" w:hAnsi="Times New Roman" w:cs="Times New Roman"/>
          <w:bCs/>
          <w:u w:val="single"/>
          <w:vertAlign w:val="superscript"/>
          <w:lang w:val="en-US"/>
        </w:rPr>
        <w:t>2</w:t>
      </w:r>
      <w:r>
        <w:rPr>
          <w:rFonts w:hint="eastAsia" w:ascii="Times New Roman" w:hAnsi="Times New Roman" w:cs="Times New Roman"/>
          <w:bCs/>
          <w:u w:val="single"/>
          <w:lang w:val="en-US"/>
        </w:rPr>
        <w:t>。</w:t>
      </w:r>
      <w:r>
        <w:rPr>
          <w:rFonts w:ascii="Times New Roman" w:hAnsi="Times New Roman" w:cs="Times New Roman"/>
          <w:color w:val="000000"/>
          <w:u w:val="single"/>
          <w:lang w:val="en-US"/>
        </w:rPr>
        <w:t>参照《建筑给水排水设计标准》（GB50015-2019）：绿化浇灌用水定额可按浇灌面积1.0~3.0L/（m</w:t>
      </w:r>
      <w:r>
        <w:rPr>
          <w:rFonts w:ascii="Times New Roman" w:hAnsi="Times New Roman" w:cs="Times New Roman"/>
          <w:color w:val="000000"/>
          <w:u w:val="single"/>
          <w:vertAlign w:val="superscript"/>
          <w:lang w:val="en-US"/>
        </w:rPr>
        <w:t>2</w:t>
      </w:r>
      <w:r>
        <w:rPr>
          <w:rFonts w:ascii="Times New Roman" w:hAnsi="Times New Roman" w:cs="Times New Roman"/>
          <w:color w:val="000000"/>
          <w:u w:val="single"/>
          <w:lang w:val="en-US"/>
        </w:rPr>
        <w:t>·d）计，本项目取平均值</w:t>
      </w:r>
      <w:r>
        <w:rPr>
          <w:rFonts w:hint="eastAsia" w:ascii="Times New Roman" w:hAnsi="Times New Roman" w:cs="Times New Roman"/>
          <w:color w:val="000000"/>
          <w:u w:val="single"/>
          <w:lang w:val="en-US"/>
        </w:rPr>
        <w:t>2.0</w:t>
      </w:r>
      <w:r>
        <w:rPr>
          <w:rFonts w:ascii="Times New Roman" w:hAnsi="Times New Roman" w:cs="Times New Roman"/>
          <w:color w:val="000000"/>
          <w:u w:val="single"/>
          <w:lang w:val="en-US"/>
        </w:rPr>
        <w:t>L/（m</w:t>
      </w:r>
      <w:r>
        <w:rPr>
          <w:rFonts w:ascii="Times New Roman" w:hAnsi="Times New Roman" w:cs="Times New Roman"/>
          <w:color w:val="000000"/>
          <w:u w:val="single"/>
          <w:vertAlign w:val="superscript"/>
          <w:lang w:val="en-US"/>
        </w:rPr>
        <w:t>2</w:t>
      </w:r>
      <w:r>
        <w:rPr>
          <w:rFonts w:ascii="Times New Roman" w:hAnsi="Times New Roman" w:cs="Times New Roman"/>
          <w:color w:val="000000"/>
          <w:u w:val="single"/>
          <w:lang w:val="en-US"/>
        </w:rPr>
        <w:t>·d），则绿化用水为</w:t>
      </w:r>
      <w:r>
        <w:rPr>
          <w:rFonts w:hint="eastAsia" w:ascii="Times New Roman" w:hAnsi="Times New Roman" w:cs="Times New Roman"/>
          <w:color w:val="000000"/>
          <w:u w:val="single"/>
          <w:lang w:val="en-US"/>
        </w:rPr>
        <w:t>2394.798</w:t>
      </w:r>
      <w:r>
        <w:rPr>
          <w:rFonts w:ascii="Times New Roman" w:hAnsi="Times New Roman" w:cs="Times New Roman"/>
          <w:color w:val="000000"/>
          <w:u w:val="single"/>
          <w:lang w:val="en-US"/>
        </w:rPr>
        <w:t>m</w:t>
      </w:r>
      <w:r>
        <w:rPr>
          <w:rFonts w:ascii="Times New Roman" w:hAnsi="Times New Roman" w:cs="Times New Roman"/>
          <w:color w:val="000000"/>
          <w:u w:val="single"/>
          <w:vertAlign w:val="superscript"/>
          <w:lang w:val="en-US"/>
        </w:rPr>
        <w:t>3</w:t>
      </w:r>
      <w:r>
        <w:rPr>
          <w:rFonts w:ascii="Times New Roman" w:hAnsi="Times New Roman" w:cs="Times New Roman"/>
          <w:color w:val="000000"/>
          <w:u w:val="single"/>
          <w:lang w:val="en-US"/>
        </w:rPr>
        <w:t>/a（</w:t>
      </w:r>
      <w:r>
        <w:rPr>
          <w:rFonts w:hint="eastAsia" w:ascii="Times New Roman" w:hAnsi="Times New Roman" w:cs="Times New Roman"/>
          <w:color w:val="000000"/>
          <w:u w:val="single"/>
          <w:lang w:val="en-US"/>
        </w:rPr>
        <w:t>7.983</w:t>
      </w:r>
      <w:r>
        <w:rPr>
          <w:rFonts w:ascii="Times New Roman" w:hAnsi="Times New Roman" w:cs="Times New Roman"/>
          <w:color w:val="000000"/>
          <w:u w:val="single"/>
          <w:lang w:val="en-US"/>
        </w:rPr>
        <w:t>m</w:t>
      </w:r>
      <w:r>
        <w:rPr>
          <w:rFonts w:ascii="Times New Roman" w:hAnsi="Times New Roman" w:cs="Times New Roman"/>
          <w:color w:val="000000"/>
          <w:u w:val="single"/>
          <w:vertAlign w:val="superscript"/>
          <w:lang w:val="en-US"/>
        </w:rPr>
        <w:t>3</w:t>
      </w:r>
      <w:r>
        <w:rPr>
          <w:rFonts w:ascii="Times New Roman" w:hAnsi="Times New Roman" w:cs="Times New Roman"/>
          <w:color w:val="000000"/>
          <w:u w:val="single"/>
          <w:lang w:val="en-US"/>
        </w:rPr>
        <w:t>/d），绿化用水经蒸发、植被吸收或地下入渗后损耗。</w:t>
      </w:r>
    </w:p>
    <w:p>
      <w:pPr>
        <w:pStyle w:val="7"/>
        <w:ind w:firstLine="562"/>
      </w:pPr>
      <w:r>
        <w:rPr>
          <w:rFonts w:hint="eastAsia"/>
        </w:rPr>
        <w:t>3.3.3 排水：</w:t>
      </w:r>
    </w:p>
    <w:p>
      <w:pPr>
        <w:pStyle w:val="25"/>
        <w:widowControl/>
        <w:spacing w:beforeAutospacing="0" w:afterAutospacing="0"/>
        <w:ind w:firstLine="480"/>
        <w:jc w:val="both"/>
      </w:pPr>
      <w:r>
        <w:rPr>
          <w:rFonts w:hint="eastAsia"/>
        </w:rPr>
        <w:t>本项目厂区采用雨污分流制，配套完善的雨污管网，并</w:t>
      </w:r>
      <w:r>
        <w:rPr>
          <w:rFonts w:hint="eastAsia"/>
          <w:lang w:eastAsia="zh-CN"/>
        </w:rPr>
        <w:t>与</w:t>
      </w:r>
      <w:r>
        <w:rPr>
          <w:rFonts w:hint="eastAsia"/>
        </w:rPr>
        <w:t>集聚区现有市政雨水管网、污水管网实现对接。</w:t>
      </w:r>
      <w:r>
        <w:rPr>
          <w:rFonts w:hint="eastAsia"/>
          <w:u w:val="single"/>
        </w:rPr>
        <w:t>生活污水经</w:t>
      </w:r>
      <w:r>
        <w:rPr>
          <w:rFonts w:hint="eastAsia"/>
          <w:u w:val="single"/>
          <w:lang w:eastAsia="zh-CN"/>
        </w:rPr>
        <w:t>隔油池、</w:t>
      </w:r>
      <w:r>
        <w:rPr>
          <w:rFonts w:hint="eastAsia"/>
          <w:u w:val="single"/>
        </w:rPr>
        <w:t>化粪池预处理后进入厂区污水处理站，厂区内设置1个50t/d污水站，</w:t>
      </w:r>
      <w:r>
        <w:rPr>
          <w:rFonts w:hint="eastAsia"/>
          <w:u w:val="single"/>
          <w:lang w:eastAsia="zh-CN"/>
        </w:rPr>
        <w:t>汇同</w:t>
      </w:r>
      <w:r>
        <w:rPr>
          <w:rFonts w:hint="eastAsia"/>
          <w:u w:val="single"/>
        </w:rPr>
        <w:t>项目生产废水经厂内污水站处置达标后排入平顶山第三污水处理厂</w:t>
      </w:r>
      <w:r>
        <w:rPr>
          <w:rFonts w:hint="eastAsia"/>
          <w:u w:val="single"/>
          <w:lang w:eastAsia="zh-CN"/>
        </w:rPr>
        <w:t>处理</w:t>
      </w:r>
      <w:r>
        <w:rPr>
          <w:rFonts w:hint="eastAsia"/>
          <w:u w:val="single"/>
        </w:rPr>
        <w:t>，最终排入关庙河，进入灰河。</w:t>
      </w:r>
    </w:p>
    <w:p>
      <w:pPr>
        <w:pStyle w:val="7"/>
        <w:ind w:firstLine="562"/>
      </w:pPr>
      <w:r>
        <w:rPr>
          <w:rFonts w:hint="eastAsia"/>
        </w:rPr>
        <w:t>3.3.4 供电</w:t>
      </w:r>
    </w:p>
    <w:p>
      <w:pPr>
        <w:pStyle w:val="25"/>
        <w:widowControl/>
        <w:spacing w:beforeAutospacing="0" w:afterAutospacing="0"/>
        <w:ind w:firstLine="480"/>
      </w:pPr>
      <w:r>
        <w:t>本项目用电由当地电网接入，电源稳定、可靠，满足项目建设需求。</w:t>
      </w:r>
    </w:p>
    <w:p>
      <w:pPr>
        <w:pStyle w:val="7"/>
        <w:ind w:firstLine="562"/>
      </w:pPr>
      <w:r>
        <w:rPr>
          <w:rFonts w:hint="eastAsia"/>
        </w:rPr>
        <w:t>3.3.5 消防</w:t>
      </w:r>
    </w:p>
    <w:p>
      <w:pPr>
        <w:pStyle w:val="25"/>
        <w:widowControl/>
        <w:spacing w:beforeAutospacing="0" w:afterAutospacing="0"/>
        <w:ind w:firstLine="480"/>
      </w:pPr>
      <w:r>
        <w:t>各生产及办公场所按规定配置消防器材，厂内建筑物防火间距符合防火规范要求，建筑物均有道路可达，可供消防使用。</w:t>
      </w:r>
    </w:p>
    <w:p>
      <w:pPr>
        <w:pStyle w:val="7"/>
        <w:ind w:firstLine="562"/>
      </w:pPr>
      <w:r>
        <w:rPr>
          <w:rFonts w:hint="eastAsia"/>
        </w:rPr>
        <w:t>3.3.</w:t>
      </w:r>
      <w:r>
        <w:rPr>
          <w:rFonts w:hint="eastAsia"/>
          <w:lang w:val="en-US" w:eastAsia="zh-CN"/>
        </w:rPr>
        <w:t>6</w:t>
      </w:r>
      <w:r>
        <w:rPr>
          <w:rFonts w:hint="eastAsia"/>
        </w:rPr>
        <w:t xml:space="preserve"> </w:t>
      </w:r>
      <w:r>
        <w:rPr>
          <w:rFonts w:hint="eastAsia"/>
          <w:lang w:eastAsia="zh-CN"/>
        </w:rPr>
        <w:t>空压</w:t>
      </w:r>
      <w:r>
        <w:rPr>
          <w:rFonts w:hint="eastAsia"/>
        </w:rPr>
        <w:t>冷却系统</w:t>
      </w:r>
    </w:p>
    <w:p>
      <w:pPr>
        <w:pStyle w:val="25"/>
        <w:widowControl/>
        <w:spacing w:beforeAutospacing="0" w:afterAutospacing="0"/>
        <w:ind w:firstLine="480"/>
        <w:jc w:val="both"/>
        <w:rPr>
          <w:rFonts w:hint="eastAsia" w:eastAsia="宋体"/>
          <w:lang w:eastAsia="zh-CN"/>
        </w:rPr>
      </w:pPr>
      <w:r>
        <w:t>①</w:t>
      </w:r>
      <w:r>
        <w:rPr>
          <w:rFonts w:hint="eastAsia"/>
          <w:lang w:eastAsia="zh-CN"/>
        </w:rPr>
        <w:t>空压系统</w:t>
      </w:r>
    </w:p>
    <w:p>
      <w:pPr>
        <w:pStyle w:val="25"/>
        <w:widowControl/>
        <w:spacing w:beforeAutospacing="0" w:afterAutospacing="0"/>
        <w:ind w:firstLine="480"/>
        <w:jc w:val="both"/>
      </w:pPr>
      <w:r>
        <w:rPr>
          <w:rFonts w:hint="eastAsia"/>
        </w:rPr>
        <w:t>本项目仪表用气由空压站供应，空压站位于厂区辅助</w:t>
      </w:r>
      <w:r>
        <w:t>用房</w:t>
      </w:r>
      <w:r>
        <w:rPr>
          <w:rFonts w:hint="eastAsia"/>
        </w:rPr>
        <w:t>，设有</w:t>
      </w:r>
      <w:r>
        <w:t>4</w:t>
      </w:r>
      <w:r>
        <w:rPr>
          <w:rFonts w:hint="eastAsia"/>
        </w:rPr>
        <w:t>台空压机，供气能力均为3m</w:t>
      </w:r>
      <w:r>
        <w:rPr>
          <w:rFonts w:hint="eastAsia"/>
          <w:vertAlign w:val="superscript"/>
        </w:rPr>
        <w:t>3</w:t>
      </w:r>
      <w:r>
        <w:rPr>
          <w:rFonts w:hint="eastAsia"/>
        </w:rPr>
        <w:t>/min，压力为0.8MPa，并配有储气罐。空气经螺杆式空气压缩机压缩至0.6～0.8MPa，经过高效过滤器，分离掉压缩空气中的浮尘以及从螺杆式空气压缩机带出来的润滑油，然后进入起到稳定压缩空气压力的储气罐，之后进入无热再生吸附式干燥机将压缩空气中的饱和水吸附出来，并控制压缩空气的露点至-40℃以下，最后干燥的仪表空气经过精密过滤器的最终过滤，经过空气缓冲罐，再送入仪表空气管网。</w:t>
      </w:r>
    </w:p>
    <w:p>
      <w:pPr>
        <w:pStyle w:val="25"/>
        <w:widowControl/>
        <w:spacing w:beforeAutospacing="0" w:afterAutospacing="0"/>
        <w:ind w:firstLine="480"/>
        <w:jc w:val="both"/>
      </w:pPr>
      <w:r>
        <w:t>②冷却系统</w:t>
      </w:r>
    </w:p>
    <w:p>
      <w:pPr>
        <w:pStyle w:val="25"/>
        <w:widowControl/>
        <w:spacing w:beforeAutospacing="0" w:afterAutospacing="0"/>
        <w:ind w:firstLine="480"/>
        <w:jc w:val="both"/>
      </w:pPr>
      <w:r>
        <w:t>本项目设置1台循环流量约1</w:t>
      </w:r>
      <w:r>
        <w:rPr>
          <w:rFonts w:hint="eastAsia"/>
        </w:rPr>
        <w:t>00</w:t>
      </w:r>
      <w:r>
        <w:t>m</w:t>
      </w:r>
      <w:r>
        <w:rPr>
          <w:rFonts w:hint="eastAsia"/>
          <w:vertAlign w:val="superscript"/>
        </w:rPr>
        <w:t>3</w:t>
      </w:r>
      <w:r>
        <w:t>/h的冷却水塔，该冷却系统采用敞开式工业循环水冷却设施的工艺，供车间设备使用，均为间接冷却。该系统根据工艺用水情况，冷却回水进入循环热水池，然后经循环水泵加压送至冷却塔进行冷却降温后流入循环冷水池，再经水泵泵送至车间需要用水的反应釜循环使用。</w:t>
      </w:r>
    </w:p>
    <w:p>
      <w:pPr>
        <w:pStyle w:val="7"/>
        <w:ind w:firstLine="562"/>
      </w:pPr>
      <w:r>
        <w:rPr>
          <w:rFonts w:hint="eastAsia"/>
        </w:rPr>
        <w:t>3.3.8</w:t>
      </w:r>
      <w:r>
        <w:t xml:space="preserve"> 劳动定员及工作制度</w:t>
      </w:r>
    </w:p>
    <w:p>
      <w:pPr>
        <w:pStyle w:val="25"/>
        <w:widowControl/>
        <w:spacing w:beforeAutospacing="0" w:afterAutospacing="0"/>
        <w:ind w:firstLine="480"/>
      </w:pPr>
      <w:r>
        <w:rPr>
          <w:rFonts w:hint="eastAsia" w:cs="宋体"/>
          <w:color w:val="000000" w:themeColor="text1"/>
          <w:kern w:val="0"/>
          <w:u w:val="single"/>
          <w:lang w:bidi="ar"/>
          <w14:textFill>
            <w14:solidFill>
              <w14:schemeClr w14:val="tx1"/>
            </w14:solidFill>
          </w14:textFill>
        </w:rPr>
        <w:t>员工100人，工作300天，每天24小时，3班制</w:t>
      </w:r>
      <w:r>
        <w:t>。</w:t>
      </w:r>
    </w:p>
    <w:p>
      <w:pPr>
        <w:pStyle w:val="7"/>
        <w:ind w:firstLine="562"/>
      </w:pPr>
      <w:r>
        <w:rPr>
          <w:rFonts w:hint="eastAsia"/>
        </w:rPr>
        <w:t>3.3.9</w:t>
      </w:r>
      <w:r>
        <w:t xml:space="preserve"> 项目实施进度</w:t>
      </w:r>
    </w:p>
    <w:p>
      <w:pPr>
        <w:pStyle w:val="25"/>
        <w:widowControl/>
        <w:spacing w:beforeAutospacing="0" w:afterAutospacing="0"/>
        <w:ind w:firstLine="480"/>
      </w:pPr>
      <w:r>
        <w:t>本项目总投资</w:t>
      </w:r>
      <w:r>
        <w:rPr>
          <w:rFonts w:hint="eastAsia"/>
        </w:rPr>
        <w:t>20087.21</w:t>
      </w:r>
      <w:r>
        <w:t>万元，其中环</w:t>
      </w:r>
      <w:r>
        <w:rPr>
          <w:color w:val="000000" w:themeColor="text1"/>
          <w14:textFill>
            <w14:solidFill>
              <w14:schemeClr w14:val="tx1"/>
            </w14:solidFill>
          </w14:textFill>
        </w:rPr>
        <w:t>保投资</w:t>
      </w:r>
      <w:r>
        <w:rPr>
          <w:rFonts w:hint="eastAsia"/>
          <w:color w:val="000000" w:themeColor="text1"/>
          <w:lang w:eastAsia="zh-CN"/>
          <w14:textFill>
            <w14:solidFill>
              <w14:schemeClr w14:val="tx1"/>
            </w14:solidFill>
          </w14:textFill>
        </w:rPr>
        <w:t>651</w:t>
      </w:r>
      <w:r>
        <w:rPr>
          <w:color w:val="000000" w:themeColor="text1"/>
          <w14:textFill>
            <w14:solidFill>
              <w14:schemeClr w14:val="tx1"/>
            </w14:solidFill>
          </w14:textFill>
        </w:rPr>
        <w:t>万元，预计建</w:t>
      </w:r>
      <w:r>
        <w:t>设周期为</w:t>
      </w:r>
      <w:r>
        <w:rPr>
          <w:rFonts w:hint="eastAsia"/>
        </w:rPr>
        <w:t>3个月</w:t>
      </w:r>
      <w:r>
        <w:t>，计划</w:t>
      </w:r>
      <w:r>
        <w:rPr>
          <w:rFonts w:hint="eastAsia"/>
        </w:rPr>
        <w:t>202</w:t>
      </w:r>
      <w:r>
        <w:rPr>
          <w:rFonts w:hint="eastAsia"/>
          <w:lang w:val="en-US" w:eastAsia="zh-CN"/>
        </w:rPr>
        <w:t>3</w:t>
      </w:r>
      <w:r>
        <w:t>年</w:t>
      </w:r>
      <w:r>
        <w:rPr>
          <w:rFonts w:hint="eastAsia"/>
        </w:rPr>
        <w:t>1</w:t>
      </w:r>
      <w:r>
        <w:t>月开工建设，</w:t>
      </w:r>
      <w:r>
        <w:rPr>
          <w:rFonts w:hint="eastAsia"/>
        </w:rPr>
        <w:t>202</w:t>
      </w:r>
      <w:r>
        <w:rPr>
          <w:rFonts w:hint="eastAsia"/>
          <w:lang w:val="en-US" w:eastAsia="zh-CN"/>
        </w:rPr>
        <w:t>3</w:t>
      </w:r>
      <w:r>
        <w:t>年</w:t>
      </w:r>
      <w:r>
        <w:rPr>
          <w:rFonts w:hint="eastAsia"/>
          <w:lang w:val="en-US" w:eastAsia="zh-CN"/>
        </w:rPr>
        <w:t>4</w:t>
      </w:r>
      <w:r>
        <w:t>月投入使用。</w:t>
      </w:r>
    </w:p>
    <w:p>
      <w:pPr>
        <w:pStyle w:val="7"/>
        <w:ind w:firstLine="562"/>
      </w:pPr>
      <w:r>
        <w:rPr>
          <w:rFonts w:hint="eastAsia"/>
        </w:rPr>
        <w:t>3.3.10</w:t>
      </w:r>
      <w:r>
        <w:t xml:space="preserve"> 总平面布置</w:t>
      </w:r>
    </w:p>
    <w:p>
      <w:pPr>
        <w:pStyle w:val="25"/>
        <w:widowControl/>
        <w:spacing w:beforeAutospacing="0" w:afterAutospacing="0"/>
        <w:ind w:firstLine="480"/>
      </w:pPr>
      <w:r>
        <w:t>项目区呈矩形，厂区内分为生产区（生产车间）、产品贮存区（产品库）、原料</w:t>
      </w:r>
      <w:r>
        <w:rPr>
          <w:rFonts w:hint="eastAsia"/>
        </w:rPr>
        <w:t>处理</w:t>
      </w:r>
      <w:r>
        <w:t>区、污水处理区、</w:t>
      </w:r>
      <w:r>
        <w:rPr>
          <w:rFonts w:hint="eastAsia"/>
        </w:rPr>
        <w:t>办公大楼与餐厅</w:t>
      </w:r>
      <w:r>
        <w:t>，总图布局符合</w:t>
      </w:r>
      <w:r>
        <w:rPr>
          <w:rFonts w:hint="eastAsia"/>
        </w:rPr>
        <w:t>总图布置</w:t>
      </w:r>
      <w:r>
        <w:t>，详见</w:t>
      </w:r>
      <w:r>
        <w:rPr>
          <w:rFonts w:hint="eastAsia"/>
        </w:rPr>
        <w:t>附图3</w:t>
      </w:r>
      <w:r>
        <w:t>。</w:t>
      </w:r>
    </w:p>
    <w:p>
      <w:pPr>
        <w:pStyle w:val="25"/>
        <w:widowControl/>
        <w:spacing w:beforeAutospacing="0" w:afterAutospacing="0"/>
        <w:ind w:firstLine="480"/>
        <w:sectPr>
          <w:pgSz w:w="11906" w:h="16838"/>
          <w:pgMar w:top="1417" w:right="1417" w:bottom="1417" w:left="1417" w:header="680" w:footer="850" w:gutter="0"/>
          <w:pgBorders>
            <w:top w:val="none" w:sz="0" w:space="0"/>
            <w:left w:val="none" w:sz="0" w:space="0"/>
            <w:bottom w:val="none" w:sz="0" w:space="0"/>
            <w:right w:val="none" w:sz="0" w:space="0"/>
          </w:pgBorders>
          <w:cols w:space="425" w:num="1"/>
          <w:docGrid w:type="lines" w:linePitch="312" w:charSpace="0"/>
        </w:sectPr>
      </w:pPr>
    </w:p>
    <w:p>
      <w:pPr>
        <w:pStyle w:val="5"/>
        <w:keepNext w:val="0"/>
        <w:keepLines w:val="0"/>
        <w:pageBreakBefore w:val="0"/>
        <w:widowControl w:val="0"/>
        <w:kinsoku/>
        <w:wordWrap/>
        <w:overflowPunct/>
        <w:topLinePunct w:val="0"/>
        <w:autoSpaceDE/>
        <w:autoSpaceDN/>
        <w:bidi w:val="0"/>
        <w:adjustRightInd/>
        <w:snapToGrid/>
        <w:ind w:left="0" w:leftChars="0" w:firstLine="0" w:firstLineChars="0"/>
        <w:jc w:val="center"/>
        <w:textAlignment w:val="auto"/>
        <w:rPr>
          <w:rFonts w:hint="default"/>
        </w:rPr>
      </w:pPr>
      <w:bookmarkStart w:id="60" w:name="_Toc3221"/>
      <w:bookmarkStart w:id="61" w:name="_Toc27227"/>
      <w:bookmarkStart w:id="62" w:name="_Toc26165"/>
      <w:bookmarkStart w:id="63" w:name="_Toc29452"/>
      <w:r>
        <w:rPr>
          <w:rFonts w:hint="eastAsia"/>
          <w:lang w:eastAsia="zh-CN"/>
        </w:rPr>
        <w:t>第</w:t>
      </w:r>
      <w:r>
        <w:t>四</w:t>
      </w:r>
      <w:r>
        <w:rPr>
          <w:rFonts w:hint="eastAsia"/>
          <w:lang w:eastAsia="zh-CN"/>
        </w:rPr>
        <w:t>章</w:t>
      </w:r>
      <w:r>
        <w:t xml:space="preserve">  工程分析</w:t>
      </w:r>
      <w:bookmarkEnd w:id="60"/>
      <w:bookmarkEnd w:id="61"/>
      <w:bookmarkEnd w:id="62"/>
      <w:bookmarkEnd w:id="63"/>
    </w:p>
    <w:p>
      <w:pPr>
        <w:pStyle w:val="6"/>
        <w:ind w:firstLine="0" w:firstLineChars="0"/>
        <w:rPr>
          <w:lang w:val="en-US"/>
        </w:rPr>
      </w:pPr>
      <w:bookmarkStart w:id="64" w:name="_Toc29718"/>
      <w:bookmarkStart w:id="65" w:name="_Toc468"/>
      <w:bookmarkStart w:id="66" w:name="_Toc22483"/>
      <w:bookmarkStart w:id="67" w:name="_Toc1400"/>
      <w:r>
        <w:rPr>
          <w:rFonts w:hint="eastAsia"/>
          <w:lang w:val="en-US"/>
        </w:rPr>
        <w:t>4.1 施工期污染源分析</w:t>
      </w:r>
      <w:bookmarkEnd w:id="64"/>
      <w:bookmarkEnd w:id="65"/>
      <w:bookmarkEnd w:id="66"/>
      <w:bookmarkEnd w:id="67"/>
    </w:p>
    <w:p>
      <w:pPr>
        <w:pStyle w:val="7"/>
        <w:ind w:firstLine="562"/>
      </w:pPr>
      <w:bookmarkStart w:id="68" w:name="_Toc633"/>
      <w:r>
        <w:rPr>
          <w:rFonts w:hint="eastAsia"/>
        </w:rPr>
        <w:t>4.1.1施工期工艺流程及产污节点</w:t>
      </w:r>
      <w:bookmarkEnd w:id="68"/>
    </w:p>
    <w:p>
      <w:pPr>
        <w:ind w:firstLine="480"/>
      </w:pPr>
      <w:r>
        <w:t>本项目</w:t>
      </w:r>
      <w:r>
        <w:rPr>
          <w:rFonts w:hint="eastAsia"/>
        </w:rPr>
        <w:t>需要新建厂房和辅助用房，</w:t>
      </w:r>
      <w:r>
        <w:t>施工期整个过程分为场地平整阶段、基础工程阶段、主体结构工程阶段、装修工程阶段及扫尾工程阶段等五个阶段，具体施工流程及产污流程图见图4</w:t>
      </w:r>
      <w:r>
        <w:rPr>
          <w:rFonts w:hint="eastAsia"/>
        </w:rPr>
        <w:t>.1</w:t>
      </w:r>
      <w:r>
        <w:t>-1。</w:t>
      </w:r>
    </w:p>
    <w:p>
      <w:pPr>
        <w:pStyle w:val="2"/>
        <w:jc w:val="center"/>
      </w:pPr>
    </w:p>
    <w:p>
      <w:pPr>
        <w:pStyle w:val="2"/>
        <w:jc w:val="center"/>
      </w:pPr>
    </w:p>
    <w:p>
      <w:pPr>
        <w:pStyle w:val="2"/>
        <w:jc w:val="center"/>
      </w:pPr>
    </w:p>
    <w:p>
      <w:pPr>
        <w:pStyle w:val="2"/>
        <w:jc w:val="center"/>
      </w:pPr>
    </w:p>
    <w:p>
      <w:pPr>
        <w:pStyle w:val="4"/>
      </w:pPr>
    </w:p>
    <w:p>
      <w:pPr>
        <w:pStyle w:val="4"/>
      </w:pPr>
    </w:p>
    <w:p>
      <w:pPr>
        <w:pStyle w:val="4"/>
      </w:pPr>
    </w:p>
    <w:p>
      <w:pPr>
        <w:pStyle w:val="4"/>
      </w:pPr>
    </w:p>
    <w:p>
      <w:pPr>
        <w:pStyle w:val="4"/>
      </w:pPr>
    </w:p>
    <w:p>
      <w:pPr>
        <w:pStyle w:val="4"/>
      </w:pPr>
    </w:p>
    <w:p>
      <w:pPr>
        <w:pStyle w:val="2"/>
        <w:jc w:val="center"/>
      </w:pPr>
    </w:p>
    <w:p>
      <w:pPr>
        <w:pStyle w:val="2"/>
        <w:jc w:val="center"/>
      </w:pPr>
    </w:p>
    <w:p>
      <w:pPr>
        <w:pStyle w:val="2"/>
        <w:jc w:val="center"/>
      </w:pPr>
    </w:p>
    <w:p>
      <w:pPr>
        <w:pStyle w:val="2"/>
        <w:jc w:val="center"/>
      </w:pPr>
    </w:p>
    <w:p>
      <w:pPr>
        <w:pStyle w:val="2"/>
        <w:jc w:val="center"/>
      </w:pPr>
      <w:r>
        <w:drawing>
          <wp:anchor distT="0" distB="0" distL="114300" distR="114300" simplePos="0" relativeHeight="251725824" behindDoc="0" locked="0" layoutInCell="1" allowOverlap="1">
            <wp:simplePos x="0" y="0"/>
            <wp:positionH relativeFrom="column">
              <wp:posOffset>1013460</wp:posOffset>
            </wp:positionH>
            <wp:positionV relativeFrom="paragraph">
              <wp:posOffset>-4070350</wp:posOffset>
            </wp:positionV>
            <wp:extent cx="3729990" cy="4319905"/>
            <wp:effectExtent l="0" t="0" r="3810" b="4445"/>
            <wp:wrapNone/>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36"/>
                    <a:stretch>
                      <a:fillRect/>
                    </a:stretch>
                  </pic:blipFill>
                  <pic:spPr>
                    <a:xfrm>
                      <a:off x="0" y="0"/>
                      <a:ext cx="3729990" cy="4319905"/>
                    </a:xfrm>
                    <a:prstGeom prst="rect">
                      <a:avLst/>
                    </a:prstGeom>
                    <a:noFill/>
                    <a:ln>
                      <a:noFill/>
                    </a:ln>
                  </pic:spPr>
                </pic:pic>
              </a:graphicData>
            </a:graphic>
          </wp:anchor>
        </w:drawing>
      </w:r>
    </w:p>
    <w:p>
      <w:pPr>
        <w:pStyle w:val="25"/>
        <w:widowControl/>
        <w:spacing w:beforeAutospacing="0" w:afterAutospacing="0"/>
        <w:ind w:firstLine="482"/>
        <w:jc w:val="center"/>
        <w:rPr>
          <w:b/>
          <w:bCs/>
        </w:rPr>
      </w:pPr>
      <w:r>
        <w:rPr>
          <w:rFonts w:hint="eastAsia"/>
          <w:b/>
          <w:bCs/>
        </w:rPr>
        <w:t>图</w:t>
      </w:r>
      <w:r>
        <w:rPr>
          <w:b/>
          <w:bCs/>
        </w:rPr>
        <w:t>4.1-1</w:t>
      </w:r>
      <w:r>
        <w:rPr>
          <w:rFonts w:hint="eastAsia"/>
          <w:b/>
          <w:bCs/>
        </w:rPr>
        <w:t xml:space="preserve">  施工期工艺流程及产污情况图</w:t>
      </w:r>
    </w:p>
    <w:p>
      <w:pPr>
        <w:ind w:firstLine="480"/>
      </w:pPr>
      <w:r>
        <w:t>项目施工采用</w:t>
      </w:r>
      <w:r>
        <w:rPr>
          <w:rFonts w:hint="eastAsia"/>
        </w:rPr>
        <w:t>机械</w:t>
      </w:r>
      <w:r>
        <w:t>与人工结合的施工方法，施工机械主要有挖掘机、装载机、振捣机、切割机、混凝土运送车、电锯、施工升降机、物料提升机、电焊机等。主要施工工艺有</w:t>
      </w:r>
      <w:r>
        <w:rPr>
          <w:rFonts w:hint="eastAsia"/>
        </w:rPr>
        <w:t>：</w:t>
      </w:r>
    </w:p>
    <w:p>
      <w:pPr>
        <w:ind w:firstLine="480"/>
      </w:pPr>
      <w:r>
        <w:t>场地平整及土方开挖过程中先用推土机剥离表层，存放于场地周边</w:t>
      </w:r>
      <w:r>
        <w:rPr>
          <w:rFonts w:hint="eastAsia"/>
        </w:rPr>
        <w:t>；</w:t>
      </w:r>
      <w:r>
        <w:t>再用挖掘机进行基坑开挖，并辅以人工开挖，土石方就近堆放于基坑两侧，待基础施工后用于回填并压实，以防雨水冲刷造成水土流失</w:t>
      </w:r>
      <w:r>
        <w:rPr>
          <w:rFonts w:hint="eastAsia"/>
        </w:rPr>
        <w:t>；</w:t>
      </w:r>
      <w:r>
        <w:t>本阶段污染物以施工扬尘、噪声为主，雨天时可能会有水土流失。</w:t>
      </w:r>
    </w:p>
    <w:p>
      <w:pPr>
        <w:ind w:firstLine="480"/>
      </w:pPr>
      <w:r>
        <w:t>厂区建设施工主要施工机械有砂轮切割机、塔吊、施工升降机、物料提升机、电焊机等，污染物以建筑垃圾、施工噪声、施工扬尘为主。</w:t>
      </w:r>
    </w:p>
    <w:p>
      <w:pPr>
        <w:ind w:firstLine="480"/>
      </w:pPr>
      <w:r>
        <w:t>辅助设施建设主要有厂区道路等施工建设，施工过程产生施工扬尘、焊接烟气、油漆废气等。</w:t>
      </w:r>
    </w:p>
    <w:p>
      <w:pPr>
        <w:ind w:firstLine="480"/>
      </w:pPr>
      <w:r>
        <w:t>项目用地范围内设施工营地，不占用临时用地，产生的主要污染物为施工人员生活产生的生活污水及生活垃圾。</w:t>
      </w:r>
    </w:p>
    <w:p>
      <w:pPr>
        <w:pStyle w:val="7"/>
        <w:ind w:firstLine="562"/>
      </w:pPr>
      <w:bookmarkStart w:id="69" w:name="_Toc22321"/>
      <w:r>
        <w:t>4.1.2 施工期污染源分析</w:t>
      </w:r>
      <w:bookmarkEnd w:id="69"/>
    </w:p>
    <w:p>
      <w:pPr>
        <w:ind w:firstLine="480"/>
      </w:pPr>
      <w:r>
        <w:t>本项目为新建项目，在其建设过程中产生的污染源如下</w:t>
      </w:r>
      <w:r>
        <w:rPr>
          <w:rFonts w:hint="eastAsia"/>
        </w:rPr>
        <w:t>：</w:t>
      </w:r>
    </w:p>
    <w:p>
      <w:pPr>
        <w:pStyle w:val="25"/>
        <w:widowControl/>
        <w:spacing w:beforeAutospacing="0" w:afterAutospacing="0"/>
        <w:ind w:firstLine="482"/>
        <w:jc w:val="both"/>
        <w:rPr>
          <w:b/>
          <w:bCs/>
        </w:rPr>
      </w:pPr>
      <w:r>
        <w:rPr>
          <w:b/>
          <w:bCs/>
        </w:rPr>
        <w:t>4.1.2.1 废水污染源分析</w:t>
      </w:r>
    </w:p>
    <w:p>
      <w:pPr>
        <w:ind w:firstLine="480"/>
      </w:pPr>
      <w:r>
        <w:t>项目场地设施工营地，施工人员约</w:t>
      </w:r>
      <w:r>
        <w:rPr>
          <w:rFonts w:hint="eastAsia"/>
        </w:rPr>
        <w:t>20</w:t>
      </w:r>
      <w:r>
        <w:t>人，则主要污染为建筑施工污水和施工人员生活污水。</w:t>
      </w:r>
    </w:p>
    <w:p>
      <w:pPr>
        <w:ind w:firstLine="480"/>
      </w:pPr>
      <w:r>
        <w:t>（1）生活污水</w:t>
      </w:r>
    </w:p>
    <w:p>
      <w:pPr>
        <w:ind w:firstLine="480"/>
      </w:pPr>
      <w:r>
        <w:rPr>
          <w:u w:val="single"/>
        </w:rPr>
        <w:t>施工高峰期施工人员按</w:t>
      </w:r>
      <w:r>
        <w:rPr>
          <w:rFonts w:hint="eastAsia"/>
          <w:u w:val="single"/>
        </w:rPr>
        <w:t>20</w:t>
      </w:r>
      <w:r>
        <w:rPr>
          <w:u w:val="single"/>
        </w:rPr>
        <w:t>人计，项目施工建设期为</w:t>
      </w:r>
      <w:r>
        <w:rPr>
          <w:rFonts w:hint="eastAsia"/>
          <w:u w:val="single"/>
        </w:rPr>
        <w:t>3个月</w:t>
      </w:r>
      <w:r>
        <w:rPr>
          <w:u w:val="single"/>
        </w:rPr>
        <w:t>，施工期</w:t>
      </w:r>
      <w:r>
        <w:rPr>
          <w:rFonts w:hint="eastAsia"/>
          <w:u w:val="single"/>
          <w:lang w:eastAsia="zh-CN"/>
        </w:rPr>
        <w:t>人员不在施工场地食宿，</w:t>
      </w:r>
      <w:r>
        <w:rPr>
          <w:u w:val="single"/>
        </w:rPr>
        <w:t>生活用水量按</w:t>
      </w:r>
      <w:r>
        <w:rPr>
          <w:rFonts w:hint="eastAsia"/>
          <w:u w:val="single"/>
        </w:rPr>
        <w:t>50</w:t>
      </w:r>
      <w:r>
        <w:rPr>
          <w:u w:val="single"/>
        </w:rPr>
        <w:t>L人·日计，污水产生量按日用水量的80%计，则生活污水产生量为</w:t>
      </w:r>
      <w:r>
        <w:rPr>
          <w:rFonts w:hint="eastAsia"/>
          <w:u w:val="single"/>
        </w:rPr>
        <w:t>0.8</w:t>
      </w:r>
      <w:r>
        <w:rPr>
          <w:u w:val="single"/>
        </w:rPr>
        <w:t>m³</w:t>
      </w:r>
      <w:r>
        <w:rPr>
          <w:rFonts w:hint="eastAsia"/>
          <w:u w:val="single"/>
          <w:lang w:val="en-US" w:eastAsia="zh-CN"/>
        </w:rPr>
        <w:t>/</w:t>
      </w:r>
      <w:r>
        <w:rPr>
          <w:u w:val="single"/>
        </w:rPr>
        <w:t>d。</w:t>
      </w:r>
      <w:r>
        <w:t>生活污水经化粪池预处理后，</w:t>
      </w:r>
      <w:r>
        <w:rPr>
          <w:rFonts w:hint="eastAsia"/>
        </w:rPr>
        <w:t>定期清掏肥田</w:t>
      </w:r>
      <w:r>
        <w:t>。根据类比调查，施工生活污水污染物成分及浓度见表4.1-</w:t>
      </w:r>
      <w:r>
        <w:rPr>
          <w:rFonts w:hint="eastAsia"/>
        </w:rPr>
        <w:t>1</w:t>
      </w:r>
      <w:r>
        <w:t>。</w:t>
      </w:r>
    </w:p>
    <w:p>
      <w:pPr>
        <w:pStyle w:val="25"/>
        <w:widowControl/>
        <w:spacing w:beforeAutospacing="0" w:afterAutospacing="0"/>
        <w:ind w:firstLine="482"/>
        <w:jc w:val="center"/>
        <w:rPr>
          <w:b/>
          <w:bCs/>
        </w:rPr>
      </w:pPr>
      <w:r>
        <w:rPr>
          <w:b/>
          <w:bCs/>
        </w:rPr>
        <w:t>表4.1-</w:t>
      </w:r>
      <w:r>
        <w:rPr>
          <w:rFonts w:hint="eastAsia"/>
          <w:b/>
          <w:bCs/>
        </w:rPr>
        <w:t>1</w:t>
      </w:r>
      <w:r>
        <w:rPr>
          <w:b/>
          <w:bCs/>
        </w:rPr>
        <w:t xml:space="preserve"> </w:t>
      </w:r>
      <w:r>
        <w:rPr>
          <w:rFonts w:hint="eastAsia"/>
          <w:b/>
          <w:bCs/>
        </w:rPr>
        <w:t xml:space="preserve"> </w:t>
      </w:r>
      <w:r>
        <w:rPr>
          <w:b/>
          <w:bCs/>
        </w:rPr>
        <w:t>施工期生活污水污染物成分及浓度</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0"/>
        <w:gridCol w:w="1861"/>
        <w:gridCol w:w="1863"/>
        <w:gridCol w:w="1857"/>
        <w:gridCol w:w="18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95" w:type="pct"/>
            <w:vAlign w:val="center"/>
          </w:tcPr>
          <w:p>
            <w:pPr>
              <w:pStyle w:val="38"/>
              <w:rPr>
                <w:rFonts w:hint="default"/>
              </w:rPr>
            </w:pPr>
            <w:r>
              <w:t>污染物</w:t>
            </w:r>
          </w:p>
        </w:tc>
        <w:tc>
          <w:tcPr>
            <w:tcW w:w="1001" w:type="pct"/>
            <w:vAlign w:val="center"/>
          </w:tcPr>
          <w:p>
            <w:pPr>
              <w:pStyle w:val="38"/>
              <w:rPr>
                <w:rFonts w:hint="default"/>
              </w:rPr>
            </w:pPr>
            <w:r>
              <w:t>COD</w:t>
            </w:r>
          </w:p>
        </w:tc>
        <w:tc>
          <w:tcPr>
            <w:tcW w:w="1002" w:type="pct"/>
            <w:vAlign w:val="center"/>
          </w:tcPr>
          <w:p>
            <w:pPr>
              <w:pStyle w:val="38"/>
              <w:rPr>
                <w:rFonts w:hint="default"/>
              </w:rPr>
            </w:pPr>
            <w:r>
              <w:t>BOD</w:t>
            </w:r>
            <w:r>
              <w:rPr>
                <w:vertAlign w:val="subscript"/>
              </w:rPr>
              <w:t>5</w:t>
            </w:r>
          </w:p>
        </w:tc>
        <w:tc>
          <w:tcPr>
            <w:tcW w:w="999" w:type="pct"/>
            <w:vAlign w:val="center"/>
          </w:tcPr>
          <w:p>
            <w:pPr>
              <w:pStyle w:val="38"/>
              <w:rPr>
                <w:rFonts w:hint="default"/>
              </w:rPr>
            </w:pPr>
            <w:r>
              <w:t>氨氮</w:t>
            </w:r>
          </w:p>
        </w:tc>
        <w:tc>
          <w:tcPr>
            <w:tcW w:w="999" w:type="pct"/>
            <w:vAlign w:val="center"/>
          </w:tcPr>
          <w:p>
            <w:pPr>
              <w:pStyle w:val="38"/>
              <w:rPr>
                <w:rFonts w:hint="default"/>
              </w:rPr>
            </w:pPr>
            <w:r>
              <w:t>SS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95" w:type="pct"/>
            <w:vAlign w:val="center"/>
          </w:tcPr>
          <w:p>
            <w:pPr>
              <w:pStyle w:val="38"/>
              <w:rPr>
                <w:rFonts w:hint="default"/>
              </w:rPr>
            </w:pPr>
            <w:r>
              <w:t>浓度</w:t>
            </w:r>
          </w:p>
        </w:tc>
        <w:tc>
          <w:tcPr>
            <w:tcW w:w="1001" w:type="pct"/>
            <w:vAlign w:val="center"/>
          </w:tcPr>
          <w:p>
            <w:pPr>
              <w:pStyle w:val="38"/>
              <w:rPr>
                <w:rFonts w:hint="default"/>
              </w:rPr>
            </w:pPr>
            <w:r>
              <w:t>250</w:t>
            </w:r>
          </w:p>
        </w:tc>
        <w:tc>
          <w:tcPr>
            <w:tcW w:w="1002" w:type="pct"/>
            <w:vAlign w:val="center"/>
          </w:tcPr>
          <w:p>
            <w:pPr>
              <w:pStyle w:val="38"/>
              <w:rPr>
                <w:rFonts w:hint="default"/>
              </w:rPr>
            </w:pPr>
            <w:r>
              <w:t>150</w:t>
            </w:r>
          </w:p>
        </w:tc>
        <w:tc>
          <w:tcPr>
            <w:tcW w:w="999" w:type="pct"/>
            <w:vAlign w:val="center"/>
          </w:tcPr>
          <w:p>
            <w:pPr>
              <w:pStyle w:val="38"/>
              <w:rPr>
                <w:rFonts w:hint="default"/>
              </w:rPr>
            </w:pPr>
            <w:r>
              <w:t>30</w:t>
            </w:r>
          </w:p>
        </w:tc>
        <w:tc>
          <w:tcPr>
            <w:tcW w:w="999" w:type="pct"/>
            <w:vAlign w:val="center"/>
          </w:tcPr>
          <w:p>
            <w:pPr>
              <w:pStyle w:val="38"/>
              <w:rPr>
                <w:rFonts w:hint="default"/>
              </w:rPr>
            </w:pPr>
            <w:r>
              <w:t>250</w:t>
            </w:r>
          </w:p>
        </w:tc>
      </w:tr>
    </w:tbl>
    <w:p>
      <w:pPr>
        <w:ind w:firstLine="480"/>
      </w:pPr>
      <w:r>
        <w:t>（2）施工污水</w:t>
      </w:r>
    </w:p>
    <w:p>
      <w:pPr>
        <w:ind w:firstLine="480"/>
      </w:pPr>
      <w:r>
        <w:t>施工污水包括施工机械洗涤废水、施工现场清洗废水、混凝土浇筑、养护、冲洗废水等，这部分污水主要污染物为SS、石油类，悬浮物浓度较大，但不含其它可溶性的有害物质。</w:t>
      </w:r>
      <w:r>
        <w:rPr>
          <w:rFonts w:hint="eastAsia"/>
        </w:rPr>
        <w:t>经沉淀处理后用于厂区洒水抑尘。</w:t>
      </w:r>
    </w:p>
    <w:p>
      <w:pPr>
        <w:ind w:firstLine="482"/>
        <w:rPr>
          <w:b/>
          <w:bCs/>
        </w:rPr>
      </w:pPr>
      <w:r>
        <w:rPr>
          <w:b/>
          <w:bCs/>
        </w:rPr>
        <w:t>4.1.2.2 废气污染源</w:t>
      </w:r>
    </w:p>
    <w:p>
      <w:pPr>
        <w:ind w:firstLine="480"/>
      </w:pPr>
      <w:r>
        <w:t>施工过程中产生的大气污染物主要是各类施工作业及砂石料、水泥、石灰的装卸和投料过程以及运输过程中产生的扬尘、装修产生的废气、焊接废气、施工机械及建筑材料运输时产生的汽车尾气等。</w:t>
      </w:r>
    </w:p>
    <w:p>
      <w:pPr>
        <w:ind w:firstLine="480"/>
      </w:pPr>
      <w:r>
        <w:t>（1）扬尘</w:t>
      </w:r>
    </w:p>
    <w:p>
      <w:pPr>
        <w:ind w:firstLine="480"/>
      </w:pPr>
      <w:r>
        <w:t>项目施工期采用商品混凝土，</w:t>
      </w:r>
      <w:r>
        <w:rPr>
          <w:rFonts w:hint="eastAsia"/>
        </w:rPr>
        <w:t>厂区内</w:t>
      </w:r>
      <w:r>
        <w:t>不设混凝土</w:t>
      </w:r>
      <w:r>
        <w:rPr>
          <w:rFonts w:hint="eastAsia"/>
        </w:rPr>
        <w:t>拌和站</w:t>
      </w:r>
      <w:r>
        <w:t>，因此施工期产生的扬尘主要</w:t>
      </w:r>
      <w:r>
        <w:rPr>
          <w:rFonts w:hint="eastAsia"/>
        </w:rPr>
        <w:t>来自</w:t>
      </w:r>
      <w:r>
        <w:t>土方开挖、建筑材料堆放及装卸过程、运输过程等，主要特征污染物为TSP。施工扬尘排放数量与施工面积、施工水平、施工强度和土壤类型、气候条件等有关。影响施工粉尘发生量的因素较多，较难进行定量，呈无组织形式排放。</w:t>
      </w:r>
    </w:p>
    <w:p>
      <w:pPr>
        <w:ind w:firstLine="480"/>
      </w:pPr>
      <w:r>
        <w:t>（2）装修废气</w:t>
      </w:r>
    </w:p>
    <w:p>
      <w:pPr>
        <w:ind w:firstLine="480"/>
      </w:pPr>
      <w:r>
        <w:t>室内建筑装修、设备防腐等施工过程会使用少量的油漆，施工过程会产生少量的有机废气，呈无组织排放。</w:t>
      </w:r>
    </w:p>
    <w:p>
      <w:pPr>
        <w:ind w:firstLine="480"/>
      </w:pPr>
      <w:r>
        <w:t>（3）焊接废气</w:t>
      </w:r>
    </w:p>
    <w:p>
      <w:pPr>
        <w:ind w:firstLine="480"/>
      </w:pPr>
      <w:r>
        <w:t>建筑施工过程中部分建筑构件需要用电焊机等设备进行构件焊接组装，使用常见电焊机等设备，焊接过程中产生少量的焊接烟尘。</w:t>
      </w:r>
    </w:p>
    <w:p>
      <w:pPr>
        <w:ind w:firstLine="480"/>
      </w:pPr>
      <w:r>
        <w:t>（4）机械及汽车尾气</w:t>
      </w:r>
    </w:p>
    <w:p>
      <w:pPr>
        <w:ind w:firstLine="480"/>
      </w:pPr>
      <w:r>
        <w:t>项目建设施工中施工机械运行产生的废气、运输车辆运输产生的尾气均由柴油和汽油燃烧后所产生，为影响大气环境的主要污染物之一，其主要污染</w:t>
      </w:r>
      <w:r>
        <w:rPr>
          <w:rFonts w:hint="eastAsia"/>
        </w:rPr>
        <w:t>成分</w:t>
      </w:r>
      <w:r>
        <w:t>是THC、CO和NOx，属无组织排放源。</w:t>
      </w:r>
    </w:p>
    <w:p>
      <w:pPr>
        <w:ind w:firstLine="482"/>
        <w:rPr>
          <w:b/>
          <w:bCs/>
        </w:rPr>
      </w:pPr>
      <w:r>
        <w:rPr>
          <w:b/>
          <w:bCs/>
        </w:rPr>
        <w:t>4.1.2.3 噪声污染源分析</w:t>
      </w:r>
    </w:p>
    <w:p>
      <w:pPr>
        <w:ind w:firstLine="480"/>
      </w:pPr>
      <w:r>
        <w:t>施工期噪声主要源自各种施工机械设备运行产生的噪声和运输车辆行驶时产生的噪声，主要施工机械及其噪声源强见表4.1-</w:t>
      </w:r>
      <w:r>
        <w:rPr>
          <w:rFonts w:hint="eastAsia"/>
        </w:rPr>
        <w:t>2</w:t>
      </w:r>
      <w:r>
        <w:t>。</w:t>
      </w:r>
    </w:p>
    <w:p>
      <w:pPr>
        <w:pStyle w:val="25"/>
        <w:keepNext w:val="0"/>
        <w:keepLines w:val="0"/>
        <w:pageBreakBefore w:val="0"/>
        <w:widowControl/>
        <w:kinsoku/>
        <w:wordWrap/>
        <w:overflowPunct/>
        <w:topLinePunct w:val="0"/>
        <w:autoSpaceDE/>
        <w:autoSpaceDN/>
        <w:bidi w:val="0"/>
        <w:adjustRightInd/>
        <w:snapToGrid/>
        <w:spacing w:beforeAutospacing="0" w:afterAutospacing="0"/>
        <w:ind w:firstLine="0" w:firstLineChars="0"/>
        <w:jc w:val="center"/>
        <w:textAlignment w:val="auto"/>
        <w:rPr>
          <w:b/>
          <w:bCs/>
        </w:rPr>
      </w:pPr>
      <w:r>
        <w:rPr>
          <w:b/>
          <w:bCs/>
        </w:rPr>
        <w:t>表4.1-</w:t>
      </w:r>
      <w:r>
        <w:rPr>
          <w:rFonts w:hint="eastAsia"/>
          <w:b/>
          <w:bCs/>
        </w:rPr>
        <w:t>2</w:t>
      </w:r>
      <w:r>
        <w:rPr>
          <w:b/>
          <w:bCs/>
        </w:rPr>
        <w:t xml:space="preserve"> </w:t>
      </w:r>
      <w:r>
        <w:rPr>
          <w:rFonts w:hint="eastAsia"/>
          <w:b/>
          <w:bCs/>
        </w:rPr>
        <w:t xml:space="preserve"> </w:t>
      </w:r>
      <w:r>
        <w:rPr>
          <w:b/>
          <w:bCs/>
        </w:rPr>
        <w:t>本项目主要施工机械及其噪声源强</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3"/>
        <w:gridCol w:w="2317"/>
        <w:gridCol w:w="2319"/>
        <w:gridCol w:w="23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Align w:val="center"/>
          </w:tcPr>
          <w:p>
            <w:pPr>
              <w:pStyle w:val="38"/>
              <w:rPr>
                <w:rFonts w:hint="default"/>
                <w:sz w:val="21"/>
                <w:szCs w:val="21"/>
              </w:rPr>
            </w:pPr>
            <w:r>
              <w:rPr>
                <w:sz w:val="21"/>
                <w:szCs w:val="21"/>
              </w:rPr>
              <w:t>施工阶段</w:t>
            </w:r>
          </w:p>
        </w:tc>
        <w:tc>
          <w:tcPr>
            <w:tcW w:w="1247" w:type="pct"/>
            <w:vAlign w:val="center"/>
          </w:tcPr>
          <w:p>
            <w:pPr>
              <w:pStyle w:val="38"/>
              <w:rPr>
                <w:rFonts w:hint="default"/>
                <w:sz w:val="21"/>
                <w:szCs w:val="21"/>
              </w:rPr>
            </w:pPr>
            <w:r>
              <w:rPr>
                <w:sz w:val="21"/>
                <w:szCs w:val="21"/>
              </w:rPr>
              <w:t>生源</w:t>
            </w:r>
          </w:p>
        </w:tc>
        <w:tc>
          <w:tcPr>
            <w:tcW w:w="1248" w:type="pct"/>
            <w:vAlign w:val="center"/>
          </w:tcPr>
          <w:p>
            <w:pPr>
              <w:pStyle w:val="38"/>
              <w:rPr>
                <w:rFonts w:hint="default"/>
                <w:sz w:val="21"/>
                <w:szCs w:val="21"/>
              </w:rPr>
            </w:pPr>
            <w:r>
              <w:rPr>
                <w:sz w:val="21"/>
                <w:szCs w:val="21"/>
              </w:rPr>
              <w:t>测点距施工机械距离</w:t>
            </w:r>
          </w:p>
        </w:tc>
        <w:tc>
          <w:tcPr>
            <w:tcW w:w="1253" w:type="pct"/>
            <w:vAlign w:val="center"/>
          </w:tcPr>
          <w:p>
            <w:pPr>
              <w:pStyle w:val="38"/>
              <w:rPr>
                <w:rFonts w:hint="default"/>
                <w:sz w:val="21"/>
                <w:szCs w:val="21"/>
              </w:rPr>
            </w:pPr>
            <w:r>
              <w:rPr>
                <w:sz w:val="21"/>
                <w:szCs w:val="21"/>
              </w:rPr>
              <w:t>最大声级dB（A）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restart"/>
            <w:vAlign w:val="center"/>
          </w:tcPr>
          <w:p>
            <w:pPr>
              <w:pStyle w:val="38"/>
              <w:rPr>
                <w:rFonts w:hint="default"/>
                <w:sz w:val="21"/>
                <w:szCs w:val="21"/>
              </w:rPr>
            </w:pPr>
            <w:r>
              <w:rPr>
                <w:sz w:val="21"/>
                <w:szCs w:val="21"/>
              </w:rPr>
              <w:t>土石方阶段</w:t>
            </w:r>
          </w:p>
        </w:tc>
        <w:tc>
          <w:tcPr>
            <w:tcW w:w="1247" w:type="pct"/>
            <w:vAlign w:val="center"/>
          </w:tcPr>
          <w:p>
            <w:pPr>
              <w:pStyle w:val="38"/>
              <w:rPr>
                <w:rFonts w:hint="default"/>
                <w:sz w:val="21"/>
                <w:szCs w:val="21"/>
              </w:rPr>
            </w:pPr>
            <w:r>
              <w:rPr>
                <w:sz w:val="21"/>
                <w:szCs w:val="21"/>
              </w:rPr>
              <w:t>挖掘机</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破碎机</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空压机</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渣土车</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restart"/>
            <w:vAlign w:val="center"/>
          </w:tcPr>
          <w:p>
            <w:pPr>
              <w:pStyle w:val="38"/>
              <w:rPr>
                <w:rFonts w:hint="default"/>
                <w:sz w:val="21"/>
                <w:szCs w:val="21"/>
              </w:rPr>
            </w:pPr>
            <w:r>
              <w:rPr>
                <w:sz w:val="21"/>
                <w:szCs w:val="21"/>
              </w:rPr>
              <w:t>结构阶段</w:t>
            </w:r>
          </w:p>
        </w:tc>
        <w:tc>
          <w:tcPr>
            <w:tcW w:w="1247" w:type="pct"/>
            <w:vAlign w:val="center"/>
          </w:tcPr>
          <w:p>
            <w:pPr>
              <w:pStyle w:val="38"/>
              <w:rPr>
                <w:rFonts w:hint="default"/>
                <w:sz w:val="21"/>
                <w:szCs w:val="21"/>
              </w:rPr>
            </w:pPr>
            <w:r>
              <w:rPr>
                <w:sz w:val="21"/>
                <w:szCs w:val="21"/>
              </w:rPr>
              <w:t>混凝土输送泵</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振捣机</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电锯</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升降机</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混凝土运输车</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restart"/>
            <w:vAlign w:val="center"/>
          </w:tcPr>
          <w:p>
            <w:pPr>
              <w:pStyle w:val="38"/>
              <w:rPr>
                <w:rFonts w:hint="default"/>
                <w:sz w:val="21"/>
                <w:szCs w:val="21"/>
              </w:rPr>
            </w:pPr>
            <w:r>
              <w:rPr>
                <w:sz w:val="21"/>
                <w:szCs w:val="21"/>
              </w:rPr>
              <w:t>装修、安装阶段</w:t>
            </w:r>
          </w:p>
        </w:tc>
        <w:tc>
          <w:tcPr>
            <w:tcW w:w="1247" w:type="pct"/>
            <w:vAlign w:val="center"/>
          </w:tcPr>
          <w:p>
            <w:pPr>
              <w:pStyle w:val="38"/>
              <w:rPr>
                <w:rFonts w:hint="default"/>
                <w:sz w:val="21"/>
                <w:szCs w:val="21"/>
              </w:rPr>
            </w:pPr>
            <w:r>
              <w:rPr>
                <w:sz w:val="21"/>
                <w:szCs w:val="21"/>
              </w:rPr>
              <w:t>电钻</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电锤</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电焊</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吊管机</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多功能木工刨</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50" w:type="pct"/>
            <w:vMerge w:val="continue"/>
            <w:vAlign w:val="center"/>
          </w:tcPr>
          <w:p>
            <w:pPr>
              <w:pStyle w:val="38"/>
              <w:rPr>
                <w:rFonts w:hint="default"/>
                <w:sz w:val="21"/>
                <w:szCs w:val="21"/>
              </w:rPr>
            </w:pPr>
          </w:p>
        </w:tc>
        <w:tc>
          <w:tcPr>
            <w:tcW w:w="1247" w:type="pct"/>
            <w:vAlign w:val="center"/>
          </w:tcPr>
          <w:p>
            <w:pPr>
              <w:pStyle w:val="38"/>
              <w:rPr>
                <w:rFonts w:hint="default"/>
                <w:sz w:val="21"/>
                <w:szCs w:val="21"/>
              </w:rPr>
            </w:pPr>
            <w:r>
              <w:rPr>
                <w:sz w:val="21"/>
                <w:szCs w:val="21"/>
              </w:rPr>
              <w:t>角向磨光机</w:t>
            </w:r>
          </w:p>
        </w:tc>
        <w:tc>
          <w:tcPr>
            <w:tcW w:w="1248" w:type="pct"/>
            <w:vAlign w:val="center"/>
          </w:tcPr>
          <w:p>
            <w:pPr>
              <w:pStyle w:val="38"/>
              <w:rPr>
                <w:rFonts w:hint="default"/>
                <w:sz w:val="21"/>
                <w:szCs w:val="21"/>
              </w:rPr>
            </w:pPr>
            <w:r>
              <w:rPr>
                <w:sz w:val="21"/>
                <w:szCs w:val="21"/>
              </w:rPr>
              <w:t>5m</w:t>
            </w:r>
          </w:p>
        </w:tc>
        <w:tc>
          <w:tcPr>
            <w:tcW w:w="1253" w:type="pct"/>
            <w:vAlign w:val="center"/>
          </w:tcPr>
          <w:p>
            <w:pPr>
              <w:pStyle w:val="38"/>
              <w:rPr>
                <w:rFonts w:hint="default"/>
                <w:sz w:val="21"/>
                <w:szCs w:val="21"/>
              </w:rPr>
            </w:pPr>
            <w:r>
              <w:rPr>
                <w:sz w:val="21"/>
                <w:szCs w:val="21"/>
              </w:rPr>
              <w:t>90</w:t>
            </w:r>
          </w:p>
        </w:tc>
      </w:tr>
    </w:tbl>
    <w:p>
      <w:pPr>
        <w:pStyle w:val="25"/>
        <w:widowControl/>
        <w:spacing w:beforeAutospacing="0" w:afterAutospacing="0"/>
        <w:ind w:firstLine="482"/>
        <w:jc w:val="both"/>
        <w:rPr>
          <w:b/>
          <w:bCs/>
        </w:rPr>
      </w:pPr>
      <w:r>
        <w:rPr>
          <w:b/>
          <w:bCs/>
        </w:rPr>
        <w:t>4.1.2.4 固体废物污染源分析</w:t>
      </w:r>
    </w:p>
    <w:p>
      <w:pPr>
        <w:ind w:firstLine="480"/>
      </w:pPr>
      <w:r>
        <w:t>施工过程中产生的固体废物主要为开挖弃方、建筑垃圾和施工人员生活垃圾。</w:t>
      </w:r>
    </w:p>
    <w:p>
      <w:pPr>
        <w:ind w:firstLine="480"/>
        <w:rPr>
          <w:u w:val="single"/>
        </w:rPr>
      </w:pPr>
      <w:r>
        <w:rPr>
          <w:u w:val="single"/>
        </w:rPr>
        <w:t>（1）弃方</w:t>
      </w:r>
    </w:p>
    <w:p>
      <w:pPr>
        <w:ind w:firstLine="480"/>
        <w:rPr>
          <w:u w:val="single"/>
        </w:rPr>
      </w:pPr>
      <w:r>
        <w:rPr>
          <w:rFonts w:hint="eastAsia"/>
          <w:u w:val="single"/>
          <w:lang w:eastAsia="zh-CN"/>
        </w:rPr>
        <w:t>根据企业委托河南惠迪产业规划研究院有限公司编制的《新旭环保型体育设施新区建设项目可行性研究报告》中核算，</w:t>
      </w:r>
      <w:r>
        <w:rPr>
          <w:u w:val="single"/>
        </w:rPr>
        <w:t>项目</w:t>
      </w:r>
      <w:r>
        <w:rPr>
          <w:rFonts w:hint="eastAsia"/>
          <w:u w:val="single"/>
          <w:lang w:eastAsia="zh-CN"/>
        </w:rPr>
        <w:t>总</w:t>
      </w:r>
      <w:r>
        <w:rPr>
          <w:u w:val="single"/>
        </w:rPr>
        <w:t>挖方量</w:t>
      </w:r>
      <w:r>
        <w:rPr>
          <w:rFonts w:hint="eastAsia"/>
          <w:u w:val="single"/>
          <w:lang w:eastAsia="zh-CN"/>
        </w:rPr>
        <w:t>约</w:t>
      </w:r>
      <w:r>
        <w:rPr>
          <w:rFonts w:hint="eastAsia"/>
          <w:u w:val="single"/>
        </w:rPr>
        <w:t>40</w:t>
      </w:r>
      <w:r>
        <w:rPr>
          <w:u w:val="single"/>
        </w:rPr>
        <w:t>000m</w:t>
      </w:r>
      <w:r>
        <w:rPr>
          <w:rFonts w:hint="eastAsia"/>
          <w:u w:val="single"/>
          <w:vertAlign w:val="superscript"/>
        </w:rPr>
        <w:t>3</w:t>
      </w:r>
      <w:r>
        <w:rPr>
          <w:u w:val="single"/>
        </w:rPr>
        <w:t>，填方量</w:t>
      </w:r>
      <w:r>
        <w:rPr>
          <w:rFonts w:hint="eastAsia"/>
          <w:u w:val="single"/>
        </w:rPr>
        <w:t>240</w:t>
      </w:r>
      <w:r>
        <w:rPr>
          <w:u w:val="single"/>
        </w:rPr>
        <w:t>00m</w:t>
      </w:r>
      <w:r>
        <w:rPr>
          <w:rFonts w:hint="eastAsia"/>
          <w:u w:val="single"/>
          <w:vertAlign w:val="superscript"/>
        </w:rPr>
        <w:t>3</w:t>
      </w:r>
      <w:r>
        <w:rPr>
          <w:u w:val="single"/>
        </w:rPr>
        <w:t>，弃方量为</w:t>
      </w:r>
      <w:r>
        <w:rPr>
          <w:rFonts w:hint="eastAsia"/>
          <w:u w:val="single"/>
        </w:rPr>
        <w:t>16000</w:t>
      </w:r>
      <w:r>
        <w:rPr>
          <w:u w:val="single"/>
        </w:rPr>
        <w:t>m</w:t>
      </w:r>
      <w:r>
        <w:rPr>
          <w:rFonts w:hint="eastAsia"/>
          <w:u w:val="single"/>
          <w:vertAlign w:val="superscript"/>
        </w:rPr>
        <w:t>3</w:t>
      </w:r>
      <w:r>
        <w:rPr>
          <w:u w:val="single"/>
        </w:rPr>
        <w:t>，产生的弃方交由</w:t>
      </w:r>
      <w:r>
        <w:rPr>
          <w:rFonts w:hint="eastAsia"/>
          <w:u w:val="single"/>
        </w:rPr>
        <w:t>叶县</w:t>
      </w:r>
      <w:r>
        <w:rPr>
          <w:u w:val="single"/>
        </w:rPr>
        <w:t>渣土办统一运输、处理。</w:t>
      </w:r>
    </w:p>
    <w:p>
      <w:pPr>
        <w:ind w:firstLine="480"/>
        <w:rPr>
          <w:u w:val="single"/>
        </w:rPr>
      </w:pPr>
      <w:r>
        <w:rPr>
          <w:u w:val="single"/>
        </w:rPr>
        <w:t>（2）建筑垃圾</w:t>
      </w:r>
    </w:p>
    <w:p>
      <w:pPr>
        <w:ind w:firstLine="480"/>
        <w:rPr>
          <w:u w:val="single"/>
        </w:rPr>
      </w:pPr>
      <w:r>
        <w:rPr>
          <w:u w:val="single"/>
        </w:rPr>
        <w:t>建筑垃圾包括一部分建筑模块、建筑材料下脚料、断残钢筋头、破钢管、包装袋等，</w:t>
      </w:r>
      <w:r>
        <w:rPr>
          <w:rFonts w:hint="eastAsia"/>
          <w:u w:val="single"/>
          <w:lang w:eastAsia="zh-CN"/>
        </w:rPr>
        <w:t>建筑垃圾产生参考《污染控制与资源化研究国家重点实验室建筑垃圾的产生与循环利用管理》参数，</w:t>
      </w:r>
      <w:r>
        <w:rPr>
          <w:u w:val="single"/>
        </w:rPr>
        <w:t>建筑工程施工过程产生的建筑垃圾按0.05t</w:t>
      </w:r>
      <w:r>
        <w:rPr>
          <w:rFonts w:hint="eastAsia"/>
          <w:u w:val="single"/>
        </w:rPr>
        <w:t>/</w:t>
      </w:r>
      <w:r>
        <w:rPr>
          <w:u w:val="single"/>
        </w:rPr>
        <w:t>m</w:t>
      </w:r>
      <w:r>
        <w:rPr>
          <w:rFonts w:hint="eastAsia"/>
          <w:u w:val="single"/>
          <w:vertAlign w:val="superscript"/>
        </w:rPr>
        <w:t>2</w:t>
      </w:r>
      <w:r>
        <w:rPr>
          <w:u w:val="single"/>
        </w:rPr>
        <w:t>计，项目</w:t>
      </w:r>
      <w:r>
        <w:rPr>
          <w:rFonts w:hint="eastAsia"/>
          <w:u w:val="single"/>
        </w:rPr>
        <w:t>新建厂房</w:t>
      </w:r>
      <w:r>
        <w:rPr>
          <w:u w:val="single"/>
        </w:rPr>
        <w:t>建筑面积为26540.55m</w:t>
      </w:r>
      <w:r>
        <w:rPr>
          <w:rFonts w:hint="eastAsia"/>
          <w:u w:val="single"/>
          <w:vertAlign w:val="superscript"/>
        </w:rPr>
        <w:t>2</w:t>
      </w:r>
      <w:r>
        <w:rPr>
          <w:u w:val="single"/>
        </w:rPr>
        <w:t>，则将产生建筑垃圾约</w:t>
      </w:r>
      <w:r>
        <w:rPr>
          <w:rFonts w:hint="eastAsia"/>
          <w:u w:val="single"/>
        </w:rPr>
        <w:t>1327.0257</w:t>
      </w:r>
      <w:r>
        <w:rPr>
          <w:u w:val="single"/>
        </w:rPr>
        <w:t>t，可再生利用部分回收利用，余下部分按城市建设主管部门的规定，运到指定地点妥善处置。</w:t>
      </w:r>
    </w:p>
    <w:p>
      <w:pPr>
        <w:ind w:firstLine="480"/>
      </w:pPr>
      <w:r>
        <w:t>（3）生活垃圾</w:t>
      </w:r>
    </w:p>
    <w:p>
      <w:pPr>
        <w:ind w:firstLine="480"/>
      </w:pPr>
      <w:r>
        <w:t>现场施工人员约</w:t>
      </w:r>
      <w:r>
        <w:rPr>
          <w:rFonts w:hint="eastAsia"/>
        </w:rPr>
        <w:t>20</w:t>
      </w:r>
      <w:r>
        <w:t>，按每人产生垃圾量0.5kg/d计算，施工人员产生的生活垃圾约为</w:t>
      </w:r>
      <w:r>
        <w:rPr>
          <w:rFonts w:hint="eastAsia"/>
        </w:rPr>
        <w:t>10</w:t>
      </w:r>
      <w:r>
        <w:t>kg/d，生活垃圾统一收集后，委托环卫部门统一清运处置。</w:t>
      </w:r>
    </w:p>
    <w:p>
      <w:pPr>
        <w:ind w:firstLine="482"/>
        <w:rPr>
          <w:b/>
          <w:bCs/>
        </w:rPr>
      </w:pPr>
      <w:r>
        <w:rPr>
          <w:b/>
          <w:bCs/>
        </w:rPr>
        <w:t>4.1.2.5 生态环境</w:t>
      </w:r>
    </w:p>
    <w:p>
      <w:pPr>
        <w:ind w:firstLine="480"/>
      </w:pPr>
      <w:r>
        <w:t>施工期主要生态影响为占地影响、植被损失、动物惊扰和水土流失。</w:t>
      </w:r>
    </w:p>
    <w:p>
      <w:pPr>
        <w:ind w:firstLine="480"/>
      </w:pPr>
      <w:r>
        <w:t>（1）占地</w:t>
      </w:r>
      <w:r>
        <w:rPr>
          <w:rFonts w:hint="eastAsia"/>
        </w:rPr>
        <w:t>：</w:t>
      </w:r>
      <w:r>
        <w:t>项目占地导致土壤养分损失及生物量损失。</w:t>
      </w:r>
    </w:p>
    <w:p>
      <w:pPr>
        <w:ind w:firstLine="480"/>
      </w:pPr>
      <w:r>
        <w:t>（2）植物</w:t>
      </w:r>
      <w:r>
        <w:rPr>
          <w:rFonts w:hint="eastAsia"/>
        </w:rPr>
        <w:t>：</w:t>
      </w:r>
      <w:r>
        <w:t>施工期间对原有地表植被的扰动，造成一定的破坏，破坏的植被主要为香樟，竹子等，无珍稀保护植物。施工期产生的各项污染物影响周边植物生长</w:t>
      </w:r>
      <w:r>
        <w:rPr>
          <w:rFonts w:hint="eastAsia"/>
        </w:rPr>
        <w:t>；</w:t>
      </w:r>
      <w:r>
        <w:t>同时施工人员人为活动对周边植被造成破坏。</w:t>
      </w:r>
    </w:p>
    <w:p>
      <w:pPr>
        <w:ind w:firstLine="480"/>
      </w:pPr>
      <w:r>
        <w:t>（3）动物</w:t>
      </w:r>
      <w:r>
        <w:rPr>
          <w:rFonts w:hint="eastAsia"/>
        </w:rPr>
        <w:t>：</w:t>
      </w:r>
      <w:r>
        <w:t>受施工噪声的影响，惊扰了动物的生境。</w:t>
      </w:r>
    </w:p>
    <w:p>
      <w:pPr>
        <w:ind w:firstLine="480"/>
      </w:pPr>
      <w:r>
        <w:t>（4）景观</w:t>
      </w:r>
      <w:r>
        <w:rPr>
          <w:rFonts w:hint="eastAsia"/>
        </w:rPr>
        <w:t>：</w:t>
      </w:r>
      <w:r>
        <w:t>施工过程土石堆置、施工机械、护栏围布等，对景观有一定的影响。</w:t>
      </w:r>
    </w:p>
    <w:p>
      <w:pPr>
        <w:ind w:firstLine="480"/>
      </w:pPr>
      <w:r>
        <w:t>（5）水土流失</w:t>
      </w:r>
      <w:r>
        <w:rPr>
          <w:rFonts w:hint="eastAsia"/>
        </w:rPr>
        <w:t>：</w:t>
      </w:r>
      <w:r>
        <w:t>项目土地平整过程将清理地表植被，使表土裸露，土壤抗蚀能力降低。裸露的土壤极易被降雨径流冲刷而产生水土流失，特别是暴雨时冲刷更为严重。</w:t>
      </w:r>
    </w:p>
    <w:p>
      <w:pPr>
        <w:pStyle w:val="6"/>
        <w:ind w:firstLine="0" w:firstLineChars="0"/>
        <w:rPr>
          <w:lang w:val="en-US"/>
        </w:rPr>
      </w:pPr>
      <w:bookmarkStart w:id="70" w:name="_Toc948"/>
      <w:bookmarkStart w:id="71" w:name="_Toc15843"/>
      <w:bookmarkStart w:id="72" w:name="_Toc21179"/>
      <w:bookmarkStart w:id="73" w:name="_Toc8576"/>
      <w:r>
        <w:rPr>
          <w:rFonts w:hint="eastAsia"/>
          <w:lang w:val="en-US"/>
        </w:rPr>
        <w:t>4.2 项目运营期产污环节</w:t>
      </w:r>
      <w:bookmarkEnd w:id="70"/>
      <w:bookmarkEnd w:id="71"/>
      <w:bookmarkEnd w:id="72"/>
      <w:bookmarkEnd w:id="73"/>
    </w:p>
    <w:p>
      <w:pPr>
        <w:pStyle w:val="25"/>
        <w:widowControl/>
        <w:spacing w:beforeAutospacing="0" w:afterAutospacing="0"/>
        <w:ind w:firstLine="480"/>
        <w:jc w:val="both"/>
      </w:pPr>
      <w:r>
        <w:t>本项目</w:t>
      </w:r>
      <w:r>
        <w:rPr>
          <w:rFonts w:hint="eastAsia" w:cs="宋体"/>
          <w:color w:val="000000"/>
          <w:lang w:bidi="ar"/>
        </w:rPr>
        <w:t>年产硅PU8000吨，</w:t>
      </w:r>
      <w:r>
        <w:rPr>
          <w:rFonts w:hint="eastAsia" w:cs="宋体"/>
          <w:color w:val="000000"/>
          <w:lang w:eastAsia="zh-CN" w:bidi="ar"/>
        </w:rPr>
        <w:t>EPDM颗粒</w:t>
      </w:r>
      <w:r>
        <w:rPr>
          <w:rFonts w:hint="eastAsia" w:cs="宋体"/>
          <w:color w:val="000000"/>
          <w:lang w:bidi="ar"/>
        </w:rPr>
        <w:t>3500吨，人造草坪150万平方米，单组份胶水4000吨，双组份胶水8000吨，跑道专用面漆2000吨，水性树脂3500吨</w:t>
      </w:r>
      <w:r>
        <w:t>。本项目运营期</w:t>
      </w:r>
      <w:r>
        <w:rPr>
          <w:rFonts w:hint="eastAsia"/>
        </w:rPr>
        <w:t>工艺</w:t>
      </w:r>
      <w:r>
        <w:t>流程及产排污环节图</w:t>
      </w:r>
      <w:r>
        <w:rPr>
          <w:rFonts w:hint="eastAsia"/>
        </w:rPr>
        <w:t>如下</w:t>
      </w:r>
      <w:r>
        <w:t>。</w:t>
      </w:r>
    </w:p>
    <w:p>
      <w:pPr>
        <w:pStyle w:val="7"/>
        <w:ind w:firstLine="562"/>
      </w:pPr>
      <w:r>
        <w:t>4.</w:t>
      </w:r>
      <w:r>
        <w:rPr>
          <w:rFonts w:hint="eastAsia"/>
        </w:rPr>
        <w:t>2.1</w:t>
      </w:r>
      <w:r>
        <w:t xml:space="preserve"> </w:t>
      </w:r>
      <w:r>
        <w:rPr>
          <w:rFonts w:hint="eastAsia"/>
        </w:rPr>
        <mc:AlternateContent>
          <mc:Choice Requires="wps">
            <w:drawing>
              <wp:anchor distT="0" distB="0" distL="114300" distR="114300" simplePos="0" relativeHeight="251686912"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72" name="直接箭头连接符 72"/>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686912;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BxP&#10;i77WAAAACAEAAA8AAAAAAAAAAQAgAAAAIgAAAGRycy9kb3ducmV2LnhtbFBLAQIUABQAAAAIAIdO&#10;4kA2d6LmswEAAEgDAAAOAAAAAAAAAAEAIAAAACUBAABkcnMvZTJvRG9jLnhtbFBLBQYAAAAABgAG&#10;AFkBAABKBQAAAAA=&#10;">
                <v:fill on="f" focussize="0,0"/>
                <v:stroke on="f"/>
                <v:imagedata o:title=""/>
                <o:lock v:ext="edit" aspectratio="f"/>
              </v:shape>
            </w:pict>
          </mc:Fallback>
        </mc:AlternateContent>
      </w:r>
      <w:r>
        <w:rPr>
          <w:rFonts w:hint="eastAsia"/>
        </w:rPr>
        <mc:AlternateContent>
          <mc:Choice Requires="wps">
            <w:drawing>
              <wp:anchor distT="0" distB="0" distL="114300" distR="114300" simplePos="0" relativeHeight="251685888"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73" name="直接箭头连接符 73"/>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685888;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IhFMqfW&#10;AAAACAEAAA8AAAAAAAAAAQAgAAAAIgAAAGRycy9kb3ducmV2LnhtbFBLAQIUABQAAAAIAIdO4kDE&#10;MDshsAEAAEYDAAAOAAAAAAAAAAEAIAAAACUBAABkcnMvZTJvRG9jLnhtbFBLBQYAAAAABgAGAFkB&#10;AABHBQAAAAA=&#10;">
                <v:fill on="f" focussize="0,0"/>
                <v:stroke on="f"/>
                <v:imagedata o:title=""/>
                <o:lock v:ext="edit" aspectratio="f"/>
              </v:shape>
            </w:pict>
          </mc:Fallback>
        </mc:AlternateContent>
      </w:r>
      <w:r>
        <w:rPr>
          <w:rFonts w:hint="eastAsia"/>
        </w:rPr>
        <w:t>硅PU生产线产污环节分析</w:t>
      </w:r>
    </w:p>
    <w:p>
      <w:pPr>
        <w:pStyle w:val="25"/>
        <w:widowControl/>
        <w:spacing w:beforeAutospacing="0" w:afterAutospacing="0"/>
        <w:ind w:firstLine="480"/>
        <w:jc w:val="both"/>
      </w:pPr>
    </w:p>
    <w:p>
      <w:pPr>
        <w:ind w:firstLine="480"/>
        <w:jc w:val="center"/>
        <w:rPr>
          <w:rFonts w:cs="Times New Roman"/>
        </w:rPr>
      </w:pPr>
      <w:r>
        <w:drawing>
          <wp:inline distT="0" distB="0" distL="114300" distR="114300">
            <wp:extent cx="1572895" cy="2421255"/>
            <wp:effectExtent l="0" t="0" r="8255" b="17145"/>
            <wp:docPr id="5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0"/>
                    <pic:cNvPicPr>
                      <a:picLocks noChangeAspect="1"/>
                    </pic:cNvPicPr>
                  </pic:nvPicPr>
                  <pic:blipFill>
                    <a:blip r:embed="rId37"/>
                    <a:stretch>
                      <a:fillRect/>
                    </a:stretch>
                  </pic:blipFill>
                  <pic:spPr>
                    <a:xfrm>
                      <a:off x="0" y="0"/>
                      <a:ext cx="1572895" cy="2421255"/>
                    </a:xfrm>
                    <a:prstGeom prst="rect">
                      <a:avLst/>
                    </a:prstGeom>
                    <a:noFill/>
                    <a:ln>
                      <a:noFill/>
                    </a:ln>
                  </pic:spPr>
                </pic:pic>
              </a:graphicData>
            </a:graphic>
          </wp:inline>
        </w:drawing>
      </w:r>
    </w:p>
    <w:p>
      <w:pPr>
        <w:ind w:firstLine="482"/>
        <w:jc w:val="center"/>
        <w:rPr>
          <w:rFonts w:cs="Times New Roman"/>
          <w:b/>
          <w:bCs/>
        </w:rPr>
      </w:pPr>
      <w:r>
        <w:rPr>
          <w:rFonts w:hint="eastAsia" w:cs="Times New Roman"/>
          <w:b/>
          <w:bCs/>
        </w:rPr>
        <w:t xml:space="preserve">图4.2-1  </w:t>
      </w:r>
      <w:r>
        <w:rPr>
          <w:rFonts w:hint="eastAsia" w:cs="Times New Roman"/>
          <w:b/>
          <w:bCs/>
        </w:rPr>
        <mc:AlternateContent>
          <mc:Choice Requires="wps">
            <w:drawing>
              <wp:anchor distT="0" distB="0" distL="114300" distR="114300" simplePos="0" relativeHeight="251675648"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98" name="直接箭头连接符 98"/>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675648;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BxP&#10;i77WAAAACAEAAA8AAAAAAAAAAQAgAAAAIgAAAGRycy9kb3ducmV2LnhtbFBLAQIUABQAAAAIAIdO&#10;4kDkKIWeswEAAEgDAAAOAAAAAAAAAAEAIAAAACUBAABkcnMvZTJvRG9jLnhtbFBLBQYAAAAABgAG&#10;AFkBAABKBQAAAAA=&#10;">
                <v:fill on="f" focussize="0,0"/>
                <v:stroke on="f"/>
                <v:imagedata o:title=""/>
                <o:lock v:ext="edit" aspectratio="f"/>
              </v:shape>
            </w:pict>
          </mc:Fallback>
        </mc:AlternateContent>
      </w:r>
      <w:r>
        <w:rPr>
          <w:rFonts w:hint="eastAsia" w:cs="Times New Roman"/>
          <w:b/>
          <w:bCs/>
        </w:rPr>
        <mc:AlternateContent>
          <mc:Choice Requires="wps">
            <w:drawing>
              <wp:anchor distT="0" distB="0" distL="114300" distR="114300" simplePos="0" relativeHeight="251674624"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103" name="直接箭头连接符 103"/>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674624;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IRTKn&#10;1gAAAAgBAAAPAAAAAAAAAAEAIAAAACIAAABkcnMvZG93bnJldi54bWxQSwECFAAUAAAACACHTuJA&#10;2+RvMrEBAABIAwAADgAAAAAAAAABACAAAAAlAQAAZHJzL2Uyb0RvYy54bWxQSwUGAAAAAAYABgBZ&#10;AQAASAUAAAAA&#10;">
                <v:fill on="f" focussize="0,0"/>
                <v:stroke on="f"/>
                <v:imagedata o:title=""/>
                <o:lock v:ext="edit" aspectratio="f"/>
              </v:shape>
            </w:pict>
          </mc:Fallback>
        </mc:AlternateContent>
      </w:r>
      <w:r>
        <w:rPr>
          <w:rFonts w:hint="eastAsia" w:cs="Times New Roman"/>
          <w:b/>
          <w:bCs/>
        </w:rPr>
        <w:t>硅PU生产工艺流程及产污环节图</w:t>
      </w:r>
    </w:p>
    <w:p>
      <w:pPr>
        <w:keepNext w:val="0"/>
        <w:keepLines w:val="0"/>
        <w:pageBreakBefore w:val="0"/>
        <w:kinsoku/>
        <w:wordWrap/>
        <w:overflowPunct/>
        <w:topLinePunct w:val="0"/>
        <w:autoSpaceDE/>
        <w:autoSpaceDN/>
        <w:bidi w:val="0"/>
        <w:adjustRightInd/>
        <w:snapToGrid/>
        <w:ind w:firstLine="482" w:firstLineChars="200"/>
        <w:jc w:val="both"/>
        <w:textAlignment w:val="auto"/>
        <w:rPr>
          <w:b/>
          <w:bCs/>
        </w:rPr>
      </w:pPr>
      <w:r>
        <w:rPr>
          <w:rFonts w:hint="eastAsia" w:cs="Times New Roman"/>
          <w:b/>
          <w:bCs/>
        </w:rPr>
        <mc:AlternateContent>
          <mc:Choice Requires="wps">
            <w:drawing>
              <wp:anchor distT="0" distB="0" distL="114300" distR="114300" simplePos="0" relativeHeight="251717632" behindDoc="0" locked="0" layoutInCell="1" allowOverlap="1">
                <wp:simplePos x="0" y="0"/>
                <wp:positionH relativeFrom="column">
                  <wp:posOffset>680085</wp:posOffset>
                </wp:positionH>
                <wp:positionV relativeFrom="paragraph">
                  <wp:posOffset>133350</wp:posOffset>
                </wp:positionV>
                <wp:extent cx="371475" cy="635"/>
                <wp:effectExtent l="0" t="0" r="0" b="0"/>
                <wp:wrapNone/>
                <wp:docPr id="111" name="直接箭头连接符 111"/>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53.55pt;margin-top:10.5pt;height:0.05pt;width:29.25pt;z-index:251717632;mso-width-relative:page;mso-height-relative:page;" filled="f" stroked="f" coordsize="21600,21600" o:gfxdata="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x&#10;hz6m1gAAAAkBAAAPAAAAAAAAAAEAIAAAACIAAABkcnMvZG93bnJldi54bWxQSwECFAAUAAAACACH&#10;TuJA5D9jK7QBAABKAwAADgAAAAAAAAABACAAAAAlAQAAZHJzL2Uyb0RvYy54bWxQSwUGAAAAAAYA&#10;BgBZAQAASwUAAAAA&#10;">
                <v:fill on="f" focussize="0,0"/>
                <v:stroke on="f"/>
                <v:imagedata o:title=""/>
                <o:lock v:ext="edit" aspectratio="f"/>
              </v:shape>
            </w:pict>
          </mc:Fallback>
        </mc:AlternateContent>
      </w:r>
      <w:r>
        <w:rPr>
          <w:rFonts w:hint="eastAsia" w:cs="Times New Roman"/>
          <w:b/>
          <w:bCs/>
        </w:rPr>
        <mc:AlternateContent>
          <mc:Choice Requires="wps">
            <w:drawing>
              <wp:anchor distT="0" distB="0" distL="114300" distR="114300" simplePos="0" relativeHeight="251716608"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112" name="直接箭头连接符 112"/>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716608;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IRTKn&#10;1gAAAAgBAAAPAAAAAAAAAAEAIAAAACIAAABkcnMvZG93bnJldi54bWxQSwECFAAUAAAACACHTuJA&#10;8oBMNLEBAABIAwAADgAAAAAAAAABACAAAAAlAQAAZHJzL2Uyb0RvYy54bWxQSwUGAAAAAAYABgBZ&#10;AQAASAUAAAAA&#10;">
                <v:fill on="f" focussize="0,0"/>
                <v:stroke on="f"/>
                <v:imagedata o:title=""/>
                <o:lock v:ext="edit" aspectratio="f"/>
              </v:shape>
            </w:pict>
          </mc:Fallback>
        </mc:AlternateContent>
      </w:r>
      <w:r>
        <w:rPr>
          <w:rFonts w:hint="eastAsia" w:cs="Times New Roman"/>
          <w:b/>
          <w:bCs/>
        </w:rPr>
        <w:t>一、硅PU生产工艺说明：</w:t>
      </w:r>
    </w:p>
    <w:p>
      <w:pPr>
        <w:keepNext w:val="0"/>
        <w:keepLines w:val="0"/>
        <w:pageBreakBefore w:val="0"/>
        <w:widowControl/>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硅PU胶生产由原料中的聚醚多元醇和MDI发生加成反应生成聚氨酯产品，由聚醚多元醇分子上的羟基（-OH）与MDI中的异氯酸酯基（-NCO）发生加成反应，生成氨基甲酸酯基（-NHCOO-）并形成长分子链即可完成反应。</w:t>
      </w:r>
      <w:r>
        <w:rPr>
          <w:rFonts w:hint="eastAsia" w:ascii="宋体" w:hAnsi="宋体" w:cs="宋体"/>
          <w:color w:val="000000"/>
          <w:kern w:val="0"/>
          <w:lang w:bidi="ar"/>
        </w:rPr>
        <w:t>聚合反应</w:t>
      </w:r>
      <w:r>
        <w:rPr>
          <w:rFonts w:hint="eastAsia" w:cs="Times New Roman"/>
        </w:rPr>
        <w:t>历程如下：</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drawing>
          <wp:inline distT="0" distB="0" distL="114300" distR="114300">
            <wp:extent cx="4883150" cy="271780"/>
            <wp:effectExtent l="0" t="0" r="12700" b="13970"/>
            <wp:docPr id="6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
                    <pic:cNvPicPr>
                      <a:picLocks noChangeAspect="1"/>
                    </pic:cNvPicPr>
                  </pic:nvPicPr>
                  <pic:blipFill>
                    <a:blip r:embed="rId38"/>
                    <a:stretch>
                      <a:fillRect/>
                    </a:stretch>
                  </pic:blipFill>
                  <pic:spPr>
                    <a:xfrm>
                      <a:off x="0" y="0"/>
                      <a:ext cx="4883150" cy="27178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480" w:firstLineChars="200"/>
        <w:jc w:val="both"/>
        <w:textAlignment w:val="auto"/>
        <w:rPr>
          <w:rFonts w:cs="Times New Roman"/>
        </w:rPr>
      </w:pPr>
      <w:r>
        <w:drawing>
          <wp:inline distT="0" distB="0" distL="114300" distR="114300">
            <wp:extent cx="4704715" cy="403225"/>
            <wp:effectExtent l="0" t="0" r="635" b="15875"/>
            <wp:docPr id="6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
                    <pic:cNvPicPr>
                      <a:picLocks noChangeAspect="1"/>
                    </pic:cNvPicPr>
                  </pic:nvPicPr>
                  <pic:blipFill>
                    <a:blip r:embed="rId39"/>
                    <a:stretch>
                      <a:fillRect/>
                    </a:stretch>
                  </pic:blipFill>
                  <pic:spPr>
                    <a:xfrm>
                      <a:off x="0" y="0"/>
                      <a:ext cx="4704715" cy="403225"/>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u w:val="single"/>
        </w:rPr>
      </w:pPr>
      <w:r>
        <w:rPr>
          <w:rFonts w:hint="eastAsia" w:cs="Times New Roman"/>
          <w:u w:val="single"/>
        </w:rPr>
        <w:t>①投料、搅拌</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eastAsia" w:cs="Times New Roman"/>
          <w:u w:val="single"/>
          <w:lang w:eastAsia="zh-CN"/>
        </w:rPr>
      </w:pPr>
      <w:r>
        <w:rPr>
          <w:rFonts w:hint="eastAsia" w:cs="Times New Roman"/>
          <w:u w:val="single"/>
          <w:lang w:eastAsia="zh-CN"/>
        </w:rPr>
        <w:t>液体投料：</w:t>
      </w:r>
      <w:r>
        <w:rPr>
          <w:rFonts w:hint="eastAsia" w:cs="Times New Roman"/>
          <w:u w:val="single"/>
        </w:rPr>
        <w:t>按配方配比将聚醚、液化MDI等液体</w:t>
      </w:r>
      <w:r>
        <w:rPr>
          <w:rFonts w:hint="eastAsia" w:cs="Times New Roman"/>
          <w:u w:val="single"/>
          <w:lang w:eastAsia="zh-CN"/>
        </w:rPr>
        <w:t>泵入缓冲罐，</w:t>
      </w:r>
      <w:r>
        <w:rPr>
          <w:rFonts w:hint="eastAsia" w:cs="Times New Roman"/>
          <w:u w:val="single"/>
        </w:rPr>
        <w:t>物料用真空泵抽入反应釜中，启动</w:t>
      </w:r>
      <w:r>
        <w:rPr>
          <w:rFonts w:hint="eastAsia" w:cs="Times New Roman"/>
          <w:u w:val="single"/>
          <w:lang w:eastAsia="zh-CN"/>
        </w:rPr>
        <w:t>反应釜</w:t>
      </w:r>
      <w:r>
        <w:rPr>
          <w:rFonts w:hint="eastAsia" w:cs="Times New Roman"/>
          <w:u w:val="single"/>
        </w:rPr>
        <w:t>搅拌器进行分散</w:t>
      </w:r>
      <w:r>
        <w:rPr>
          <w:rFonts w:hint="eastAsia" w:cs="Times New Roman"/>
          <w:u w:val="single"/>
          <w:lang w:eastAsia="zh-CN"/>
        </w:rPr>
        <w:t>；</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eastAsia" w:cs="Times New Roman"/>
          <w:u w:val="single"/>
        </w:rPr>
      </w:pPr>
      <w:r>
        <w:rPr>
          <w:rFonts w:hint="eastAsia" w:cs="Times New Roman"/>
          <w:u w:val="single"/>
          <w:lang w:eastAsia="zh-CN"/>
        </w:rPr>
        <w:t>粉料投料：</w:t>
      </w:r>
      <w:r>
        <w:rPr>
          <w:rFonts w:hint="eastAsia" w:cs="Times New Roman"/>
          <w:u w:val="single"/>
        </w:rPr>
        <w:t>高岭土、滑石粉等粉料</w:t>
      </w:r>
      <w:r>
        <w:rPr>
          <w:rFonts w:hint="eastAsia" w:cs="Times New Roman"/>
          <w:u w:val="single"/>
          <w:lang w:eastAsia="zh-CN"/>
        </w:rPr>
        <w:t>在密闭投料间</w:t>
      </w:r>
      <w:r>
        <w:rPr>
          <w:rFonts w:hint="eastAsia" w:cs="Times New Roman"/>
          <w:u w:val="single"/>
        </w:rPr>
        <w:t>经人工投料投入</w:t>
      </w:r>
      <w:r>
        <w:rPr>
          <w:rFonts w:hint="eastAsia" w:cs="Times New Roman"/>
          <w:u w:val="single"/>
          <w:lang w:eastAsia="zh-CN"/>
        </w:rPr>
        <w:t>粉料槽（密封槽）</w:t>
      </w:r>
      <w:r>
        <w:rPr>
          <w:rFonts w:hint="eastAsia" w:cs="Times New Roman"/>
          <w:u w:val="single"/>
        </w:rPr>
        <w:t>，然后粉料经螺旋泵输送到反应釜中，将投入的物料搅拌均匀待用。</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default" w:eastAsia="宋体"/>
          <w:u w:val="single"/>
          <w:lang w:val="en-US" w:eastAsia="zh-CN"/>
        </w:rPr>
      </w:pPr>
      <w:r>
        <w:rPr>
          <w:rFonts w:hint="eastAsia"/>
          <w:u w:val="single"/>
          <w:lang w:eastAsia="zh-CN"/>
        </w:rPr>
        <w:t>投料过程持续</w:t>
      </w:r>
      <w:r>
        <w:rPr>
          <w:rFonts w:hint="eastAsia"/>
          <w:u w:val="single"/>
          <w:lang w:val="en-US" w:eastAsia="zh-CN"/>
        </w:rPr>
        <w:t>0.5h，</w:t>
      </w:r>
      <w:r>
        <w:rPr>
          <w:rFonts w:hint="eastAsia"/>
          <w:u w:val="single"/>
          <w:lang w:eastAsia="zh-CN"/>
        </w:rPr>
        <w:t>投料过程粉料会产生投料粉尘</w:t>
      </w:r>
      <w:r>
        <w:rPr>
          <w:rFonts w:hint="eastAsia"/>
          <w:u w:val="single"/>
          <w:lang w:val="en-US" w:eastAsia="zh-CN"/>
        </w:rPr>
        <w:t>G1。</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eastAsia" w:eastAsia="宋体" w:cs="Times New Roman"/>
          <w:lang w:eastAsia="zh-CN"/>
        </w:rPr>
      </w:pPr>
      <w:r>
        <w:rPr>
          <w:rFonts w:hint="eastAsia" w:cs="Times New Roman"/>
        </w:rPr>
        <w:t>②升温</w:t>
      </w:r>
      <w:r>
        <w:rPr>
          <w:rFonts w:hint="eastAsia" w:cs="Times New Roman"/>
          <w:lang w:eastAsia="zh-CN"/>
        </w:rPr>
        <w:t>反应</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开启蒸汽阀，加热升温，当料温上升至90℃时，开启真空阀门进行真空脱水，脱水来源为部分原材料中含水经加热加压后脱水，反应釜上方设置冷凝器，冷凝效果一般在90%以上，真空阀排放蒸汽由管道进入冷凝器，由于水蒸气通过冷凝器的同时原料中少量挥发性物质（非甲烷总烃）同水蒸气一起进入冷凝器，经冷凝器冷凝以后，大部分水蒸气变成液态水进入冷凝器集水盘内，部分挥发性可凝结物质经冷凝后混入水中，该部分水产生量较小，主要为烃水混合物，为危险固废，单独收集，收集后暂存于危废暂存间内，定期交由危废处理资质单位处置，大部分不凝气体返回至反应釜内，不凝气体（主要为部分物料挥发产生的，按非甲烷总烃计）通过反应釜抽真空排放。控制内温在95℃～105℃，真空度保持在-0.07Mpa至-0.1MPa，</w:t>
      </w:r>
      <w:r>
        <w:rPr>
          <w:rFonts w:hint="eastAsia" w:cs="Times New Roman"/>
          <w:lang w:eastAsia="zh-CN"/>
        </w:rPr>
        <w:t>升温反应总计</w:t>
      </w:r>
      <w:r>
        <w:rPr>
          <w:rFonts w:hint="eastAsia" w:cs="Times New Roman"/>
        </w:rPr>
        <w:t>2h。</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eastAsia" w:eastAsia="宋体" w:cs="Times New Roman"/>
          <w:lang w:eastAsia="zh-CN"/>
        </w:rPr>
      </w:pPr>
      <w:r>
        <w:rPr>
          <w:rFonts w:hint="eastAsia" w:cs="Times New Roman"/>
        </w:rPr>
        <w:t>③加成反应</w:t>
      </w:r>
      <w:r>
        <w:rPr>
          <w:rFonts w:hint="eastAsia" w:cs="Times New Roman"/>
          <w:lang w:eastAsia="zh-CN"/>
        </w:rPr>
        <w:t>、保温</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eastAsia" w:cs="Times New Roman"/>
          <w:lang w:eastAsia="zh-CN"/>
        </w:rPr>
      </w:pPr>
      <w:r>
        <w:rPr>
          <w:rFonts w:hint="eastAsia" w:cs="Times New Roman"/>
          <w:lang w:eastAsia="zh-CN"/>
        </w:rPr>
        <w:t>加成反应：</w:t>
      </w:r>
      <w:r>
        <w:rPr>
          <w:rFonts w:hint="eastAsia" w:cs="Times New Roman"/>
        </w:rPr>
        <w:t>真空脱水后，开启冷却水阀门，将内温降至90~95℃，加入DMC，在常压下80~90℃搅拌保温反应2h，物料在反应釜中保温（温度达到80℃左右）发生聚合加成反应2h，聚醚和MDI发生加成反应生成硅PU胶</w:t>
      </w:r>
      <w:r>
        <w:rPr>
          <w:rFonts w:hint="eastAsia" w:cs="Times New Roman"/>
          <w:lang w:eastAsia="zh-CN"/>
        </w:rPr>
        <w:t>。</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eastAsia" w:cs="Times New Roman"/>
        </w:rPr>
      </w:pPr>
      <w:r>
        <w:rPr>
          <w:rFonts w:hint="eastAsia" w:cs="Times New Roman"/>
          <w:lang w:eastAsia="zh-CN"/>
        </w:rPr>
        <w:t>保温：开启冷却水阀门</w:t>
      </w:r>
      <w:r>
        <w:rPr>
          <w:rFonts w:hint="eastAsia" w:cs="Times New Roman"/>
        </w:rPr>
        <w:t>降温至60℃，关闭搅拌，开启真空脱气15min，关闭真空</w:t>
      </w:r>
      <w:r>
        <w:rPr>
          <w:rFonts w:hint="eastAsia" w:cs="Times New Roman"/>
          <w:lang w:eastAsia="zh-CN"/>
        </w:rPr>
        <w:t>，保温</w:t>
      </w:r>
      <w:r>
        <w:rPr>
          <w:rFonts w:hint="eastAsia" w:cs="Times New Roman"/>
          <w:lang w:val="en-US" w:eastAsia="zh-CN"/>
        </w:rPr>
        <w:t>2h</w:t>
      </w:r>
      <w:r>
        <w:rPr>
          <w:rFonts w:hint="eastAsia" w:cs="Times New Roman"/>
        </w:rPr>
        <w:t>。</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④降温出料</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eastAsia" w:eastAsia="宋体" w:cs="Times New Roman"/>
          <w:lang w:eastAsia="zh-CN"/>
        </w:rPr>
      </w:pPr>
      <w:r>
        <w:rPr>
          <w:rFonts w:hint="eastAsia" w:cs="Times New Roman"/>
        </w:rPr>
        <w:t>恒温反应后，</w:t>
      </w:r>
      <w:r>
        <w:rPr>
          <w:rFonts w:hint="eastAsia" w:cs="Times New Roman"/>
          <w:lang w:eastAsia="zh-CN"/>
        </w:rPr>
        <w:t>开启冷却水阀门</w:t>
      </w:r>
      <w:r>
        <w:rPr>
          <w:rFonts w:hint="eastAsia" w:cs="Times New Roman"/>
        </w:rPr>
        <w:t>将温度</w:t>
      </w:r>
      <w:r>
        <w:rPr>
          <w:rFonts w:hint="eastAsia" w:cs="Times New Roman"/>
          <w:lang w:eastAsia="zh-CN"/>
        </w:rPr>
        <w:t>迅速</w:t>
      </w:r>
      <w:r>
        <w:rPr>
          <w:rFonts w:hint="eastAsia" w:cs="Times New Roman"/>
        </w:rPr>
        <w:t>降至60℃以下后搅拌均匀后</w:t>
      </w:r>
      <w:r>
        <w:rPr>
          <w:rFonts w:hint="eastAsia" w:cs="Times New Roman"/>
          <w:lang w:eastAsia="zh-CN"/>
        </w:rPr>
        <w:t>通过出料口</w:t>
      </w:r>
      <w:r>
        <w:rPr>
          <w:rFonts w:hint="eastAsia" w:cs="Times New Roman"/>
        </w:rPr>
        <w:t>分装</w:t>
      </w:r>
      <w:r>
        <w:rPr>
          <w:rFonts w:hint="eastAsia" w:cs="Times New Roman"/>
          <w:lang w:eastAsia="zh-CN"/>
        </w:rPr>
        <w:t>，整个反应釜在反应过程会产生有机废气</w:t>
      </w:r>
      <w:r>
        <w:rPr>
          <w:rFonts w:hint="eastAsia" w:cs="Times New Roman"/>
          <w:lang w:val="en-US" w:eastAsia="zh-CN"/>
        </w:rPr>
        <w:t>G2</w:t>
      </w:r>
      <w:r>
        <w:rPr>
          <w:rFonts w:hint="eastAsia" w:cs="Times New Roman"/>
          <w:lang w:eastAsia="zh-CN"/>
        </w:rPr>
        <w:t>非甲烷总烃，此部分废气会通过反应釜排气口管道收集，出料口在包装车间内采用负压收集废气。</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eastAsia" w:cs="Times New Roman"/>
        </w:rPr>
      </w:pPr>
      <w:r>
        <w:rPr>
          <w:rFonts w:hint="eastAsia" w:cs="Times New Roman"/>
          <w:lang w:val="en-US" w:eastAsia="zh-CN"/>
        </w:rPr>
        <w:t>反应釜定期清洗，将溶剂通过计量泵打入清洗喷头内，使溶剂沿反应釜壁流下，达到一定容积后，然后开动搅拌器搅拌，搅拌一段时间后放置，使釜壁残留的溶剂流下，然后打开卸料阀，将溶剂打入中间桶内密封储存，循环使用2-3次后，将溶剂作为生产中所需的原料使用，以减少物料的损耗和污染物的产生。项目反应釜清洗溶剂为碳酸二甲酯，清洗温度均为常温，密闭清洗，因此反应釜在清洗过程几乎无有机废气挥发到空气中，清洗后的碳酸二甲酯回用于硅PU生产工序，不外排。故不存在反应釜清洗废液。</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hint="eastAsia" w:eastAsia="宋体" w:cs="Times New Roman"/>
          <w:lang w:eastAsia="zh-CN"/>
        </w:rPr>
      </w:pPr>
      <w:r>
        <w:rPr>
          <w:rFonts w:hint="eastAsia" w:ascii="仿宋" w:hAnsi="仿宋" w:eastAsia="仿宋" w:cs="仿宋"/>
        </w:rPr>
        <w:t>⑤</w:t>
      </w:r>
      <w:r>
        <w:rPr>
          <w:rFonts w:hint="eastAsia" w:asciiTheme="minorEastAsia" w:hAnsiTheme="minorEastAsia" w:eastAsiaTheme="minorEastAsia" w:cstheme="minorEastAsia"/>
          <w:lang w:eastAsia="zh-CN"/>
        </w:rPr>
        <w:t>包装</w:t>
      </w:r>
      <w:r>
        <w:rPr>
          <w:rFonts w:hint="eastAsia" w:cs="Times New Roman"/>
          <w:lang w:eastAsia="zh-CN"/>
        </w:rPr>
        <w:t>入库</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lang w:eastAsia="zh-CN"/>
        </w:rPr>
        <w:t>将分装好的产品加密贴标，完成后</w:t>
      </w:r>
      <w:r>
        <w:rPr>
          <w:rFonts w:hint="eastAsia" w:cs="Times New Roman"/>
        </w:rPr>
        <w:t>拉料入库，存放时应分类标识。</w:t>
      </w:r>
    </w:p>
    <w:p>
      <w:pPr>
        <w:keepNext w:val="0"/>
        <w:keepLines w:val="0"/>
        <w:pageBreakBefore w:val="0"/>
        <w:kinsoku/>
        <w:wordWrap/>
        <w:overflowPunct/>
        <w:topLinePunct w:val="0"/>
        <w:autoSpaceDE/>
        <w:autoSpaceDN/>
        <w:bidi w:val="0"/>
        <w:adjustRightInd/>
        <w:snapToGrid/>
        <w:ind w:firstLine="482" w:firstLineChars="200"/>
        <w:jc w:val="both"/>
        <w:textAlignment w:val="auto"/>
        <w:rPr>
          <w:rFonts w:cs="Times New Roman"/>
          <w:b/>
          <w:bCs/>
        </w:rPr>
      </w:pPr>
      <w:r>
        <w:rPr>
          <w:rFonts w:hint="eastAsia" w:cs="Times New Roman"/>
          <w:b/>
          <w:bCs/>
        </w:rPr>
        <w:t>二、产污流程简述：</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废气：反应釜在投料口粉尘（</w:t>
      </w:r>
      <w:r>
        <w:rPr>
          <w:rFonts w:cs="Times New Roman"/>
        </w:rPr>
        <w:t>G</w:t>
      </w:r>
      <w:r>
        <w:rPr>
          <w:rFonts w:hint="eastAsia" w:cs="Times New Roman"/>
        </w:rPr>
        <w:t>1）</w:t>
      </w:r>
      <w:r>
        <w:rPr>
          <w:rFonts w:hint="eastAsia" w:cs="Times New Roman"/>
          <w:lang w:eastAsia="zh-CN"/>
        </w:rPr>
        <w:t>，出料及工艺排放</w:t>
      </w:r>
      <w:r>
        <w:rPr>
          <w:rFonts w:hint="eastAsia" w:cs="Times New Roman"/>
        </w:rPr>
        <w:t>少量有机废气</w:t>
      </w:r>
      <w:r>
        <w:rPr>
          <w:rFonts w:hint="eastAsia" w:cs="Times New Roman"/>
          <w:lang w:eastAsia="zh-CN"/>
        </w:rPr>
        <w:t>（</w:t>
      </w:r>
      <w:r>
        <w:rPr>
          <w:rFonts w:hint="eastAsia" w:cs="Times New Roman"/>
          <w:lang w:val="en-US" w:eastAsia="zh-CN"/>
        </w:rPr>
        <w:t>G2</w:t>
      </w:r>
      <w:r>
        <w:rPr>
          <w:rFonts w:hint="eastAsia" w:cs="Times New Roman"/>
          <w:lang w:eastAsia="zh-CN"/>
        </w:rPr>
        <w:t>）</w:t>
      </w:r>
      <w:r>
        <w:rPr>
          <w:rFonts w:hint="eastAsia" w:cs="Times New Roman"/>
        </w:rPr>
        <w:t>；</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固体废物：制备好的硅</w:t>
      </w:r>
      <w:r>
        <w:rPr>
          <w:rFonts w:cs="Times New Roman"/>
        </w:rPr>
        <w:t>PU</w:t>
      </w:r>
      <w:r>
        <w:rPr>
          <w:rFonts w:hint="eastAsia" w:cs="Times New Roman"/>
        </w:rPr>
        <w:t>经滤网过滤掉杂质，会产生一定量的滤渣</w:t>
      </w:r>
      <w:r>
        <w:rPr>
          <w:rFonts w:cs="Times New Roman"/>
        </w:rPr>
        <w:t>S</w:t>
      </w:r>
      <w:r>
        <w:rPr>
          <w:rFonts w:hint="eastAsia" w:cs="Times New Roman"/>
        </w:rPr>
        <w:t>1；</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噪声：主要为设备运行产生的噪声。</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废水：反应釜定期采用碳酸二甲酯清洗后回用于生产，故无生产废水产生。</w:t>
      </w:r>
    </w:p>
    <w:p>
      <w:pPr>
        <w:keepNext w:val="0"/>
        <w:keepLines w:val="0"/>
        <w:pageBreakBefore w:val="0"/>
        <w:kinsoku/>
        <w:wordWrap/>
        <w:overflowPunct/>
        <w:topLinePunct w:val="0"/>
        <w:autoSpaceDE/>
        <w:autoSpaceDN/>
        <w:bidi w:val="0"/>
        <w:adjustRightInd/>
        <w:snapToGrid/>
        <w:ind w:firstLine="482" w:firstLineChars="200"/>
        <w:jc w:val="both"/>
        <w:textAlignment w:val="auto"/>
        <w:rPr>
          <w:rFonts w:cs="Times New Roman"/>
          <w:b/>
          <w:bCs/>
        </w:rPr>
      </w:pPr>
      <w:r>
        <w:rPr>
          <w:rFonts w:hint="eastAsia" w:cs="Times New Roman"/>
          <w:b/>
          <w:bCs/>
        </w:rPr>
        <w:t>三、物料衡算</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本项目生产的硅</w:t>
      </w:r>
      <w:r>
        <w:rPr>
          <w:rFonts w:cs="Times New Roman"/>
        </w:rPr>
        <w:t>PU</w:t>
      </w:r>
      <w:r>
        <w:rPr>
          <w:rFonts w:hint="eastAsia" w:cs="Times New Roman"/>
        </w:rPr>
        <w:t>，仅是塑胶跑道中的其中一种原料，硅</w:t>
      </w:r>
      <w:r>
        <w:rPr>
          <w:rFonts w:cs="Times New Roman"/>
        </w:rPr>
        <w:t>PU</w:t>
      </w:r>
      <w:r>
        <w:rPr>
          <w:rFonts w:hint="eastAsia" w:cs="Times New Roman"/>
        </w:rPr>
        <w:t>生产不使用再生原料，故能够确保硅</w:t>
      </w:r>
      <w:r>
        <w:rPr>
          <w:rFonts w:cs="Times New Roman"/>
        </w:rPr>
        <w:t>PU</w:t>
      </w:r>
      <w:r>
        <w:rPr>
          <w:rFonts w:hint="eastAsia" w:cs="Times New Roman"/>
        </w:rPr>
        <w:t>产品质量能够满足表</w:t>
      </w:r>
      <w:r>
        <w:rPr>
          <w:rFonts w:cs="Times New Roman"/>
        </w:rPr>
        <w:t>2.1-4</w:t>
      </w:r>
      <w:r>
        <w:rPr>
          <w:rFonts w:hint="eastAsia" w:cs="Times New Roman"/>
        </w:rPr>
        <w:t>水性硅</w:t>
      </w:r>
      <w:r>
        <w:rPr>
          <w:rFonts w:cs="Times New Roman"/>
        </w:rPr>
        <w:t>PU</w:t>
      </w:r>
      <w:r>
        <w:rPr>
          <w:rFonts w:hint="eastAsia" w:cs="Times New Roman"/>
        </w:rPr>
        <w:t>、聚氨酯树脂产品质量标准。</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根据《排污许可证申请与核发技术规范 石油化工》</w:t>
      </w:r>
      <w:r>
        <w:rPr>
          <w:rFonts w:cs="Times New Roman"/>
        </w:rPr>
        <w:t>HJ853-2017</w:t>
      </w:r>
      <w:r>
        <w:rPr>
          <w:rFonts w:hint="eastAsia" w:cs="Times New Roman"/>
        </w:rPr>
        <w:t>中合成树脂工业生产废气特征因子为颗粒物、非甲烷总烃；根据《合成树脂工业污染物排放标准》</w:t>
      </w:r>
      <w:r>
        <w:rPr>
          <w:rFonts w:cs="Times New Roman"/>
        </w:rPr>
        <w:t>GB31572-2015</w:t>
      </w:r>
      <w:r>
        <w:rPr>
          <w:rFonts w:hint="eastAsia" w:cs="Times New Roman"/>
        </w:rPr>
        <w:t>中生产废气排放因子为颗粒物、非甲烷总烃。</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综上所述，故本次硅</w:t>
      </w:r>
      <w:r>
        <w:rPr>
          <w:rFonts w:cs="Times New Roman"/>
        </w:rPr>
        <w:t>PU</w:t>
      </w:r>
      <w:r>
        <w:rPr>
          <w:rFonts w:hint="eastAsia" w:cs="Times New Roman"/>
        </w:rPr>
        <w:t>生产废气特征污染物主要考虑颗粒物、非甲烷总烃</w:t>
      </w:r>
      <w:r>
        <w:rPr>
          <w:rFonts w:hint="eastAsia" w:cs="Times New Roman"/>
          <w:lang w:val="en-US" w:eastAsia="zh-CN"/>
        </w:rPr>
        <w:t>，</w:t>
      </w:r>
      <w:r>
        <w:rPr>
          <w:rFonts w:hint="eastAsia" w:cs="Times New Roman"/>
        </w:rPr>
        <w:t>硅</w:t>
      </w:r>
      <w:r>
        <w:rPr>
          <w:rFonts w:cs="Times New Roman"/>
        </w:rPr>
        <w:t>PU</w:t>
      </w:r>
      <w:r>
        <w:rPr>
          <w:rFonts w:hint="eastAsia" w:cs="Times New Roman"/>
        </w:rPr>
        <w:t>生产过程中仅</w:t>
      </w:r>
      <w:r>
        <w:rPr>
          <w:rFonts w:cs="Times New Roman"/>
        </w:rPr>
        <w:t>MDI50</w:t>
      </w:r>
      <w:r>
        <w:rPr>
          <w:rFonts w:hint="eastAsia" w:cs="Times New Roman"/>
        </w:rPr>
        <w:t>与聚醚多元醇进行聚合反应，其他物质不参与反应。</w:t>
      </w:r>
    </w:p>
    <w:p>
      <w:pPr>
        <w:keepNext w:val="0"/>
        <w:keepLines w:val="0"/>
        <w:pageBreakBefore w:val="0"/>
        <w:kinsoku/>
        <w:wordWrap/>
        <w:overflowPunct/>
        <w:topLinePunct w:val="0"/>
        <w:autoSpaceDE/>
        <w:autoSpaceDN/>
        <w:bidi w:val="0"/>
        <w:adjustRightInd/>
        <w:snapToGrid/>
        <w:ind w:firstLine="480" w:firstLineChars="200"/>
        <w:jc w:val="both"/>
        <w:textAlignment w:val="auto"/>
        <w:rPr>
          <w:rFonts w:cs="Times New Roman"/>
        </w:rPr>
      </w:pPr>
      <w:r>
        <w:rPr>
          <w:rFonts w:hint="eastAsia" w:cs="Times New Roman"/>
        </w:rPr>
        <w:t>硅</w:t>
      </w:r>
      <w:r>
        <w:rPr>
          <w:rFonts w:cs="Times New Roman"/>
        </w:rPr>
        <w:t>PU</w:t>
      </w:r>
      <w:r>
        <w:rPr>
          <w:rFonts w:hint="eastAsia" w:cs="Times New Roman"/>
        </w:rPr>
        <w:t>生产过程会产生少量有机废气、粉尘及滤渣。</w:t>
      </w:r>
    </w:p>
    <w:p>
      <w:pPr>
        <w:keepNext w:val="0"/>
        <w:keepLines w:val="0"/>
        <w:pageBreakBefore w:val="0"/>
        <w:widowControl/>
        <w:kinsoku/>
        <w:wordWrap/>
        <w:overflowPunct/>
        <w:topLinePunct w:val="0"/>
        <w:autoSpaceDE/>
        <w:autoSpaceDN/>
        <w:bidi w:val="0"/>
        <w:adjustRightInd/>
        <w:snapToGrid/>
        <w:ind w:firstLine="482" w:firstLineChars="200"/>
        <w:jc w:val="both"/>
        <w:textAlignment w:val="auto"/>
        <w:rPr>
          <w:rFonts w:cs="Times New Roman"/>
          <w:color w:val="000000"/>
          <w:kern w:val="0"/>
          <w:u w:val="single"/>
          <w:lang w:bidi="ar"/>
        </w:rPr>
      </w:pPr>
      <w:r>
        <w:rPr>
          <w:rFonts w:cs="Times New Roman"/>
          <w:b/>
          <w:bCs/>
          <w:color w:val="000000"/>
          <w:kern w:val="0"/>
          <w:lang w:bidi="ar"/>
        </w:rPr>
        <w:t>投料粉尘</w:t>
      </w:r>
      <w:r>
        <w:rPr>
          <w:rFonts w:hint="eastAsia" w:cs="Times New Roman"/>
          <w:b/>
          <w:bCs/>
          <w:color w:val="000000"/>
          <w:kern w:val="0"/>
          <w:lang w:bidi="ar"/>
        </w:rPr>
        <w:t>G1</w:t>
      </w:r>
      <w:r>
        <w:rPr>
          <w:rFonts w:cs="Times New Roman"/>
          <w:color w:val="000000"/>
          <w:kern w:val="0"/>
          <w:lang w:bidi="ar"/>
        </w:rPr>
        <w:t>：</w:t>
      </w:r>
      <w:r>
        <w:rPr>
          <w:rFonts w:hint="eastAsia" w:cs="Times New Roman"/>
          <w:color w:val="000000"/>
          <w:kern w:val="0"/>
          <w:u w:val="single"/>
          <w:lang w:val="en-US" w:eastAsia="zh-CN" w:bidi="ar"/>
        </w:rPr>
        <w:t>本项目主要固体原料为石英粉、滑石粉等，与水泥粒径相似，故投料粉尘参考《逸散性工业粉尘控制技术》（</w:t>
      </w:r>
      <w:r>
        <w:rPr>
          <w:rFonts w:hint="default" w:cs="Times New Roman"/>
          <w:color w:val="000000"/>
          <w:kern w:val="0"/>
          <w:u w:val="single"/>
          <w:lang w:val="en-US" w:eastAsia="zh-CN" w:bidi="ar"/>
        </w:rPr>
        <w:t>J.A.</w:t>
      </w:r>
      <w:r>
        <w:rPr>
          <w:rFonts w:hint="eastAsia" w:cs="Times New Roman"/>
          <w:color w:val="000000"/>
          <w:kern w:val="0"/>
          <w:u w:val="single"/>
          <w:lang w:val="en-US" w:eastAsia="zh-CN" w:bidi="ar"/>
        </w:rPr>
        <w:t>奥里蒙、</w:t>
      </w:r>
      <w:r>
        <w:rPr>
          <w:rFonts w:hint="default" w:cs="Times New Roman"/>
          <w:color w:val="000000"/>
          <w:kern w:val="0"/>
          <w:u w:val="single"/>
          <w:lang w:val="en-US" w:eastAsia="zh-CN" w:bidi="ar"/>
        </w:rPr>
        <w:t>G.A.</w:t>
      </w:r>
      <w:r>
        <w:rPr>
          <w:rFonts w:hint="eastAsia" w:cs="Times New Roman"/>
          <w:color w:val="000000"/>
          <w:kern w:val="0"/>
          <w:u w:val="single"/>
          <w:lang w:val="en-US" w:eastAsia="zh-CN" w:bidi="ar"/>
        </w:rPr>
        <w:t>久兹等编著）中细微物料投料粉尘产生系数，产生系数为0.00015~0.02kg/t（装料），本项目投料过程中粉尘产生源强取0.02kg/t（装料）</w:t>
      </w:r>
      <w:r>
        <w:rPr>
          <w:rFonts w:cs="Times New Roman"/>
          <w:color w:val="000000"/>
          <w:kern w:val="0"/>
          <w:u w:val="single"/>
          <w:lang w:bidi="ar"/>
        </w:rPr>
        <w:t>，项目</w:t>
      </w:r>
      <w:r>
        <w:rPr>
          <w:rFonts w:hint="eastAsia" w:cs="Times New Roman"/>
          <w:color w:val="000000"/>
          <w:kern w:val="0"/>
          <w:u w:val="single"/>
          <w:lang w:eastAsia="zh-CN" w:bidi="ar"/>
        </w:rPr>
        <w:t>硅</w:t>
      </w:r>
      <w:r>
        <w:rPr>
          <w:rFonts w:hint="eastAsia" w:cs="Times New Roman"/>
          <w:color w:val="000000"/>
          <w:kern w:val="0"/>
          <w:u w:val="single"/>
          <w:lang w:val="en-US" w:eastAsia="zh-CN" w:bidi="ar"/>
        </w:rPr>
        <w:t>PU产品</w:t>
      </w:r>
      <w:r>
        <w:rPr>
          <w:rFonts w:cs="Times New Roman"/>
          <w:color w:val="000000"/>
          <w:kern w:val="0"/>
          <w:u w:val="single"/>
          <w:lang w:bidi="ar"/>
        </w:rPr>
        <w:t>粉状物料</w:t>
      </w:r>
      <w:r>
        <w:rPr>
          <w:rFonts w:hint="eastAsia" w:cs="Times New Roman"/>
          <w:color w:val="000000"/>
          <w:kern w:val="0"/>
          <w:u w:val="single"/>
          <w:lang w:eastAsia="zh-CN" w:bidi="ar"/>
        </w:rPr>
        <w:t>滑石粉、高岭土</w:t>
      </w:r>
      <w:r>
        <w:rPr>
          <w:rFonts w:cs="Times New Roman"/>
          <w:color w:val="000000"/>
          <w:kern w:val="0"/>
          <w:u w:val="single"/>
          <w:lang w:bidi="ar"/>
        </w:rPr>
        <w:t>用量为</w:t>
      </w:r>
      <w:r>
        <w:rPr>
          <w:rFonts w:hint="eastAsia" w:cs="Times New Roman"/>
          <w:color w:val="000000"/>
          <w:kern w:val="0"/>
          <w:u w:val="single"/>
          <w:lang w:val="en-US" w:eastAsia="zh-CN" w:bidi="ar"/>
        </w:rPr>
        <w:t>5118.9</w:t>
      </w:r>
      <w:r>
        <w:rPr>
          <w:rFonts w:cs="Times New Roman"/>
          <w:color w:val="000000"/>
          <w:kern w:val="0"/>
          <w:u w:val="single"/>
          <w:lang w:bidi="ar"/>
        </w:rPr>
        <w:t>t/a，则粉尘产生量约为</w:t>
      </w:r>
      <w:r>
        <w:rPr>
          <w:rFonts w:hint="eastAsia" w:cs="Times New Roman"/>
          <w:color w:val="000000"/>
          <w:kern w:val="0"/>
          <w:u w:val="single"/>
          <w:lang w:val="en-US" w:eastAsia="zh-CN" w:bidi="ar"/>
        </w:rPr>
        <w:t>0.102</w:t>
      </w:r>
      <w:r>
        <w:rPr>
          <w:rFonts w:cs="Times New Roman"/>
          <w:color w:val="000000"/>
          <w:kern w:val="0"/>
          <w:u w:val="single"/>
          <w:lang w:bidi="ar"/>
        </w:rPr>
        <w:t>t/a。</w:t>
      </w:r>
    </w:p>
    <w:p>
      <w:pPr>
        <w:keepNext w:val="0"/>
        <w:keepLines w:val="0"/>
        <w:pageBreakBefore w:val="0"/>
        <w:widowControl/>
        <w:kinsoku/>
        <w:wordWrap/>
        <w:overflowPunct/>
        <w:topLinePunct w:val="0"/>
        <w:autoSpaceDE/>
        <w:autoSpaceDN/>
        <w:bidi w:val="0"/>
        <w:adjustRightInd/>
        <w:snapToGrid/>
        <w:ind w:firstLine="482" w:firstLineChars="200"/>
        <w:jc w:val="both"/>
        <w:textAlignment w:val="auto"/>
        <w:rPr>
          <w:rFonts w:cs="Times New Roman"/>
          <w:u w:val="single"/>
        </w:rPr>
      </w:pPr>
      <w:r>
        <w:rPr>
          <w:rFonts w:cs="Times New Roman"/>
          <w:b/>
          <w:bCs/>
          <w:color w:val="000000"/>
          <w:kern w:val="0"/>
          <w:lang w:bidi="ar"/>
        </w:rPr>
        <w:t>有机废气</w:t>
      </w:r>
      <w:r>
        <w:rPr>
          <w:rFonts w:hint="eastAsia" w:cs="Times New Roman"/>
          <w:b/>
          <w:bCs/>
          <w:color w:val="000000"/>
          <w:kern w:val="0"/>
          <w:lang w:bidi="ar"/>
        </w:rPr>
        <w:t>G2</w:t>
      </w:r>
      <w:r>
        <w:rPr>
          <w:rFonts w:cs="Times New Roman"/>
          <w:color w:val="000000"/>
          <w:kern w:val="0"/>
          <w:lang w:bidi="ar"/>
        </w:rPr>
        <w:t>：</w:t>
      </w:r>
      <w:r>
        <w:rPr>
          <w:rFonts w:cs="Times New Roman"/>
          <w:color w:val="000000"/>
          <w:kern w:val="0"/>
          <w:u w:val="single"/>
          <w:lang w:bidi="ar"/>
        </w:rPr>
        <w:t>反应釜在投料口、卸料口及排气口存在少量有机废气排放；参照《排放源统计调查产排污核算方法和系数手册》</w:t>
      </w:r>
      <w:r>
        <w:rPr>
          <w:rFonts w:hint="eastAsia" w:cs="Times New Roman"/>
          <w:color w:val="000000"/>
          <w:kern w:val="0"/>
          <w:u w:val="single"/>
          <w:lang w:eastAsia="zh-CN" w:bidi="ar"/>
        </w:rPr>
        <w:t>“2916 运动场地用塑胶制造行业系数”</w:t>
      </w:r>
      <w:r>
        <w:rPr>
          <w:rFonts w:cs="Times New Roman"/>
          <w:color w:val="000000"/>
          <w:kern w:val="0"/>
          <w:u w:val="single"/>
          <w:lang w:bidi="ar"/>
        </w:rPr>
        <w:t>生产VOCs产生系数（3.27kg/t</w:t>
      </w:r>
      <w:r>
        <w:rPr>
          <w:rFonts w:hint="eastAsia" w:cs="Times New Roman"/>
          <w:color w:val="000000"/>
          <w:kern w:val="0"/>
          <w:u w:val="single"/>
          <w:lang w:val="en-US" w:eastAsia="zh-CN" w:bidi="ar"/>
        </w:rPr>
        <w:t>-原料</w:t>
      </w:r>
      <w:r>
        <w:rPr>
          <w:rFonts w:cs="Times New Roman"/>
          <w:color w:val="000000"/>
          <w:kern w:val="0"/>
          <w:u w:val="single"/>
          <w:lang w:bidi="ar"/>
        </w:rPr>
        <w:t>），本项目硅PU</w:t>
      </w:r>
      <w:r>
        <w:rPr>
          <w:rFonts w:hint="eastAsia" w:cs="Times New Roman"/>
          <w:color w:val="000000"/>
          <w:kern w:val="0"/>
          <w:u w:val="single"/>
          <w:lang w:eastAsia="zh-CN" w:bidi="ar"/>
        </w:rPr>
        <w:t>使用有机原料为聚醚、</w:t>
      </w:r>
      <w:r>
        <w:rPr>
          <w:rFonts w:hint="eastAsia" w:cs="Times New Roman"/>
          <w:color w:val="000000"/>
          <w:kern w:val="0"/>
          <w:u w:val="single"/>
          <w:lang w:val="en-US" w:eastAsia="zh-CN" w:bidi="ar"/>
        </w:rPr>
        <w:t>DMC和MDI50</w:t>
      </w:r>
      <w:r>
        <w:rPr>
          <w:rFonts w:cs="Times New Roman"/>
          <w:color w:val="000000"/>
          <w:kern w:val="0"/>
          <w:u w:val="single"/>
          <w:lang w:bidi="ar"/>
        </w:rPr>
        <w:t>，</w:t>
      </w:r>
      <w:r>
        <w:rPr>
          <w:rFonts w:hint="eastAsia" w:cs="Times New Roman"/>
          <w:color w:val="000000"/>
          <w:kern w:val="0"/>
          <w:u w:val="single"/>
          <w:lang w:eastAsia="zh-CN" w:bidi="ar"/>
        </w:rPr>
        <w:t>其合计用量为</w:t>
      </w:r>
      <w:r>
        <w:rPr>
          <w:rFonts w:hint="eastAsia" w:cs="Times New Roman"/>
          <w:color w:val="000000"/>
          <w:kern w:val="0"/>
          <w:u w:val="single"/>
          <w:lang w:val="en-US" w:eastAsia="zh-CN" w:bidi="ar"/>
        </w:rPr>
        <w:t>2819.77</w:t>
      </w:r>
      <w:r>
        <w:rPr>
          <w:rFonts w:cs="Times New Roman"/>
          <w:color w:val="000000"/>
          <w:kern w:val="0"/>
          <w:u w:val="single"/>
          <w:lang w:bidi="ar"/>
        </w:rPr>
        <w:t>t/a</w:t>
      </w:r>
      <w:r>
        <w:rPr>
          <w:rFonts w:hint="eastAsia" w:cs="Times New Roman"/>
          <w:color w:val="000000"/>
          <w:kern w:val="0"/>
          <w:u w:val="single"/>
          <w:lang w:eastAsia="zh-CN" w:bidi="ar"/>
        </w:rPr>
        <w:t>，</w:t>
      </w:r>
      <w:r>
        <w:rPr>
          <w:rFonts w:cs="Times New Roman"/>
          <w:color w:val="000000"/>
          <w:kern w:val="0"/>
          <w:u w:val="single"/>
          <w:lang w:bidi="ar"/>
        </w:rPr>
        <w:t>则非甲烷总烃产生量为</w:t>
      </w:r>
      <w:r>
        <w:rPr>
          <w:rFonts w:hint="eastAsia" w:cs="Times New Roman"/>
          <w:color w:val="000000"/>
          <w:kern w:val="0"/>
          <w:u w:val="single"/>
          <w:lang w:val="en-US" w:eastAsia="zh-CN" w:bidi="ar"/>
        </w:rPr>
        <w:t>9.22</w:t>
      </w:r>
      <w:r>
        <w:rPr>
          <w:rFonts w:cs="Times New Roman"/>
          <w:color w:val="000000"/>
          <w:kern w:val="0"/>
          <w:u w:val="single"/>
          <w:lang w:bidi="ar"/>
        </w:rPr>
        <w:t>t/a。</w:t>
      </w:r>
    </w:p>
    <w:p>
      <w:pPr>
        <w:keepNext w:val="0"/>
        <w:keepLines w:val="0"/>
        <w:pageBreakBefore w:val="0"/>
        <w:widowControl/>
        <w:kinsoku/>
        <w:wordWrap/>
        <w:overflowPunct/>
        <w:topLinePunct w:val="0"/>
        <w:autoSpaceDE/>
        <w:autoSpaceDN/>
        <w:bidi w:val="0"/>
        <w:adjustRightInd/>
        <w:snapToGrid/>
        <w:ind w:firstLine="482" w:firstLineChars="200"/>
        <w:jc w:val="both"/>
        <w:textAlignment w:val="auto"/>
        <w:rPr>
          <w:rFonts w:cs="Times New Roman"/>
          <w:u w:val="single"/>
        </w:rPr>
      </w:pPr>
      <w:r>
        <w:rPr>
          <w:rFonts w:cs="Times New Roman"/>
          <w:b/>
          <w:bCs/>
          <w:color w:val="000000" w:themeColor="text1"/>
          <w:kern w:val="0"/>
          <w:lang w:bidi="ar"/>
          <w14:textFill>
            <w14:solidFill>
              <w14:schemeClr w14:val="tx1"/>
            </w14:solidFill>
          </w14:textFill>
        </w:rPr>
        <w:t>滤渣</w:t>
      </w:r>
      <w:r>
        <w:rPr>
          <w:rFonts w:hint="eastAsia" w:cs="Times New Roman"/>
          <w:b/>
          <w:bCs/>
          <w:color w:val="000000" w:themeColor="text1"/>
          <w:kern w:val="0"/>
          <w:lang w:bidi="ar"/>
          <w14:textFill>
            <w14:solidFill>
              <w14:schemeClr w14:val="tx1"/>
            </w14:solidFill>
          </w14:textFill>
        </w:rPr>
        <w:t>S1</w:t>
      </w:r>
      <w:r>
        <w:rPr>
          <w:rFonts w:cs="Times New Roman"/>
          <w:b/>
          <w:bCs/>
          <w:color w:val="000000" w:themeColor="text1"/>
          <w:kern w:val="0"/>
          <w:lang w:bidi="ar"/>
          <w14:textFill>
            <w14:solidFill>
              <w14:schemeClr w14:val="tx1"/>
            </w14:solidFill>
          </w14:textFill>
        </w:rPr>
        <w:t>：</w:t>
      </w:r>
      <w:r>
        <w:rPr>
          <w:rFonts w:hint="eastAsia" w:cs="Times New Roman"/>
          <w:color w:val="000000"/>
          <w:kern w:val="0"/>
          <w:u w:val="single"/>
          <w:lang w:val="en-US" w:eastAsia="zh-CN" w:bidi="ar"/>
        </w:rPr>
        <w:t>底渣为设备维护过程中物料输送管道和脱水釜清理出残留的物料</w:t>
      </w:r>
      <w:r>
        <w:rPr>
          <w:rFonts w:cs="Times New Roman"/>
          <w:color w:val="000000"/>
          <w:kern w:val="0"/>
          <w:u w:val="single"/>
          <w:lang w:bidi="ar"/>
        </w:rPr>
        <w:t>；</w:t>
      </w:r>
      <w:r>
        <w:rPr>
          <w:rFonts w:hint="eastAsia" w:cs="Times New Roman"/>
          <w:color w:val="000000"/>
          <w:kern w:val="0"/>
          <w:u w:val="single"/>
          <w:lang w:eastAsia="zh-CN" w:bidi="ar"/>
        </w:rPr>
        <w:t>此部分固废核算参考行业实际生产经验</w:t>
      </w:r>
      <w:r>
        <w:rPr>
          <w:rFonts w:cs="Times New Roman"/>
          <w:color w:val="000000"/>
          <w:kern w:val="0"/>
          <w:u w:val="single"/>
          <w:lang w:bidi="ar"/>
        </w:rPr>
        <w:t>，</w:t>
      </w:r>
      <w:r>
        <w:rPr>
          <w:rFonts w:hint="eastAsia" w:cs="Times New Roman"/>
          <w:color w:val="000000"/>
          <w:kern w:val="0"/>
          <w:u w:val="single"/>
          <w:lang w:eastAsia="zh-CN" w:bidi="ar"/>
        </w:rPr>
        <w:t>参考</w:t>
      </w:r>
      <w:r>
        <w:rPr>
          <w:rFonts w:hint="eastAsia" w:cs="Times New Roman"/>
          <w:color w:val="000000"/>
          <w:kern w:val="0"/>
          <w:u w:val="single"/>
          <w:lang w:bidi="ar"/>
        </w:rPr>
        <w:t>《福建瑞升体育科技有限公司瑞升体育地坪材料生产项目环境影响报告书》（</w:t>
      </w:r>
      <w:r>
        <w:rPr>
          <w:rFonts w:hint="eastAsia" w:cs="Times New Roman"/>
          <w:color w:val="000000"/>
          <w:kern w:val="0"/>
          <w:u w:val="single"/>
          <w:lang w:eastAsia="zh-CN" w:bidi="ar"/>
        </w:rPr>
        <w:t>审批文号：</w:t>
      </w:r>
      <w:r>
        <w:rPr>
          <w:rFonts w:hint="eastAsia" w:cs="Times New Roman"/>
          <w:color w:val="000000"/>
          <w:kern w:val="0"/>
          <w:u w:val="single"/>
          <w:lang w:bidi="ar"/>
        </w:rPr>
        <w:t>明环评〔2021〕18号）</w:t>
      </w:r>
      <w:r>
        <w:rPr>
          <w:rFonts w:hint="eastAsia" w:cs="Times New Roman"/>
          <w:color w:val="000000"/>
          <w:kern w:val="0"/>
          <w:u w:val="single"/>
          <w:lang w:eastAsia="zh-CN" w:bidi="ar"/>
        </w:rPr>
        <w:t>，企业验收期间</w:t>
      </w:r>
      <w:r>
        <w:rPr>
          <w:rFonts w:cs="Times New Roman"/>
          <w:color w:val="000000"/>
          <w:kern w:val="0"/>
          <w:u w:val="single"/>
          <w:lang w:bidi="ar"/>
        </w:rPr>
        <w:t>滤渣产生约产品0.5‰，则滤渣产生量约</w:t>
      </w:r>
      <w:r>
        <w:rPr>
          <w:rFonts w:hint="eastAsia" w:cs="Times New Roman"/>
          <w:color w:val="000000"/>
          <w:kern w:val="0"/>
          <w:u w:val="single"/>
          <w:lang w:val="en-US" w:eastAsia="zh-CN" w:bidi="ar"/>
        </w:rPr>
        <w:t>4.0</w:t>
      </w:r>
      <w:r>
        <w:rPr>
          <w:rFonts w:cs="Times New Roman"/>
          <w:color w:val="000000"/>
          <w:kern w:val="0"/>
          <w:u w:val="single"/>
          <w:lang w:bidi="ar"/>
        </w:rPr>
        <w:t>t/a。</w:t>
      </w:r>
    </w:p>
    <w:p>
      <w:pPr>
        <w:widowControl/>
        <w:ind w:firstLine="480"/>
        <w:jc w:val="left"/>
        <w:rPr>
          <w:rFonts w:hint="eastAsia"/>
          <w:u w:val="single"/>
        </w:rPr>
      </w:pPr>
      <w:r>
        <w:rPr>
          <w:rFonts w:hint="eastAsia"/>
          <w:u w:val="single"/>
        </w:rPr>
        <w:t>硅</w:t>
      </w:r>
      <w:r>
        <w:rPr>
          <w:u w:val="single"/>
        </w:rPr>
        <w:t>PU</w:t>
      </w:r>
      <w:r>
        <w:rPr>
          <w:rFonts w:hint="eastAsia"/>
          <w:u w:val="single"/>
        </w:rPr>
        <w:t>生产物料平衡见表4</w:t>
      </w:r>
      <w:r>
        <w:rPr>
          <w:u w:val="single"/>
        </w:rPr>
        <w:t>.</w:t>
      </w:r>
      <w:r>
        <w:rPr>
          <w:rFonts w:hint="eastAsia"/>
          <w:u w:val="single"/>
        </w:rPr>
        <w:t>2</w:t>
      </w:r>
      <w:r>
        <w:rPr>
          <w:u w:val="single"/>
        </w:rPr>
        <w:t>-1</w:t>
      </w:r>
      <w:r>
        <w:rPr>
          <w:rFonts w:hint="eastAsia"/>
          <w:u w:val="single"/>
        </w:rPr>
        <w:t>及图4</w:t>
      </w:r>
      <w:r>
        <w:rPr>
          <w:u w:val="single"/>
        </w:rPr>
        <w:t>.</w:t>
      </w:r>
      <w:r>
        <w:rPr>
          <w:rFonts w:hint="eastAsia"/>
          <w:u w:val="single"/>
        </w:rPr>
        <w:t>2</w:t>
      </w:r>
      <w:r>
        <w:rPr>
          <w:u w:val="single"/>
        </w:rPr>
        <w:t>-</w:t>
      </w:r>
      <w:r>
        <w:rPr>
          <w:rFonts w:hint="eastAsia"/>
          <w:u w:val="single"/>
        </w:rPr>
        <w:t>2。</w:t>
      </w:r>
    </w:p>
    <w:p>
      <w:pPr>
        <w:widowControl/>
        <w:ind w:firstLine="480"/>
        <w:jc w:val="left"/>
        <w:rPr>
          <w:rFonts w:hint="default" w:eastAsia="宋体"/>
          <w:u w:val="single"/>
          <w:lang w:val="en-US" w:eastAsia="zh-CN"/>
        </w:rPr>
      </w:pPr>
      <w:r>
        <w:rPr>
          <w:rFonts w:hint="eastAsia"/>
          <w:u w:val="single"/>
          <w:lang w:eastAsia="zh-CN"/>
        </w:rPr>
        <w:t>根据</w:t>
      </w:r>
      <w:r>
        <w:rPr>
          <w:rFonts w:hint="eastAsia"/>
          <w:u w:val="single"/>
          <w:lang w:val="en-US" w:eastAsia="zh-CN"/>
        </w:rPr>
        <w:t>3.2.5</w:t>
      </w:r>
      <w:r>
        <w:rPr>
          <w:rFonts w:hint="eastAsia"/>
          <w:u w:val="single"/>
          <w:lang w:eastAsia="zh-CN"/>
        </w:rPr>
        <w:t>产品方案表</w:t>
      </w:r>
      <w:r>
        <w:rPr>
          <w:rFonts w:hint="eastAsia"/>
          <w:u w:val="single"/>
          <w:lang w:val="en-US" w:eastAsia="zh-CN"/>
        </w:rPr>
        <w:t>3.2-6项目反应釜产能核实一览表，产品硅PU年产8000吨，生产批次446批/年，由此核算单批次产品量为17.9372t/批次。</w:t>
      </w:r>
    </w:p>
    <w:p>
      <w:pPr>
        <w:widowControl/>
        <w:ind w:firstLine="0" w:firstLineChars="0"/>
        <w:jc w:val="center"/>
        <w:rPr>
          <w:b/>
          <w:bCs/>
        </w:rPr>
      </w:pPr>
      <w:r>
        <w:rPr>
          <w:rFonts w:hint="eastAsia" w:ascii="宋体" w:hAnsi="宋体" w:cs="宋体"/>
          <w:b/>
          <w:bCs/>
          <w:color w:val="000000"/>
          <w:kern w:val="0"/>
          <w:lang w:bidi="ar"/>
        </w:rPr>
        <w:t>表</w:t>
      </w:r>
      <w:r>
        <w:rPr>
          <w:rFonts w:hint="eastAsia" w:cs="Times New Roman"/>
          <w:b/>
          <w:bCs/>
          <w:color w:val="000000"/>
          <w:kern w:val="0"/>
          <w:lang w:bidi="ar"/>
        </w:rPr>
        <w:t>4.2</w:t>
      </w:r>
      <w:r>
        <w:rPr>
          <w:rFonts w:cs="Times New Roman"/>
          <w:b/>
          <w:bCs/>
          <w:color w:val="000000"/>
          <w:kern w:val="0"/>
          <w:lang w:bidi="ar"/>
        </w:rPr>
        <w:t>-1</w:t>
      </w:r>
      <w:r>
        <w:rPr>
          <w:rFonts w:hint="eastAsia" w:cs="Times New Roman"/>
          <w:b/>
          <w:bCs/>
          <w:color w:val="000000"/>
          <w:kern w:val="0"/>
          <w:lang w:bidi="ar"/>
        </w:rPr>
        <w:t xml:space="preserve">  </w:t>
      </w:r>
      <w:r>
        <w:rPr>
          <w:rFonts w:hint="eastAsia" w:ascii="宋体" w:hAnsi="宋体" w:cs="宋体"/>
          <w:b/>
          <w:bCs/>
          <w:color w:val="000000"/>
          <w:kern w:val="0"/>
          <w:lang w:bidi="ar"/>
        </w:rPr>
        <w:t>硅</w:t>
      </w:r>
      <w:r>
        <w:rPr>
          <w:rFonts w:cs="Times New Roman"/>
          <w:b/>
          <w:bCs/>
          <w:color w:val="000000"/>
          <w:kern w:val="0"/>
          <w:lang w:bidi="ar"/>
        </w:rPr>
        <w:t>PU</w:t>
      </w:r>
      <w:r>
        <w:rPr>
          <w:rFonts w:hint="eastAsia" w:ascii="宋体" w:hAnsi="宋体" w:cs="宋体"/>
          <w:b/>
          <w:bCs/>
          <w:color w:val="000000"/>
          <w:kern w:val="0"/>
          <w:lang w:bidi="ar"/>
        </w:rPr>
        <w:t>生产物料平衡一览表</w:t>
      </w:r>
    </w:p>
    <w:tbl>
      <w:tblPr>
        <w:tblStyle w:val="2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7"/>
        <w:gridCol w:w="2376"/>
        <w:gridCol w:w="1560"/>
        <w:gridCol w:w="942"/>
        <w:gridCol w:w="1696"/>
        <w:gridCol w:w="1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591"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投入情况（kg/批次）</w:t>
            </w:r>
          </w:p>
        </w:tc>
        <w:tc>
          <w:tcPr>
            <w:tcW w:w="2408"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产出情况（kg/批次）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7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w:t>
            </w:r>
          </w:p>
        </w:tc>
        <w:tc>
          <w:tcPr>
            <w:tcW w:w="1279"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聚醚</w:t>
            </w:r>
          </w:p>
        </w:tc>
        <w:tc>
          <w:tcPr>
            <w:tcW w:w="83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3664.69</w:t>
            </w:r>
          </w:p>
        </w:tc>
        <w:tc>
          <w:tcPr>
            <w:tcW w:w="50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1</w:t>
            </w:r>
          </w:p>
        </w:tc>
        <w:tc>
          <w:tcPr>
            <w:tcW w:w="913"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产品（硅PU）</w:t>
            </w:r>
          </w:p>
        </w:tc>
        <w:tc>
          <w:tcPr>
            <w:tcW w:w="98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17937.2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2</w:t>
            </w:r>
          </w:p>
        </w:tc>
        <w:tc>
          <w:tcPr>
            <w:tcW w:w="1279"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滑石粉</w:t>
            </w:r>
          </w:p>
        </w:tc>
        <w:tc>
          <w:tcPr>
            <w:tcW w:w="83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7296.66</w:t>
            </w:r>
          </w:p>
        </w:tc>
        <w:tc>
          <w:tcPr>
            <w:tcW w:w="50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2</w:t>
            </w:r>
          </w:p>
        </w:tc>
        <w:tc>
          <w:tcPr>
            <w:tcW w:w="913"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颗粒物</w:t>
            </w:r>
          </w:p>
        </w:tc>
        <w:tc>
          <w:tcPr>
            <w:tcW w:w="98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0.229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7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3</w:t>
            </w:r>
          </w:p>
        </w:tc>
        <w:tc>
          <w:tcPr>
            <w:tcW w:w="1279"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高岭土</w:t>
            </w:r>
          </w:p>
        </w:tc>
        <w:tc>
          <w:tcPr>
            <w:tcW w:w="83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4180.70</w:t>
            </w:r>
          </w:p>
        </w:tc>
        <w:tc>
          <w:tcPr>
            <w:tcW w:w="50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3</w:t>
            </w:r>
          </w:p>
        </w:tc>
        <w:tc>
          <w:tcPr>
            <w:tcW w:w="913"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非甲烷总烃</w:t>
            </w:r>
          </w:p>
        </w:tc>
        <w:tc>
          <w:tcPr>
            <w:tcW w:w="98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20.673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7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4</w:t>
            </w:r>
          </w:p>
        </w:tc>
        <w:tc>
          <w:tcPr>
            <w:tcW w:w="1279"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色浆</w:t>
            </w:r>
          </w:p>
        </w:tc>
        <w:tc>
          <w:tcPr>
            <w:tcW w:w="83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167.36</w:t>
            </w:r>
          </w:p>
        </w:tc>
        <w:tc>
          <w:tcPr>
            <w:tcW w:w="50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4</w:t>
            </w:r>
          </w:p>
        </w:tc>
        <w:tc>
          <w:tcPr>
            <w:tcW w:w="913"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废渣</w:t>
            </w:r>
          </w:p>
        </w:tc>
        <w:tc>
          <w:tcPr>
            <w:tcW w:w="98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8.969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7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5</w:t>
            </w:r>
          </w:p>
        </w:tc>
        <w:tc>
          <w:tcPr>
            <w:tcW w:w="1279"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MDI50</w:t>
            </w:r>
          </w:p>
        </w:tc>
        <w:tc>
          <w:tcPr>
            <w:tcW w:w="83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rPr>
              <w:t>2320.17</w:t>
            </w:r>
          </w:p>
        </w:tc>
        <w:tc>
          <w:tcPr>
            <w:tcW w:w="50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913"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98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72" w:type="pct"/>
            <w:tcBorders>
              <w:tl2br w:val="nil"/>
              <w:tr2bl w:val="nil"/>
            </w:tcBorders>
            <w:vAlign w:val="center"/>
          </w:tcPr>
          <w:p>
            <w:pPr>
              <w:widowControl/>
              <w:spacing w:line="240" w:lineRule="auto"/>
              <w:ind w:firstLine="0" w:firstLineChars="0"/>
              <w:jc w:val="center"/>
              <w:rPr>
                <w:rFonts w:hint="eastAsia" w:eastAsia="宋体"/>
                <w:sz w:val="21"/>
                <w:szCs w:val="21"/>
                <w:u w:val="none"/>
                <w:lang w:eastAsia="zh-CN"/>
              </w:rPr>
            </w:pPr>
            <w:r>
              <w:rPr>
                <w:rFonts w:hint="eastAsia"/>
                <w:sz w:val="21"/>
                <w:szCs w:val="21"/>
                <w:u w:val="none"/>
                <w:lang w:val="en-US" w:eastAsia="zh-CN"/>
              </w:rPr>
              <w:t>6</w:t>
            </w:r>
          </w:p>
        </w:tc>
        <w:tc>
          <w:tcPr>
            <w:tcW w:w="1279"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DMC</w:t>
            </w:r>
          </w:p>
        </w:tc>
        <w:tc>
          <w:tcPr>
            <w:tcW w:w="83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lang w:val="en-US" w:eastAsia="zh-CN"/>
              </w:rPr>
              <w:t>337.49</w:t>
            </w:r>
          </w:p>
        </w:tc>
        <w:tc>
          <w:tcPr>
            <w:tcW w:w="50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913"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98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1" w:type="pct"/>
            <w:gridSpan w:val="2"/>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合计</w:t>
            </w:r>
          </w:p>
        </w:tc>
        <w:tc>
          <w:tcPr>
            <w:tcW w:w="83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cs="Times New Roman"/>
                <w:kern w:val="21"/>
                <w:sz w:val="21"/>
                <w:szCs w:val="21"/>
                <w:u w:val="none"/>
                <w:lang w:val="en-US"/>
              </w:rPr>
            </w:pPr>
            <w:r>
              <w:rPr>
                <w:rFonts w:hint="eastAsia" w:cs="Times New Roman"/>
                <w:kern w:val="21"/>
                <w:sz w:val="21"/>
                <w:szCs w:val="21"/>
                <w:u w:val="none"/>
                <w:lang w:val="en-US" w:eastAsia="zh-CN"/>
              </w:rPr>
              <w:t>17967.07</w:t>
            </w:r>
          </w:p>
        </w:tc>
        <w:tc>
          <w:tcPr>
            <w:tcW w:w="1420" w:type="pct"/>
            <w:gridSpan w:val="2"/>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u w:val="none"/>
              </w:rPr>
            </w:pPr>
            <w:r>
              <w:rPr>
                <w:rFonts w:hint="eastAsia" w:cs="Times New Roman"/>
                <w:kern w:val="21"/>
                <w:sz w:val="21"/>
                <w:szCs w:val="21"/>
                <w:u w:val="none"/>
              </w:rPr>
              <w:t>合计</w:t>
            </w:r>
          </w:p>
        </w:tc>
        <w:tc>
          <w:tcPr>
            <w:tcW w:w="98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eastAsia" w:cs="Times New Roman"/>
                <w:kern w:val="21"/>
                <w:sz w:val="21"/>
                <w:szCs w:val="21"/>
                <w:u w:val="none"/>
                <w:lang w:val="en-US" w:eastAsia="zh-CN"/>
              </w:rPr>
            </w:pPr>
            <w:r>
              <w:rPr>
                <w:rFonts w:hint="eastAsia" w:cs="Times New Roman"/>
                <w:kern w:val="21"/>
                <w:sz w:val="21"/>
                <w:szCs w:val="21"/>
                <w:u w:val="none"/>
                <w:lang w:val="en-US" w:eastAsia="zh-CN"/>
              </w:rPr>
              <w:t>17967.07</w:t>
            </w:r>
          </w:p>
        </w:tc>
      </w:tr>
    </w:tbl>
    <w:p>
      <w:pPr>
        <w:widowControl/>
        <w:ind w:firstLine="0" w:firstLineChars="0"/>
        <w:jc w:val="center"/>
      </w:pPr>
      <w:r>
        <w:drawing>
          <wp:inline distT="0" distB="0" distL="114300" distR="114300">
            <wp:extent cx="3063240" cy="2601595"/>
            <wp:effectExtent l="0" t="0" r="3810" b="8255"/>
            <wp:docPr id="4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
                    <pic:cNvPicPr>
                      <a:picLocks noChangeAspect="1"/>
                    </pic:cNvPicPr>
                  </pic:nvPicPr>
                  <pic:blipFill>
                    <a:blip r:embed="rId40"/>
                    <a:stretch>
                      <a:fillRect/>
                    </a:stretch>
                  </pic:blipFill>
                  <pic:spPr>
                    <a:xfrm>
                      <a:off x="0" y="0"/>
                      <a:ext cx="3063240" cy="2601595"/>
                    </a:xfrm>
                    <a:prstGeom prst="rect">
                      <a:avLst/>
                    </a:prstGeom>
                    <a:noFill/>
                    <a:ln>
                      <a:noFill/>
                    </a:ln>
                  </pic:spPr>
                </pic:pic>
              </a:graphicData>
            </a:graphic>
          </wp:inline>
        </w:drawing>
      </w:r>
    </w:p>
    <w:p>
      <w:pPr>
        <w:pStyle w:val="24"/>
        <w:spacing w:line="360" w:lineRule="auto"/>
        <w:ind w:firstLine="0" w:firstLineChars="0"/>
        <w:jc w:val="center"/>
        <w:rPr>
          <w:rFonts w:ascii="Times New Roman" w:cs="Times New Roman"/>
          <w:b/>
          <w:bCs/>
          <w:sz w:val="24"/>
        </w:rPr>
      </w:pPr>
      <w:r>
        <w:rPr>
          <w:rFonts w:ascii="Times New Roman" w:cs="Times New Roman"/>
          <w:b/>
          <w:bCs/>
          <w:sz w:val="24"/>
        </w:rPr>
        <w:t>图4.2-</w:t>
      </w:r>
      <w:r>
        <w:rPr>
          <w:rFonts w:hint="eastAsia" w:ascii="Times New Roman" w:cs="Times New Roman"/>
          <w:b/>
          <w:bCs/>
          <w:sz w:val="24"/>
        </w:rPr>
        <w:t>2</w:t>
      </w:r>
      <w:r>
        <w:rPr>
          <w:rFonts w:ascii="Times New Roman" w:cs="Times New Roman"/>
          <w:b/>
          <w:bCs/>
          <w:sz w:val="24"/>
        </w:rPr>
        <w:t xml:space="preserve">  硅PU生产物料平衡图</w:t>
      </w:r>
    </w:p>
    <w:p>
      <w:pPr>
        <w:pStyle w:val="7"/>
        <w:ind w:firstLine="562"/>
      </w:pPr>
      <w:r>
        <w:t>4.</w:t>
      </w:r>
      <w:r>
        <w:rPr>
          <w:rFonts w:hint="eastAsia"/>
        </w:rPr>
        <w:t>2.2</w:t>
      </w:r>
      <w:r>
        <w:t xml:space="preserve"> </w:t>
      </w:r>
      <w:r>
        <w:rPr>
          <w:rFonts w:hint="eastAsia"/>
        </w:rPr>
        <w:t>EPDM颗粒生产</w:t>
      </w:r>
      <w:r>
        <w:rPr>
          <w:rFonts w:hint="eastAsia"/>
        </w:rPr>
        <mc:AlternateContent>
          <mc:Choice Requires="wps">
            <w:drawing>
              <wp:anchor distT="0" distB="0" distL="114300" distR="114300" simplePos="0" relativeHeight="251688960"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71" name="直接箭头连接符 71"/>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688960;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c&#10;T4u+1gAAAAgBAAAPAAAAAAAAAAEAIAAAACIAAABkcnMvZG93bnJldi54bWxQSwECFAAUAAAACACH&#10;TuJAhqNu9LQBAABIAwAADgAAAAAAAAABACAAAAAlAQAAZHJzL2Uyb0RvYy54bWxQSwUGAAAAAAYA&#10;BgBZAQAASwUAAAAA&#10;">
                <v:fill on="f" focussize="0,0"/>
                <v:stroke on="f"/>
                <v:imagedata o:title=""/>
                <o:lock v:ext="edit" aspectratio="f"/>
              </v:shape>
            </w:pict>
          </mc:Fallback>
        </mc:AlternateContent>
      </w:r>
      <w:r>
        <w:rPr>
          <w:rFonts w:hint="eastAsia"/>
        </w:rPr>
        <mc:AlternateContent>
          <mc:Choice Requires="wps">
            <w:drawing>
              <wp:anchor distT="0" distB="0" distL="114300" distR="114300" simplePos="0" relativeHeight="251687936"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75" name="直接箭头连接符 75"/>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687936;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iEUyp9YA&#10;AAAIAQAADwAAAAAAAAABACAAAAAiAAAAZHJzL2Rvd25yZXYueG1sUEsBAhQAFAAAAAgAh07iQBHZ&#10;3eOvAQAARgMAAA4AAAAAAAAAAQAgAAAAJQEAAGRycy9lMm9Eb2MueG1sUEsFBgAAAAAGAAYAWQEA&#10;AEYFAAAAAA==&#10;">
                <v:fill on="f" focussize="0,0"/>
                <v:stroke on="f"/>
                <v:imagedata o:title=""/>
                <o:lock v:ext="edit" aspectratio="f"/>
              </v:shape>
            </w:pict>
          </mc:Fallback>
        </mc:AlternateContent>
      </w:r>
      <w:r>
        <w:rPr>
          <w:rFonts w:hint="eastAsia"/>
        </w:rPr>
        <w:t>线产污环节分析</w:t>
      </w:r>
    </w:p>
    <w:p>
      <w:pPr>
        <w:pStyle w:val="8"/>
        <w:spacing w:before="312"/>
        <w:ind w:firstLineChars="0"/>
        <w:jc w:val="center"/>
        <w:rPr>
          <w:lang w:val="zh-CN"/>
        </w:rPr>
      </w:pPr>
      <w:r>
        <w:drawing>
          <wp:inline distT="0" distB="0" distL="114300" distR="114300">
            <wp:extent cx="2150110" cy="3366135"/>
            <wp:effectExtent l="0" t="0" r="2540" b="5715"/>
            <wp:docPr id="7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10"/>
                    <pic:cNvPicPr>
                      <a:picLocks noChangeAspect="1"/>
                    </pic:cNvPicPr>
                  </pic:nvPicPr>
                  <pic:blipFill>
                    <a:blip r:embed="rId41"/>
                    <a:stretch>
                      <a:fillRect/>
                    </a:stretch>
                  </pic:blipFill>
                  <pic:spPr>
                    <a:xfrm>
                      <a:off x="0" y="0"/>
                      <a:ext cx="2150110" cy="3366135"/>
                    </a:xfrm>
                    <a:prstGeom prst="rect">
                      <a:avLst/>
                    </a:prstGeom>
                    <a:noFill/>
                    <a:ln>
                      <a:noFill/>
                    </a:ln>
                  </pic:spPr>
                </pic:pic>
              </a:graphicData>
            </a:graphic>
          </wp:inline>
        </w:drawing>
      </w:r>
    </w:p>
    <w:p>
      <w:pPr>
        <w:adjustRightInd w:val="0"/>
        <w:snapToGrid w:val="0"/>
        <w:ind w:firstLine="482"/>
        <w:jc w:val="center"/>
        <w:rPr>
          <w:rFonts w:cs="Times New Roman"/>
          <w:b/>
        </w:rPr>
      </w:pPr>
      <w:r>
        <w:rPr>
          <w:rFonts w:hint="eastAsia" w:cs="Times New Roman"/>
          <w:b/>
        </w:rPr>
        <w:t>图4.2-3  EPDM颗粒生产工艺</w:t>
      </w:r>
      <w:r>
        <w:rPr>
          <w:rFonts w:hint="eastAsia" w:cs="Times New Roman"/>
          <w:b/>
        </w:rPr>
        <mc:AlternateContent>
          <mc:Choice Requires="wps">
            <w:drawing>
              <wp:anchor distT="0" distB="0" distL="114300" distR="114300" simplePos="0" relativeHeight="251677696"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106" name="直接箭头连接符 106"/>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677696;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HE+LvtYAAAAIAQAADwAAAAAAAAABACAAAAAiAAAAZHJzL2Rvd25yZXYueG1sUEsBAhQAFAAAAAgA&#10;h07iQIueq0u1AQAASgMAAA4AAAAAAAAAAQAgAAAAJQEAAGRycy9lMm9Eb2MueG1sUEsFBgAAAAAG&#10;AAYAWQEAAEwFAAAAAA==&#10;">
                <v:fill on="f" focussize="0,0"/>
                <v:stroke on="f"/>
                <v:imagedata o:title=""/>
                <o:lock v:ext="edit" aspectratio="f"/>
              </v:shape>
            </w:pict>
          </mc:Fallback>
        </mc:AlternateContent>
      </w:r>
      <w:r>
        <w:rPr>
          <w:rFonts w:hint="eastAsia" w:cs="Times New Roman"/>
          <w:b/>
        </w:rPr>
        <mc:AlternateContent>
          <mc:Choice Requires="wps">
            <w:drawing>
              <wp:anchor distT="0" distB="0" distL="114300" distR="114300" simplePos="0" relativeHeight="251676672"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107" name="直接箭头连接符 107"/>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676672;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IRTKn&#10;1gAAAAgBAAAPAAAAAAAAAAEAIAAAACIAAABkcnMvZG93bnJldi54bWxQSwECFAAUAAAACACHTuJA&#10;WnffsLEBAABIAwAADgAAAAAAAAABACAAAAAlAQAAZHJzL2Uyb0RvYy54bWxQSwUGAAAAAAYABgBZ&#10;AQAASAUAAAAA&#10;">
                <v:fill on="f" focussize="0,0"/>
                <v:stroke on="f"/>
                <v:imagedata o:title=""/>
                <o:lock v:ext="edit" aspectratio="f"/>
              </v:shape>
            </w:pict>
          </mc:Fallback>
        </mc:AlternateContent>
      </w:r>
      <w:r>
        <w:rPr>
          <w:rFonts w:hint="eastAsia" w:cs="Times New Roman"/>
          <w:b/>
        </w:rPr>
        <w:t>流程及产污环节图</w:t>
      </w:r>
    </w:p>
    <w:p>
      <w:pPr>
        <w:ind w:firstLine="482"/>
        <w:jc w:val="both"/>
        <w:rPr>
          <w:b/>
          <w:bCs/>
        </w:rPr>
      </w:pPr>
      <w:r>
        <w:rPr>
          <w:rFonts w:hint="eastAsia"/>
          <w:b/>
          <w:bCs/>
        </w:rPr>
        <w:t>一、EPDM颗粒生产工艺流程：</w:t>
      </w:r>
    </w:p>
    <w:p>
      <w:pPr>
        <w:ind w:firstLine="482"/>
        <w:jc w:val="both"/>
        <w:rPr>
          <w:rFonts w:cs="Times New Roman"/>
          <w:u w:val="single"/>
        </w:rPr>
      </w:pPr>
      <w:r>
        <w:rPr>
          <w:rFonts w:hint="eastAsia" w:cs="Times New Roman"/>
          <w:b/>
          <w:bCs/>
          <w:u w:val="single"/>
        </w:rPr>
        <w:t>配料搅拌：</w:t>
      </w:r>
      <w:r>
        <w:rPr>
          <w:rFonts w:hint="eastAsia" w:cs="Times New Roman"/>
          <w:u w:val="single"/>
        </w:rPr>
        <w:t>项目所用称重后投入搅拌机中，然后将辅料钙粉、工业白油、色粉、硫磺等按比例后投入</w:t>
      </w:r>
      <w:r>
        <w:rPr>
          <w:rFonts w:hint="eastAsia" w:cs="Times New Roman"/>
          <w:u w:val="single"/>
          <w:lang w:eastAsia="zh-CN"/>
        </w:rPr>
        <w:t>密炼机配料仓</w:t>
      </w:r>
      <w:r>
        <w:rPr>
          <w:rFonts w:hint="eastAsia" w:cs="Times New Roman"/>
          <w:u w:val="single"/>
        </w:rPr>
        <w:t>。其中用量大的钙粉由袋装运输在钙粉</w:t>
      </w:r>
      <w:r>
        <w:rPr>
          <w:rFonts w:hint="eastAsia" w:cs="Times New Roman"/>
          <w:u w:val="single"/>
          <w:lang w:eastAsia="zh-CN"/>
        </w:rPr>
        <w:t>储存区</w:t>
      </w:r>
      <w:r>
        <w:rPr>
          <w:rFonts w:hint="eastAsia" w:cs="Times New Roman"/>
          <w:u w:val="single"/>
        </w:rPr>
        <w:t>，通过</w:t>
      </w:r>
      <w:r>
        <w:rPr>
          <w:rFonts w:hint="eastAsia" w:cs="Times New Roman"/>
          <w:u w:val="single"/>
          <w:lang w:eastAsia="zh-CN"/>
        </w:rPr>
        <w:t>机械</w:t>
      </w:r>
      <w:r>
        <w:rPr>
          <w:rFonts w:hint="eastAsia" w:cs="Times New Roman"/>
          <w:u w:val="single"/>
        </w:rPr>
        <w:t>加料斗泵入储料仓，需要时通过自动称量系统称量，然后由气力输送装置进行抽料并投入搅拌机中，整个输送过程为全自动密闭状态，可以保证产品的稳定性及减少粉尘，符合《橡胶工厂环境保护设计规范》（</w:t>
      </w:r>
      <w:r>
        <w:rPr>
          <w:rFonts w:cs="Times New Roman"/>
          <w:u w:val="single"/>
        </w:rPr>
        <w:t>GB50469-2016</w:t>
      </w:r>
      <w:r>
        <w:rPr>
          <w:rFonts w:hint="eastAsia" w:cs="Times New Roman"/>
          <w:u w:val="single"/>
        </w:rPr>
        <w:t>）要求；液态白油通过计量泵自动打入搅拌机中；用量较小的色粉、硫磺、促进剂等人工称量后投入密炼机</w:t>
      </w:r>
      <w:r>
        <w:rPr>
          <w:rFonts w:hint="eastAsia" w:cs="Times New Roman"/>
          <w:u w:val="single"/>
          <w:lang w:eastAsia="zh-CN"/>
        </w:rPr>
        <w:t>配料仓</w:t>
      </w:r>
      <w:r>
        <w:rPr>
          <w:rFonts w:hint="eastAsia" w:cs="Times New Roman"/>
          <w:u w:val="single"/>
        </w:rPr>
        <w:t>中。本工序在会产生投料粉尘废气</w:t>
      </w:r>
      <w:r>
        <w:rPr>
          <w:rFonts w:hint="eastAsia" w:cs="Times New Roman"/>
          <w:u w:val="single"/>
          <w:lang w:val="en-US" w:eastAsia="zh-CN"/>
        </w:rPr>
        <w:t>G3</w:t>
      </w:r>
      <w:r>
        <w:rPr>
          <w:rFonts w:hint="eastAsia" w:cs="Times New Roman"/>
          <w:u w:val="single"/>
        </w:rPr>
        <w:t>、废包装袋和设备噪声。</w:t>
      </w:r>
    </w:p>
    <w:p>
      <w:pPr>
        <w:ind w:firstLine="482"/>
        <w:jc w:val="both"/>
        <w:rPr>
          <w:rFonts w:cs="Times New Roman"/>
        </w:rPr>
      </w:pPr>
      <w:r>
        <w:rPr>
          <w:rFonts w:hint="eastAsia" w:cs="Times New Roman"/>
          <w:b/>
          <w:bCs/>
        </w:rPr>
        <w:t>混合密炼：</w:t>
      </w:r>
      <w:r>
        <w:rPr>
          <w:rFonts w:hint="eastAsia" w:cs="Times New Roman"/>
        </w:rPr>
        <w:t>在密炼机中将各种配合辅料均匀地混到生胶中。密炼机通过转子、上下顶</w:t>
      </w:r>
      <w:r>
        <w:rPr>
          <w:rFonts w:hint="eastAsia" w:cs="Times New Roman"/>
          <w:lang w:eastAsia="zh-CN"/>
        </w:rPr>
        <w:t>拴在</w:t>
      </w:r>
      <w:r>
        <w:rPr>
          <w:rFonts w:hint="eastAsia" w:cs="Times New Roman"/>
        </w:rPr>
        <w:t>密炼室中产生复杂的流动方式和高剪切力，使橡胶配合剂和粒状添加剂很快粉碎和均匀分散，以形成一个以橡胶为介质，以与橡胶不相容的配合剂（如粉体填料、颜料等）为分散相的多相胶体分散体系的过程。</w:t>
      </w:r>
      <w:r>
        <w:rPr>
          <w:rFonts w:hint="eastAsia" w:cs="Times New Roman"/>
          <w:color w:val="000000"/>
        </w:rPr>
        <w:t>密炼温度75℃，时间约</w:t>
      </w:r>
      <w:r>
        <w:rPr>
          <w:rFonts w:hint="eastAsia" w:cs="Times New Roman"/>
          <w:color w:val="000000"/>
          <w:lang w:val="en-US" w:eastAsia="zh-CN"/>
        </w:rPr>
        <w:t>8</w:t>
      </w:r>
      <w:r>
        <w:rPr>
          <w:rFonts w:cs="Times New Roman"/>
          <w:color w:val="000000"/>
        </w:rPr>
        <w:t>min</w:t>
      </w:r>
      <w:r>
        <w:rPr>
          <w:rFonts w:hint="eastAsia" w:cs="Times New Roman"/>
          <w:color w:val="000000"/>
        </w:rPr>
        <w:t>。密</w:t>
      </w:r>
      <w:r>
        <w:rPr>
          <w:rFonts w:hint="eastAsia" w:cs="Times New Roman"/>
        </w:rPr>
        <w:t>炼过程会产生废气</w:t>
      </w:r>
      <w:r>
        <w:rPr>
          <w:rFonts w:hint="eastAsia" w:cs="Times New Roman"/>
          <w:lang w:val="en-US" w:eastAsia="zh-CN"/>
        </w:rPr>
        <w:t>G4</w:t>
      </w:r>
      <w:r>
        <w:rPr>
          <w:rFonts w:hint="eastAsia" w:cs="Times New Roman"/>
        </w:rPr>
        <w:t>（主要含粉尘、非甲烷总烃）以及设备噪声。密炼过程设备封闭，使进料口呈现微负压，废气收集后经布袋除尘器和有机废气处理装备处理，符合《橡胶工厂环境保护设计规范》（</w:t>
      </w:r>
      <w:r>
        <w:rPr>
          <w:rFonts w:cs="Times New Roman"/>
        </w:rPr>
        <w:t>GB50469-2016</w:t>
      </w:r>
      <w:r>
        <w:rPr>
          <w:rFonts w:hint="eastAsia" w:cs="Times New Roman"/>
        </w:rPr>
        <w:t>）要求。</w:t>
      </w:r>
    </w:p>
    <w:p>
      <w:pPr>
        <w:ind w:firstLine="482"/>
        <w:jc w:val="both"/>
        <w:rPr>
          <w:rFonts w:cs="Times New Roman"/>
          <w:bCs/>
        </w:rPr>
      </w:pPr>
      <w:r>
        <w:rPr>
          <w:rFonts w:hint="eastAsia" w:cs="Times New Roman"/>
          <w:b/>
        </w:rPr>
        <w:t>加热挤出：</w:t>
      </w:r>
      <w:r>
        <w:rPr>
          <w:rFonts w:hint="eastAsia" w:cs="Times New Roman"/>
          <w:bCs/>
        </w:rPr>
        <w:t>密炼后的胶料通过挤出机挤压成长片</w:t>
      </w:r>
      <w:r>
        <w:rPr>
          <w:rFonts w:hint="eastAsia" w:cs="Times New Roman"/>
          <w:bCs/>
          <w:lang w:eastAsia="zh-CN"/>
        </w:rPr>
        <w:t>制作成硫化时所需要的块状配料</w:t>
      </w:r>
      <w:r>
        <w:rPr>
          <w:rFonts w:hint="eastAsia" w:cs="Times New Roman"/>
          <w:bCs/>
        </w:rPr>
        <w:t>，挤出</w:t>
      </w:r>
      <w:r>
        <w:rPr>
          <w:rFonts w:hint="eastAsia" w:cs="Times New Roman"/>
          <w:bCs/>
          <w:color w:val="000000"/>
        </w:rPr>
        <w:t>温度220℃。此</w:t>
      </w:r>
      <w:r>
        <w:rPr>
          <w:rFonts w:hint="eastAsia" w:cs="Times New Roman"/>
          <w:bCs/>
        </w:rPr>
        <w:t>过程会产生挤出废气</w:t>
      </w:r>
      <w:r>
        <w:rPr>
          <w:rFonts w:hint="eastAsia" w:cs="Times New Roman"/>
          <w:bCs/>
          <w:lang w:val="en-US" w:eastAsia="zh-CN"/>
        </w:rPr>
        <w:t>G5</w:t>
      </w:r>
      <w:r>
        <w:rPr>
          <w:rFonts w:hint="eastAsia" w:cs="Times New Roman"/>
          <w:bCs/>
        </w:rPr>
        <w:t>（主要含非甲烷总烃）以及设备噪声</w:t>
      </w:r>
      <w:r>
        <w:rPr>
          <w:rFonts w:hint="eastAsia" w:cs="Times New Roman"/>
          <w:bCs/>
          <w:lang w:eastAsia="zh-CN"/>
        </w:rPr>
        <w:t>，挤出机出料口设置集气装置，收集废气</w:t>
      </w:r>
      <w:r>
        <w:rPr>
          <w:rFonts w:hint="eastAsia" w:cs="Times New Roman"/>
          <w:bCs/>
        </w:rPr>
        <w:t>。</w:t>
      </w:r>
    </w:p>
    <w:p>
      <w:pPr>
        <w:jc w:val="both"/>
        <w:rPr>
          <w:rFonts w:hint="eastAsia" w:eastAsia="宋体"/>
          <w:lang w:eastAsia="zh-CN"/>
        </w:rPr>
      </w:pPr>
      <w:r>
        <w:rPr>
          <w:rFonts w:hint="eastAsia" w:cs="Times New Roman"/>
          <w:b/>
        </w:rPr>
        <w:t>切断成块：</w:t>
      </w:r>
      <w:r>
        <w:rPr>
          <w:rFonts w:hint="eastAsia"/>
        </w:rPr>
        <w:t>挤出后的半成品通过全自动裁断机切断成块，以</w:t>
      </w:r>
      <w:r>
        <w:rPr>
          <w:rFonts w:hint="eastAsia"/>
          <w:lang w:eastAsia="zh-CN"/>
        </w:rPr>
        <w:t>配比硫化罐尺寸，方便</w:t>
      </w:r>
      <w:r>
        <w:rPr>
          <w:rFonts w:hint="eastAsia"/>
        </w:rPr>
        <w:t>后续</w:t>
      </w:r>
      <w:r>
        <w:rPr>
          <w:rFonts w:hint="eastAsia"/>
          <w:lang w:eastAsia="zh-CN"/>
        </w:rPr>
        <w:t>硫化</w:t>
      </w:r>
      <w:r>
        <w:rPr>
          <w:rFonts w:hint="eastAsia"/>
        </w:rPr>
        <w:t>生产。</w:t>
      </w:r>
      <w:r>
        <w:rPr>
          <w:rFonts w:hint="eastAsia"/>
          <w:lang w:eastAsia="zh-CN"/>
        </w:rPr>
        <w:t>此过程无污染物产生。</w:t>
      </w:r>
    </w:p>
    <w:p>
      <w:pPr>
        <w:ind w:firstLine="482"/>
        <w:jc w:val="both"/>
        <w:rPr>
          <w:rFonts w:cs="Times New Roman"/>
        </w:rPr>
      </w:pPr>
      <w:r>
        <w:rPr>
          <w:rFonts w:hint="eastAsia" w:cs="Times New Roman"/>
          <w:b/>
          <w:bCs/>
        </w:rPr>
        <w:t>硫化成型：</w:t>
      </w:r>
      <w:r>
        <w:rPr>
          <w:rFonts w:hint="eastAsia" w:cs="Times New Roman"/>
        </w:rPr>
        <w:t>硫化是橡胶大分子链发生化学变化形成交联的过程，在这个过程中发生一系列的化学反应，是线性状态的橡胶变为立体网状橡胶的过程，这能有效加强橡胶软管的拉力、硬度、抗老化性、弹性等性能。</w:t>
      </w:r>
      <w:r>
        <w:rPr>
          <w:rFonts w:hint="eastAsia" w:cs="Times New Roman"/>
          <w:u w:val="single"/>
          <w:lang w:eastAsia="zh-CN"/>
        </w:rPr>
        <w:t>本项目使用的是间接蒸汽硫化罐，即蒸汽在罐内的相应夹套中通过，通过蒸汽的流通来为罐内带来热量，热量将会带来硫化的作用</w:t>
      </w:r>
      <w:r>
        <w:rPr>
          <w:rFonts w:hint="eastAsia" w:cs="Times New Roman"/>
          <w:u w:val="single"/>
        </w:rPr>
        <w:t>将一定量胶片放入</w:t>
      </w:r>
      <w:r>
        <w:rPr>
          <w:rFonts w:hint="eastAsia" w:cs="Times New Roman"/>
          <w:u w:val="single"/>
          <w:lang w:eastAsia="zh-CN"/>
        </w:rPr>
        <w:t>蒸气硫化</w:t>
      </w:r>
      <w:r>
        <w:rPr>
          <w:rFonts w:hint="eastAsia" w:cs="Times New Roman"/>
          <w:u w:val="single"/>
        </w:rPr>
        <w:t>罐，硫化罐上盖关闭后，硫化一般持续</w:t>
      </w:r>
      <w:r>
        <w:rPr>
          <w:rFonts w:hint="eastAsia" w:cs="Times New Roman"/>
          <w:color w:val="000000"/>
          <w:u w:val="single"/>
        </w:rPr>
        <w:t>35-40</w:t>
      </w:r>
      <w:r>
        <w:rPr>
          <w:rFonts w:cs="Times New Roman"/>
          <w:color w:val="000000"/>
          <w:u w:val="single"/>
        </w:rPr>
        <w:t>min</w:t>
      </w:r>
      <w:r>
        <w:rPr>
          <w:rFonts w:hint="eastAsia" w:cs="Times New Roman"/>
          <w:color w:val="000000"/>
          <w:u w:val="single"/>
        </w:rPr>
        <w:t>左右</w:t>
      </w:r>
      <w:r>
        <w:rPr>
          <w:rFonts w:hint="eastAsia" w:cs="Times New Roman"/>
          <w:color w:val="000000"/>
        </w:rPr>
        <w:t>，</w:t>
      </w:r>
      <w:r>
        <w:rPr>
          <w:rFonts w:hint="eastAsia" w:cs="Times New Roman"/>
        </w:rPr>
        <w:t>硫化罐内温度保持在</w:t>
      </w:r>
      <w:r>
        <w:rPr>
          <w:rFonts w:hint="eastAsia" w:cs="Times New Roman"/>
          <w:color w:val="000000"/>
        </w:rPr>
        <w:t>约130℃，3.0</w:t>
      </w:r>
      <w:r>
        <w:rPr>
          <w:rFonts w:cs="Times New Roman"/>
          <w:color w:val="000000"/>
        </w:rPr>
        <w:t>~</w:t>
      </w:r>
      <w:r>
        <w:rPr>
          <w:rFonts w:hint="eastAsia" w:cs="Times New Roman"/>
          <w:color w:val="000000"/>
        </w:rPr>
        <w:t>4.0</w:t>
      </w:r>
      <w:r>
        <w:rPr>
          <w:rFonts w:cs="Times New Roman"/>
          <w:color w:val="000000"/>
        </w:rPr>
        <w:t>MPa</w:t>
      </w:r>
      <w:r>
        <w:rPr>
          <w:rFonts w:hint="eastAsia" w:cs="Times New Roman"/>
          <w:color w:val="000000"/>
        </w:rPr>
        <w:t>，</w:t>
      </w:r>
      <w:r>
        <w:rPr>
          <w:rFonts w:hint="eastAsia" w:cs="Times New Roman"/>
        </w:rPr>
        <w:t>硫化完成后，</w:t>
      </w:r>
      <w:r>
        <w:rPr>
          <w:rFonts w:hint="eastAsia" w:cs="Times New Roman"/>
          <w:u w:val="single"/>
        </w:rPr>
        <w:t>泄压然后打开硫化罐，取出胶片</w:t>
      </w:r>
      <w:r>
        <w:rPr>
          <w:rFonts w:hint="eastAsia" w:cs="Times New Roman"/>
          <w:u w:val="single"/>
          <w:lang w:eastAsia="zh-CN"/>
        </w:rPr>
        <w:t>，硫化罐出口处设置集气罩收集泄压废气</w:t>
      </w:r>
      <w:r>
        <w:rPr>
          <w:rFonts w:hint="eastAsia" w:cs="Times New Roman"/>
          <w:u w:val="single"/>
        </w:rPr>
        <w:t>。</w:t>
      </w:r>
      <w:r>
        <w:rPr>
          <w:rFonts w:hint="eastAsia" w:cs="Times New Roman"/>
        </w:rPr>
        <w:t>胶片在硫化过程中，橡胶中线性大分子通过交联变成网状高分子，将塑性橡胶转化成为弹性橡胶或硬质橡胶。硫化过程使用</w:t>
      </w:r>
      <w:r>
        <w:rPr>
          <w:rFonts w:hint="eastAsia" w:cs="Times New Roman"/>
          <w:lang w:eastAsia="zh-CN"/>
        </w:rPr>
        <w:t>园区</w:t>
      </w:r>
      <w:r>
        <w:rPr>
          <w:rFonts w:hint="eastAsia" w:cs="Times New Roman"/>
        </w:rPr>
        <w:t>蒸汽</w:t>
      </w:r>
      <w:r>
        <w:rPr>
          <w:rFonts w:hint="eastAsia" w:cs="Times New Roman"/>
          <w:lang w:eastAsia="zh-CN"/>
        </w:rPr>
        <w:t>，</w:t>
      </w:r>
      <w:r>
        <w:rPr>
          <w:rFonts w:hint="eastAsia" w:cs="Times New Roman"/>
        </w:rPr>
        <w:t>因此硫化过程产生硫化废气</w:t>
      </w:r>
      <w:r>
        <w:rPr>
          <w:rFonts w:hint="eastAsia" w:cs="Times New Roman"/>
          <w:lang w:val="en-US" w:eastAsia="zh-CN"/>
        </w:rPr>
        <w:t>G6</w:t>
      </w:r>
      <w:r>
        <w:rPr>
          <w:rFonts w:hint="eastAsia" w:cs="Times New Roman"/>
        </w:rPr>
        <w:t>（非甲烷总烃、硫化氢等）、蒸汽冷凝废水和设备噪声。</w:t>
      </w:r>
    </w:p>
    <w:p>
      <w:pPr>
        <w:ind w:firstLine="482"/>
        <w:jc w:val="both"/>
        <w:rPr>
          <w:rFonts w:cs="Times New Roman"/>
        </w:rPr>
      </w:pPr>
      <w:r>
        <w:rPr>
          <w:rFonts w:hint="eastAsia" w:cs="Times New Roman"/>
          <w:b/>
          <w:bCs/>
          <w:lang w:eastAsia="zh-CN"/>
        </w:rPr>
        <w:t>粉碎</w:t>
      </w:r>
      <w:r>
        <w:rPr>
          <w:rFonts w:hint="eastAsia" w:cs="Times New Roman"/>
          <w:b/>
          <w:bCs/>
        </w:rPr>
        <w:t>：</w:t>
      </w:r>
      <w:r>
        <w:rPr>
          <w:rFonts w:hint="eastAsia" w:cs="Times New Roman"/>
        </w:rPr>
        <w:t>将硫化成型的产品经</w:t>
      </w:r>
      <w:r>
        <w:rPr>
          <w:rFonts w:hint="eastAsia" w:cs="Times New Roman"/>
          <w:lang w:eastAsia="zh-CN"/>
        </w:rPr>
        <w:t>粉碎</w:t>
      </w:r>
      <w:r>
        <w:rPr>
          <w:rFonts w:hint="eastAsia" w:cs="Times New Roman"/>
        </w:rPr>
        <w:t>机破碎，此工序会产生少量颗粒物和噪声</w:t>
      </w:r>
      <w:r>
        <w:rPr>
          <w:rFonts w:hint="eastAsia" w:cs="Times New Roman"/>
          <w:lang w:eastAsia="zh-CN"/>
        </w:rPr>
        <w:t>，粉碎过程废气由粉碎机顶端设置负压吸风装置收集粉碎废气</w:t>
      </w:r>
      <w:r>
        <w:rPr>
          <w:rFonts w:hint="eastAsia" w:cs="Times New Roman"/>
          <w:lang w:val="en-US" w:eastAsia="zh-CN"/>
        </w:rPr>
        <w:t>G7</w:t>
      </w:r>
      <w:r>
        <w:rPr>
          <w:rFonts w:hint="eastAsia" w:cs="Times New Roman"/>
        </w:rPr>
        <w:t>。</w:t>
      </w:r>
    </w:p>
    <w:p>
      <w:pPr>
        <w:ind w:firstLine="482"/>
        <w:jc w:val="both"/>
        <w:rPr>
          <w:rFonts w:hint="eastAsia" w:cs="Times New Roman"/>
        </w:rPr>
      </w:pPr>
      <w:r>
        <w:rPr>
          <w:rFonts w:hint="eastAsia" w:cs="Times New Roman"/>
          <w:b/>
          <w:bCs/>
        </w:rPr>
        <w:t>筛选、包装入库：</w:t>
      </w:r>
      <w:r>
        <w:rPr>
          <w:rFonts w:hint="eastAsia" w:cs="Times New Roman"/>
        </w:rPr>
        <w:t>将破碎后的颗粒经筛</w:t>
      </w:r>
      <w:r>
        <w:rPr>
          <w:rFonts w:hint="eastAsia" w:cs="Times New Roman"/>
          <w:lang w:eastAsia="zh-CN"/>
        </w:rPr>
        <w:t>网筛</w:t>
      </w:r>
      <w:r>
        <w:rPr>
          <w:rFonts w:hint="eastAsia" w:cs="Times New Roman"/>
        </w:rPr>
        <w:t>选后包装入库，</w:t>
      </w:r>
      <w:r>
        <w:rPr>
          <w:rFonts w:hint="eastAsia" w:cs="Times New Roman"/>
          <w:lang w:eastAsia="zh-CN"/>
        </w:rPr>
        <w:t>筛选过程为颗粒筛分，无废气产生，产生</w:t>
      </w:r>
      <w:r>
        <w:rPr>
          <w:rFonts w:hint="eastAsia" w:cs="Times New Roman"/>
        </w:rPr>
        <w:t>不合格</w:t>
      </w:r>
      <w:r>
        <w:rPr>
          <w:rFonts w:hint="eastAsia" w:cs="Times New Roman"/>
          <w:lang w:eastAsia="zh-CN"/>
        </w:rPr>
        <w:t>粒径的废品</w:t>
      </w:r>
      <w:r>
        <w:rPr>
          <w:rFonts w:hint="eastAsia" w:cs="Times New Roman"/>
          <w:lang w:val="en-US" w:eastAsia="zh-CN"/>
        </w:rPr>
        <w:t>S2，返回破碎工序</w:t>
      </w:r>
      <w:r>
        <w:rPr>
          <w:rFonts w:hint="eastAsia" w:cs="Times New Roman"/>
        </w:rPr>
        <w:t>。</w:t>
      </w:r>
    </w:p>
    <w:p>
      <w:pPr>
        <w:ind w:firstLine="482"/>
        <w:jc w:val="both"/>
        <w:rPr>
          <w:rFonts w:cs="Times New Roman"/>
          <w:b/>
          <w:bCs/>
        </w:rPr>
      </w:pPr>
      <w:r>
        <w:rPr>
          <w:rFonts w:hint="eastAsia" w:cs="Times New Roman"/>
          <w:b/>
          <w:bCs/>
        </w:rPr>
        <w:t>二、产污流程简述：</w:t>
      </w:r>
    </w:p>
    <w:p>
      <w:pPr>
        <w:ind w:firstLine="480"/>
        <w:jc w:val="both"/>
        <w:rPr>
          <w:rFonts w:cs="Times New Roman"/>
        </w:rPr>
      </w:pPr>
      <w:r>
        <w:rPr>
          <w:rFonts w:hint="eastAsia" w:cs="Times New Roman"/>
        </w:rPr>
        <w:t>废气：混料上料口上料粉尘G3、混合密炼加热挤出产生的废气G4、G5，硫化成型G6、破碎废气G7；</w:t>
      </w:r>
    </w:p>
    <w:p>
      <w:pPr>
        <w:ind w:firstLine="480"/>
        <w:jc w:val="both"/>
        <w:rPr>
          <w:rFonts w:hint="eastAsia" w:cs="Times New Roman"/>
        </w:rPr>
      </w:pPr>
      <w:r>
        <w:rPr>
          <w:rFonts w:hint="eastAsia" w:cs="Times New Roman"/>
        </w:rPr>
        <w:t>固体废物：</w:t>
      </w:r>
      <w:r>
        <w:rPr>
          <w:rFonts w:hint="eastAsia" w:cs="Times New Roman"/>
          <w:color w:val="000000"/>
          <w:kern w:val="0"/>
          <w:lang w:eastAsia="zh-CN" w:bidi="ar"/>
        </w:rPr>
        <w:t>筛选废品</w:t>
      </w:r>
      <w:r>
        <w:rPr>
          <w:rFonts w:hint="eastAsia" w:cs="Times New Roman"/>
        </w:rPr>
        <w:t>S2；</w:t>
      </w:r>
    </w:p>
    <w:p>
      <w:pPr>
        <w:ind w:firstLine="480"/>
        <w:jc w:val="both"/>
        <w:rPr>
          <w:rFonts w:hint="default" w:cs="Times New Roman"/>
          <w:lang w:val="en-US" w:eastAsia="zh-CN"/>
        </w:rPr>
      </w:pPr>
      <w:r>
        <w:rPr>
          <w:rFonts w:hint="eastAsia" w:cs="Times New Roman"/>
          <w:lang w:eastAsia="zh-CN"/>
        </w:rPr>
        <w:t>废水：间接蒸汽硫化罐，蒸汽冷凝水汇同生产废水经厂内污水站处置达标后进入市政污水管网引至平顶山第三污水处理厂。</w:t>
      </w:r>
    </w:p>
    <w:p>
      <w:pPr>
        <w:ind w:firstLine="480"/>
        <w:jc w:val="both"/>
        <w:rPr>
          <w:rFonts w:cs="Times New Roman"/>
        </w:rPr>
      </w:pPr>
      <w:r>
        <w:rPr>
          <w:rFonts w:hint="eastAsia" w:cs="Times New Roman"/>
        </w:rPr>
        <w:t>噪声：主要为设备运行产生的噪声。</w:t>
      </w:r>
    </w:p>
    <w:p>
      <w:pPr>
        <w:ind w:firstLine="482"/>
        <w:jc w:val="both"/>
        <w:rPr>
          <w:rFonts w:cs="Times New Roman"/>
          <w:b/>
          <w:bCs/>
        </w:rPr>
      </w:pPr>
      <w:r>
        <w:rPr>
          <w:rFonts w:hint="eastAsia" w:cs="Times New Roman"/>
          <w:b/>
          <w:bCs/>
        </w:rPr>
        <w:t>三、物料衡算：</w:t>
      </w:r>
    </w:p>
    <w:p>
      <w:pPr>
        <w:ind w:firstLine="480"/>
        <w:jc w:val="both"/>
        <w:rPr>
          <w:rFonts w:cs="Times New Roman"/>
        </w:rPr>
      </w:pPr>
      <w:r>
        <w:rPr>
          <w:rFonts w:hint="eastAsia" w:cs="Times New Roman"/>
        </w:rPr>
        <w:t>本项目生产的</w:t>
      </w:r>
      <w:r>
        <w:rPr>
          <w:rFonts w:hint="eastAsia" w:cs="Times New Roman"/>
          <w:lang w:eastAsia="zh-CN"/>
        </w:rPr>
        <w:t>EPDM颗粒</w:t>
      </w:r>
      <w:r>
        <w:rPr>
          <w:rFonts w:hint="eastAsia" w:cs="Times New Roman"/>
        </w:rPr>
        <w:t>，仅是塑胶跑道中的其中一种原料，</w:t>
      </w:r>
      <w:r>
        <w:rPr>
          <w:rFonts w:hint="eastAsia" w:cs="Times New Roman"/>
          <w:lang w:eastAsia="zh-CN"/>
        </w:rPr>
        <w:t>EPDM颗粒</w:t>
      </w:r>
      <w:r>
        <w:rPr>
          <w:rFonts w:hint="eastAsia" w:cs="Times New Roman"/>
        </w:rPr>
        <w:t>生产过程不使用再生原料，通过对购买的生产原料质量标准进行把控，故能够确保EPDM产品质量能够满足表2.1-3EPDM产品质量标准。</w:t>
      </w:r>
    </w:p>
    <w:p>
      <w:pPr>
        <w:ind w:firstLine="480"/>
        <w:jc w:val="both"/>
        <w:rPr>
          <w:rFonts w:cs="Times New Roman"/>
        </w:rPr>
      </w:pPr>
      <w:r>
        <w:rPr>
          <w:rFonts w:hint="eastAsia" w:cs="Times New Roman"/>
        </w:rPr>
        <w:t>根据《排污许可证申请与核发技术规范 橡胶和塑料制品工业》（HJ1122-2020）中运动场地用塑胶制造密炼生产废气特征因子为颗粒物、非甲烷总烃、臭气浓度及恶臭特征污染物，硫化生产废气特征因子为非甲烷总烃、臭气浓度及</w:t>
      </w:r>
      <w:r>
        <w:rPr>
          <w:rFonts w:hint="eastAsia" w:cs="Times New Roman"/>
          <w:lang w:eastAsia="zh-CN"/>
        </w:rPr>
        <w:t>二硫化碳</w:t>
      </w:r>
      <w:r>
        <w:rPr>
          <w:rFonts w:hint="eastAsia" w:cs="Times New Roman"/>
        </w:rPr>
        <w:t>特征污染物；根据《橡胶制品工业污染物排放标准》GB27632-2011中橡胶制品生产废气排放因子为颗粒物、非甲烷总烃</w:t>
      </w:r>
      <w:r>
        <w:rPr>
          <w:rFonts w:hint="eastAsia" w:cs="Times New Roman"/>
          <w:lang w:eastAsia="zh-CN"/>
        </w:rPr>
        <w:t>、硫化氢</w:t>
      </w:r>
      <w:r>
        <w:rPr>
          <w:rFonts w:hint="eastAsia" w:cs="Times New Roman"/>
        </w:rPr>
        <w:t>。</w:t>
      </w:r>
    </w:p>
    <w:p>
      <w:pPr>
        <w:ind w:firstLine="480"/>
        <w:jc w:val="both"/>
        <w:rPr>
          <w:rFonts w:cs="Times New Roman"/>
        </w:rPr>
      </w:pPr>
      <w:r>
        <w:rPr>
          <w:rFonts w:hint="eastAsia" w:cs="Times New Roman"/>
        </w:rPr>
        <w:t>综上所述，故本次</w:t>
      </w:r>
      <w:r>
        <w:rPr>
          <w:rFonts w:hint="eastAsia" w:cs="Times New Roman"/>
          <w:lang w:eastAsia="zh-CN"/>
        </w:rPr>
        <w:t>EPDM颗粒</w:t>
      </w:r>
      <w:r>
        <w:rPr>
          <w:rFonts w:hint="eastAsia" w:cs="Times New Roman"/>
        </w:rPr>
        <w:t>密炼废气特征污染物主要考虑颗粒物、非甲烷总烃、臭气浓度及硫化氢（恶臭特征污染物），硫化废气特征污染物主要考虑非甲烷总烃、臭气浓度及硫化氢（恶臭特征污染物）。</w:t>
      </w:r>
    </w:p>
    <w:p>
      <w:pPr>
        <w:widowControl/>
        <w:ind w:firstLine="480"/>
        <w:jc w:val="both"/>
        <w:rPr>
          <w:rFonts w:hint="default" w:eastAsia="宋体"/>
          <w:lang w:val="en-US" w:eastAsia="zh-CN"/>
        </w:rPr>
      </w:pPr>
      <w:r>
        <w:rPr>
          <w:rFonts w:hint="eastAsia"/>
          <w:lang w:eastAsia="zh-CN"/>
        </w:rPr>
        <w:t>（</w:t>
      </w:r>
      <w:r>
        <w:rPr>
          <w:rFonts w:hint="eastAsia"/>
          <w:lang w:val="en-US" w:eastAsia="zh-CN"/>
        </w:rPr>
        <w:t>1</w:t>
      </w:r>
      <w:r>
        <w:rPr>
          <w:rFonts w:hint="eastAsia"/>
          <w:lang w:eastAsia="zh-CN"/>
        </w:rPr>
        <w:t>）本项目</w:t>
      </w:r>
      <w:r>
        <w:rPr>
          <w:rFonts w:hint="eastAsia"/>
          <w:lang w:val="en-US" w:eastAsia="zh-CN"/>
        </w:rPr>
        <w:t>EPDM颗粒生产线粉尘废气，集中收集由脉冲袋式除尘器处理排放。</w:t>
      </w:r>
    </w:p>
    <w:p>
      <w:pPr>
        <w:widowControl/>
        <w:ind w:firstLine="480"/>
        <w:jc w:val="both"/>
        <w:rPr>
          <w:rFonts w:hint="default" w:eastAsia="宋体"/>
          <w:color w:val="000000" w:themeColor="text1"/>
          <w:lang w:val="en-US" w:eastAsia="zh-CN"/>
          <w14:textFill>
            <w14:solidFill>
              <w14:schemeClr w14:val="tx1"/>
            </w14:solidFill>
          </w14:textFill>
        </w:rPr>
      </w:pPr>
      <w:r>
        <w:rPr>
          <w:rFonts w:hint="eastAsia"/>
        </w:rPr>
        <w:t>G3</w:t>
      </w:r>
      <w:r>
        <w:rPr>
          <w:rFonts w:hint="eastAsia"/>
          <w:color w:val="000000" w:themeColor="text1"/>
          <w14:textFill>
            <w14:solidFill>
              <w14:schemeClr w14:val="tx1"/>
            </w14:solidFill>
          </w14:textFill>
        </w:rPr>
        <w:t>投料粉尘</w:t>
      </w: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G7粉碎粉尘、G4混合密炼粉尘</w:t>
      </w:r>
    </w:p>
    <w:p>
      <w:pPr>
        <w:widowControl/>
        <w:ind w:firstLine="480"/>
        <w:jc w:val="both"/>
        <w:rPr>
          <w:rFonts w:hint="eastAsia"/>
          <w:color w:val="000000" w:themeColor="text1"/>
          <w:lang w:eastAsia="zh-CN"/>
          <w14:textFill>
            <w14:solidFill>
              <w14:schemeClr w14:val="tx1"/>
            </w14:solidFill>
          </w14:textFill>
        </w:rPr>
      </w:pPr>
      <w:r>
        <w:rPr>
          <w:color w:val="000000" w:themeColor="text1"/>
          <w14:textFill>
            <w14:solidFill>
              <w14:schemeClr w14:val="tx1"/>
            </w14:solidFill>
          </w14:textFill>
        </w:rPr>
        <w:t>项目粉状物料在投料时，</w:t>
      </w:r>
      <w:r>
        <w:rPr>
          <w:rFonts w:hint="eastAsia"/>
          <w:color w:val="000000" w:themeColor="text1"/>
          <w:lang w:eastAsia="zh-CN"/>
          <w14:textFill>
            <w14:solidFill>
              <w14:schemeClr w14:val="tx1"/>
            </w14:solidFill>
          </w14:textFill>
        </w:rPr>
        <w:t>密炼机钙粉</w:t>
      </w:r>
      <w:r>
        <w:rPr>
          <w:color w:val="000000" w:themeColor="text1"/>
          <w14:textFill>
            <w14:solidFill>
              <w14:schemeClr w14:val="tx1"/>
            </w14:solidFill>
          </w14:textFill>
        </w:rPr>
        <w:t>投料口会产生少量的粉尘</w:t>
      </w:r>
      <w:r>
        <w:rPr>
          <w:rFonts w:hint="eastAsia"/>
          <w:color w:val="000000" w:themeColor="text1"/>
          <w:lang w:val="en-US" w:eastAsia="zh-CN"/>
          <w14:textFill>
            <w14:solidFill>
              <w14:schemeClr w14:val="tx1"/>
            </w14:solidFill>
          </w14:textFill>
        </w:rPr>
        <w:t>G3</w:t>
      </w:r>
      <w:r>
        <w:rPr>
          <w:color w:val="000000" w:themeColor="text1"/>
          <w14:textFill>
            <w14:solidFill>
              <w14:schemeClr w14:val="tx1"/>
            </w14:solidFill>
          </w14:textFill>
        </w:rPr>
        <w:t>；</w:t>
      </w:r>
      <w:r>
        <w:rPr>
          <w:rFonts w:hint="eastAsia"/>
          <w:color w:val="000000" w:themeColor="text1"/>
          <w:lang w:eastAsia="zh-CN"/>
          <w14:textFill>
            <w14:solidFill>
              <w14:schemeClr w14:val="tx1"/>
            </w14:solidFill>
          </w14:textFill>
        </w:rPr>
        <w:t>密炼机混料过程会产生有搅拌粉尘</w:t>
      </w:r>
      <w:r>
        <w:rPr>
          <w:rFonts w:hint="eastAsia"/>
          <w:color w:val="000000" w:themeColor="text1"/>
          <w:lang w:val="en-US" w:eastAsia="zh-CN"/>
          <w14:textFill>
            <w14:solidFill>
              <w14:schemeClr w14:val="tx1"/>
            </w14:solidFill>
          </w14:textFill>
        </w:rPr>
        <w:t>G4，</w:t>
      </w:r>
      <w:r>
        <w:rPr>
          <w:rFonts w:hint="eastAsia"/>
          <w:color w:val="000000" w:themeColor="text1"/>
          <w:lang w:eastAsia="zh-CN"/>
          <w14:textFill>
            <w14:solidFill>
              <w14:schemeClr w14:val="tx1"/>
            </w14:solidFill>
          </w14:textFill>
        </w:rPr>
        <w:t>粉碎过程会产生粉碎粉尘</w:t>
      </w:r>
      <w:r>
        <w:rPr>
          <w:rFonts w:hint="eastAsia"/>
          <w:color w:val="000000" w:themeColor="text1"/>
          <w:lang w:val="en-US" w:eastAsia="zh-CN"/>
          <w14:textFill>
            <w14:solidFill>
              <w14:schemeClr w14:val="tx1"/>
            </w14:solidFill>
          </w14:textFill>
        </w:rPr>
        <w:t>G7</w:t>
      </w:r>
      <w:r>
        <w:rPr>
          <w:rFonts w:hint="eastAsia"/>
          <w:color w:val="000000" w:themeColor="text1"/>
          <w:lang w:eastAsia="zh-CN"/>
          <w14:textFill>
            <w14:solidFill>
              <w14:schemeClr w14:val="tx1"/>
            </w14:solidFill>
          </w14:textFill>
        </w:rPr>
        <w:t>，</w:t>
      </w:r>
      <w:r>
        <w:rPr>
          <w:color w:val="000000" w:themeColor="text1"/>
          <w14:textFill>
            <w14:solidFill>
              <w14:schemeClr w14:val="tx1"/>
            </w14:solidFill>
          </w14:textFill>
        </w:rPr>
        <w:t>类比同行业，</w:t>
      </w:r>
      <w:r>
        <w:rPr>
          <w:rFonts w:hint="eastAsia"/>
          <w:color w:val="000000" w:themeColor="text1"/>
          <w14:textFill>
            <w14:solidFill>
              <w14:schemeClr w14:val="tx1"/>
            </w14:solidFill>
          </w14:textFill>
        </w:rPr>
        <w:t>参考《</w:t>
      </w:r>
      <w:r>
        <w:rPr>
          <w:rFonts w:hint="eastAsia"/>
          <w:color w:val="000000" w:themeColor="text1"/>
          <w:lang w:eastAsia="zh-CN"/>
          <w14:textFill>
            <w14:solidFill>
              <w14:schemeClr w14:val="tx1"/>
            </w14:solidFill>
          </w14:textFill>
        </w:rPr>
        <w:t>河南钰健人造草坪有限公司年产150万平方米人造草坪及年产3500吨EPDM缓冲颗粒项目</w:t>
      </w:r>
      <w:r>
        <w:rPr>
          <w:rFonts w:hint="eastAsia"/>
          <w:color w:val="000000" w:themeColor="text1"/>
          <w14:textFill>
            <w14:solidFill>
              <w14:schemeClr w14:val="tx1"/>
            </w14:solidFill>
          </w14:textFill>
        </w:rPr>
        <w:t>竣工环境保护验收监测报告》（</w:t>
      </w:r>
      <w:r>
        <w:rPr>
          <w:rFonts w:hint="eastAsia"/>
          <w:color w:val="000000" w:themeColor="text1"/>
          <w:lang w:eastAsia="zh-CN"/>
          <w14:textFill>
            <w14:solidFill>
              <w14:schemeClr w14:val="tx1"/>
            </w14:solidFill>
          </w14:textFill>
        </w:rPr>
        <w:t>环评文件审批文号：</w:t>
      </w:r>
      <w:r>
        <w:rPr>
          <w:rFonts w:hint="eastAsia"/>
          <w:color w:val="000000" w:themeColor="text1"/>
          <w14:textFill>
            <w14:solidFill>
              <w14:schemeClr w14:val="tx1"/>
            </w14:solidFill>
          </w14:textFill>
        </w:rPr>
        <w:t>叶环审</w:t>
      </w:r>
      <w:r>
        <w:rPr>
          <w:rFonts w:hint="eastAsia" w:ascii="宋体" w:hAnsi="宋体" w:cs="宋体"/>
          <w:color w:val="000000" w:themeColor="text1"/>
          <w14:textFill>
            <w14:solidFill>
              <w14:schemeClr w14:val="tx1"/>
            </w14:solidFill>
          </w14:textFill>
        </w:rPr>
        <w:t>〔</w:t>
      </w:r>
      <w:r>
        <w:rPr>
          <w:rFonts w:hint="eastAsia"/>
          <w:color w:val="000000" w:themeColor="text1"/>
          <w14:textFill>
            <w14:solidFill>
              <w14:schemeClr w14:val="tx1"/>
            </w14:solidFill>
          </w14:textFill>
        </w:rPr>
        <w:t>2021</w:t>
      </w:r>
      <w:r>
        <w:rPr>
          <w:rFonts w:hint="eastAsia" w:ascii="宋体" w:hAnsi="宋体" w:cs="宋体"/>
          <w:color w:val="000000" w:themeColor="text1"/>
          <w14:textFill>
            <w14:solidFill>
              <w14:schemeClr w14:val="tx1"/>
            </w14:solidFill>
          </w14:textFill>
        </w:rPr>
        <w:t>〕</w:t>
      </w:r>
      <w:r>
        <w:rPr>
          <w:rFonts w:hint="eastAsia"/>
          <w:color w:val="000000" w:themeColor="text1"/>
          <w14:textFill>
            <w14:solidFill>
              <w14:schemeClr w14:val="tx1"/>
            </w14:solidFill>
          </w14:textFill>
        </w:rPr>
        <w:t>28号）</w:t>
      </w:r>
      <w:r>
        <w:rPr>
          <w:rFonts w:hint="eastAsia"/>
          <w:color w:val="000000" w:themeColor="text1"/>
          <w:lang w:eastAsia="zh-CN"/>
          <w14:textFill>
            <w14:solidFill>
              <w14:schemeClr w14:val="tx1"/>
            </w14:solidFill>
          </w14:textFill>
        </w:rPr>
        <w:t>，其生产工艺与本项目一致。</w:t>
      </w:r>
    </w:p>
    <w:p>
      <w:pPr>
        <w:widowControl/>
        <w:ind w:firstLine="480"/>
        <w:jc w:val="both"/>
        <w:rPr>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河南钰健人造草坪有限公司年产150万平方米人造草坪及年产3500吨EPDM缓冲颗粒项目</w:t>
      </w:r>
      <w:r>
        <w:rPr>
          <w:rFonts w:hint="eastAsia"/>
          <w:color w:val="000000" w:themeColor="text1"/>
          <w:lang w:val="en-US" w:eastAsia="zh-CN"/>
          <w14:textFill>
            <w14:solidFill>
              <w14:schemeClr w14:val="tx1"/>
            </w14:solidFill>
          </w14:textFill>
        </w:rPr>
        <w:t>EPDM生产线污染防治设施与本项目一致，</w:t>
      </w:r>
      <w:r>
        <w:rPr>
          <w:rFonts w:hint="eastAsia"/>
          <w:lang w:val="en-US" w:eastAsia="zh-CN"/>
        </w:rPr>
        <w:t>粉尘废气集中收集由脉冲袋式除尘器处理排放。</w:t>
      </w:r>
      <w:r>
        <w:rPr>
          <w:rFonts w:hint="eastAsia"/>
          <w:color w:val="000000" w:themeColor="text1"/>
          <w:lang w:eastAsia="zh-CN"/>
          <w14:textFill>
            <w14:solidFill>
              <w14:schemeClr w14:val="tx1"/>
            </w14:solidFill>
          </w14:textFill>
        </w:rPr>
        <w:t>根据验收期间工况日用矿粉、色粉、三元乙丙橡胶原料合计</w:t>
      </w:r>
      <w:r>
        <w:rPr>
          <w:rFonts w:hint="eastAsia"/>
          <w:color w:val="000000" w:themeColor="text1"/>
          <w:lang w:val="en-US" w:eastAsia="zh-CN"/>
          <w14:textFill>
            <w14:solidFill>
              <w14:schemeClr w14:val="tx1"/>
            </w14:solidFill>
          </w14:textFill>
        </w:rPr>
        <w:t>9.552t，工况期间袋式除尘器进口颗粒物速率为0.479kg/h，</w:t>
      </w:r>
      <w:r>
        <w:rPr>
          <w:color w:val="000000" w:themeColor="text1"/>
          <w14:textFill>
            <w14:solidFill>
              <w14:schemeClr w14:val="tx1"/>
            </w14:solidFill>
          </w14:textFill>
        </w:rPr>
        <w:t>粉尘产生量约为0.</w:t>
      </w:r>
      <w:r>
        <w:rPr>
          <w:rFonts w:hint="eastAsia"/>
          <w:color w:val="000000" w:themeColor="text1"/>
          <w:lang w:val="en-US" w:eastAsia="zh-CN"/>
          <w14:textFill>
            <w14:solidFill>
              <w14:schemeClr w14:val="tx1"/>
            </w14:solidFill>
          </w14:textFill>
        </w:rPr>
        <w:t>401</w:t>
      </w:r>
      <w:r>
        <w:rPr>
          <w:color w:val="000000" w:themeColor="text1"/>
          <w14:textFill>
            <w14:solidFill>
              <w14:schemeClr w14:val="tx1"/>
            </w14:solidFill>
          </w14:textFill>
        </w:rPr>
        <w:t>‰物料，</w:t>
      </w:r>
      <w:r>
        <w:rPr>
          <w:rFonts w:hint="eastAsia"/>
          <w:color w:val="000000" w:themeColor="text1"/>
          <w:lang w:eastAsia="zh-CN"/>
          <w14:textFill>
            <w14:solidFill>
              <w14:schemeClr w14:val="tx1"/>
            </w14:solidFill>
          </w14:textFill>
        </w:rPr>
        <w:t>本</w:t>
      </w:r>
      <w:r>
        <w:rPr>
          <w:color w:val="000000" w:themeColor="text1"/>
          <w14:textFill>
            <w14:solidFill>
              <w14:schemeClr w14:val="tx1"/>
            </w14:solidFill>
          </w14:textFill>
        </w:rPr>
        <w:t>项目物料用量为</w:t>
      </w:r>
      <w:r>
        <w:rPr>
          <w:rFonts w:hint="eastAsia"/>
          <w:color w:val="000000" w:themeColor="text1"/>
          <w:lang w:val="en-US" w:eastAsia="zh-CN"/>
          <w14:textFill>
            <w14:solidFill>
              <w14:schemeClr w14:val="tx1"/>
            </w14:solidFill>
          </w14:textFill>
        </w:rPr>
        <w:t>2916.67</w:t>
      </w:r>
      <w:r>
        <w:rPr>
          <w:color w:val="000000" w:themeColor="text1"/>
          <w14:textFill>
            <w14:solidFill>
              <w14:schemeClr w14:val="tx1"/>
            </w14:solidFill>
          </w14:textFill>
        </w:rPr>
        <w:t>t/a，则粉尘产生量约为</w:t>
      </w:r>
      <w:r>
        <w:rPr>
          <w:rFonts w:hint="eastAsia"/>
          <w:color w:val="000000" w:themeColor="text1"/>
          <w:lang w:val="en-US" w:eastAsia="zh-CN"/>
          <w14:textFill>
            <w14:solidFill>
              <w14:schemeClr w14:val="tx1"/>
            </w14:solidFill>
          </w14:textFill>
        </w:rPr>
        <w:t>1.170</w:t>
      </w:r>
      <w:r>
        <w:rPr>
          <w:color w:val="000000" w:themeColor="text1"/>
          <w14:textFill>
            <w14:solidFill>
              <w14:schemeClr w14:val="tx1"/>
            </w14:solidFill>
          </w14:textFill>
        </w:rPr>
        <w:t>t/a。</w:t>
      </w:r>
    </w:p>
    <w:p>
      <w:pPr>
        <w:widowControl/>
        <w:ind w:firstLine="480"/>
        <w:jc w:val="both"/>
        <w:rPr>
          <w:rFonts w:hint="default" w:eastAsia="宋体"/>
          <w:lang w:val="en-US" w:eastAsia="zh-CN"/>
        </w:rPr>
      </w:pPr>
      <w:r>
        <w:rPr>
          <w:rFonts w:hint="eastAsia"/>
          <w:lang w:eastAsia="zh-CN"/>
        </w:rPr>
        <w:t>（</w:t>
      </w:r>
      <w:r>
        <w:rPr>
          <w:rFonts w:hint="eastAsia"/>
          <w:lang w:val="en-US" w:eastAsia="zh-CN"/>
        </w:rPr>
        <w:t>2</w:t>
      </w:r>
      <w:r>
        <w:rPr>
          <w:rFonts w:hint="eastAsia"/>
          <w:lang w:eastAsia="zh-CN"/>
        </w:rPr>
        <w:t>）本项目</w:t>
      </w:r>
      <w:r>
        <w:rPr>
          <w:rFonts w:hint="eastAsia"/>
          <w:lang w:val="en-US" w:eastAsia="zh-CN"/>
        </w:rPr>
        <w:t>EPDM颗粒生产线有机废气（以非甲烷总烃计），集中收集由工序二次密闭+吸附浓缩+催化燃烧设施处理后排放。</w:t>
      </w:r>
    </w:p>
    <w:p>
      <w:pPr>
        <w:pStyle w:val="27"/>
        <w:spacing w:after="0"/>
        <w:ind w:left="0" w:leftChars="0" w:firstLine="480"/>
        <w:jc w:val="both"/>
        <w:rPr>
          <w:color w:val="000000" w:themeColor="text1"/>
          <w14:textFill>
            <w14:solidFill>
              <w14:schemeClr w14:val="tx1"/>
            </w14:solidFill>
          </w14:textFill>
        </w:rPr>
      </w:pPr>
      <w:r>
        <w:rPr>
          <w:rFonts w:hint="eastAsia"/>
        </w:rPr>
        <w:t>G4密炼废气、G5</w:t>
      </w:r>
      <w:r>
        <w:rPr>
          <w:rFonts w:hint="eastAsia"/>
          <w:lang w:eastAsia="zh-CN"/>
        </w:rPr>
        <w:t>挤出</w:t>
      </w:r>
      <w:r>
        <w:rPr>
          <w:rFonts w:hint="eastAsia"/>
        </w:rPr>
        <w:t>废气、G6硫化废气</w:t>
      </w:r>
    </w:p>
    <w:p>
      <w:pPr>
        <w:widowControl/>
        <w:ind w:firstLine="480"/>
        <w:jc w:val="both"/>
        <w:rPr>
          <w:rFonts w:hint="eastAsia"/>
          <w:u w:val="single"/>
        </w:rPr>
      </w:pPr>
      <w:r>
        <w:rPr>
          <w:color w:val="000000" w:themeColor="text1"/>
          <w:u w:val="single"/>
          <w14:textFill>
            <w14:solidFill>
              <w14:schemeClr w14:val="tx1"/>
            </w14:solidFill>
          </w14:textFill>
        </w:rPr>
        <w:t>项目</w:t>
      </w:r>
      <w:r>
        <w:rPr>
          <w:rFonts w:hint="eastAsia"/>
          <w:color w:val="000000" w:themeColor="text1"/>
          <w:u w:val="single"/>
          <w:lang w:eastAsia="zh-CN"/>
          <w14:textFill>
            <w14:solidFill>
              <w14:schemeClr w14:val="tx1"/>
            </w14:solidFill>
          </w14:textFill>
        </w:rPr>
        <w:t>密炼</w:t>
      </w:r>
      <w:r>
        <w:rPr>
          <w:color w:val="000000" w:themeColor="text1"/>
          <w:u w:val="single"/>
          <w14:textFill>
            <w14:solidFill>
              <w14:schemeClr w14:val="tx1"/>
            </w14:solidFill>
          </w14:textFill>
        </w:rPr>
        <w:t>时，</w:t>
      </w:r>
      <w:r>
        <w:rPr>
          <w:rFonts w:hint="eastAsia"/>
          <w:color w:val="000000" w:themeColor="text1"/>
          <w:u w:val="single"/>
          <w:lang w:eastAsia="zh-CN"/>
          <w14:textFill>
            <w14:solidFill>
              <w14:schemeClr w14:val="tx1"/>
            </w14:solidFill>
          </w14:textFill>
        </w:rPr>
        <w:t>密炼机内高温白矿油等会儿挥发</w:t>
      </w:r>
      <w:r>
        <w:rPr>
          <w:color w:val="000000" w:themeColor="text1"/>
          <w:u w:val="single"/>
          <w14:textFill>
            <w14:solidFill>
              <w14:schemeClr w14:val="tx1"/>
            </w14:solidFill>
          </w14:textFill>
        </w:rPr>
        <w:t>产生</w:t>
      </w:r>
      <w:r>
        <w:rPr>
          <w:rFonts w:hint="eastAsia"/>
          <w:color w:val="000000" w:themeColor="text1"/>
          <w:u w:val="single"/>
          <w:lang w:eastAsia="zh-CN"/>
          <w14:textFill>
            <w14:solidFill>
              <w14:schemeClr w14:val="tx1"/>
            </w14:solidFill>
          </w14:textFill>
        </w:rPr>
        <w:t>有机废气</w:t>
      </w:r>
      <w:r>
        <w:rPr>
          <w:rFonts w:hint="eastAsia"/>
          <w:color w:val="000000" w:themeColor="text1"/>
          <w:u w:val="single"/>
          <w:lang w:val="en-US" w:eastAsia="zh-CN"/>
          <w14:textFill>
            <w14:solidFill>
              <w14:schemeClr w14:val="tx1"/>
            </w14:solidFill>
          </w14:textFill>
        </w:rPr>
        <w:t>G4</w:t>
      </w:r>
      <w:r>
        <w:rPr>
          <w:color w:val="000000" w:themeColor="text1"/>
          <w:u w:val="single"/>
          <w14:textFill>
            <w14:solidFill>
              <w14:schemeClr w14:val="tx1"/>
            </w14:solidFill>
          </w14:textFill>
        </w:rPr>
        <w:t>；</w:t>
      </w:r>
      <w:r>
        <w:rPr>
          <w:rFonts w:hint="eastAsia"/>
          <w:color w:val="000000" w:themeColor="text1"/>
          <w:u w:val="single"/>
          <w:lang w:eastAsia="zh-CN"/>
          <w14:textFill>
            <w14:solidFill>
              <w14:schemeClr w14:val="tx1"/>
            </w14:solidFill>
          </w14:textFill>
        </w:rPr>
        <w:t>挤出机挤出过程会产生有机废气</w:t>
      </w:r>
      <w:r>
        <w:rPr>
          <w:rFonts w:hint="eastAsia"/>
          <w:color w:val="000000" w:themeColor="text1"/>
          <w:u w:val="single"/>
          <w:lang w:val="en-US" w:eastAsia="zh-CN"/>
          <w14:textFill>
            <w14:solidFill>
              <w14:schemeClr w14:val="tx1"/>
            </w14:solidFill>
          </w14:textFill>
        </w:rPr>
        <w:t>G5，硫化</w:t>
      </w:r>
      <w:r>
        <w:rPr>
          <w:rFonts w:hint="eastAsia"/>
          <w:color w:val="000000" w:themeColor="text1"/>
          <w:u w:val="single"/>
          <w:lang w:eastAsia="zh-CN"/>
          <w14:textFill>
            <w14:solidFill>
              <w14:schemeClr w14:val="tx1"/>
            </w14:solidFill>
          </w14:textFill>
        </w:rPr>
        <w:t>过程会产生硫化废气</w:t>
      </w:r>
      <w:r>
        <w:rPr>
          <w:rFonts w:hint="eastAsia"/>
          <w:color w:val="000000" w:themeColor="text1"/>
          <w:u w:val="single"/>
          <w:lang w:val="en-US" w:eastAsia="zh-CN"/>
          <w14:textFill>
            <w14:solidFill>
              <w14:schemeClr w14:val="tx1"/>
            </w14:solidFill>
          </w14:textFill>
        </w:rPr>
        <w:t>G6</w:t>
      </w:r>
      <w:r>
        <w:rPr>
          <w:rFonts w:hint="eastAsia"/>
          <w:color w:val="000000" w:themeColor="text1"/>
          <w:u w:val="single"/>
          <w:lang w:eastAsia="zh-CN"/>
          <w14:textFill>
            <w14:solidFill>
              <w14:schemeClr w14:val="tx1"/>
            </w14:solidFill>
          </w14:textFill>
        </w:rPr>
        <w:t>，参考</w:t>
      </w:r>
      <w:r>
        <w:rPr>
          <w:rFonts w:hint="eastAsia"/>
          <w:color w:val="000000" w:themeColor="text1"/>
          <w:u w:val="single"/>
          <w14:textFill>
            <w14:solidFill>
              <w14:schemeClr w14:val="tx1"/>
            </w14:solidFill>
          </w14:textFill>
        </w:rPr>
        <w:t>《</w:t>
      </w:r>
      <w:r>
        <w:rPr>
          <w:rFonts w:hint="eastAsia"/>
          <w:color w:val="000000" w:themeColor="text1"/>
          <w:u w:val="single"/>
          <w:lang w:eastAsia="zh-CN"/>
          <w14:textFill>
            <w14:solidFill>
              <w14:schemeClr w14:val="tx1"/>
            </w14:solidFill>
          </w14:textFill>
        </w:rPr>
        <w:t>河南钰健人造草坪有限公司年产150万平方米人造草坪及年产3500吨EPDM缓冲颗粒项目</w:t>
      </w:r>
      <w:r>
        <w:rPr>
          <w:rFonts w:hint="eastAsia"/>
          <w:color w:val="000000" w:themeColor="text1"/>
          <w:u w:val="single"/>
          <w14:textFill>
            <w14:solidFill>
              <w14:schemeClr w14:val="tx1"/>
            </w14:solidFill>
          </w14:textFill>
        </w:rPr>
        <w:t>竣工环境保护验收监测报告》（</w:t>
      </w:r>
      <w:r>
        <w:rPr>
          <w:rFonts w:hint="eastAsia"/>
          <w:color w:val="000000" w:themeColor="text1"/>
          <w:u w:val="single"/>
          <w:lang w:eastAsia="zh-CN"/>
          <w14:textFill>
            <w14:solidFill>
              <w14:schemeClr w14:val="tx1"/>
            </w14:solidFill>
          </w14:textFill>
        </w:rPr>
        <w:t>环评文件审批文号：</w:t>
      </w:r>
      <w:r>
        <w:rPr>
          <w:rFonts w:hint="eastAsia"/>
          <w:color w:val="000000" w:themeColor="text1"/>
          <w:u w:val="single"/>
          <w14:textFill>
            <w14:solidFill>
              <w14:schemeClr w14:val="tx1"/>
            </w14:solidFill>
          </w14:textFill>
        </w:rPr>
        <w:t>叶环审</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2021</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28号）</w:t>
      </w:r>
      <w:r>
        <w:rPr>
          <w:rFonts w:hint="eastAsia"/>
          <w:color w:val="000000" w:themeColor="text1"/>
          <w:u w:val="single"/>
          <w:lang w:eastAsia="zh-CN"/>
          <w14:textFill>
            <w14:solidFill>
              <w14:schemeClr w14:val="tx1"/>
            </w14:solidFill>
          </w14:textFill>
        </w:rPr>
        <w:t>，其生产工艺与本项目一致</w:t>
      </w:r>
      <w:r>
        <w:rPr>
          <w:rFonts w:hint="eastAsia"/>
          <w:u w:val="single"/>
        </w:rPr>
        <w:t>。</w:t>
      </w:r>
    </w:p>
    <w:p>
      <w:pPr>
        <w:widowControl/>
        <w:ind w:firstLine="480"/>
        <w:jc w:val="both"/>
        <w:rPr>
          <w:u w:val="single"/>
        </w:rPr>
      </w:pPr>
      <w:r>
        <w:rPr>
          <w:rFonts w:hint="eastAsia"/>
          <w:u w:val="single"/>
          <w:lang w:eastAsia="zh-CN"/>
        </w:rPr>
        <w:t>根据验收期间工况日用白矿油、色粉、三元乙丙橡胶原料合计</w:t>
      </w:r>
      <w:r>
        <w:rPr>
          <w:rFonts w:hint="eastAsia"/>
          <w:u w:val="single"/>
          <w:lang w:val="en-US" w:eastAsia="zh-CN"/>
        </w:rPr>
        <w:t>1.91t</w:t>
      </w:r>
      <w:r>
        <w:rPr>
          <w:rFonts w:hint="eastAsia"/>
          <w:u w:val="single"/>
        </w:rPr>
        <w:t>，</w:t>
      </w:r>
      <w:r>
        <w:rPr>
          <w:rFonts w:hint="eastAsia"/>
          <w:u w:val="single"/>
          <w:lang w:val="en-US" w:eastAsia="zh-CN"/>
        </w:rPr>
        <w:t>工况期间污染防治设施进口非甲烷总烃速率为0.383kg/h，</w:t>
      </w:r>
      <w:r>
        <w:rPr>
          <w:rFonts w:hint="eastAsia"/>
          <w:u w:val="single"/>
          <w:lang w:eastAsia="zh-CN"/>
        </w:rPr>
        <w:t>有机废气</w:t>
      </w:r>
      <w:r>
        <w:rPr>
          <w:rFonts w:hint="eastAsia"/>
          <w:u w:val="single"/>
        </w:rPr>
        <w:t>产生量约为</w:t>
      </w:r>
      <w:r>
        <w:rPr>
          <w:rFonts w:hint="eastAsia"/>
          <w:u w:val="single"/>
          <w:lang w:val="en-US" w:eastAsia="zh-CN"/>
        </w:rPr>
        <w:t>0.16%</w:t>
      </w:r>
      <w:r>
        <w:rPr>
          <w:rFonts w:hint="eastAsia"/>
          <w:u w:val="single"/>
        </w:rPr>
        <w:t>物料，</w:t>
      </w:r>
      <w:r>
        <w:rPr>
          <w:rFonts w:hint="eastAsia"/>
          <w:u w:val="single"/>
          <w:lang w:eastAsia="zh-CN"/>
        </w:rPr>
        <w:t>本</w:t>
      </w:r>
      <w:r>
        <w:rPr>
          <w:rFonts w:hint="eastAsia"/>
          <w:u w:val="single"/>
        </w:rPr>
        <w:t>项目</w:t>
      </w:r>
      <w:r>
        <w:rPr>
          <w:rFonts w:hint="eastAsia"/>
          <w:u w:val="single"/>
          <w:lang w:eastAsia="zh-CN"/>
        </w:rPr>
        <w:t>三种</w:t>
      </w:r>
      <w:r>
        <w:rPr>
          <w:rFonts w:hint="eastAsia"/>
          <w:u w:val="single"/>
        </w:rPr>
        <w:t>物料用量为</w:t>
      </w:r>
      <w:r>
        <w:rPr>
          <w:rFonts w:hint="eastAsia"/>
          <w:u w:val="single"/>
          <w:lang w:val="en-US" w:eastAsia="zh-CN"/>
        </w:rPr>
        <w:t>567.07</w:t>
      </w:r>
      <w:r>
        <w:rPr>
          <w:rFonts w:hint="eastAsia"/>
          <w:u w:val="single"/>
        </w:rPr>
        <w:t>t/a，则</w:t>
      </w:r>
      <w:r>
        <w:rPr>
          <w:rFonts w:hint="eastAsia"/>
          <w:u w:val="single"/>
          <w:lang w:eastAsia="zh-CN"/>
        </w:rPr>
        <w:t>有机废气产生</w:t>
      </w:r>
      <w:r>
        <w:rPr>
          <w:rFonts w:hint="eastAsia"/>
          <w:u w:val="single"/>
        </w:rPr>
        <w:t>量约为</w:t>
      </w:r>
      <w:r>
        <w:rPr>
          <w:rFonts w:hint="eastAsia"/>
          <w:u w:val="single"/>
          <w:lang w:val="en-US" w:eastAsia="zh-CN"/>
        </w:rPr>
        <w:t>0.907</w:t>
      </w:r>
      <w:r>
        <w:rPr>
          <w:rFonts w:hint="eastAsia"/>
          <w:u w:val="single"/>
        </w:rPr>
        <w:t>t/a。</w:t>
      </w:r>
    </w:p>
    <w:p>
      <w:pPr>
        <w:widowControl/>
        <w:ind w:firstLine="480"/>
        <w:jc w:val="both"/>
        <w:rPr>
          <w:rFonts w:hint="default" w:eastAsia="宋体"/>
          <w:u w:val="single"/>
          <w:lang w:val="en-US" w:eastAsia="zh-CN"/>
        </w:rPr>
      </w:pPr>
      <w:r>
        <w:rPr>
          <w:rFonts w:hint="eastAsia"/>
          <w:u w:val="single"/>
          <w:lang w:eastAsia="zh-CN"/>
        </w:rPr>
        <w:t>（</w:t>
      </w:r>
      <w:r>
        <w:rPr>
          <w:rFonts w:hint="eastAsia"/>
          <w:u w:val="single"/>
          <w:lang w:val="en-US" w:eastAsia="zh-CN"/>
        </w:rPr>
        <w:t>3</w:t>
      </w:r>
      <w:r>
        <w:rPr>
          <w:rFonts w:hint="eastAsia"/>
          <w:u w:val="single"/>
          <w:lang w:eastAsia="zh-CN"/>
        </w:rPr>
        <w:t>）本项目</w:t>
      </w:r>
      <w:r>
        <w:rPr>
          <w:rFonts w:hint="eastAsia"/>
          <w:u w:val="single"/>
          <w:lang w:val="en-US" w:eastAsia="zh-CN"/>
        </w:rPr>
        <w:t>EPDM颗粒生产线硫化废气，集中收集由工序二次密闭+吸附浓缩+催化燃烧设施处理后排放。</w:t>
      </w:r>
    </w:p>
    <w:p>
      <w:pPr>
        <w:widowControl/>
        <w:ind w:firstLine="480"/>
        <w:jc w:val="both"/>
        <w:rPr>
          <w:rFonts w:hint="eastAsia"/>
          <w:u w:val="single"/>
        </w:rPr>
      </w:pPr>
      <w:r>
        <w:rPr>
          <w:rFonts w:cs="Times New Roman"/>
          <w:u w:val="single"/>
        </w:rPr>
        <w:t>本项目硫化工序</w:t>
      </w:r>
      <w:r>
        <w:rPr>
          <w:rFonts w:hint="eastAsia" w:cs="Times New Roman"/>
          <w:u w:val="single"/>
        </w:rPr>
        <w:t>由于</w:t>
      </w:r>
      <w:r>
        <w:rPr>
          <w:rFonts w:cs="Times New Roman"/>
          <w:u w:val="single"/>
        </w:rPr>
        <w:t>橡胶与</w:t>
      </w:r>
      <w:r>
        <w:rPr>
          <w:rFonts w:hint="eastAsia" w:cs="Times New Roman"/>
          <w:u w:val="single"/>
          <w:lang w:eastAsia="zh-CN"/>
        </w:rPr>
        <w:t>促进剂</w:t>
      </w:r>
      <w:r>
        <w:rPr>
          <w:rFonts w:cs="Times New Roman"/>
          <w:u w:val="single"/>
        </w:rPr>
        <w:t>在加温，加压条件下发生复杂反应产生的气体产物，主要确定为</w:t>
      </w:r>
      <w:r>
        <w:rPr>
          <w:rFonts w:hint="eastAsia" w:cs="Times New Roman"/>
          <w:u w:val="single"/>
        </w:rPr>
        <w:t>非甲烷总烃、</w:t>
      </w:r>
      <w:r>
        <w:rPr>
          <w:rFonts w:cs="Times New Roman"/>
          <w:u w:val="single"/>
        </w:rPr>
        <w:t>H</w:t>
      </w:r>
      <w:r>
        <w:rPr>
          <w:rFonts w:cs="Times New Roman"/>
          <w:u w:val="single"/>
          <w:vertAlign w:val="subscript"/>
        </w:rPr>
        <w:t>2</w:t>
      </w:r>
      <w:r>
        <w:rPr>
          <w:rFonts w:cs="Times New Roman"/>
          <w:u w:val="single"/>
        </w:rPr>
        <w:t>S气体</w:t>
      </w:r>
      <w:r>
        <w:rPr>
          <w:rFonts w:hint="eastAsia" w:cs="Times New Roman"/>
          <w:u w:val="single"/>
        </w:rPr>
        <w:t>和</w:t>
      </w:r>
      <w:r>
        <w:rPr>
          <w:rFonts w:hint="eastAsia" w:cs="Times New Roman"/>
          <w:u w:val="single"/>
          <w:lang w:eastAsia="zh-CN"/>
        </w:rPr>
        <w:t>恶臭浓度</w:t>
      </w:r>
      <w:r>
        <w:rPr>
          <w:rFonts w:cs="Times New Roman"/>
          <w:u w:val="single"/>
        </w:rPr>
        <w:t>。</w:t>
      </w:r>
      <w:r>
        <w:rPr>
          <w:rFonts w:hint="eastAsia"/>
          <w:color w:val="000000" w:themeColor="text1"/>
          <w:u w:val="single"/>
          <w:lang w:eastAsia="zh-CN"/>
          <w14:textFill>
            <w14:solidFill>
              <w14:schemeClr w14:val="tx1"/>
            </w14:solidFill>
          </w14:textFill>
        </w:rPr>
        <w:t>参考</w:t>
      </w:r>
      <w:r>
        <w:rPr>
          <w:rFonts w:hint="eastAsia"/>
          <w:color w:val="000000" w:themeColor="text1"/>
          <w:u w:val="single"/>
          <w14:textFill>
            <w14:solidFill>
              <w14:schemeClr w14:val="tx1"/>
            </w14:solidFill>
          </w14:textFill>
        </w:rPr>
        <w:t>《</w:t>
      </w:r>
      <w:r>
        <w:rPr>
          <w:rFonts w:hint="eastAsia"/>
          <w:color w:val="000000" w:themeColor="text1"/>
          <w:u w:val="single"/>
          <w:lang w:eastAsia="zh-CN"/>
          <w14:textFill>
            <w14:solidFill>
              <w14:schemeClr w14:val="tx1"/>
            </w14:solidFill>
          </w14:textFill>
        </w:rPr>
        <w:t>河南钰健人造草坪有限公司年产150万平方米人造草坪及年产3500吨EPDM缓冲颗粒项目</w:t>
      </w:r>
      <w:r>
        <w:rPr>
          <w:rFonts w:hint="eastAsia"/>
          <w:color w:val="000000" w:themeColor="text1"/>
          <w:u w:val="single"/>
          <w14:textFill>
            <w14:solidFill>
              <w14:schemeClr w14:val="tx1"/>
            </w14:solidFill>
          </w14:textFill>
        </w:rPr>
        <w:t>竣工环境保护验收监测报告》（</w:t>
      </w:r>
      <w:r>
        <w:rPr>
          <w:rFonts w:hint="eastAsia"/>
          <w:color w:val="000000" w:themeColor="text1"/>
          <w:u w:val="single"/>
          <w:lang w:eastAsia="zh-CN"/>
          <w14:textFill>
            <w14:solidFill>
              <w14:schemeClr w14:val="tx1"/>
            </w14:solidFill>
          </w14:textFill>
        </w:rPr>
        <w:t>环评文件审批文号：</w:t>
      </w:r>
      <w:r>
        <w:rPr>
          <w:rFonts w:hint="eastAsia"/>
          <w:color w:val="000000" w:themeColor="text1"/>
          <w:u w:val="single"/>
          <w14:textFill>
            <w14:solidFill>
              <w14:schemeClr w14:val="tx1"/>
            </w14:solidFill>
          </w14:textFill>
        </w:rPr>
        <w:t>叶环审</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2021</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28号）</w:t>
      </w:r>
      <w:r>
        <w:rPr>
          <w:rFonts w:hint="eastAsia"/>
          <w:color w:val="000000" w:themeColor="text1"/>
          <w:u w:val="single"/>
          <w:lang w:eastAsia="zh-CN"/>
          <w14:textFill>
            <w14:solidFill>
              <w14:schemeClr w14:val="tx1"/>
            </w14:solidFill>
          </w14:textFill>
        </w:rPr>
        <w:t>，其生产工艺与本项目一致</w:t>
      </w:r>
      <w:r>
        <w:rPr>
          <w:rFonts w:hint="eastAsia"/>
          <w:u w:val="single"/>
        </w:rPr>
        <w:t>。</w:t>
      </w:r>
    </w:p>
    <w:p>
      <w:pPr>
        <w:widowControl/>
        <w:ind w:firstLine="480"/>
        <w:jc w:val="both"/>
        <w:rPr>
          <w:u w:val="single"/>
        </w:rPr>
      </w:pPr>
      <w:r>
        <w:rPr>
          <w:rFonts w:hint="eastAsia"/>
          <w:u w:val="single"/>
          <w:lang w:eastAsia="zh-CN"/>
        </w:rPr>
        <w:t>根据验收期间工况日用白硫磺原料</w:t>
      </w:r>
      <w:r>
        <w:rPr>
          <w:rFonts w:hint="eastAsia"/>
          <w:u w:val="single"/>
          <w:lang w:val="en-US" w:eastAsia="zh-CN"/>
        </w:rPr>
        <w:t>0.091t</w:t>
      </w:r>
      <w:r>
        <w:rPr>
          <w:rFonts w:hint="eastAsia"/>
          <w:u w:val="single"/>
        </w:rPr>
        <w:t>，</w:t>
      </w:r>
      <w:r>
        <w:rPr>
          <w:rFonts w:hint="eastAsia"/>
          <w:u w:val="single"/>
          <w:lang w:val="en-US" w:eastAsia="zh-CN"/>
        </w:rPr>
        <w:t>工况期间污染防治设施进口硫化氢速率为0.0160kg/h，硫化氢</w:t>
      </w:r>
      <w:r>
        <w:rPr>
          <w:rFonts w:hint="eastAsia"/>
          <w:u w:val="single"/>
        </w:rPr>
        <w:t>产生量约为</w:t>
      </w:r>
      <w:r>
        <w:rPr>
          <w:rFonts w:hint="eastAsia"/>
          <w:u w:val="single"/>
          <w:lang w:val="en-US" w:eastAsia="zh-CN"/>
        </w:rPr>
        <w:t>0.14%</w:t>
      </w:r>
      <w:r>
        <w:rPr>
          <w:rFonts w:hint="eastAsia"/>
          <w:u w:val="single"/>
        </w:rPr>
        <w:t>物料</w:t>
      </w:r>
      <w:r>
        <w:rPr>
          <w:rFonts w:hint="eastAsia"/>
          <w:u w:val="single"/>
          <w:lang w:val="en-US" w:eastAsia="zh-CN"/>
        </w:rPr>
        <w:t>，</w:t>
      </w:r>
      <w:r>
        <w:rPr>
          <w:rFonts w:hint="eastAsia"/>
          <w:u w:val="single"/>
          <w:lang w:eastAsia="zh-CN"/>
        </w:rPr>
        <w:t>本</w:t>
      </w:r>
      <w:r>
        <w:rPr>
          <w:rFonts w:hint="eastAsia"/>
          <w:u w:val="single"/>
        </w:rPr>
        <w:t>项目</w:t>
      </w:r>
      <w:r>
        <w:rPr>
          <w:rFonts w:hint="eastAsia"/>
          <w:u w:val="single"/>
          <w:lang w:eastAsia="zh-CN"/>
        </w:rPr>
        <w:t>硫磺</w:t>
      </w:r>
      <w:r>
        <w:rPr>
          <w:rFonts w:hint="eastAsia"/>
          <w:u w:val="single"/>
        </w:rPr>
        <w:t>用量为</w:t>
      </w:r>
      <w:r>
        <w:rPr>
          <w:rFonts w:hint="eastAsia"/>
          <w:u w:val="single"/>
          <w:lang w:val="en-US" w:eastAsia="zh-CN"/>
        </w:rPr>
        <w:t>7.58</w:t>
      </w:r>
      <w:r>
        <w:rPr>
          <w:rFonts w:hint="eastAsia"/>
          <w:u w:val="single"/>
        </w:rPr>
        <w:t>t/a，则</w:t>
      </w:r>
      <w:r>
        <w:rPr>
          <w:rFonts w:hint="eastAsia"/>
          <w:u w:val="single"/>
          <w:lang w:val="en-US" w:eastAsia="zh-CN"/>
        </w:rPr>
        <w:t>硫化氢</w:t>
      </w:r>
      <w:r>
        <w:rPr>
          <w:rFonts w:hint="eastAsia"/>
          <w:u w:val="single"/>
        </w:rPr>
        <w:t>产生量约为</w:t>
      </w:r>
      <w:r>
        <w:rPr>
          <w:rFonts w:hint="eastAsia"/>
          <w:u w:val="single"/>
          <w:lang w:val="en-US" w:eastAsia="zh-CN"/>
        </w:rPr>
        <w:t>0.0106</w:t>
      </w:r>
      <w:r>
        <w:rPr>
          <w:rFonts w:hint="eastAsia"/>
          <w:u w:val="single"/>
        </w:rPr>
        <w:t>t/a。</w:t>
      </w:r>
    </w:p>
    <w:p>
      <w:pPr>
        <w:widowControl/>
        <w:ind w:firstLine="482"/>
        <w:jc w:val="both"/>
        <w:rPr>
          <w:rFonts w:cs="Times New Roman"/>
        </w:rPr>
      </w:pPr>
      <w:r>
        <w:rPr>
          <w:rFonts w:hint="eastAsia" w:cs="Times New Roman"/>
          <w:b/>
          <w:bCs/>
          <w:color w:val="000000" w:themeColor="text1"/>
          <w:kern w:val="0"/>
          <w:lang w:bidi="ar"/>
          <w14:textFill>
            <w14:solidFill>
              <w14:schemeClr w14:val="tx1"/>
            </w14:solidFill>
          </w14:textFill>
        </w:rPr>
        <w:t>废弃产品</w:t>
      </w:r>
      <w:r>
        <w:rPr>
          <w:rFonts w:cs="Times New Roman"/>
          <w:b/>
          <w:bCs/>
          <w:color w:val="000000" w:themeColor="text1"/>
          <w:kern w:val="0"/>
          <w:lang w:bidi="ar"/>
          <w14:textFill>
            <w14:solidFill>
              <w14:schemeClr w14:val="tx1"/>
            </w14:solidFill>
          </w14:textFill>
        </w:rPr>
        <w:t>：</w:t>
      </w:r>
      <w:r>
        <w:rPr>
          <w:rFonts w:hint="eastAsia" w:cs="Times New Roman"/>
          <w:color w:val="000000"/>
          <w:kern w:val="0"/>
          <w:lang w:bidi="ar"/>
        </w:rPr>
        <w:t>破碎后滤网会过滤出不符合规格的产品</w:t>
      </w:r>
      <w:r>
        <w:rPr>
          <w:rFonts w:cs="Times New Roman"/>
          <w:color w:val="000000"/>
          <w:kern w:val="0"/>
          <w:lang w:bidi="ar"/>
        </w:rPr>
        <w:t>；</w:t>
      </w:r>
      <w:r>
        <w:rPr>
          <w:rFonts w:hint="eastAsia"/>
          <w:color w:val="000000" w:themeColor="text1"/>
          <w:lang w:eastAsia="zh-CN"/>
          <w14:textFill>
            <w14:solidFill>
              <w14:schemeClr w14:val="tx1"/>
            </w14:solidFill>
          </w14:textFill>
        </w:rPr>
        <w:t>参考</w:t>
      </w:r>
      <w:r>
        <w:rPr>
          <w:rFonts w:hint="eastAsia"/>
          <w:color w:val="000000" w:themeColor="text1"/>
          <w14:textFill>
            <w14:solidFill>
              <w14:schemeClr w14:val="tx1"/>
            </w14:solidFill>
          </w14:textFill>
        </w:rPr>
        <w:t>《</w:t>
      </w:r>
      <w:r>
        <w:rPr>
          <w:rFonts w:hint="eastAsia"/>
          <w:color w:val="000000" w:themeColor="text1"/>
          <w:lang w:eastAsia="zh-CN"/>
          <w14:textFill>
            <w14:solidFill>
              <w14:schemeClr w14:val="tx1"/>
            </w14:solidFill>
          </w14:textFill>
        </w:rPr>
        <w:t>河南钰健人造草坪有限公司年产150万平方米人造草坪及年产3500吨EPDM缓冲颗粒项目</w:t>
      </w:r>
      <w:r>
        <w:rPr>
          <w:rFonts w:hint="eastAsia"/>
          <w:color w:val="000000" w:themeColor="text1"/>
          <w14:textFill>
            <w14:solidFill>
              <w14:schemeClr w14:val="tx1"/>
            </w14:solidFill>
          </w14:textFill>
        </w:rPr>
        <w:t>竣工环境保护验收监测报告》</w:t>
      </w:r>
      <w:r>
        <w:rPr>
          <w:rFonts w:hint="eastAsia"/>
          <w:color w:val="000000" w:themeColor="text1"/>
          <w:lang w:eastAsia="zh-CN"/>
          <w14:textFill>
            <w14:solidFill>
              <w14:schemeClr w14:val="tx1"/>
            </w14:solidFill>
          </w14:textFill>
        </w:rPr>
        <w:t>时验收期间</w:t>
      </w:r>
      <w:r>
        <w:rPr>
          <w:rFonts w:cs="Times New Roman"/>
          <w:color w:val="000000"/>
          <w:kern w:val="0"/>
          <w:lang w:bidi="ar"/>
        </w:rPr>
        <w:t>，</w:t>
      </w:r>
      <w:r>
        <w:rPr>
          <w:rFonts w:hint="eastAsia" w:cs="Times New Roman"/>
          <w:color w:val="000000"/>
          <w:kern w:val="0"/>
          <w:lang w:eastAsia="zh-CN" w:bidi="ar"/>
        </w:rPr>
        <w:t>筛选废品</w:t>
      </w:r>
      <w:r>
        <w:rPr>
          <w:rFonts w:hint="eastAsia" w:cs="Times New Roman"/>
          <w:color w:val="000000"/>
          <w:kern w:val="0"/>
          <w:lang w:val="en-US" w:eastAsia="zh-CN" w:bidi="ar"/>
        </w:rPr>
        <w:t>S2</w:t>
      </w:r>
      <w:r>
        <w:rPr>
          <w:rFonts w:cs="Times New Roman"/>
          <w:color w:val="000000"/>
          <w:kern w:val="0"/>
          <w:lang w:bidi="ar"/>
        </w:rPr>
        <w:t>产生约产品0.5</w:t>
      </w:r>
      <w:r>
        <w:rPr>
          <w:rFonts w:hint="eastAsia" w:cs="Times New Roman"/>
          <w:color w:val="000000"/>
          <w:kern w:val="0"/>
          <w:lang w:bidi="ar"/>
        </w:rPr>
        <w:t>％</w:t>
      </w:r>
      <w:r>
        <w:rPr>
          <w:rFonts w:cs="Times New Roman"/>
          <w:color w:val="000000"/>
          <w:kern w:val="0"/>
          <w:lang w:bidi="ar"/>
        </w:rPr>
        <w:t>，则</w:t>
      </w:r>
      <w:r>
        <w:rPr>
          <w:rFonts w:hint="eastAsia" w:cs="Times New Roman"/>
          <w:color w:val="000000"/>
          <w:kern w:val="0"/>
          <w:lang w:eastAsia="zh-CN" w:bidi="ar"/>
        </w:rPr>
        <w:t>筛选废品</w:t>
      </w:r>
      <w:r>
        <w:rPr>
          <w:rFonts w:cs="Times New Roman"/>
          <w:color w:val="000000"/>
          <w:kern w:val="0"/>
          <w:lang w:bidi="ar"/>
        </w:rPr>
        <w:t>产生量约</w:t>
      </w:r>
      <w:r>
        <w:rPr>
          <w:rFonts w:hint="eastAsia" w:cs="Times New Roman"/>
          <w:color w:val="000000"/>
          <w:kern w:val="0"/>
          <w:lang w:bidi="ar"/>
        </w:rPr>
        <w:t>17.5</w:t>
      </w:r>
      <w:r>
        <w:rPr>
          <w:rFonts w:cs="Times New Roman"/>
          <w:color w:val="000000"/>
          <w:kern w:val="0"/>
          <w:lang w:bidi="ar"/>
        </w:rPr>
        <w:t>t/a。</w:t>
      </w:r>
    </w:p>
    <w:p>
      <w:pPr>
        <w:ind w:firstLine="482"/>
        <w:jc w:val="both"/>
      </w:pPr>
      <w:r>
        <w:rPr>
          <w:rFonts w:hint="eastAsia"/>
          <w:b/>
          <w:bCs/>
        </w:rPr>
        <w:t>废水</w:t>
      </w:r>
      <w:r>
        <w:rPr>
          <w:rFonts w:hint="eastAsia"/>
        </w:rPr>
        <w:t>：硫化罐蒸汽冷却排水W1，为外部循环冷却水，不计入物料衡算。</w:t>
      </w:r>
    </w:p>
    <w:p>
      <w:pPr>
        <w:widowControl/>
        <w:ind w:firstLine="480"/>
        <w:jc w:val="both"/>
        <w:rPr>
          <w:rFonts w:hint="default" w:eastAsia="宋体"/>
          <w:sz w:val="24"/>
          <w:szCs w:val="24"/>
          <w:lang w:val="en-US" w:eastAsia="zh-CN"/>
        </w:rPr>
      </w:pPr>
      <w:r>
        <w:rPr>
          <w:rFonts w:hint="eastAsia"/>
          <w:sz w:val="24"/>
          <w:szCs w:val="24"/>
          <w:lang w:eastAsia="zh-CN"/>
        </w:rPr>
        <w:t>根据企业设计生产方案，项目设计</w:t>
      </w:r>
      <w:r>
        <w:rPr>
          <w:rFonts w:hint="eastAsia"/>
          <w:sz w:val="24"/>
          <w:szCs w:val="24"/>
          <w:lang w:val="en-US" w:eastAsia="zh-CN"/>
        </w:rPr>
        <w:t>EPDM颗粒生产批次为600次/年，则单批次生产量为</w:t>
      </w:r>
      <w:r>
        <w:rPr>
          <w:rFonts w:hint="eastAsia" w:cs="Times New Roman"/>
          <w:kern w:val="21"/>
          <w:sz w:val="24"/>
          <w:szCs w:val="24"/>
          <w:u w:val="single"/>
        </w:rPr>
        <w:t>5833.33</w:t>
      </w:r>
      <w:r>
        <w:rPr>
          <w:rFonts w:hint="eastAsia" w:cs="Times New Roman"/>
          <w:kern w:val="21"/>
          <w:sz w:val="24"/>
          <w:szCs w:val="24"/>
          <w:u w:val="single"/>
          <w:lang w:val="en-US" w:eastAsia="zh-CN"/>
        </w:rPr>
        <w:t>kg/批次。</w:t>
      </w:r>
    </w:p>
    <w:p>
      <w:pPr>
        <w:widowControl/>
        <w:ind w:firstLine="0" w:firstLineChars="0"/>
        <w:jc w:val="center"/>
        <w:rPr>
          <w:rFonts w:hint="eastAsia" w:ascii="宋体" w:hAnsi="宋体" w:cs="宋体"/>
          <w:b/>
          <w:bCs/>
          <w:color w:val="000000"/>
          <w:kern w:val="0"/>
          <w:lang w:bidi="ar"/>
        </w:rPr>
      </w:pPr>
      <w:r>
        <w:rPr>
          <w:rFonts w:hint="eastAsia" w:ascii="宋体" w:hAnsi="宋体" w:cs="宋体"/>
          <w:b/>
          <w:bCs/>
          <w:color w:val="000000"/>
          <w:kern w:val="0"/>
          <w:lang w:bidi="ar"/>
        </w:rPr>
        <w:t>表</w:t>
      </w:r>
      <w:r>
        <w:rPr>
          <w:rFonts w:hint="eastAsia" w:cs="Times New Roman"/>
          <w:b/>
          <w:bCs/>
          <w:color w:val="000000"/>
          <w:kern w:val="0"/>
          <w:lang w:bidi="ar"/>
        </w:rPr>
        <w:t>4.2</w:t>
      </w:r>
      <w:r>
        <w:rPr>
          <w:rFonts w:cs="Times New Roman"/>
          <w:b/>
          <w:bCs/>
          <w:color w:val="000000"/>
          <w:kern w:val="0"/>
          <w:lang w:bidi="ar"/>
        </w:rPr>
        <w:t>-</w:t>
      </w:r>
      <w:r>
        <w:rPr>
          <w:rFonts w:hint="eastAsia" w:cs="Times New Roman"/>
          <w:b/>
          <w:bCs/>
          <w:color w:val="000000"/>
          <w:kern w:val="0"/>
          <w:lang w:bidi="ar"/>
        </w:rPr>
        <w:t>2  EPDM颗粒生产</w:t>
      </w:r>
      <w:r>
        <w:rPr>
          <w:rFonts w:hint="eastAsia" w:ascii="宋体" w:hAnsi="宋体" w:cs="宋体"/>
          <w:b/>
          <w:bCs/>
          <w:color w:val="000000"/>
          <w:kern w:val="0"/>
          <w:lang w:bidi="ar"/>
        </w:rPr>
        <w:t>物料平衡一览表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2839"/>
        <w:gridCol w:w="1271"/>
        <w:gridCol w:w="589"/>
        <w:gridCol w:w="1960"/>
        <w:gridCol w:w="1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1"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投入情况（kg/批次）</w:t>
            </w:r>
          </w:p>
        </w:tc>
        <w:tc>
          <w:tcPr>
            <w:tcW w:w="2378"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产出情况（kg/批次）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w:t>
            </w:r>
          </w:p>
        </w:tc>
        <w:tc>
          <w:tcPr>
            <w:tcW w:w="1528"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钙粉</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4861.12</w:t>
            </w:r>
          </w:p>
        </w:tc>
        <w:tc>
          <w:tcPr>
            <w:tcW w:w="31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1</w:t>
            </w:r>
          </w:p>
        </w:tc>
        <w:tc>
          <w:tcPr>
            <w:tcW w:w="105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产品（硅PU）</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5833.33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4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2</w:t>
            </w:r>
          </w:p>
        </w:tc>
        <w:tc>
          <w:tcPr>
            <w:tcW w:w="1528"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白矿油</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648.15</w:t>
            </w:r>
          </w:p>
        </w:tc>
        <w:tc>
          <w:tcPr>
            <w:tcW w:w="317" w:type="pct"/>
            <w:vMerge w:val="restar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2</w:t>
            </w:r>
          </w:p>
        </w:tc>
        <w:tc>
          <w:tcPr>
            <w:tcW w:w="1055" w:type="pct"/>
            <w:vMerge w:val="restar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颗粒物</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rPr>
              <w:t>回用：</w:t>
            </w:r>
            <w:r>
              <w:rPr>
                <w:rFonts w:hint="eastAsia" w:cs="Times New Roman"/>
                <w:kern w:val="21"/>
                <w:sz w:val="21"/>
                <w:szCs w:val="21"/>
                <w:u w:val="none"/>
                <w:lang w:val="en-US" w:eastAsia="zh-CN"/>
              </w:rPr>
              <w:t>1.1583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jc w:val="center"/>
        </w:trPr>
        <w:tc>
          <w:tcPr>
            <w:tcW w:w="4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3</w:t>
            </w:r>
          </w:p>
        </w:tc>
        <w:tc>
          <w:tcPr>
            <w:tcW w:w="1528"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cs="Times New Roman"/>
                <w:kern w:val="21"/>
                <w:sz w:val="21"/>
                <w:szCs w:val="21"/>
                <w:u w:val="none"/>
              </w:rPr>
              <w:t>三元乙丙橡胶</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259.25</w:t>
            </w:r>
          </w:p>
        </w:tc>
        <w:tc>
          <w:tcPr>
            <w:tcW w:w="317" w:type="pct"/>
            <w:vMerge w:val="continue"/>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1055" w:type="pct"/>
            <w:vMerge w:val="continue"/>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rPr>
              <w:t>排放：0</w:t>
            </w:r>
            <w:r>
              <w:rPr>
                <w:rFonts w:hint="eastAsia" w:cs="Times New Roman"/>
                <w:kern w:val="21"/>
                <w:sz w:val="21"/>
                <w:szCs w:val="21"/>
                <w:u w:val="none"/>
                <w:lang w:val="en-US" w:eastAsia="zh-CN"/>
              </w:rPr>
              <w:t>.0117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4</w:t>
            </w:r>
          </w:p>
        </w:tc>
        <w:tc>
          <w:tcPr>
            <w:tcW w:w="1528"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硫磺</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12.63</w:t>
            </w:r>
          </w:p>
        </w:tc>
        <w:tc>
          <w:tcPr>
            <w:tcW w:w="31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3</w:t>
            </w:r>
          </w:p>
        </w:tc>
        <w:tc>
          <w:tcPr>
            <w:tcW w:w="105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非甲烷总烃</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ascii="Times New Roman" w:hAnsi="Times New Roman" w:eastAsia="宋体" w:cs="Times New Roman"/>
                <w:kern w:val="21"/>
                <w:sz w:val="21"/>
                <w:szCs w:val="21"/>
                <w:u w:val="none"/>
                <w:lang w:val="en-US" w:eastAsia="zh-CN"/>
              </w:rPr>
              <w:t>0.907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5</w:t>
            </w:r>
          </w:p>
        </w:tc>
        <w:tc>
          <w:tcPr>
            <w:tcW w:w="1528"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M促进剂</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7.6093</w:t>
            </w:r>
          </w:p>
        </w:tc>
        <w:tc>
          <w:tcPr>
            <w:tcW w:w="31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4</w:t>
            </w:r>
          </w:p>
        </w:tc>
        <w:tc>
          <w:tcPr>
            <w:tcW w:w="105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硫化氢</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lang w:val="en-US" w:eastAsia="zh-CN"/>
              </w:rPr>
              <w:t>0.0106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6</w:t>
            </w:r>
          </w:p>
        </w:tc>
        <w:tc>
          <w:tcPr>
            <w:tcW w:w="1528"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cs="Times New Roman"/>
                <w:kern w:val="21"/>
                <w:sz w:val="21"/>
                <w:szCs w:val="21"/>
                <w:u w:val="none"/>
              </w:rPr>
              <w:t>双T促进剂</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7.78</w:t>
            </w:r>
          </w:p>
        </w:tc>
        <w:tc>
          <w:tcPr>
            <w:tcW w:w="31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5</w:t>
            </w:r>
          </w:p>
        </w:tc>
        <w:tc>
          <w:tcPr>
            <w:tcW w:w="105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u w:val="none"/>
                <w:lang w:eastAsia="zh-CN"/>
              </w:rPr>
            </w:pPr>
            <w:r>
              <w:rPr>
                <w:rFonts w:hint="eastAsia" w:cs="Times New Roman"/>
                <w:kern w:val="21"/>
                <w:sz w:val="21"/>
                <w:szCs w:val="21"/>
                <w:u w:val="none"/>
              </w:rPr>
              <w:t>废弃产品</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u w:val="none"/>
                <w:lang w:eastAsia="zh-CN"/>
              </w:rPr>
            </w:pPr>
            <w:r>
              <w:rPr>
                <w:rFonts w:hint="eastAsia" w:cs="Times New Roman"/>
                <w:kern w:val="21"/>
                <w:sz w:val="21"/>
                <w:szCs w:val="21"/>
                <w:u w:val="none"/>
              </w:rPr>
              <w:t>29.1</w:t>
            </w:r>
            <w:r>
              <w:rPr>
                <w:rFonts w:hint="eastAsia" w:cs="Times New Roman"/>
                <w:kern w:val="21"/>
                <w:sz w:val="21"/>
                <w:szCs w:val="21"/>
                <w:u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jc w:val="center"/>
        </w:trPr>
        <w:tc>
          <w:tcPr>
            <w:tcW w:w="4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7</w:t>
            </w:r>
          </w:p>
        </w:tc>
        <w:tc>
          <w:tcPr>
            <w:tcW w:w="1528"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eastAsia" w:eastAsia="宋体"/>
                <w:sz w:val="21"/>
                <w:szCs w:val="21"/>
                <w:u w:val="none"/>
                <w:lang w:eastAsia="zh-CN"/>
              </w:rPr>
            </w:pPr>
            <w:r>
              <w:rPr>
                <w:rFonts w:hint="eastAsia"/>
                <w:sz w:val="21"/>
                <w:szCs w:val="21"/>
                <w:u w:val="none"/>
                <w:lang w:eastAsia="zh-CN"/>
              </w:rPr>
              <w:t>色粉</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37.72</w:t>
            </w:r>
          </w:p>
        </w:tc>
        <w:tc>
          <w:tcPr>
            <w:tcW w:w="31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u w:val="none"/>
                <w:lang w:val="en-US" w:eastAsia="zh-CN"/>
              </w:rPr>
            </w:pPr>
          </w:p>
        </w:tc>
        <w:tc>
          <w:tcPr>
            <w:tcW w:w="105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4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8</w:t>
            </w:r>
          </w:p>
        </w:tc>
        <w:tc>
          <w:tcPr>
            <w:tcW w:w="1528"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hint="eastAsia" w:cs="Times New Roman"/>
                <w:kern w:val="21"/>
                <w:sz w:val="21"/>
                <w:szCs w:val="21"/>
                <w:u w:val="none"/>
              </w:rPr>
              <w:t>回用废弃产品</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eastAsia" w:eastAsia="宋体" w:cs="Times New Roman"/>
                <w:kern w:val="21"/>
                <w:sz w:val="21"/>
                <w:szCs w:val="21"/>
                <w:u w:val="none"/>
                <w:lang w:eastAsia="zh-CN"/>
              </w:rPr>
            </w:pPr>
            <w:r>
              <w:rPr>
                <w:rFonts w:hint="eastAsia" w:cs="Times New Roman"/>
                <w:kern w:val="21"/>
                <w:sz w:val="21"/>
                <w:szCs w:val="21"/>
                <w:u w:val="none"/>
              </w:rPr>
              <w:t>29.1</w:t>
            </w:r>
            <w:r>
              <w:rPr>
                <w:rFonts w:hint="eastAsia" w:cs="Times New Roman"/>
                <w:kern w:val="21"/>
                <w:sz w:val="21"/>
                <w:szCs w:val="21"/>
                <w:u w:val="none"/>
                <w:lang w:val="en-US" w:eastAsia="zh-CN"/>
              </w:rPr>
              <w:t>7</w:t>
            </w:r>
          </w:p>
        </w:tc>
        <w:tc>
          <w:tcPr>
            <w:tcW w:w="31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105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jc w:val="center"/>
        </w:trPr>
        <w:tc>
          <w:tcPr>
            <w:tcW w:w="4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9</w:t>
            </w:r>
          </w:p>
        </w:tc>
        <w:tc>
          <w:tcPr>
            <w:tcW w:w="1528" w:type="pct"/>
            <w:tcBorders>
              <w:tl2br w:val="nil"/>
              <w:tr2bl w:val="nil"/>
            </w:tcBorders>
            <w:vAlign w:val="center"/>
          </w:tcPr>
          <w:p>
            <w:pPr>
              <w:widowControl/>
              <w:kinsoku w:val="0"/>
              <w:autoSpaceDE w:val="0"/>
              <w:autoSpaceDN w:val="0"/>
              <w:spacing w:line="240" w:lineRule="auto"/>
              <w:ind w:firstLine="0" w:firstLineChars="0"/>
              <w:jc w:val="center"/>
              <w:textAlignment w:val="baseline"/>
              <w:rPr>
                <w:sz w:val="21"/>
                <w:szCs w:val="21"/>
                <w:u w:val="none"/>
              </w:rPr>
            </w:pPr>
            <w:r>
              <w:rPr>
                <w:rFonts w:hint="eastAsia" w:cs="Times New Roman"/>
                <w:kern w:val="21"/>
                <w:sz w:val="21"/>
                <w:szCs w:val="21"/>
                <w:u w:val="none"/>
              </w:rPr>
              <w:t>回用收集颗粒物</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1.1583</w:t>
            </w:r>
          </w:p>
        </w:tc>
        <w:tc>
          <w:tcPr>
            <w:tcW w:w="317"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105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7" w:type="pct"/>
            <w:gridSpan w:val="2"/>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合计</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5864.5876</w:t>
            </w:r>
          </w:p>
        </w:tc>
        <w:tc>
          <w:tcPr>
            <w:tcW w:w="1372" w:type="pct"/>
            <w:gridSpan w:val="2"/>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合计</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rPr>
              <w:t>58</w:t>
            </w:r>
            <w:r>
              <w:rPr>
                <w:rFonts w:hint="eastAsia" w:cs="Times New Roman"/>
                <w:kern w:val="21"/>
                <w:sz w:val="21"/>
                <w:szCs w:val="21"/>
                <w:u w:val="none"/>
                <w:lang w:val="en-US" w:eastAsia="zh-CN"/>
              </w:rPr>
              <w:t>64.5876</w:t>
            </w:r>
          </w:p>
        </w:tc>
      </w:tr>
    </w:tbl>
    <w:p>
      <w:pPr>
        <w:pStyle w:val="24"/>
        <w:spacing w:line="360" w:lineRule="auto"/>
        <w:ind w:firstLine="0" w:firstLineChars="0"/>
        <w:jc w:val="center"/>
      </w:pPr>
      <w:r>
        <w:drawing>
          <wp:inline distT="0" distB="0" distL="114300" distR="114300">
            <wp:extent cx="4158615" cy="3830320"/>
            <wp:effectExtent l="0" t="0" r="13335" b="17780"/>
            <wp:docPr id="49"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pic:cNvPicPr>
                      <a:picLocks noChangeAspect="1"/>
                    </pic:cNvPicPr>
                  </pic:nvPicPr>
                  <pic:blipFill>
                    <a:blip r:embed="rId42"/>
                    <a:stretch>
                      <a:fillRect/>
                    </a:stretch>
                  </pic:blipFill>
                  <pic:spPr>
                    <a:xfrm>
                      <a:off x="0" y="0"/>
                      <a:ext cx="4158615" cy="3830320"/>
                    </a:xfrm>
                    <a:prstGeom prst="rect">
                      <a:avLst/>
                    </a:prstGeom>
                    <a:noFill/>
                    <a:ln>
                      <a:noFill/>
                    </a:ln>
                  </pic:spPr>
                </pic:pic>
              </a:graphicData>
            </a:graphic>
          </wp:inline>
        </w:drawing>
      </w:r>
    </w:p>
    <w:p>
      <w:pPr>
        <w:pStyle w:val="24"/>
        <w:ind w:firstLine="482"/>
        <w:jc w:val="center"/>
      </w:pPr>
      <w:r>
        <w:rPr>
          <w:rFonts w:ascii="Times New Roman" w:cs="Times New Roman"/>
          <w:b/>
          <w:bCs/>
          <w:sz w:val="24"/>
        </w:rPr>
        <w:t>图4.2</w:t>
      </w:r>
      <w:r>
        <w:rPr>
          <w:rFonts w:hint="eastAsia" w:ascii="Times New Roman" w:cs="Times New Roman"/>
          <w:b/>
          <w:bCs/>
          <w:sz w:val="24"/>
        </w:rPr>
        <w:t>-4</w:t>
      </w:r>
      <w:r>
        <w:rPr>
          <w:rFonts w:ascii="Times New Roman" w:cs="Times New Roman"/>
          <w:b/>
          <w:bCs/>
          <w:sz w:val="24"/>
        </w:rPr>
        <w:t xml:space="preserve">  </w:t>
      </w:r>
      <w:r>
        <w:rPr>
          <w:rFonts w:hint="eastAsia" w:ascii="Times New Roman" w:cs="Times New Roman"/>
          <w:b/>
          <w:bCs/>
          <w:color w:val="000000"/>
          <w:kern w:val="0"/>
          <w:sz w:val="24"/>
          <w:lang w:bidi="ar"/>
        </w:rPr>
        <w:t>EPDM颗粒生产</w:t>
      </w:r>
      <w:r>
        <w:rPr>
          <w:rFonts w:ascii="Times New Roman" w:cs="Times New Roman"/>
          <w:b/>
          <w:bCs/>
          <w:sz w:val="24"/>
        </w:rPr>
        <w:t>物料平衡图</w:t>
      </w:r>
    </w:p>
    <w:p>
      <w:pPr>
        <w:pStyle w:val="7"/>
        <w:ind w:firstLine="562"/>
      </w:pPr>
      <w:r>
        <w:t>4.</w:t>
      </w:r>
      <w:r>
        <w:rPr>
          <w:rFonts w:hint="eastAsia"/>
        </w:rPr>
        <w:t>2.3</w:t>
      </w:r>
      <w:r>
        <w:t xml:space="preserve"> </w:t>
      </w:r>
      <w:r>
        <w:rPr>
          <w:rFonts w:hint="eastAsia"/>
        </w:rPr>
        <mc:AlternateContent>
          <mc:Choice Requires="wps">
            <w:drawing>
              <wp:anchor distT="0" distB="0" distL="114300" distR="114300" simplePos="0" relativeHeight="251693056" behindDoc="0" locked="0" layoutInCell="1" allowOverlap="1">
                <wp:simplePos x="0" y="0"/>
                <wp:positionH relativeFrom="column">
                  <wp:posOffset>641985</wp:posOffset>
                </wp:positionH>
                <wp:positionV relativeFrom="paragraph">
                  <wp:posOffset>254000</wp:posOffset>
                </wp:positionV>
                <wp:extent cx="371475" cy="635"/>
                <wp:effectExtent l="0" t="0" r="0" b="0"/>
                <wp:wrapNone/>
                <wp:docPr id="83" name="直接箭头连接符 83"/>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20pt;height:0.05pt;width:29.25pt;z-index:251693056;mso-width-relative:page;mso-height-relative:page;" filled="f" stroked="f" coordsize="21600,21600" o:gfxdata="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Lok&#10;ov/WAAAACQEAAA8AAAAAAAAAAQAgAAAAIgAAAGRycy9kb3ducmV2LnhtbFBLAQIUABQAAAAIAIdO&#10;4kAjSGoOswEAAEgDAAAOAAAAAAAAAAEAIAAAACUBAABkcnMvZTJvRG9jLnhtbFBLBQYAAAAABgAG&#10;AFkBAABKBQAAAAA=&#10;">
                <v:fill on="f" focussize="0,0"/>
                <v:stroke on="f"/>
                <v:imagedata o:title=""/>
                <o:lock v:ext="edit" aspectratio="f"/>
              </v:shape>
            </w:pict>
          </mc:Fallback>
        </mc:AlternateContent>
      </w:r>
      <w:r>
        <w:rPr>
          <w:rFonts w:hint="eastAsia"/>
        </w:rPr>
        <mc:AlternateContent>
          <mc:Choice Requires="wps">
            <w:drawing>
              <wp:anchor distT="0" distB="0" distL="114300" distR="114300" simplePos="0" relativeHeight="251692032"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84" name="直接箭头连接符 84"/>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692032;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XCGyNUA&#10;AAAJAQAADwAAAAAAAAABACAAAAAiAAAAZHJzL2Rvd25yZXYueG1sUEsBAhQAFAAAAAgAh07iQBQR&#10;D2KwAQAARgMAAA4AAAAAAAAAAQAgAAAAJAEAAGRycy9lMm9Eb2MueG1sUEsFBgAAAAAGAAYAWQEA&#10;AEYFAAAAAA==&#10;">
                <v:fill on="f" focussize="0,0"/>
                <v:stroke on="f"/>
                <v:imagedata o:title=""/>
                <o:lock v:ext="edit" aspectratio="f"/>
              </v:shape>
            </w:pict>
          </mc:Fallback>
        </mc:AlternateContent>
      </w:r>
      <w:r>
        <w:rPr>
          <w:rFonts w:hint="eastAsia"/>
        </w:rPr>
        <w:t>人造草坪生产</w:t>
      </w:r>
      <w:r>
        <w:rPr>
          <w:rFonts w:hint="eastAsia"/>
        </w:rPr>
        <mc:AlternateContent>
          <mc:Choice Requires="wps">
            <w:drawing>
              <wp:anchor distT="0" distB="0" distL="114300" distR="114300" simplePos="0" relativeHeight="251691008"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79" name="直接箭头连接符 79"/>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691008;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c&#10;T4u+1gAAAAgBAAAPAAAAAAAAAAEAIAAAACIAAABkcnMvZG93bnJldi54bWxQSwECFAAUAAAACACH&#10;TuJAOT2cMLQBAABIAwAADgAAAAAAAAABACAAAAAlAQAAZHJzL2Uyb0RvYy54bWxQSwUGAAAAAAYA&#10;BgBZAQAASwUAAAAA&#10;">
                <v:fill on="f" focussize="0,0"/>
                <v:stroke on="f"/>
                <v:imagedata o:title=""/>
                <o:lock v:ext="edit" aspectratio="f"/>
              </v:shape>
            </w:pict>
          </mc:Fallback>
        </mc:AlternateContent>
      </w:r>
      <w:r>
        <w:rPr>
          <w:rFonts w:hint="eastAsia"/>
        </w:rPr>
        <mc:AlternateContent>
          <mc:Choice Requires="wps">
            <w:drawing>
              <wp:anchor distT="0" distB="0" distL="114300" distR="114300" simplePos="0" relativeHeight="251689984"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80" name="直接箭头连接符 80"/>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689984;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IhFMqfW&#10;AAAACAEAAA8AAAAAAAAAAQAgAAAAIgAAAGRycy9kb3ducmV2LnhtbFBLAQIUABQAAAAIAIdO4kBy&#10;oEvhsAEAAEYDAAAOAAAAAAAAAAEAIAAAACUBAABkcnMvZTJvRG9jLnhtbFBLBQYAAAAABgAGAFkB&#10;AABHBQAAAAA=&#10;">
                <v:fill on="f" focussize="0,0"/>
                <v:stroke on="f"/>
                <v:imagedata o:title=""/>
                <o:lock v:ext="edit" aspectratio="f"/>
              </v:shape>
            </w:pict>
          </mc:Fallback>
        </mc:AlternateContent>
      </w:r>
      <w:r>
        <w:rPr>
          <w:rFonts w:hint="eastAsia"/>
        </w:rPr>
        <w:t>线产污环节分析</w:t>
      </w:r>
    </w:p>
    <w:p>
      <w:pPr>
        <w:ind w:firstLine="0" w:firstLineChars="0"/>
        <w:jc w:val="center"/>
        <w:textAlignment w:val="baseline"/>
        <w:rPr>
          <w:b/>
        </w:rPr>
      </w:pPr>
      <w:r>
        <w:drawing>
          <wp:inline distT="0" distB="0" distL="114300" distR="114300">
            <wp:extent cx="1569085" cy="3537585"/>
            <wp:effectExtent l="0" t="0" r="12065" b="5715"/>
            <wp:docPr id="5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3"/>
                    <pic:cNvPicPr>
                      <a:picLocks noChangeAspect="1"/>
                    </pic:cNvPicPr>
                  </pic:nvPicPr>
                  <pic:blipFill>
                    <a:blip r:embed="rId43"/>
                    <a:stretch>
                      <a:fillRect/>
                    </a:stretch>
                  </pic:blipFill>
                  <pic:spPr>
                    <a:xfrm>
                      <a:off x="0" y="0"/>
                      <a:ext cx="1569085" cy="3537585"/>
                    </a:xfrm>
                    <a:prstGeom prst="rect">
                      <a:avLst/>
                    </a:prstGeom>
                    <a:noFill/>
                    <a:ln>
                      <a:noFill/>
                    </a:ln>
                  </pic:spPr>
                </pic:pic>
              </a:graphicData>
            </a:graphic>
          </wp:inline>
        </w:drawing>
      </w:r>
    </w:p>
    <w:p>
      <w:pPr>
        <w:ind w:firstLine="482"/>
        <w:jc w:val="center"/>
        <w:rPr>
          <w:rFonts w:cs="Times New Roman"/>
          <w:b/>
          <w:bCs/>
        </w:rPr>
      </w:pPr>
      <w:r>
        <w:rPr>
          <w:rFonts w:hint="eastAsia" w:cs="Times New Roman"/>
          <w:b/>
          <w:bCs/>
        </w:rPr>
        <w:t xml:space="preserve">图4.2-5  </w:t>
      </w:r>
      <w:r>
        <w:rPr>
          <w:rFonts w:hint="eastAsia" w:cs="Times New Roman"/>
          <w:b/>
          <w:bCs/>
        </w:rPr>
        <mc:AlternateContent>
          <mc:Choice Requires="wps">
            <w:drawing>
              <wp:anchor distT="0" distB="0" distL="114300" distR="114300" simplePos="0" relativeHeight="251673600"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109" name="直接箭头连接符 109"/>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673600;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c&#10;T4u+1gAAAAgBAAAPAAAAAAAAAAEAIAAAACIAAABkcnMvZG93bnJldi54bWxQSwECFAAUAAAACACH&#10;TuJAtGsgoLQBAABKAwAADgAAAAAAAAABACAAAAAlAQAAZHJzL2Uyb0RvYy54bWxQSwUGAAAAAAYA&#10;BgBZAQAASwUAAAAA&#10;">
                <v:fill on="f" focussize="0,0"/>
                <v:stroke on="f"/>
                <v:imagedata o:title=""/>
                <o:lock v:ext="edit" aspectratio="f"/>
              </v:shape>
            </w:pict>
          </mc:Fallback>
        </mc:AlternateContent>
      </w:r>
      <w:r>
        <w:rPr>
          <w:rFonts w:hint="eastAsia" w:cs="Times New Roman"/>
          <w:b/>
          <w:bCs/>
        </w:rPr>
        <mc:AlternateContent>
          <mc:Choice Requires="wps">
            <w:drawing>
              <wp:anchor distT="0" distB="0" distL="114300" distR="114300" simplePos="0" relativeHeight="251672576"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110" name="直接箭头连接符 110"/>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672576;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IRTKn&#10;1gAAAAgBAAAPAAAAAAAAAAEAIAAAACIAAABkcnMvZG93bnJldi54bWxQSwECFAAUAAAACACHTuJA&#10;EkqsmLEBAABIAwAADgAAAAAAAAABACAAAAAlAQAAZHJzL2Uyb0RvYy54bWxQSwUGAAAAAAYABgBZ&#10;AQAASAUAAAAA&#10;">
                <v:fill on="f" focussize="0,0"/>
                <v:stroke on="f"/>
                <v:imagedata o:title=""/>
                <o:lock v:ext="edit" aspectratio="f"/>
              </v:shape>
            </w:pict>
          </mc:Fallback>
        </mc:AlternateContent>
      </w:r>
      <w:r>
        <w:rPr>
          <w:rFonts w:hint="eastAsia" w:cs="Times New Roman"/>
          <w:b/>
          <w:bCs/>
        </w:rPr>
        <w:t>人造草坪生产工艺流程及产污环节图</w:t>
      </w:r>
    </w:p>
    <w:p>
      <w:pPr>
        <w:ind w:firstLine="480"/>
        <w:jc w:val="both"/>
      </w:pPr>
      <w:r>
        <w:rPr>
          <w:rFonts w:hint="eastAsia"/>
        </w:rPr>
        <mc:AlternateContent>
          <mc:Choice Requires="wps">
            <w:drawing>
              <wp:anchor distT="0" distB="0" distL="114300" distR="114300" simplePos="0" relativeHeight="251719680"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113" name="直接箭头连接符 113"/>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719680;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HE+LvtYAAAAIAQAADwAAAAAAAAABACAAAAAiAAAAZHJzL2Rvd25yZXYueG1sUEsBAhQAFAAAAAgA&#10;h07iQEZLrA61AQAASgMAAA4AAAAAAAAAAQAgAAAAJQEAAGRycy9lMm9Eb2MueG1sUEsFBgAAAAAG&#10;AAYAWQEAAEwFAAAAAA==&#10;">
                <v:fill on="f" focussize="0,0"/>
                <v:stroke on="f"/>
                <v:imagedata o:title=""/>
                <o:lock v:ext="edit" aspectratio="f"/>
              </v:shape>
            </w:pict>
          </mc:Fallback>
        </mc:AlternateContent>
      </w:r>
      <w:r>
        <w:rPr>
          <w:rFonts w:hint="eastAsia"/>
        </w:rPr>
        <mc:AlternateContent>
          <mc:Choice Requires="wps">
            <w:drawing>
              <wp:anchor distT="0" distB="0" distL="114300" distR="114300" simplePos="0" relativeHeight="251718656"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114" name="直接箭头连接符 114"/>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718656;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IRTKn&#10;1gAAAAgBAAAPAAAAAAAAAAEAIAAAACIAAABkcnMvZG93bnJldi54bWxQSwECFAAUAAAACACHTuJA&#10;k9kcGrEBAABIAwAADgAAAAAAAAABACAAAAAlAQAAZHJzL2Uyb0RvYy54bWxQSwUGAAAAAAYABgBZ&#10;AQAASAUAAAAA&#10;">
                <v:fill on="f" focussize="0,0"/>
                <v:stroke on="f"/>
                <v:imagedata o:title=""/>
                <o:lock v:ext="edit" aspectratio="f"/>
              </v:shape>
            </w:pict>
          </mc:Fallback>
        </mc:AlternateContent>
      </w:r>
      <w:r>
        <w:rPr>
          <w:rFonts w:hint="eastAsia"/>
        </w:rPr>
        <w:t>一、人造草坪生产工艺说明：</w:t>
      </w:r>
    </w:p>
    <w:p>
      <w:pPr>
        <w:ind w:firstLine="482"/>
        <w:jc w:val="both"/>
        <w:rPr>
          <w:rFonts w:cs="Times New Roman"/>
          <w:bCs/>
        </w:rPr>
      </w:pPr>
      <w:r>
        <w:rPr>
          <w:rFonts w:hint="eastAsia" w:cs="Times New Roman"/>
          <w:b/>
          <w:lang w:eastAsia="zh-CN"/>
        </w:rPr>
        <w:t>上料挤出、拉丝</w:t>
      </w:r>
      <w:r>
        <w:rPr>
          <w:rFonts w:cs="Times New Roman"/>
          <w:bCs/>
        </w:rPr>
        <w:t>：将原料（线性低密度聚乙烯</w:t>
      </w:r>
      <w:r>
        <w:rPr>
          <w:rFonts w:cs="Times New Roman"/>
          <w:bCs/>
          <w:color w:val="000000"/>
        </w:rPr>
        <w:t>）</w:t>
      </w:r>
      <w:r>
        <w:rPr>
          <w:rFonts w:hint="eastAsia" w:cs="Times New Roman"/>
          <w:bCs/>
          <w:color w:val="000000"/>
          <w:lang w:eastAsia="zh-CN"/>
        </w:rPr>
        <w:t>通过人工倒入设备上料斗，经螺旋上料器</w:t>
      </w:r>
      <w:r>
        <w:rPr>
          <w:rFonts w:cs="Times New Roman"/>
          <w:bCs/>
          <w:color w:val="000000"/>
        </w:rPr>
        <w:t>加入</w:t>
      </w:r>
      <w:r>
        <w:rPr>
          <w:rFonts w:hint="eastAsia" w:cs="Times New Roman"/>
          <w:bCs/>
          <w:color w:val="000000"/>
        </w:rPr>
        <w:t>拉丝</w:t>
      </w:r>
      <w:r>
        <w:rPr>
          <w:rFonts w:cs="Times New Roman"/>
          <w:bCs/>
          <w:color w:val="000000"/>
        </w:rPr>
        <w:t>机</w:t>
      </w:r>
      <w:r>
        <w:rPr>
          <w:rFonts w:hint="eastAsia" w:cs="Times New Roman"/>
          <w:bCs/>
          <w:color w:val="000000"/>
          <w:lang w:eastAsia="zh-CN"/>
        </w:rPr>
        <w:t>热熔器</w:t>
      </w:r>
      <w:r>
        <w:rPr>
          <w:rFonts w:cs="Times New Roman"/>
          <w:bCs/>
          <w:color w:val="000000"/>
        </w:rPr>
        <w:t>进行加热</w:t>
      </w:r>
      <w:r>
        <w:rPr>
          <w:rFonts w:hint="eastAsia" w:cs="Times New Roman"/>
          <w:bCs/>
          <w:color w:val="000000"/>
          <w:lang w:eastAsia="zh-CN"/>
        </w:rPr>
        <w:t>熔化然后通过拉丝通道制成直径</w:t>
      </w:r>
      <w:r>
        <w:rPr>
          <w:rFonts w:hint="eastAsia" w:cs="Times New Roman"/>
          <w:bCs/>
          <w:color w:val="000000"/>
          <w:lang w:val="en-US" w:eastAsia="zh-CN"/>
        </w:rPr>
        <w:t>1.75mmPE丝线</w:t>
      </w:r>
      <w:r>
        <w:rPr>
          <w:rFonts w:cs="Times New Roman"/>
          <w:bCs/>
          <w:color w:val="000000"/>
        </w:rPr>
        <w:t>，加热温度约为</w:t>
      </w:r>
      <w:r>
        <w:rPr>
          <w:rFonts w:hint="eastAsia" w:cs="Times New Roman"/>
          <w:bCs/>
          <w:color w:val="000000"/>
        </w:rPr>
        <w:t>190-</w:t>
      </w:r>
      <w:r>
        <w:rPr>
          <w:rFonts w:cs="Times New Roman"/>
          <w:bCs/>
          <w:color w:val="000000"/>
        </w:rPr>
        <w:t>2</w:t>
      </w:r>
      <w:r>
        <w:rPr>
          <w:rFonts w:hint="eastAsia" w:cs="Times New Roman"/>
          <w:bCs/>
          <w:color w:val="000000"/>
        </w:rPr>
        <w:t>25</w:t>
      </w:r>
      <w:r>
        <w:rPr>
          <w:rFonts w:cs="Times New Roman"/>
          <w:bCs/>
          <w:color w:val="000000"/>
        </w:rPr>
        <w:t>℃</w:t>
      </w:r>
      <w:r>
        <w:rPr>
          <w:rFonts w:hint="eastAsia" w:cs="Times New Roman"/>
          <w:bCs/>
          <w:color w:val="000000"/>
          <w:lang w:eastAsia="zh-CN"/>
        </w:rPr>
        <w:t>（电加热）</w:t>
      </w:r>
      <w:r>
        <w:rPr>
          <w:rFonts w:hint="eastAsia" w:cs="Times New Roman"/>
          <w:bCs/>
          <w:color w:val="000000"/>
        </w:rPr>
        <w:t>之间</w:t>
      </w:r>
      <w:r>
        <w:rPr>
          <w:rFonts w:cs="Times New Roman"/>
          <w:bCs/>
          <w:color w:val="000000"/>
        </w:rPr>
        <w:t>，</w:t>
      </w:r>
      <w:r>
        <w:rPr>
          <w:rFonts w:cs="Times New Roman"/>
          <w:bCs/>
        </w:rPr>
        <w:t>此段工序会</w:t>
      </w:r>
      <w:r>
        <w:rPr>
          <w:rFonts w:hint="eastAsia" w:cs="Times New Roman"/>
          <w:bCs/>
          <w:lang w:eastAsia="zh-CN"/>
        </w:rPr>
        <w:t>产生</w:t>
      </w:r>
      <w:r>
        <w:rPr>
          <w:rFonts w:hint="eastAsia" w:cs="Times New Roman"/>
          <w:bCs/>
        </w:rPr>
        <w:t>有机废气</w:t>
      </w:r>
      <w:r>
        <w:rPr>
          <w:rFonts w:hint="eastAsia" w:cs="Times New Roman"/>
          <w:bCs/>
          <w:lang w:val="en-US" w:eastAsia="zh-CN"/>
        </w:rPr>
        <w:t>G8</w:t>
      </w:r>
      <w:r>
        <w:rPr>
          <w:rFonts w:cs="Times New Roman"/>
          <w:bCs/>
        </w:rPr>
        <w:t>。</w:t>
      </w:r>
    </w:p>
    <w:p>
      <w:pPr>
        <w:ind w:firstLine="482"/>
        <w:jc w:val="both"/>
        <w:rPr>
          <w:rFonts w:cs="Times New Roman"/>
          <w:bCs/>
        </w:rPr>
      </w:pPr>
      <w:r>
        <w:rPr>
          <w:rFonts w:cs="Times New Roman"/>
          <w:b/>
        </w:rPr>
        <w:t>冷却：</w:t>
      </w:r>
      <w:r>
        <w:rPr>
          <w:rFonts w:hint="eastAsia" w:cs="Times New Roman"/>
          <w:bCs/>
          <w:lang w:eastAsia="zh-CN"/>
        </w:rPr>
        <w:t>拉丝产品经牵引</w:t>
      </w:r>
      <w:r>
        <w:rPr>
          <w:rFonts w:cs="Times New Roman"/>
          <w:bCs/>
        </w:rPr>
        <w:t>通过循环水池进行冷却，冷却水循环利用，不外排。</w:t>
      </w:r>
    </w:p>
    <w:p>
      <w:pPr>
        <w:ind w:firstLine="482"/>
        <w:jc w:val="both"/>
        <w:rPr>
          <w:rFonts w:cs="Times New Roman"/>
          <w:bCs/>
        </w:rPr>
      </w:pPr>
      <w:r>
        <w:rPr>
          <w:rFonts w:cs="Times New Roman"/>
          <w:b/>
        </w:rPr>
        <w:t>牵伸、定型：</w:t>
      </w:r>
      <w:r>
        <w:rPr>
          <w:rFonts w:cs="Times New Roman"/>
          <w:bCs/>
        </w:rPr>
        <w:t>对冷却后的产品利用拉丝机</w:t>
      </w:r>
      <w:r>
        <w:rPr>
          <w:rFonts w:hint="eastAsia" w:cs="Times New Roman"/>
          <w:bCs/>
        </w:rPr>
        <w:t>在100℃热水</w:t>
      </w:r>
      <w:r>
        <w:rPr>
          <w:rFonts w:hint="eastAsia" w:cs="Times New Roman"/>
          <w:bCs/>
          <w:color w:val="000000"/>
          <w:lang w:eastAsia="zh-CN"/>
        </w:rPr>
        <w:t>（电加热）</w:t>
      </w:r>
      <w:r>
        <w:rPr>
          <w:rFonts w:hint="eastAsia" w:cs="Times New Roman"/>
          <w:bCs/>
        </w:rPr>
        <w:t>中</w:t>
      </w:r>
      <w:r>
        <w:rPr>
          <w:rFonts w:cs="Times New Roman"/>
          <w:bCs/>
        </w:rPr>
        <w:t>进行牵伸，定型，定型工序会产生废丝、断丝等固体废物</w:t>
      </w:r>
      <w:r>
        <w:rPr>
          <w:rFonts w:hint="eastAsia" w:cs="Times New Roman"/>
          <w:bCs/>
          <w:lang w:val="en-US" w:eastAsia="zh-CN"/>
        </w:rPr>
        <w:t>S3</w:t>
      </w:r>
      <w:r>
        <w:rPr>
          <w:rFonts w:cs="Times New Roman"/>
          <w:bCs/>
        </w:rPr>
        <w:t>。</w:t>
      </w:r>
    </w:p>
    <w:p>
      <w:pPr>
        <w:ind w:firstLine="482"/>
        <w:jc w:val="both"/>
        <w:rPr>
          <w:rFonts w:cs="Times New Roman"/>
          <w:bCs/>
        </w:rPr>
      </w:pPr>
      <w:r>
        <w:rPr>
          <w:rFonts w:cs="Times New Roman"/>
          <w:b/>
        </w:rPr>
        <w:t>收卷、加捻：</w:t>
      </w:r>
      <w:r>
        <w:rPr>
          <w:rFonts w:cs="Times New Roman"/>
          <w:bCs/>
        </w:rPr>
        <w:t>将牵伸过的半成品收卷，加捻（将</w:t>
      </w:r>
      <w:r>
        <w:rPr>
          <w:rFonts w:hint="eastAsia" w:cs="Times New Roman"/>
          <w:bCs/>
          <w:lang w:val="en-US" w:eastAsia="zh-CN"/>
        </w:rPr>
        <w:t>5~6</w:t>
      </w:r>
      <w:r>
        <w:rPr>
          <w:rFonts w:cs="Times New Roman"/>
          <w:bCs/>
        </w:rPr>
        <w:t>根丝捻成1根），此工序会产生废丝、断丝等固体废物</w:t>
      </w:r>
      <w:r>
        <w:rPr>
          <w:rFonts w:hint="eastAsia" w:cs="Times New Roman"/>
          <w:bCs/>
          <w:lang w:val="en-US" w:eastAsia="zh-CN"/>
        </w:rPr>
        <w:t>S3</w:t>
      </w:r>
      <w:r>
        <w:rPr>
          <w:rFonts w:cs="Times New Roman"/>
          <w:bCs/>
        </w:rPr>
        <w:t>。</w:t>
      </w:r>
    </w:p>
    <w:p>
      <w:pPr>
        <w:ind w:firstLine="482"/>
        <w:jc w:val="both"/>
        <w:rPr>
          <w:rFonts w:cs="Times New Roman"/>
          <w:bCs/>
          <w:color w:val="000000"/>
        </w:rPr>
      </w:pPr>
      <w:r>
        <w:rPr>
          <w:rFonts w:cs="Times New Roman"/>
          <w:b/>
          <w:color w:val="000000"/>
        </w:rPr>
        <w:t>织草：</w:t>
      </w:r>
      <w:r>
        <w:rPr>
          <w:rFonts w:cs="Times New Roman"/>
          <w:bCs/>
          <w:color w:val="000000"/>
        </w:rPr>
        <w:t>对加捻后的丝成品利用</w:t>
      </w:r>
      <w:r>
        <w:rPr>
          <w:rFonts w:hint="eastAsia" w:cs="Times New Roman"/>
          <w:bCs/>
          <w:color w:val="000000"/>
        </w:rPr>
        <w:t>织草机</w:t>
      </w:r>
      <w:r>
        <w:rPr>
          <w:rFonts w:cs="Times New Roman"/>
          <w:bCs/>
          <w:color w:val="000000"/>
        </w:rPr>
        <w:t>编织PP底布</w:t>
      </w:r>
      <w:r>
        <w:rPr>
          <w:rFonts w:hint="eastAsia" w:cs="Times New Roman"/>
          <w:bCs/>
          <w:color w:val="000000"/>
        </w:rPr>
        <w:t>、网格</w:t>
      </w:r>
      <w:r>
        <w:rPr>
          <w:rFonts w:cs="Times New Roman"/>
          <w:bCs/>
          <w:color w:val="000000"/>
        </w:rPr>
        <w:t>上构成人造草坪半成品</w:t>
      </w:r>
      <w:r>
        <w:rPr>
          <w:rFonts w:hint="eastAsia" w:cs="Times New Roman"/>
          <w:bCs/>
          <w:color w:val="000000"/>
          <w:lang w:eastAsia="zh-CN"/>
        </w:rPr>
        <w:t>，</w:t>
      </w:r>
      <w:r>
        <w:rPr>
          <w:rFonts w:hint="eastAsia" w:cs="Times New Roman"/>
          <w:bCs/>
          <w:color w:val="000000"/>
        </w:rPr>
        <w:t>此过程产生噪声。</w:t>
      </w:r>
    </w:p>
    <w:p>
      <w:pPr>
        <w:ind w:firstLine="480"/>
        <w:jc w:val="both"/>
        <w:rPr>
          <w:rFonts w:hint="eastAsia" w:cs="Times New Roman"/>
          <w:bCs/>
          <w:color w:val="000000"/>
          <w:lang w:val="en-US" w:eastAsia="zh-CN"/>
        </w:rPr>
      </w:pPr>
      <w:r>
        <w:rPr>
          <w:rFonts w:cs="Times New Roman"/>
          <w:b/>
        </w:rPr>
        <w:t>背胶涂布：</w:t>
      </w:r>
      <w:r>
        <w:rPr>
          <w:rFonts w:hint="eastAsia" w:cs="Times New Roman"/>
          <w:bCs/>
          <w:color w:val="000000"/>
          <w:lang w:val="en-US" w:eastAsia="zh-CN"/>
        </w:rPr>
        <w:t>丁苯乳胶、钙粉投入搅拌机搅拌，常温常压下搅拌30min成品作为背胶使用。</w:t>
      </w:r>
    </w:p>
    <w:p>
      <w:pPr>
        <w:ind w:firstLine="480"/>
        <w:jc w:val="both"/>
        <w:rPr>
          <w:rFonts w:hint="eastAsia" w:cs="Times New Roman"/>
          <w:lang w:eastAsia="zh-CN"/>
        </w:rPr>
      </w:pPr>
      <w:r>
        <w:rPr>
          <w:rFonts w:hint="eastAsia" w:cs="Times New Roman"/>
          <w:lang w:eastAsia="zh-CN"/>
        </w:rPr>
        <w:t>液体投料：</w:t>
      </w:r>
      <w:r>
        <w:rPr>
          <w:rFonts w:hint="eastAsia" w:cs="Times New Roman"/>
        </w:rPr>
        <w:t>按配方配比将</w:t>
      </w:r>
      <w:r>
        <w:rPr>
          <w:rFonts w:hint="eastAsia" w:cs="Times New Roman"/>
          <w:lang w:eastAsia="zh-CN"/>
        </w:rPr>
        <w:t>丁苯乳胶</w:t>
      </w:r>
      <w:r>
        <w:rPr>
          <w:rFonts w:hint="eastAsia" w:cs="Times New Roman"/>
        </w:rPr>
        <w:t>液体</w:t>
      </w:r>
      <w:r>
        <w:rPr>
          <w:rFonts w:hint="eastAsia" w:cs="Times New Roman"/>
          <w:lang w:eastAsia="zh-CN"/>
        </w:rPr>
        <w:t>泵入缓搅拌罐；</w:t>
      </w:r>
    </w:p>
    <w:p>
      <w:pPr>
        <w:ind w:firstLine="480"/>
        <w:jc w:val="both"/>
        <w:rPr>
          <w:rFonts w:hint="eastAsia" w:cs="Times New Roman"/>
        </w:rPr>
      </w:pPr>
      <w:r>
        <w:rPr>
          <w:rFonts w:hint="eastAsia" w:cs="Times New Roman"/>
          <w:lang w:eastAsia="zh-CN"/>
        </w:rPr>
        <w:t>粉料投料：钙粉在密闭投料间</w:t>
      </w:r>
      <w:r>
        <w:rPr>
          <w:rFonts w:hint="eastAsia" w:cs="Times New Roman"/>
        </w:rPr>
        <w:t>经人工投料投入</w:t>
      </w:r>
      <w:r>
        <w:rPr>
          <w:rFonts w:hint="eastAsia" w:cs="Times New Roman"/>
          <w:lang w:eastAsia="zh-CN"/>
        </w:rPr>
        <w:t>粉料罐（</w:t>
      </w:r>
      <w:r>
        <w:rPr>
          <w:rFonts w:hint="eastAsia" w:cs="Times New Roman"/>
          <w:lang w:val="en-US" w:eastAsia="zh-CN"/>
        </w:rPr>
        <w:t>5m</w:t>
      </w:r>
      <w:r>
        <w:rPr>
          <w:rFonts w:hint="eastAsia" w:cs="Times New Roman"/>
          <w:vertAlign w:val="superscript"/>
          <w:lang w:val="en-US" w:eastAsia="zh-CN"/>
        </w:rPr>
        <w:t>3</w:t>
      </w:r>
      <w:r>
        <w:rPr>
          <w:rFonts w:hint="eastAsia" w:cs="Times New Roman"/>
          <w:lang w:eastAsia="zh-CN"/>
        </w:rPr>
        <w:t>）</w:t>
      </w:r>
      <w:r>
        <w:rPr>
          <w:rFonts w:hint="eastAsia" w:cs="Times New Roman"/>
        </w:rPr>
        <w:t>，然后粉料经螺旋泵输送到</w:t>
      </w:r>
      <w:r>
        <w:rPr>
          <w:rFonts w:hint="eastAsia" w:cs="Times New Roman"/>
          <w:lang w:eastAsia="zh-CN"/>
        </w:rPr>
        <w:t>搅拌罐</w:t>
      </w:r>
      <w:r>
        <w:rPr>
          <w:rFonts w:hint="eastAsia" w:cs="Times New Roman"/>
        </w:rPr>
        <w:t>中。</w:t>
      </w:r>
    </w:p>
    <w:p>
      <w:pPr>
        <w:ind w:firstLine="482"/>
        <w:jc w:val="both"/>
        <w:rPr>
          <w:rFonts w:cs="Times New Roman"/>
          <w:bCs/>
        </w:rPr>
      </w:pPr>
      <w:r>
        <w:rPr>
          <w:rFonts w:cs="Times New Roman"/>
          <w:bCs/>
        </w:rPr>
        <w:t>使用背胶机对加工过的半成品草坪进行背面</w:t>
      </w:r>
      <w:r>
        <w:rPr>
          <w:rFonts w:hint="eastAsia" w:cs="Times New Roman"/>
          <w:bCs/>
          <w:lang w:eastAsia="zh-CN"/>
        </w:rPr>
        <w:t>固定胶</w:t>
      </w:r>
      <w:r>
        <w:rPr>
          <w:rFonts w:cs="Times New Roman"/>
          <w:bCs/>
        </w:rPr>
        <w:t>粘接，形成草坪结构。此段工序会产生有机废气非甲烷总烃</w:t>
      </w:r>
      <w:r>
        <w:rPr>
          <w:rFonts w:hint="eastAsia" w:cs="Times New Roman"/>
          <w:bCs/>
          <w:lang w:eastAsia="zh-CN"/>
        </w:rPr>
        <w:t>、钙粉上料粉尘</w:t>
      </w:r>
      <w:r>
        <w:rPr>
          <w:rFonts w:hint="eastAsia" w:cs="Times New Roman"/>
          <w:bCs/>
          <w:lang w:val="en-US" w:eastAsia="zh-CN"/>
        </w:rPr>
        <w:t>G9，此部分工序在二次密闭车间内进行</w:t>
      </w:r>
      <w:r>
        <w:rPr>
          <w:rFonts w:cs="Times New Roman"/>
          <w:bCs/>
        </w:rPr>
        <w:t>。</w:t>
      </w:r>
    </w:p>
    <w:p>
      <w:pPr>
        <w:ind w:firstLine="482"/>
        <w:jc w:val="both"/>
        <w:rPr>
          <w:rFonts w:cs="Times New Roman"/>
          <w:bCs/>
        </w:rPr>
      </w:pPr>
      <w:r>
        <w:rPr>
          <w:rFonts w:cs="Times New Roman"/>
          <w:b/>
        </w:rPr>
        <w:t>加热烘干：</w:t>
      </w:r>
      <w:r>
        <w:rPr>
          <w:rFonts w:cs="Times New Roman"/>
          <w:bCs/>
        </w:rPr>
        <w:t>将涂</w:t>
      </w:r>
      <w:r>
        <w:rPr>
          <w:rFonts w:hint="eastAsia" w:cs="Times New Roman"/>
          <w:bCs/>
        </w:rPr>
        <w:t>丁苯乳胶</w:t>
      </w:r>
      <w:r>
        <w:rPr>
          <w:rFonts w:cs="Times New Roman"/>
          <w:bCs/>
        </w:rPr>
        <w:t>后的草坪加热烘干</w:t>
      </w:r>
      <w:r>
        <w:rPr>
          <w:rFonts w:cs="Times New Roman"/>
          <w:bCs/>
          <w:color w:val="000000"/>
        </w:rPr>
        <w:t>（加热温度为</w:t>
      </w:r>
      <w:r>
        <w:rPr>
          <w:rFonts w:hint="eastAsia" w:cs="Times New Roman"/>
          <w:bCs/>
          <w:color w:val="000000"/>
        </w:rPr>
        <w:t>110-</w:t>
      </w:r>
      <w:r>
        <w:rPr>
          <w:rFonts w:cs="Times New Roman"/>
          <w:bCs/>
          <w:color w:val="000000"/>
        </w:rPr>
        <w:t>130℃），</w:t>
      </w:r>
      <w:r>
        <w:rPr>
          <w:rFonts w:cs="Times New Roman"/>
          <w:bCs/>
        </w:rPr>
        <w:t>使丝成品和底布粘连更加紧密结实，</w:t>
      </w:r>
      <w:r>
        <w:rPr>
          <w:rFonts w:hint="eastAsia" w:cs="Times New Roman"/>
          <w:bCs/>
          <w:lang w:eastAsia="zh-CN"/>
        </w:rPr>
        <w:t>烘干过程在密闭烘干房内进行，</w:t>
      </w:r>
      <w:r>
        <w:rPr>
          <w:rFonts w:cs="Times New Roman"/>
          <w:bCs/>
        </w:rPr>
        <w:t>此工序会产生有机废气非甲烷总烃</w:t>
      </w:r>
      <w:r>
        <w:rPr>
          <w:rFonts w:hint="eastAsia" w:cs="Times New Roman"/>
          <w:bCs/>
          <w:lang w:val="en-US" w:eastAsia="zh-CN"/>
        </w:rPr>
        <w:t>G10，经负压抽风系统收集处理废气</w:t>
      </w:r>
      <w:r>
        <w:rPr>
          <w:rFonts w:cs="Times New Roman"/>
          <w:bCs/>
        </w:rPr>
        <w:t>。</w:t>
      </w:r>
    </w:p>
    <w:p>
      <w:pPr>
        <w:ind w:firstLine="482"/>
        <w:jc w:val="both"/>
        <w:rPr>
          <w:rFonts w:cs="Times New Roman"/>
          <w:bCs/>
        </w:rPr>
      </w:pPr>
      <w:r>
        <w:rPr>
          <w:rFonts w:cs="Times New Roman"/>
          <w:b/>
        </w:rPr>
        <w:t>冷却、收卷入库：</w:t>
      </w:r>
      <w:r>
        <w:rPr>
          <w:rFonts w:cs="Times New Roman"/>
          <w:bCs/>
        </w:rPr>
        <w:t>经加热后的产品通过循环水池进行冷却，冷却水循环利用，不外排。冷却后收卷入库。</w:t>
      </w:r>
    </w:p>
    <w:p>
      <w:pPr>
        <w:widowControl/>
        <w:ind w:firstLine="482"/>
        <w:jc w:val="both"/>
      </w:pPr>
      <w:r>
        <w:rPr>
          <w:rFonts w:hint="eastAsia" w:ascii="宋体" w:hAnsi="宋体" w:cs="宋体"/>
          <w:b/>
          <w:bCs/>
          <w:color w:val="000000"/>
          <w:kern w:val="0"/>
          <w:lang w:bidi="ar"/>
        </w:rPr>
        <w:t>二、产污流程简述：</w:t>
      </w:r>
    </w:p>
    <w:p>
      <w:pPr>
        <w:widowControl/>
        <w:ind w:firstLine="480"/>
        <w:jc w:val="both"/>
      </w:pPr>
      <w:r>
        <w:rPr>
          <w:rFonts w:hint="eastAsia" w:ascii="宋体" w:hAnsi="宋体" w:cs="宋体"/>
          <w:color w:val="000000"/>
          <w:kern w:val="0"/>
          <w:lang w:bidi="ar"/>
        </w:rPr>
        <w:t>废气：</w:t>
      </w:r>
      <w:r>
        <w:rPr>
          <w:rFonts w:cs="Times New Roman"/>
          <w:color w:val="000000"/>
          <w:kern w:val="0"/>
          <w:lang w:bidi="ar"/>
        </w:rPr>
        <w:t>加热挤出G</w:t>
      </w:r>
      <w:r>
        <w:rPr>
          <w:rFonts w:hint="eastAsia" w:cs="Times New Roman"/>
          <w:color w:val="000000"/>
          <w:kern w:val="0"/>
          <w:lang w:bidi="ar"/>
        </w:rPr>
        <w:t>8</w:t>
      </w:r>
      <w:r>
        <w:rPr>
          <w:rFonts w:cs="Times New Roman"/>
          <w:color w:val="000000"/>
          <w:kern w:val="0"/>
          <w:lang w:bidi="ar"/>
        </w:rPr>
        <w:t>产生非甲烷总烃</w:t>
      </w:r>
      <w:r>
        <w:rPr>
          <w:rFonts w:hint="eastAsia" w:ascii="宋体" w:hAnsi="宋体" w:cs="宋体"/>
          <w:color w:val="000000"/>
          <w:kern w:val="0"/>
          <w:lang w:bidi="ar"/>
        </w:rPr>
        <w:t>，涂胶及烘干过程会产生少量的有机废气和颗粒物排放</w:t>
      </w:r>
      <w:r>
        <w:rPr>
          <w:rFonts w:cs="Times New Roman"/>
          <w:color w:val="000000"/>
          <w:kern w:val="0"/>
          <w:lang w:bidi="ar"/>
        </w:rPr>
        <w:t>G</w:t>
      </w:r>
      <w:r>
        <w:rPr>
          <w:rFonts w:hint="eastAsia" w:cs="Times New Roman"/>
          <w:color w:val="000000"/>
          <w:kern w:val="0"/>
          <w:lang w:bidi="ar"/>
        </w:rPr>
        <w:t>9、G10</w:t>
      </w:r>
      <w:r>
        <w:rPr>
          <w:rFonts w:hint="eastAsia" w:ascii="宋体" w:hAnsi="宋体" w:cs="宋体"/>
          <w:color w:val="000000"/>
          <w:kern w:val="0"/>
          <w:lang w:bidi="ar"/>
        </w:rPr>
        <w:t>，污染物为非甲烷总烃、颗粒物；</w:t>
      </w:r>
    </w:p>
    <w:p>
      <w:pPr>
        <w:widowControl/>
        <w:ind w:firstLine="480"/>
        <w:jc w:val="both"/>
        <w:rPr>
          <w:rFonts w:cs="Times New Roman"/>
          <w:color w:val="000000"/>
          <w:kern w:val="0"/>
          <w:lang w:bidi="ar"/>
        </w:rPr>
      </w:pPr>
      <w:r>
        <w:rPr>
          <w:rFonts w:cs="Times New Roman"/>
          <w:color w:val="000000"/>
          <w:kern w:val="0"/>
          <w:lang w:bidi="ar"/>
        </w:rPr>
        <w:t>固体废物：废边角料</w:t>
      </w:r>
      <w:r>
        <w:rPr>
          <w:rFonts w:hint="eastAsia" w:cs="Times New Roman"/>
          <w:color w:val="000000"/>
          <w:kern w:val="0"/>
          <w:lang w:bidi="ar"/>
        </w:rPr>
        <w:t>及废包材</w:t>
      </w:r>
      <w:r>
        <w:rPr>
          <w:rFonts w:cs="Times New Roman"/>
          <w:color w:val="000000"/>
          <w:kern w:val="0"/>
          <w:lang w:bidi="ar"/>
        </w:rPr>
        <w:t>S3；</w:t>
      </w:r>
    </w:p>
    <w:p>
      <w:pPr>
        <w:pStyle w:val="24"/>
        <w:spacing w:line="360" w:lineRule="auto"/>
        <w:ind w:firstLine="480"/>
        <w:jc w:val="both"/>
        <w:rPr>
          <w:sz w:val="24"/>
        </w:rPr>
      </w:pPr>
      <w:r>
        <w:rPr>
          <w:rFonts w:hint="eastAsia" w:ascii="Times New Roman" w:cs="Times New Roman"/>
          <w:color w:val="000000"/>
          <w:kern w:val="0"/>
          <w:sz w:val="24"/>
          <w:lang w:bidi="ar"/>
        </w:rPr>
        <w:t>废水：</w:t>
      </w:r>
      <w:r>
        <w:rPr>
          <w:rFonts w:hint="eastAsia" w:ascii="Times New Roman" w:cs="Times New Roman"/>
          <w:color w:val="000000"/>
          <w:kern w:val="0"/>
          <w:sz w:val="24"/>
          <w:lang w:eastAsia="zh-CN" w:bidi="ar"/>
        </w:rPr>
        <w:t>无</w:t>
      </w:r>
      <w:r>
        <w:rPr>
          <w:rFonts w:hint="eastAsia" w:ascii="Times New Roman" w:cs="Times New Roman"/>
          <w:color w:val="000000"/>
          <w:kern w:val="0"/>
          <w:sz w:val="24"/>
          <w:lang w:bidi="ar"/>
        </w:rPr>
        <w:t>；</w:t>
      </w:r>
    </w:p>
    <w:p>
      <w:pPr>
        <w:widowControl/>
        <w:ind w:firstLine="480"/>
        <w:jc w:val="both"/>
      </w:pPr>
      <w:r>
        <w:rPr>
          <w:rFonts w:hint="eastAsia" w:ascii="宋体" w:hAnsi="宋体" w:cs="宋体"/>
          <w:color w:val="000000"/>
          <w:kern w:val="0"/>
          <w:lang w:bidi="ar"/>
        </w:rPr>
        <w:t>噪声：主要为设备运行产生的噪声。</w:t>
      </w:r>
    </w:p>
    <w:p>
      <w:pPr>
        <w:widowControl/>
        <w:ind w:firstLine="482"/>
        <w:jc w:val="both"/>
      </w:pPr>
      <w:r>
        <w:rPr>
          <w:rFonts w:hint="eastAsia" w:ascii="宋体" w:hAnsi="宋体" w:cs="宋体"/>
          <w:b/>
          <w:bCs/>
          <w:color w:val="000000"/>
          <w:kern w:val="0"/>
          <w:lang w:bidi="ar"/>
        </w:rPr>
        <w:t>三、物料衡算：</w:t>
      </w:r>
    </w:p>
    <w:p>
      <w:pPr>
        <w:pStyle w:val="24"/>
        <w:spacing w:line="360" w:lineRule="auto"/>
        <w:ind w:firstLine="480"/>
        <w:jc w:val="both"/>
        <w:rPr>
          <w:rFonts w:ascii="Times New Roman" w:cs="Times New Roman"/>
          <w:bCs/>
          <w:sz w:val="24"/>
        </w:rPr>
      </w:pPr>
      <w:r>
        <w:rPr>
          <w:rFonts w:ascii="Times New Roman" w:cs="Times New Roman"/>
          <w:bCs/>
          <w:sz w:val="24"/>
        </w:rPr>
        <w:t>人造草坪生产过程会产生少量有机废气及</w:t>
      </w:r>
      <w:r>
        <w:rPr>
          <w:rFonts w:hint="eastAsia" w:ascii="Times New Roman" w:cs="Times New Roman"/>
          <w:bCs/>
          <w:sz w:val="24"/>
        </w:rPr>
        <w:t>废弃边角料。</w:t>
      </w:r>
    </w:p>
    <w:p>
      <w:pPr>
        <w:pStyle w:val="27"/>
        <w:spacing w:after="0"/>
        <w:ind w:left="0" w:leftChars="0" w:firstLine="480"/>
        <w:jc w:val="both"/>
        <w:rPr>
          <w:u w:val="single"/>
        </w:rPr>
      </w:pPr>
      <w:r>
        <w:rPr>
          <w:rFonts w:hint="eastAsia"/>
          <w:u w:val="single"/>
        </w:rPr>
        <w:t>G8挤出</w:t>
      </w:r>
    </w:p>
    <w:p>
      <w:pPr>
        <w:ind w:firstLine="480"/>
        <w:jc w:val="both"/>
        <w:rPr>
          <w:u w:val="single"/>
        </w:rPr>
      </w:pPr>
      <w:r>
        <w:rPr>
          <w:u w:val="single"/>
        </w:rPr>
        <w:t>本项目生产人造草坪原料使用线性低密度聚乙烯，在加热挤出过程会有有机废气（以非甲烷总烃计）产生，参考第二次全国污染源普查工业污染源产排污系数手册《292 塑料制品行业系数手册（初稿）》中</w:t>
      </w:r>
      <w:r>
        <w:rPr>
          <w:rFonts w:hint="eastAsia"/>
          <w:u w:val="single"/>
          <w:lang w:eastAsia="zh-CN"/>
        </w:rPr>
        <w:t>“</w:t>
      </w:r>
      <w:r>
        <w:rPr>
          <w:u w:val="single"/>
        </w:rPr>
        <w:t>2928 人造草坪制造行业</w:t>
      </w:r>
      <w:r>
        <w:rPr>
          <w:rFonts w:hint="eastAsia"/>
          <w:u w:val="single"/>
          <w:lang w:eastAsia="zh-CN"/>
        </w:rPr>
        <w:t>”</w:t>
      </w:r>
      <w:r>
        <w:rPr>
          <w:u w:val="single"/>
        </w:rPr>
        <w:t>中</w:t>
      </w:r>
      <w:r>
        <w:rPr>
          <w:rFonts w:hint="eastAsia"/>
          <w:u w:val="single"/>
          <w:lang w:eastAsia="zh-CN"/>
        </w:rPr>
        <w:t>“</w:t>
      </w:r>
      <w:r>
        <w:rPr>
          <w:u w:val="single"/>
        </w:rPr>
        <w:t>配料、混合、挤出/注塑</w:t>
      </w:r>
      <w:r>
        <w:rPr>
          <w:rFonts w:hint="eastAsia"/>
          <w:u w:val="single"/>
          <w:lang w:eastAsia="zh-CN"/>
        </w:rPr>
        <w:t>”</w:t>
      </w:r>
      <w:r>
        <w:rPr>
          <w:u w:val="single"/>
        </w:rPr>
        <w:t>挥发性有机物产污系数为2.70kg/吨-原料，本项目塑料原料使用量为</w:t>
      </w:r>
      <w:r>
        <w:rPr>
          <w:rFonts w:hint="eastAsia"/>
          <w:u w:val="single"/>
        </w:rPr>
        <w:t>1000</w:t>
      </w:r>
      <w:r>
        <w:rPr>
          <w:u w:val="single"/>
        </w:rPr>
        <w:t>t/a，则本项目挤出过程产生非甲烷总烃量为</w:t>
      </w:r>
      <w:r>
        <w:rPr>
          <w:rFonts w:hint="eastAsia"/>
          <w:u w:val="single"/>
        </w:rPr>
        <w:t>2.7</w:t>
      </w:r>
      <w:r>
        <w:rPr>
          <w:u w:val="single"/>
        </w:rPr>
        <w:t>t/a</w:t>
      </w:r>
      <w:r>
        <w:rPr>
          <w:rFonts w:hint="eastAsia"/>
          <w:u w:val="single"/>
        </w:rPr>
        <w:t>。</w:t>
      </w:r>
    </w:p>
    <w:p>
      <w:pPr>
        <w:widowControl/>
        <w:ind w:firstLine="480"/>
        <w:jc w:val="both"/>
        <w:rPr>
          <w:color w:val="000000" w:themeColor="text1"/>
          <w:u w:val="single"/>
          <w14:textFill>
            <w14:solidFill>
              <w14:schemeClr w14:val="tx1"/>
            </w14:solidFill>
          </w14:textFill>
        </w:rPr>
      </w:pPr>
      <w:r>
        <w:rPr>
          <w:rFonts w:cs="Times New Roman"/>
          <w:color w:val="000000"/>
          <w:kern w:val="0"/>
          <w:u w:val="single"/>
          <w:lang w:bidi="ar"/>
        </w:rPr>
        <w:t>G</w:t>
      </w:r>
      <w:r>
        <w:rPr>
          <w:rFonts w:hint="eastAsia" w:cs="Times New Roman"/>
          <w:color w:val="000000"/>
          <w:kern w:val="0"/>
          <w:u w:val="single"/>
          <w:lang w:bidi="ar"/>
        </w:rPr>
        <w:t>9、</w:t>
      </w:r>
      <w:r>
        <w:rPr>
          <w:rFonts w:cs="Times New Roman"/>
          <w:color w:val="000000"/>
          <w:kern w:val="0"/>
          <w:u w:val="single"/>
          <w:lang w:bidi="ar"/>
        </w:rPr>
        <w:t>G</w:t>
      </w:r>
      <w:r>
        <w:rPr>
          <w:rFonts w:hint="eastAsia" w:cs="Times New Roman"/>
          <w:color w:val="000000"/>
          <w:kern w:val="0"/>
          <w:u w:val="single"/>
          <w:lang w:bidi="ar"/>
        </w:rPr>
        <w:t>10</w:t>
      </w:r>
      <w:r>
        <w:rPr>
          <w:rFonts w:hint="eastAsia" w:ascii="宋体" w:hAnsi="宋体" w:cs="宋体"/>
          <w:color w:val="000000"/>
          <w:kern w:val="0"/>
          <w:u w:val="single"/>
          <w:lang w:bidi="ar"/>
        </w:rPr>
        <w:t>涂胶及烘干</w:t>
      </w:r>
    </w:p>
    <w:p>
      <w:pPr>
        <w:widowControl/>
        <w:ind w:firstLine="480"/>
        <w:jc w:val="both"/>
        <w:rPr>
          <w:color w:val="000000" w:themeColor="text1"/>
          <w:u w:val="single"/>
          <w14:textFill>
            <w14:solidFill>
              <w14:schemeClr w14:val="tx1"/>
            </w14:solidFill>
          </w14:textFill>
        </w:rPr>
      </w:pPr>
      <w:r>
        <w:rPr>
          <w:color w:val="000000" w:themeColor="text1"/>
          <w:u w:val="single"/>
          <w14:textFill>
            <w14:solidFill>
              <w14:schemeClr w14:val="tx1"/>
            </w14:solidFill>
          </w14:textFill>
        </w:rPr>
        <w:t>本项目背胶及烘干工序会产生有机废气，背胶工序所用胶水为丁苯乳胶，参考第二次全国污染源普查工业污染源产排污系数手册《292塑料制品行业系数手册（初稿）》中243工艺美术及礼仪用品制造行业系数手册-2437地毯、挂毯制造行业中背胶/胶黏工序，本项目使用天然乳胶（本项目为丁苯乳胶）的产物系数为0.928千克/吨原材料，本项目丁苯乳胶用量为</w:t>
      </w:r>
      <w:r>
        <w:rPr>
          <w:rFonts w:hint="eastAsia"/>
          <w:color w:val="000000" w:themeColor="text1"/>
          <w:u w:val="single"/>
          <w:lang w:val="en-US" w:eastAsia="zh-CN"/>
          <w14:textFill>
            <w14:solidFill>
              <w14:schemeClr w14:val="tx1"/>
            </w14:solidFill>
          </w14:textFill>
        </w:rPr>
        <w:t>564.59t/a</w:t>
      </w:r>
      <w:r>
        <w:rPr>
          <w:color w:val="000000" w:themeColor="text1"/>
          <w:u w:val="single"/>
          <w14:textFill>
            <w14:solidFill>
              <w14:schemeClr w14:val="tx1"/>
            </w14:solidFill>
          </w14:textFill>
        </w:rPr>
        <w:t>，则本项目废气产生量为</w:t>
      </w:r>
      <w:r>
        <w:rPr>
          <w:rFonts w:hint="eastAsia"/>
          <w:color w:val="000000" w:themeColor="text1"/>
          <w:u w:val="single"/>
          <w:lang w:val="en-US" w:eastAsia="zh-CN"/>
          <w14:textFill>
            <w14:solidFill>
              <w14:schemeClr w14:val="tx1"/>
            </w14:solidFill>
          </w14:textFill>
        </w:rPr>
        <w:t>0.524</w:t>
      </w:r>
      <w:r>
        <w:rPr>
          <w:color w:val="000000" w:themeColor="text1"/>
          <w:u w:val="single"/>
          <w14:textFill>
            <w14:solidFill>
              <w14:schemeClr w14:val="tx1"/>
            </w14:solidFill>
          </w14:textFill>
        </w:rPr>
        <w:t>t/a</w:t>
      </w:r>
      <w:r>
        <w:rPr>
          <w:rFonts w:hint="eastAsia"/>
          <w:color w:val="000000" w:themeColor="text1"/>
          <w:u w:val="single"/>
          <w14:textFill>
            <w14:solidFill>
              <w14:schemeClr w14:val="tx1"/>
            </w14:solidFill>
          </w14:textFill>
        </w:rPr>
        <w:t>。</w:t>
      </w:r>
    </w:p>
    <w:p>
      <w:pPr>
        <w:widowControl/>
        <w:ind w:firstLine="480"/>
        <w:jc w:val="both"/>
        <w:rPr>
          <w:color w:val="000000" w:themeColor="text1"/>
          <w:u w:val="single"/>
          <w14:textFill>
            <w14:solidFill>
              <w14:schemeClr w14:val="tx1"/>
            </w14:solidFill>
          </w14:textFill>
        </w:rPr>
      </w:pPr>
      <w:r>
        <w:rPr>
          <w:color w:val="000000" w:themeColor="text1"/>
          <w:u w:val="single"/>
          <w14:textFill>
            <w14:solidFill>
              <w14:schemeClr w14:val="tx1"/>
            </w14:solidFill>
          </w14:textFill>
        </w:rPr>
        <w:t>项目</w:t>
      </w:r>
      <w:r>
        <w:rPr>
          <w:rFonts w:hint="eastAsia"/>
          <w:color w:val="000000" w:themeColor="text1"/>
          <w:u w:val="single"/>
          <w:lang w:eastAsia="zh-CN"/>
          <w14:textFill>
            <w14:solidFill>
              <w14:schemeClr w14:val="tx1"/>
            </w14:solidFill>
          </w14:textFill>
        </w:rPr>
        <w:t>钙粉</w:t>
      </w:r>
      <w:r>
        <w:rPr>
          <w:color w:val="000000" w:themeColor="text1"/>
          <w:u w:val="single"/>
          <w14:textFill>
            <w14:solidFill>
              <w14:schemeClr w14:val="tx1"/>
            </w14:solidFill>
          </w14:textFill>
        </w:rPr>
        <w:t>物料在投料时，反应釜投料口会产生少量的粉尘</w:t>
      </w:r>
      <w:r>
        <w:rPr>
          <w:rFonts w:hint="eastAsia"/>
          <w:color w:val="000000" w:themeColor="text1"/>
          <w:u w:val="single"/>
          <w:lang w:eastAsia="zh-CN"/>
          <w14:textFill>
            <w14:solidFill>
              <w14:schemeClr w14:val="tx1"/>
            </w14:solidFill>
          </w14:textFill>
        </w:rPr>
        <w:t>，钙粉</w:t>
      </w:r>
      <w:r>
        <w:rPr>
          <w:rFonts w:hint="eastAsia"/>
          <w:color w:val="000000" w:themeColor="text1"/>
          <w:u w:val="single"/>
          <w:lang w:val="en-US" w:eastAsia="zh-CN"/>
          <w14:textFill>
            <w14:solidFill>
              <w14:schemeClr w14:val="tx1"/>
            </w14:solidFill>
          </w14:textFill>
        </w:rPr>
        <w:t>与水泥粒径相似，故投料粉尘参考《逸散性工业粉尘控制技术》（</w:t>
      </w:r>
      <w:r>
        <w:rPr>
          <w:rFonts w:hint="default"/>
          <w:color w:val="000000" w:themeColor="text1"/>
          <w:u w:val="single"/>
          <w:lang w:val="en-US" w:eastAsia="zh-CN"/>
          <w14:textFill>
            <w14:solidFill>
              <w14:schemeClr w14:val="tx1"/>
            </w14:solidFill>
          </w14:textFill>
        </w:rPr>
        <w:t>J.A.</w:t>
      </w:r>
      <w:r>
        <w:rPr>
          <w:rFonts w:hint="eastAsia"/>
          <w:color w:val="000000" w:themeColor="text1"/>
          <w:u w:val="single"/>
          <w:lang w:val="en-US" w:eastAsia="zh-CN"/>
          <w14:textFill>
            <w14:solidFill>
              <w14:schemeClr w14:val="tx1"/>
            </w14:solidFill>
          </w14:textFill>
        </w:rPr>
        <w:t>奥里蒙、</w:t>
      </w:r>
      <w:r>
        <w:rPr>
          <w:rFonts w:hint="default"/>
          <w:color w:val="000000" w:themeColor="text1"/>
          <w:u w:val="single"/>
          <w:lang w:val="en-US" w:eastAsia="zh-CN"/>
          <w14:textFill>
            <w14:solidFill>
              <w14:schemeClr w14:val="tx1"/>
            </w14:solidFill>
          </w14:textFill>
        </w:rPr>
        <w:t>G.A.</w:t>
      </w:r>
      <w:r>
        <w:rPr>
          <w:rFonts w:hint="eastAsia"/>
          <w:color w:val="000000" w:themeColor="text1"/>
          <w:u w:val="single"/>
          <w:lang w:val="en-US" w:eastAsia="zh-CN"/>
          <w14:textFill>
            <w14:solidFill>
              <w14:schemeClr w14:val="tx1"/>
            </w14:solidFill>
          </w14:textFill>
        </w:rPr>
        <w:t>久兹等编著）中细微物料投料粉尘产生系数，产生系数为0.00015~0.02kg/t（装料），本项目投料过程中粉尘产生源强取0.02kg/t（装料）</w:t>
      </w:r>
      <w:r>
        <w:rPr>
          <w:color w:val="000000" w:themeColor="text1"/>
          <w:u w:val="single"/>
          <w14:textFill>
            <w14:solidFill>
              <w14:schemeClr w14:val="tx1"/>
            </w14:solidFill>
          </w14:textFill>
        </w:rPr>
        <w:t>，项目</w:t>
      </w:r>
      <w:r>
        <w:rPr>
          <w:rFonts w:hint="eastAsia"/>
          <w:color w:val="000000" w:themeColor="text1"/>
          <w:u w:val="single"/>
          <w:lang w:eastAsia="zh-CN"/>
          <w14:textFill>
            <w14:solidFill>
              <w14:schemeClr w14:val="tx1"/>
            </w14:solidFill>
          </w14:textFill>
        </w:rPr>
        <w:t>人造草坪生产线</w:t>
      </w:r>
      <w:r>
        <w:rPr>
          <w:color w:val="000000" w:themeColor="text1"/>
          <w:u w:val="single"/>
          <w14:textFill>
            <w14:solidFill>
              <w14:schemeClr w14:val="tx1"/>
            </w14:solidFill>
          </w14:textFill>
        </w:rPr>
        <w:t>粉状物料</w:t>
      </w:r>
      <w:r>
        <w:rPr>
          <w:rFonts w:hint="eastAsia"/>
          <w:color w:val="000000" w:themeColor="text1"/>
          <w:u w:val="single"/>
          <w:lang w:eastAsia="zh-CN"/>
          <w14:textFill>
            <w14:solidFill>
              <w14:schemeClr w14:val="tx1"/>
            </w14:solidFill>
          </w14:textFill>
        </w:rPr>
        <w:t>钙粉</w:t>
      </w:r>
      <w:r>
        <w:rPr>
          <w:color w:val="000000" w:themeColor="text1"/>
          <w:u w:val="single"/>
          <w14:textFill>
            <w14:solidFill>
              <w14:schemeClr w14:val="tx1"/>
            </w14:solidFill>
          </w14:textFill>
        </w:rPr>
        <w:t>用量为</w:t>
      </w:r>
      <w:r>
        <w:rPr>
          <w:rFonts w:hint="eastAsia"/>
          <w:color w:val="000000" w:themeColor="text1"/>
          <w:u w:val="single"/>
          <w:lang w:val="en-US" w:eastAsia="zh-CN"/>
          <w14:textFill>
            <w14:solidFill>
              <w14:schemeClr w14:val="tx1"/>
            </w14:solidFill>
          </w14:textFill>
        </w:rPr>
        <w:t>774.64</w:t>
      </w:r>
      <w:r>
        <w:rPr>
          <w:color w:val="000000" w:themeColor="text1"/>
          <w:u w:val="single"/>
          <w14:textFill>
            <w14:solidFill>
              <w14:schemeClr w14:val="tx1"/>
            </w14:solidFill>
          </w14:textFill>
        </w:rPr>
        <w:t>t/a，则粉尘产生量约为</w:t>
      </w:r>
      <w:r>
        <w:rPr>
          <w:rFonts w:hint="eastAsia"/>
          <w:color w:val="000000" w:themeColor="text1"/>
          <w:u w:val="single"/>
          <w:lang w:val="en-US" w:eastAsia="zh-CN"/>
          <w14:textFill>
            <w14:solidFill>
              <w14:schemeClr w14:val="tx1"/>
            </w14:solidFill>
          </w14:textFill>
        </w:rPr>
        <w:t>0.015</w:t>
      </w:r>
      <w:r>
        <w:rPr>
          <w:color w:val="000000" w:themeColor="text1"/>
          <w:u w:val="single"/>
          <w14:textFill>
            <w14:solidFill>
              <w14:schemeClr w14:val="tx1"/>
            </w14:solidFill>
          </w14:textFill>
        </w:rPr>
        <w:t>t/a</w:t>
      </w:r>
      <w:r>
        <w:rPr>
          <w:rFonts w:hint="eastAsia"/>
          <w:color w:val="000000" w:themeColor="text1"/>
          <w:u w:val="single"/>
          <w:lang w:eastAsia="zh-CN"/>
          <w14:textFill>
            <w14:solidFill>
              <w14:schemeClr w14:val="tx1"/>
            </w14:solidFill>
          </w14:textFill>
        </w:rPr>
        <w:t>。</w:t>
      </w:r>
    </w:p>
    <w:p>
      <w:pPr>
        <w:widowControl/>
        <w:ind w:firstLine="480"/>
        <w:jc w:val="both"/>
        <w:rPr>
          <w:rFonts w:cs="Times New Roman"/>
          <w:color w:val="000000"/>
          <w:kern w:val="0"/>
          <w:u w:val="single"/>
          <w:lang w:bidi="ar"/>
        </w:rPr>
      </w:pPr>
      <w:r>
        <w:rPr>
          <w:rFonts w:cs="Times New Roman"/>
          <w:color w:val="000000"/>
          <w:kern w:val="0"/>
          <w:u w:val="single"/>
          <w:lang w:bidi="ar"/>
        </w:rPr>
        <w:t>废边角料</w:t>
      </w:r>
      <w:r>
        <w:rPr>
          <w:rFonts w:hint="eastAsia" w:cs="Times New Roman"/>
          <w:color w:val="000000"/>
          <w:kern w:val="0"/>
          <w:u w:val="single"/>
          <w:lang w:bidi="ar"/>
        </w:rPr>
        <w:t>及废包材</w:t>
      </w:r>
      <w:r>
        <w:rPr>
          <w:rFonts w:cs="Times New Roman"/>
          <w:color w:val="000000"/>
          <w:kern w:val="0"/>
          <w:u w:val="single"/>
          <w:lang w:bidi="ar"/>
        </w:rPr>
        <w:t>S3；根据业主提供</w:t>
      </w:r>
      <w:r>
        <w:rPr>
          <w:rFonts w:hint="eastAsia" w:cs="Times New Roman"/>
          <w:color w:val="000000"/>
          <w:kern w:val="0"/>
          <w:u w:val="single"/>
          <w:lang w:eastAsia="zh-CN" w:bidi="ar"/>
        </w:rPr>
        <w:t>行业生产经验</w:t>
      </w:r>
      <w:r>
        <w:rPr>
          <w:rFonts w:cs="Times New Roman"/>
          <w:color w:val="000000"/>
          <w:kern w:val="0"/>
          <w:u w:val="single"/>
          <w:lang w:bidi="ar"/>
        </w:rPr>
        <w:t>资料，项目</w:t>
      </w:r>
      <w:r>
        <w:rPr>
          <w:rFonts w:hint="eastAsia" w:cs="Times New Roman"/>
          <w:color w:val="000000"/>
          <w:kern w:val="0"/>
          <w:u w:val="single"/>
          <w:lang w:eastAsia="zh-CN" w:bidi="ar"/>
        </w:rPr>
        <w:t>生产</w:t>
      </w:r>
      <w:r>
        <w:rPr>
          <w:rFonts w:cs="Times New Roman"/>
          <w:color w:val="000000"/>
          <w:kern w:val="0"/>
          <w:u w:val="single"/>
          <w:lang w:bidi="ar"/>
        </w:rPr>
        <w:t>过程会产生PE的边角料</w:t>
      </w:r>
      <w:r>
        <w:rPr>
          <w:rFonts w:hint="eastAsia" w:cs="Times New Roman"/>
          <w:color w:val="000000"/>
          <w:kern w:val="0"/>
          <w:u w:val="single"/>
          <w:lang w:bidi="ar"/>
        </w:rPr>
        <w:t>及PP布</w:t>
      </w:r>
      <w:r>
        <w:rPr>
          <w:rFonts w:cs="Times New Roman"/>
          <w:color w:val="000000"/>
          <w:kern w:val="0"/>
          <w:u w:val="single"/>
          <w:lang w:bidi="ar"/>
        </w:rPr>
        <w:t>约</w:t>
      </w:r>
      <w:r>
        <w:rPr>
          <w:rFonts w:hint="eastAsia" w:cs="Times New Roman"/>
          <w:color w:val="000000"/>
          <w:kern w:val="0"/>
          <w:u w:val="single"/>
          <w:lang w:bidi="ar"/>
        </w:rPr>
        <w:t>占原料</w:t>
      </w:r>
      <w:r>
        <w:rPr>
          <w:rFonts w:cs="Times New Roman"/>
          <w:color w:val="000000"/>
          <w:kern w:val="0"/>
          <w:u w:val="single"/>
          <w:lang w:bidi="ar"/>
        </w:rPr>
        <w:t>的0.5%，</w:t>
      </w:r>
      <w:r>
        <w:rPr>
          <w:rFonts w:hint="eastAsia" w:cs="Times New Roman"/>
          <w:color w:val="000000"/>
          <w:kern w:val="0"/>
          <w:u w:val="single"/>
          <w:lang w:bidi="ar"/>
        </w:rPr>
        <w:t>产生</w:t>
      </w:r>
      <w:r>
        <w:rPr>
          <w:rFonts w:cs="Times New Roman"/>
          <w:color w:val="000000"/>
          <w:kern w:val="0"/>
          <w:u w:val="single"/>
          <w:lang w:bidi="ar"/>
        </w:rPr>
        <w:t>项目PE塑料线用量为</w:t>
      </w:r>
      <w:r>
        <w:rPr>
          <w:rFonts w:hint="eastAsia" w:cs="Times New Roman"/>
          <w:color w:val="000000"/>
          <w:kern w:val="0"/>
          <w:u w:val="single"/>
          <w:lang w:val="en-US" w:eastAsia="zh-CN" w:bidi="ar"/>
        </w:rPr>
        <w:t>1000</w:t>
      </w:r>
      <w:r>
        <w:rPr>
          <w:rFonts w:cs="Times New Roman"/>
          <w:color w:val="000000"/>
          <w:kern w:val="0"/>
          <w:u w:val="single"/>
          <w:lang w:bidi="ar"/>
        </w:rPr>
        <w:t>t/a</w:t>
      </w:r>
      <w:r>
        <w:rPr>
          <w:rFonts w:hint="eastAsia" w:cs="Times New Roman"/>
          <w:color w:val="000000"/>
          <w:kern w:val="0"/>
          <w:u w:val="single"/>
          <w:lang w:bidi="ar"/>
        </w:rPr>
        <w:t>、PP布使用量</w:t>
      </w:r>
      <w:r>
        <w:rPr>
          <w:rFonts w:hint="eastAsia" w:cs="Times New Roman"/>
          <w:color w:val="000000"/>
          <w:kern w:val="0"/>
          <w:u w:val="single"/>
          <w:lang w:eastAsia="zh-CN" w:bidi="ar"/>
        </w:rPr>
        <w:t>（</w:t>
      </w:r>
      <w:r>
        <w:rPr>
          <w:rFonts w:hint="eastAsia" w:cs="Times New Roman"/>
          <w:color w:val="000000"/>
          <w:kern w:val="0"/>
          <w:u w:val="single"/>
          <w:lang w:val="en-US" w:eastAsia="zh-CN" w:bidi="ar"/>
        </w:rPr>
        <w:t>155万m</w:t>
      </w:r>
      <w:r>
        <w:rPr>
          <w:rFonts w:hint="eastAsia" w:cs="Times New Roman"/>
          <w:color w:val="000000"/>
          <w:kern w:val="0"/>
          <w:u w:val="single"/>
          <w:vertAlign w:val="superscript"/>
          <w:lang w:val="en-US" w:eastAsia="zh-CN" w:bidi="ar"/>
        </w:rPr>
        <w:t>2</w:t>
      </w:r>
      <w:r>
        <w:rPr>
          <w:rFonts w:hint="eastAsia" w:cs="Times New Roman"/>
          <w:color w:val="000000"/>
          <w:kern w:val="0"/>
          <w:u w:val="single"/>
          <w:vertAlign w:val="baseline"/>
          <w:lang w:val="en-US" w:eastAsia="zh-CN" w:bidi="ar"/>
        </w:rPr>
        <w:t>；厚度0.02m</w:t>
      </w:r>
      <w:r>
        <w:rPr>
          <w:rFonts w:hint="eastAsia" w:cs="Times New Roman"/>
          <w:color w:val="000000"/>
          <w:kern w:val="0"/>
          <w:u w:val="single"/>
          <w:lang w:eastAsia="zh-CN" w:bidi="ar"/>
        </w:rPr>
        <w:t>）约</w:t>
      </w:r>
      <w:r>
        <w:rPr>
          <w:rFonts w:hint="eastAsia" w:cs="Times New Roman"/>
          <w:color w:val="000000"/>
          <w:kern w:val="0"/>
          <w:u w:val="single"/>
          <w:lang w:bidi="ar"/>
        </w:rPr>
        <w:t>为</w:t>
      </w:r>
      <w:r>
        <w:rPr>
          <w:rFonts w:hint="eastAsia" w:cs="Times New Roman"/>
          <w:color w:val="000000"/>
          <w:kern w:val="0"/>
          <w:u w:val="single"/>
          <w:lang w:val="en-US" w:eastAsia="zh-CN" w:bidi="ar"/>
        </w:rPr>
        <w:t>775</w:t>
      </w:r>
      <w:r>
        <w:rPr>
          <w:rFonts w:hint="eastAsia" w:cs="Times New Roman"/>
          <w:color w:val="000000"/>
          <w:kern w:val="0"/>
          <w:u w:val="single"/>
          <w:lang w:bidi="ar"/>
        </w:rPr>
        <w:t>t/a</w:t>
      </w:r>
      <w:r>
        <w:rPr>
          <w:rFonts w:cs="Times New Roman"/>
          <w:color w:val="000000"/>
          <w:kern w:val="0"/>
          <w:u w:val="single"/>
          <w:lang w:bidi="ar"/>
        </w:rPr>
        <w:t>，则边角料产生量约</w:t>
      </w:r>
      <w:r>
        <w:rPr>
          <w:rFonts w:hint="eastAsia" w:cs="Times New Roman"/>
          <w:color w:val="000000"/>
          <w:kern w:val="0"/>
          <w:u w:val="single"/>
          <w:lang w:val="en-US" w:eastAsia="zh-CN" w:bidi="ar"/>
        </w:rPr>
        <w:t>8.75</w:t>
      </w:r>
      <w:r>
        <w:rPr>
          <w:rFonts w:cs="Times New Roman"/>
          <w:color w:val="000000"/>
          <w:kern w:val="0"/>
          <w:u w:val="single"/>
          <w:lang w:bidi="ar"/>
        </w:rPr>
        <w:t>t/a。</w:t>
      </w:r>
    </w:p>
    <w:p>
      <w:pPr>
        <w:pStyle w:val="24"/>
        <w:spacing w:line="360" w:lineRule="auto"/>
        <w:ind w:firstLine="480"/>
        <w:jc w:val="both"/>
        <w:rPr>
          <w:sz w:val="24"/>
        </w:rPr>
      </w:pPr>
      <w:r>
        <w:rPr>
          <w:rFonts w:hint="eastAsia" w:ascii="Times New Roman" w:cs="Times New Roman"/>
          <w:color w:val="000000"/>
          <w:kern w:val="0"/>
          <w:sz w:val="24"/>
          <w:lang w:bidi="ar"/>
        </w:rPr>
        <w:t>废水：循环冷却水排水及蒸汽冷凝水排水，均为外部循环，不计算物料平衡；</w:t>
      </w:r>
    </w:p>
    <w:p>
      <w:pPr>
        <w:widowControl/>
        <w:ind w:firstLine="480"/>
        <w:jc w:val="both"/>
        <w:rPr>
          <w:rFonts w:hint="eastAsia" w:cs="Times New Roman"/>
          <w:color w:val="000000"/>
          <w:kern w:val="0"/>
          <w:lang w:bidi="ar"/>
        </w:rPr>
      </w:pPr>
      <w:r>
        <w:rPr>
          <w:rFonts w:hint="eastAsia" w:cs="Times New Roman"/>
          <w:color w:val="000000"/>
          <w:kern w:val="0"/>
          <w:lang w:bidi="ar"/>
        </w:rPr>
        <w:t>人造草坪生产物料平衡见表4.2-3及图4.2-6。</w:t>
      </w:r>
    </w:p>
    <w:p>
      <w:pPr>
        <w:widowControl/>
        <w:ind w:firstLine="480"/>
        <w:jc w:val="both"/>
        <w:rPr>
          <w:rFonts w:hint="default" w:cs="Times New Roman"/>
          <w:color w:val="000000"/>
          <w:kern w:val="0"/>
          <w:lang w:val="en-US" w:eastAsia="zh-CN" w:bidi="ar"/>
        </w:rPr>
      </w:pPr>
      <w:r>
        <w:rPr>
          <w:rFonts w:hint="eastAsia" w:cs="Times New Roman"/>
          <w:color w:val="000000"/>
          <w:kern w:val="0"/>
          <w:lang w:eastAsia="zh-CN" w:bidi="ar"/>
        </w:rPr>
        <w:t>根据企业生产设计方案，产品人造草坪生产批次为</w:t>
      </w:r>
      <w:r>
        <w:rPr>
          <w:rFonts w:hint="eastAsia" w:cs="Times New Roman"/>
          <w:color w:val="000000"/>
          <w:kern w:val="0"/>
          <w:lang w:val="en-US" w:eastAsia="zh-CN" w:bidi="ar"/>
        </w:rPr>
        <w:t>584批/年，产品年产量为3102.2吨，则每批次产品为5312.054kg/批次。</w:t>
      </w:r>
    </w:p>
    <w:p>
      <w:pPr>
        <w:widowControl/>
        <w:ind w:firstLine="0" w:firstLineChars="0"/>
        <w:jc w:val="center"/>
        <w:rPr>
          <w:b/>
          <w:bCs/>
        </w:rPr>
      </w:pPr>
      <w:r>
        <w:rPr>
          <w:rFonts w:hint="eastAsia" w:ascii="宋体" w:hAnsi="宋体" w:cs="宋体"/>
          <w:b/>
          <w:bCs/>
          <w:color w:val="000000"/>
          <w:kern w:val="0"/>
          <w:lang w:bidi="ar"/>
        </w:rPr>
        <w:t>表</w:t>
      </w:r>
      <w:r>
        <w:rPr>
          <w:rFonts w:hint="eastAsia" w:cs="Times New Roman"/>
          <w:b/>
          <w:bCs/>
          <w:color w:val="000000"/>
          <w:kern w:val="0"/>
          <w:lang w:bidi="ar"/>
        </w:rPr>
        <w:t>4.2</w:t>
      </w:r>
      <w:r>
        <w:rPr>
          <w:rFonts w:cs="Times New Roman"/>
          <w:b/>
          <w:bCs/>
          <w:color w:val="000000"/>
          <w:kern w:val="0"/>
          <w:lang w:bidi="ar"/>
        </w:rPr>
        <w:t>-</w:t>
      </w:r>
      <w:r>
        <w:rPr>
          <w:rFonts w:hint="eastAsia" w:cs="Times New Roman"/>
          <w:b/>
          <w:bCs/>
          <w:color w:val="000000"/>
          <w:kern w:val="0"/>
          <w:lang w:bidi="ar"/>
        </w:rPr>
        <w:t>3  人造草坪生产</w:t>
      </w:r>
      <w:r>
        <w:rPr>
          <w:rFonts w:hint="eastAsia" w:ascii="宋体" w:hAnsi="宋体" w:cs="宋体"/>
          <w:b/>
          <w:bCs/>
          <w:color w:val="000000"/>
          <w:kern w:val="0"/>
          <w:lang w:bidi="ar"/>
        </w:rPr>
        <w:t>物料平衡一览表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8"/>
        <w:gridCol w:w="2841"/>
        <w:gridCol w:w="1271"/>
        <w:gridCol w:w="585"/>
        <w:gridCol w:w="1964"/>
        <w:gridCol w:w="1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1"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投入情况（kg/批次）</w:t>
            </w:r>
          </w:p>
        </w:tc>
        <w:tc>
          <w:tcPr>
            <w:tcW w:w="2378"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产出情况（kg/批次）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w:t>
            </w:r>
          </w:p>
        </w:tc>
        <w:tc>
          <w:tcPr>
            <w:tcW w:w="152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cs="Times New Roman"/>
                <w:kern w:val="21"/>
                <w:sz w:val="21"/>
                <w:szCs w:val="21"/>
                <w:u w:val="none"/>
              </w:rPr>
              <w:t>聚乙烯</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1712.33</w:t>
            </w:r>
          </w:p>
        </w:tc>
        <w:tc>
          <w:tcPr>
            <w:tcW w:w="31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1</w:t>
            </w:r>
          </w:p>
        </w:tc>
        <w:tc>
          <w:tcPr>
            <w:tcW w:w="105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产品（人造草坪）</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5312.054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2</w:t>
            </w:r>
          </w:p>
        </w:tc>
        <w:tc>
          <w:tcPr>
            <w:tcW w:w="152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cs="Times New Roman"/>
                <w:kern w:val="21"/>
                <w:sz w:val="21"/>
                <w:szCs w:val="21"/>
                <w:u w:val="none"/>
              </w:rPr>
              <w:t>拉丝助剂</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43.25</w:t>
            </w:r>
          </w:p>
        </w:tc>
        <w:tc>
          <w:tcPr>
            <w:tcW w:w="31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2</w:t>
            </w:r>
          </w:p>
        </w:tc>
        <w:tc>
          <w:tcPr>
            <w:tcW w:w="105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颗粒物</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3</w:t>
            </w:r>
          </w:p>
        </w:tc>
        <w:tc>
          <w:tcPr>
            <w:tcW w:w="152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cs="Times New Roman"/>
                <w:kern w:val="21"/>
                <w:sz w:val="21"/>
                <w:szCs w:val="21"/>
                <w:u w:val="none"/>
              </w:rPr>
              <w:t>PP底布</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1327.05</w:t>
            </w:r>
          </w:p>
        </w:tc>
        <w:tc>
          <w:tcPr>
            <w:tcW w:w="31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3</w:t>
            </w:r>
          </w:p>
        </w:tc>
        <w:tc>
          <w:tcPr>
            <w:tcW w:w="105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非甲烷总烃</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5.52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4</w:t>
            </w:r>
          </w:p>
        </w:tc>
        <w:tc>
          <w:tcPr>
            <w:tcW w:w="152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cs="Times New Roman"/>
                <w:kern w:val="21"/>
                <w:sz w:val="21"/>
                <w:szCs w:val="21"/>
                <w:u w:val="none"/>
              </w:rPr>
              <w:t>丁苯乳胶</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966.76</w:t>
            </w:r>
          </w:p>
        </w:tc>
        <w:tc>
          <w:tcPr>
            <w:tcW w:w="31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4</w:t>
            </w:r>
          </w:p>
        </w:tc>
        <w:tc>
          <w:tcPr>
            <w:tcW w:w="105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固废S3</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14.98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5</w:t>
            </w:r>
          </w:p>
        </w:tc>
        <w:tc>
          <w:tcPr>
            <w:tcW w:w="152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lang w:eastAsia="zh-CN"/>
              </w:rPr>
              <w:t>钙粉</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1326.44</w:t>
            </w:r>
          </w:p>
        </w:tc>
        <w:tc>
          <w:tcPr>
            <w:tcW w:w="315"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105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7" w:type="pct"/>
            <w:gridSpan w:val="2"/>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合计</w:t>
            </w:r>
          </w:p>
        </w:tc>
        <w:tc>
          <w:tcPr>
            <w:tcW w:w="684"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eastAsia="宋体" w:cs="Times New Roman"/>
                <w:kern w:val="21"/>
                <w:sz w:val="21"/>
                <w:szCs w:val="21"/>
                <w:u w:val="none"/>
                <w:lang w:val="en-US" w:eastAsia="zh-CN"/>
              </w:rPr>
            </w:pPr>
            <w:r>
              <w:rPr>
                <w:rFonts w:hint="eastAsia" w:cs="Times New Roman"/>
                <w:kern w:val="21"/>
                <w:sz w:val="21"/>
                <w:szCs w:val="21"/>
                <w:u w:val="none"/>
                <w:lang w:val="en-US" w:eastAsia="zh-CN"/>
              </w:rPr>
              <w:t>5332.58</w:t>
            </w:r>
          </w:p>
        </w:tc>
        <w:tc>
          <w:tcPr>
            <w:tcW w:w="1372" w:type="pct"/>
            <w:gridSpan w:val="2"/>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hint="eastAsia" w:cs="Times New Roman"/>
                <w:kern w:val="21"/>
                <w:sz w:val="21"/>
                <w:szCs w:val="21"/>
                <w:u w:val="none"/>
              </w:rPr>
              <w:t>合计</w:t>
            </w:r>
          </w:p>
        </w:tc>
        <w:tc>
          <w:tcPr>
            <w:tcW w:w="1006"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hint="default" w:cs="Times New Roman"/>
                <w:kern w:val="21"/>
                <w:sz w:val="21"/>
                <w:szCs w:val="21"/>
                <w:u w:val="none"/>
                <w:lang w:val="en-US"/>
              </w:rPr>
            </w:pPr>
            <w:r>
              <w:rPr>
                <w:rFonts w:hint="eastAsia" w:cs="Times New Roman"/>
                <w:kern w:val="21"/>
                <w:sz w:val="21"/>
                <w:szCs w:val="21"/>
                <w:u w:val="none"/>
                <w:lang w:val="en-US" w:eastAsia="zh-CN"/>
              </w:rPr>
              <w:t>5332.58</w:t>
            </w:r>
          </w:p>
        </w:tc>
      </w:tr>
    </w:tbl>
    <w:p>
      <w:pPr>
        <w:widowControl/>
        <w:ind w:firstLine="0" w:firstLineChars="0"/>
        <w:jc w:val="center"/>
      </w:pPr>
      <w:r>
        <w:drawing>
          <wp:inline distT="0" distB="0" distL="114300" distR="114300">
            <wp:extent cx="2251710" cy="3616960"/>
            <wp:effectExtent l="0" t="0" r="15240" b="2540"/>
            <wp:docPr id="6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1"/>
                    <pic:cNvPicPr>
                      <a:picLocks noChangeAspect="1"/>
                    </pic:cNvPicPr>
                  </pic:nvPicPr>
                  <pic:blipFill>
                    <a:blip r:embed="rId44"/>
                    <a:stretch>
                      <a:fillRect/>
                    </a:stretch>
                  </pic:blipFill>
                  <pic:spPr>
                    <a:xfrm>
                      <a:off x="0" y="0"/>
                      <a:ext cx="2251710" cy="3616960"/>
                    </a:xfrm>
                    <a:prstGeom prst="rect">
                      <a:avLst/>
                    </a:prstGeom>
                    <a:noFill/>
                    <a:ln>
                      <a:noFill/>
                    </a:ln>
                  </pic:spPr>
                </pic:pic>
              </a:graphicData>
            </a:graphic>
          </wp:inline>
        </w:drawing>
      </w:r>
    </w:p>
    <w:p>
      <w:pPr>
        <w:pStyle w:val="24"/>
        <w:ind w:firstLine="482"/>
        <w:jc w:val="center"/>
      </w:pPr>
      <w:r>
        <w:rPr>
          <w:rFonts w:ascii="Times New Roman" w:cs="Times New Roman"/>
          <w:b/>
          <w:bCs/>
          <w:sz w:val="24"/>
        </w:rPr>
        <w:t>图4.2-</w:t>
      </w:r>
      <w:r>
        <w:rPr>
          <w:rFonts w:hint="eastAsia" w:ascii="Times New Roman" w:cs="Times New Roman"/>
          <w:b/>
          <w:bCs/>
          <w:sz w:val="24"/>
        </w:rPr>
        <w:t>6</w:t>
      </w:r>
      <w:r>
        <w:rPr>
          <w:rFonts w:ascii="Times New Roman" w:cs="Times New Roman"/>
          <w:b/>
          <w:bCs/>
          <w:sz w:val="24"/>
        </w:rPr>
        <w:t xml:space="preserve">  人造草坪</w:t>
      </w:r>
      <w:r>
        <w:rPr>
          <w:rFonts w:hint="eastAsia" w:ascii="Times New Roman" w:cs="Times New Roman"/>
          <w:b/>
          <w:bCs/>
          <w:color w:val="000000"/>
          <w:kern w:val="0"/>
          <w:sz w:val="24"/>
          <w:lang w:bidi="ar"/>
        </w:rPr>
        <w:t>生产</w:t>
      </w:r>
      <w:r>
        <w:rPr>
          <w:rFonts w:ascii="Times New Roman" w:cs="Times New Roman"/>
          <w:b/>
          <w:bCs/>
          <w:sz w:val="24"/>
        </w:rPr>
        <w:t>物料平衡图</w:t>
      </w:r>
    </w:p>
    <w:p>
      <w:pPr>
        <w:pStyle w:val="7"/>
        <w:ind w:firstLine="562"/>
      </w:pPr>
      <w:r>
        <w:t>4.</w:t>
      </w:r>
      <w:r>
        <w:rPr>
          <w:rFonts w:hint="eastAsia"/>
        </w:rPr>
        <w:t>2.4</w:t>
      </w:r>
      <w:r>
        <w:t xml:space="preserve"> </w:t>
      </w:r>
      <w:r>
        <w:rPr>
          <w:rFonts w:hint="eastAsia"/>
        </w:rPr>
        <mc:AlternateContent>
          <mc:Choice Requires="wps">
            <w:drawing>
              <wp:anchor distT="0" distB="0" distL="114300" distR="114300" simplePos="0" relativeHeight="251698176" behindDoc="0" locked="0" layoutInCell="1" allowOverlap="1">
                <wp:simplePos x="0" y="0"/>
                <wp:positionH relativeFrom="column">
                  <wp:posOffset>794385</wp:posOffset>
                </wp:positionH>
                <wp:positionV relativeFrom="paragraph">
                  <wp:posOffset>405765</wp:posOffset>
                </wp:positionV>
                <wp:extent cx="371475" cy="0"/>
                <wp:effectExtent l="0" t="0" r="0" b="0"/>
                <wp:wrapNone/>
                <wp:docPr id="132" name="直接箭头连接符 132"/>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62.55pt;margin-top:31.95pt;height:0pt;width:29.25pt;z-index:251698176;mso-width-relative:page;mso-height-relative:page;" filled="f" stroked="f" coordsize="21600,21600" o:gfxdata="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hiKW&#10;StYAAAAJAQAADwAAAAAAAAABACAAAAAiAAAAZHJzL2Rvd25yZXYueG1sUEsBAhQAFAAAAAgAh07i&#10;QECC6pSyAQAASAMAAA4AAAAAAAAAAQAgAAAAJQEAAGRycy9lMm9Eb2MueG1sUEsFBgAAAAAGAAYA&#10;WQEAAEkFAAAAAA==&#10;">
                <v:fill on="f" focussize="0,0"/>
                <v:stroke on="f"/>
                <v:imagedata o:title=""/>
                <o:lock v:ext="edit" aspectratio="f"/>
              </v:shape>
            </w:pict>
          </mc:Fallback>
        </mc:AlternateContent>
      </w:r>
      <w:r>
        <w:rPr>
          <w:rFonts w:hint="eastAsia"/>
        </w:rPr>
        <w:t>单组份胶水</w:t>
      </w:r>
      <w:r>
        <w:rPr>
          <w:rFonts w:hint="eastAsia"/>
        </w:rPr>
        <mc:AlternateContent>
          <mc:Choice Requires="wps">
            <w:drawing>
              <wp:anchor distT="0" distB="0" distL="114300" distR="114300" simplePos="0" relativeHeight="251697152" behindDoc="0" locked="0" layoutInCell="1" allowOverlap="1">
                <wp:simplePos x="0" y="0"/>
                <wp:positionH relativeFrom="column">
                  <wp:posOffset>641985</wp:posOffset>
                </wp:positionH>
                <wp:positionV relativeFrom="paragraph">
                  <wp:posOffset>254000</wp:posOffset>
                </wp:positionV>
                <wp:extent cx="371475" cy="635"/>
                <wp:effectExtent l="0" t="0" r="0" b="0"/>
                <wp:wrapNone/>
                <wp:docPr id="105" name="直接箭头连接符 105"/>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20pt;height:0.05pt;width:29.25pt;z-index:251697152;mso-width-relative:page;mso-height-relative:page;" filled="f" stroked="f" coordsize="21600,21600" o:gfxdata="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C6&#10;JKL/1gAAAAkBAAAPAAAAAAAAAAEAIAAAACIAAABkcnMvZG93bnJldi54bWxQSwECFAAUAAAACACH&#10;TuJAeFCDfLQBAABKAwAADgAAAAAAAAABACAAAAAlAQAAZHJzL2Uyb0RvYy54bWxQSwUGAAAAAAYA&#10;BgBZAQAASwUAAAAA&#10;">
                <v:fill on="f" focussize="0,0"/>
                <v:stroke on="f"/>
                <v:imagedata o:title=""/>
                <o:lock v:ext="edit" aspectratio="f"/>
              </v:shape>
            </w:pict>
          </mc:Fallback>
        </mc:AlternateContent>
      </w:r>
      <w:r>
        <w:rPr>
          <w:rFonts w:hint="eastAsia"/>
        </w:rPr>
        <mc:AlternateContent>
          <mc:Choice Requires="wps">
            <w:drawing>
              <wp:anchor distT="0" distB="0" distL="114300" distR="114300" simplePos="0" relativeHeight="251696128"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18" name="直接箭头连接符 118"/>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696128;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GVwhsjV&#10;AAAACQEAAA8AAAAAAAAAAQAgAAAAIgAAAGRycy9kb3ducmV2LnhtbFBLAQIUABQAAAAIAIdO4kBR&#10;a7xGsQEAAEgDAAAOAAAAAAAAAAEAIAAAACQBAABkcnMvZTJvRG9jLnhtbFBLBQYAAAAABgAGAFkB&#10;AABHBQAAAAA=&#10;">
                <v:fill on="f" focussize="0,0"/>
                <v:stroke on="f"/>
                <v:imagedata o:title=""/>
                <o:lock v:ext="edit" aspectratio="f"/>
              </v:shape>
            </w:pict>
          </mc:Fallback>
        </mc:AlternateContent>
      </w:r>
      <w:r>
        <w:rPr>
          <w:rFonts w:hint="eastAsia"/>
        </w:rPr>
        <w:t>生产</w:t>
      </w:r>
      <w:r>
        <w:rPr>
          <w:rFonts w:hint="eastAsia"/>
        </w:rPr>
        <mc:AlternateContent>
          <mc:Choice Requires="wps">
            <w:drawing>
              <wp:anchor distT="0" distB="0" distL="114300" distR="114300" simplePos="0" relativeHeight="251695104"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695104;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c&#10;T4u+1gAAAAgBAAAPAAAAAAAAAAEAIAAAACIAAABkcnMvZG93bnJldi54bWxQSwECFAAUAAAACACH&#10;TuJABYh5AbQBAABKAwAADgAAAAAAAAABACAAAAAlAQAAZHJzL2Uyb0RvYy54bWxQSwUGAAAAAAYA&#10;BgBZAQAASwUAAAAA&#10;">
                <v:fill on="f" focussize="0,0"/>
                <v:stroke on="f"/>
                <v:imagedata o:title=""/>
                <o:lock v:ext="edit" aspectratio="f"/>
              </v:shape>
            </w:pict>
          </mc:Fallback>
        </mc:AlternateContent>
      </w:r>
      <w:r>
        <w:rPr>
          <w:rFonts w:hint="eastAsia"/>
        </w:rPr>
        <mc:AlternateContent>
          <mc:Choice Requires="wps">
            <w:drawing>
              <wp:anchor distT="0" distB="0" distL="114300" distR="114300" simplePos="0" relativeHeight="251694080"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694080;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IRTKn&#10;1gAAAAgBAAAPAAAAAAAAAAEAIAAAACIAAABkcnMvZG93bnJldi54bWxQSwECFAAUAAAACACHTuJA&#10;0C16brEBAABIAwAADgAAAAAAAAABACAAAAAlAQAAZHJzL2Uyb0RvYy54bWxQSwUGAAAAAAYABgBZ&#10;AQAASAUAAAAA&#10;">
                <v:fill on="f" focussize="0,0"/>
                <v:stroke on="f"/>
                <v:imagedata o:title=""/>
                <o:lock v:ext="edit" aspectratio="f"/>
              </v:shape>
            </w:pict>
          </mc:Fallback>
        </mc:AlternateContent>
      </w:r>
      <w:r>
        <w:rPr>
          <w:rFonts w:hint="eastAsia"/>
        </w:rPr>
        <w:t>线产污环节分析</w:t>
      </w:r>
    </w:p>
    <w:p>
      <w:pPr>
        <w:ind w:firstLine="480"/>
        <w:jc w:val="center"/>
        <w:rPr>
          <w:rFonts w:cs="Times New Roman"/>
        </w:rPr>
      </w:pPr>
      <w:r>
        <w:drawing>
          <wp:inline distT="0" distB="0" distL="114300" distR="114300">
            <wp:extent cx="1731645" cy="2740025"/>
            <wp:effectExtent l="0" t="0" r="1905" b="3175"/>
            <wp:docPr id="7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2"/>
                    <pic:cNvPicPr>
                      <a:picLocks noChangeAspect="1"/>
                    </pic:cNvPicPr>
                  </pic:nvPicPr>
                  <pic:blipFill>
                    <a:blip r:embed="rId45"/>
                    <a:stretch>
                      <a:fillRect/>
                    </a:stretch>
                  </pic:blipFill>
                  <pic:spPr>
                    <a:xfrm>
                      <a:off x="0" y="0"/>
                      <a:ext cx="1731645" cy="2740025"/>
                    </a:xfrm>
                    <a:prstGeom prst="rect">
                      <a:avLst/>
                    </a:prstGeom>
                    <a:noFill/>
                    <a:ln>
                      <a:noFill/>
                    </a:ln>
                  </pic:spPr>
                </pic:pic>
              </a:graphicData>
            </a:graphic>
          </wp:inline>
        </w:drawing>
      </w:r>
    </w:p>
    <w:p>
      <w:pPr>
        <w:ind w:firstLine="482"/>
        <w:jc w:val="center"/>
        <w:rPr>
          <w:rFonts w:cs="Times New Roman"/>
        </w:rPr>
      </w:pPr>
      <w:r>
        <w:rPr>
          <w:rFonts w:hint="eastAsia" w:cs="Times New Roman"/>
          <w:b/>
          <w:bCs/>
        </w:rPr>
        <w:t xml:space="preserve">图4.2-7  </w:t>
      </w:r>
      <w:r>
        <w:rPr>
          <w:rFonts w:hint="eastAsia" w:cs="Times New Roman"/>
          <w:b/>
          <w:bCs/>
        </w:rPr>
        <mc:AlternateContent>
          <mc:Choice Requires="wps">
            <w:drawing>
              <wp:anchor distT="0" distB="0" distL="114300" distR="114300" simplePos="0" relativeHeight="251680768"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41" name="直接箭头连接符 41"/>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680768;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lcIbI1QAA&#10;AAkBAAAPAAAAAAAAAAEAIAAAACIAAABkcnMvZG93bnJldi54bWxQSwECFAAUAAAACACHTuJALoik&#10;G68BAABGAwAADgAAAAAAAAABACAAAAAkAQAAZHJzL2Uyb0RvYy54bWxQSwUGAAAAAAYABgBZAQAA&#10;RQUAAAAA&#10;">
                <v:fill on="f" focussize="0,0"/>
                <v:stroke on="f"/>
                <v:imagedata o:title=""/>
                <o:lock v:ext="edit" aspectratio="f"/>
              </v:shape>
            </w:pict>
          </mc:Fallback>
        </mc:AlternateContent>
      </w:r>
      <w:r>
        <w:rPr>
          <w:rFonts w:hint="eastAsia" w:cs="Times New Roman"/>
          <w:b/>
          <w:bCs/>
        </w:rPr>
        <w:t>单组份胶水生产工艺</w:t>
      </w:r>
      <w:r>
        <w:rPr>
          <w:rFonts w:hint="eastAsia" w:cs="Times New Roman"/>
          <w:b/>
          <w:bCs/>
        </w:rPr>
        <mc:AlternateContent>
          <mc:Choice Requires="wps">
            <w:drawing>
              <wp:anchor distT="0" distB="0" distL="114300" distR="114300" simplePos="0" relativeHeight="251680768"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18" name="直接箭头连接符 18"/>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680768;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BxP&#10;i77WAAAACAEAAA8AAAAAAAAAAQAgAAAAIgAAAGRycy9kb3ducmV2LnhtbFBLAQIUABQAAAAIAIdO&#10;4kBndJ/FswEAAEgDAAAOAAAAAAAAAAEAIAAAACUBAABkcnMvZTJvRG9jLnhtbFBLBQYAAAAABgAG&#10;AFkBAABKBQAAAAA=&#10;">
                <v:fill on="f" focussize="0,0"/>
                <v:stroke on="f"/>
                <v:imagedata o:title=""/>
                <o:lock v:ext="edit" aspectratio="f"/>
              </v:shape>
            </w:pict>
          </mc:Fallback>
        </mc:AlternateContent>
      </w:r>
      <w:r>
        <w:rPr>
          <w:rFonts w:hint="eastAsia" w:cs="Times New Roman"/>
          <w:b/>
          <w:bCs/>
        </w:rPr>
        <mc:AlternateContent>
          <mc:Choice Requires="wps">
            <w:drawing>
              <wp:anchor distT="0" distB="0" distL="114300" distR="114300" simplePos="0" relativeHeight="251679744"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19" name="直接箭头连接符 19"/>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679744;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IhFMqfW&#10;AAAACAEAAA8AAAAAAAAAAQAgAAAAIgAAAGRycy9kb3ducmV2LnhtbFBLAQIUABQAAAAIAIdO4kBI&#10;zBpLsAEAAEYDAAAOAAAAAAAAAAEAIAAAACUBAABkcnMvZTJvRG9jLnhtbFBLBQYAAAAABgAGAFkB&#10;AABHBQAAAAA=&#10;">
                <v:fill on="f" focussize="0,0"/>
                <v:stroke on="f"/>
                <v:imagedata o:title=""/>
                <o:lock v:ext="edit" aspectratio="f"/>
              </v:shape>
            </w:pict>
          </mc:Fallback>
        </mc:AlternateContent>
      </w:r>
      <w:r>
        <w:rPr>
          <w:rFonts w:hint="eastAsia" w:cs="Times New Roman"/>
          <w:b/>
          <w:bCs/>
        </w:rPr>
        <w:t>流程及产污环节图</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u w:val="single"/>
          <w:lang w:val="en-US" w:eastAsia="zh-CN"/>
        </w:rPr>
      </w:pPr>
      <w:r>
        <w:rPr>
          <w:rFonts w:hint="eastAsia"/>
          <w:sz w:val="24"/>
          <w:szCs w:val="24"/>
          <w:u w:val="single"/>
          <w:lang w:val="en-US" w:eastAsia="zh-CN"/>
        </w:rPr>
        <w:t>（</w:t>
      </w:r>
      <w:r>
        <w:rPr>
          <w:rFonts w:hint="default"/>
          <w:sz w:val="24"/>
          <w:szCs w:val="24"/>
          <w:u w:val="single"/>
          <w:lang w:val="en-US" w:eastAsia="zh-CN"/>
        </w:rPr>
        <w:t>1</w:t>
      </w:r>
      <w:r>
        <w:rPr>
          <w:rFonts w:hint="eastAsia"/>
          <w:sz w:val="24"/>
          <w:szCs w:val="24"/>
          <w:u w:val="single"/>
          <w:lang w:val="en-US" w:eastAsia="zh-CN"/>
        </w:rPr>
        <w:t>）投料：首先开动真空泵，将反应釜抽成真空后，再将生产配方的液体原料（包括二苯基甲烷二异氰酸酯、聚醚多元醇、甲苯二异氰酸酯、环保增塑剂、氯化石蜡和有机锡催化剂）通过原料输送管道直接从原料桶中抽吸到反应釜中，反应釜为负压状态，投料过程产生少量非甲烷总烃。</w:t>
      </w:r>
      <w:r>
        <w:rPr>
          <w:rFonts w:hint="default"/>
          <w:sz w:val="24"/>
          <w:szCs w:val="24"/>
          <w:u w:val="single"/>
          <w:lang w:val="en-US" w:eastAsia="zh-CN"/>
        </w:rPr>
        <w:t>1000L</w:t>
      </w:r>
      <w:r>
        <w:rPr>
          <w:rFonts w:hint="eastAsia"/>
          <w:sz w:val="24"/>
          <w:szCs w:val="24"/>
          <w:u w:val="single"/>
          <w:lang w:val="en-US" w:eastAsia="zh-CN"/>
        </w:rPr>
        <w:t>反应釜抽至</w:t>
      </w:r>
      <w:r>
        <w:rPr>
          <w:rFonts w:hint="default"/>
          <w:sz w:val="24"/>
          <w:szCs w:val="24"/>
          <w:u w:val="single"/>
          <w:lang w:val="en-US" w:eastAsia="zh-CN"/>
        </w:rPr>
        <w:t>-0.1MPa</w:t>
      </w:r>
      <w:r>
        <w:rPr>
          <w:rFonts w:hint="eastAsia"/>
          <w:sz w:val="24"/>
          <w:szCs w:val="24"/>
          <w:u w:val="single"/>
          <w:lang w:val="en-US" w:eastAsia="zh-CN"/>
        </w:rPr>
        <w:t>所需时间为</w:t>
      </w:r>
      <w:r>
        <w:rPr>
          <w:rFonts w:hint="default"/>
          <w:sz w:val="24"/>
          <w:szCs w:val="24"/>
          <w:u w:val="single"/>
          <w:lang w:val="en-US" w:eastAsia="zh-CN"/>
        </w:rPr>
        <w:t>30</w:t>
      </w:r>
      <w:r>
        <w:rPr>
          <w:rFonts w:hint="eastAsia"/>
          <w:sz w:val="24"/>
          <w:szCs w:val="24"/>
          <w:u w:val="single"/>
          <w:lang w:val="en-US" w:eastAsia="zh-CN"/>
        </w:rPr>
        <w:t>秒，为了避免真空泵急开急停，真空泵实际运行时间为5min左右。</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u w:val="single"/>
        </w:rPr>
      </w:pPr>
      <w:r>
        <w:rPr>
          <w:rFonts w:hint="eastAsia"/>
          <w:sz w:val="24"/>
          <w:szCs w:val="24"/>
          <w:u w:val="single"/>
          <w:lang w:val="en-US" w:eastAsia="zh-CN"/>
        </w:rPr>
        <w:t>液体原料的计量方式为：在对某种液体原料投料前，先将该种液体原料的原料桶放在磅秤上称量一次重量，记录好此时磅秤的数字，接着将原料输送管放在原料桶中抽吸液体原料，当磅秤上的数字减少为“抽吸前重量—需添加的液体原料重量”时，停止抽吸。项目所有液体原料均以这种方式计量。</w:t>
      </w:r>
      <w:r>
        <w:rPr>
          <w:rFonts w:hint="default"/>
          <w:sz w:val="24"/>
          <w:szCs w:val="24"/>
          <w:u w:val="single"/>
          <w:lang w:val="en-US" w:eastAsia="zh-CN"/>
        </w:rPr>
        <w:t>1000L</w:t>
      </w:r>
      <w:r>
        <w:rPr>
          <w:rFonts w:hint="eastAsia"/>
          <w:sz w:val="24"/>
          <w:szCs w:val="24"/>
          <w:u w:val="single"/>
          <w:lang w:val="en-US" w:eastAsia="zh-CN"/>
        </w:rPr>
        <w:t>反应釜投料时间需用时</w:t>
      </w:r>
      <w:r>
        <w:rPr>
          <w:rFonts w:hint="default"/>
          <w:sz w:val="24"/>
          <w:szCs w:val="24"/>
          <w:u w:val="single"/>
          <w:lang w:val="en-US" w:eastAsia="zh-CN"/>
        </w:rPr>
        <w:t>2</w:t>
      </w:r>
      <w:r>
        <w:rPr>
          <w:rFonts w:hint="eastAsia"/>
          <w:sz w:val="24"/>
          <w:szCs w:val="24"/>
          <w:u w:val="single"/>
          <w:lang w:val="en-US" w:eastAsia="zh-CN"/>
        </w:rPr>
        <w:t>小时。</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w:t>
      </w:r>
      <w:r>
        <w:rPr>
          <w:rFonts w:hint="default"/>
          <w:sz w:val="24"/>
          <w:szCs w:val="24"/>
          <w:lang w:val="en-US" w:eastAsia="zh-CN"/>
        </w:rPr>
        <w:t>2</w:t>
      </w:r>
      <w:r>
        <w:rPr>
          <w:rFonts w:hint="eastAsia"/>
          <w:sz w:val="24"/>
          <w:szCs w:val="24"/>
          <w:lang w:val="en-US" w:eastAsia="zh-CN"/>
        </w:rPr>
        <w:t>）反应：原料投入反应釜中后，开动反应釜中的搅拌机，将原料搅拌均匀后，通过手摇油泵将导热油通入反应釜夹层，给夹层中的电热棒通电从而加热导热油，使反应釜中的原料缓慢升温至</w:t>
      </w:r>
      <w:r>
        <w:rPr>
          <w:rFonts w:hint="default"/>
          <w:sz w:val="24"/>
          <w:szCs w:val="24"/>
          <w:lang w:val="en-US" w:eastAsia="zh-CN"/>
        </w:rPr>
        <w:t>70</w:t>
      </w:r>
      <w:r>
        <w:rPr>
          <w:rFonts w:hint="eastAsia"/>
          <w:sz w:val="24"/>
          <w:szCs w:val="24"/>
          <w:lang w:val="en-US" w:eastAsia="zh-CN"/>
        </w:rPr>
        <w:t>℃，此过程需用时约</w:t>
      </w:r>
      <w:r>
        <w:rPr>
          <w:rFonts w:hint="default"/>
          <w:sz w:val="24"/>
          <w:szCs w:val="24"/>
          <w:lang w:val="en-US" w:eastAsia="zh-CN"/>
        </w:rPr>
        <w:t>0.5</w:t>
      </w:r>
      <w:r>
        <w:rPr>
          <w:rFonts w:hint="eastAsia"/>
          <w:sz w:val="24"/>
          <w:szCs w:val="24"/>
          <w:lang w:val="en-US" w:eastAsia="zh-CN"/>
        </w:rPr>
        <w:t>小时，然后将加热温度设置在</w:t>
      </w:r>
      <w:r>
        <w:rPr>
          <w:rFonts w:hint="default"/>
          <w:sz w:val="24"/>
          <w:szCs w:val="24"/>
          <w:lang w:val="en-US" w:eastAsia="zh-CN"/>
        </w:rPr>
        <w:t>85</w:t>
      </w:r>
      <w:r>
        <w:rPr>
          <w:rFonts w:hint="eastAsia"/>
          <w:sz w:val="24"/>
          <w:szCs w:val="24"/>
          <w:lang w:val="en-US" w:eastAsia="zh-CN"/>
        </w:rPr>
        <w:t>℃，则整个反应过程反应釜温度可保持在</w:t>
      </w:r>
      <w:r>
        <w:rPr>
          <w:rFonts w:hint="default"/>
          <w:sz w:val="24"/>
          <w:szCs w:val="24"/>
          <w:lang w:val="en-US" w:eastAsia="zh-CN"/>
        </w:rPr>
        <w:t>70</w:t>
      </w:r>
      <w:r>
        <w:rPr>
          <w:rFonts w:hint="eastAsia"/>
          <w:sz w:val="24"/>
          <w:szCs w:val="24"/>
          <w:lang w:val="en-US" w:eastAsia="zh-CN"/>
        </w:rPr>
        <w:t>℃～</w:t>
      </w:r>
      <w:r>
        <w:rPr>
          <w:rFonts w:hint="default"/>
          <w:sz w:val="24"/>
          <w:szCs w:val="24"/>
          <w:lang w:val="en-US" w:eastAsia="zh-CN"/>
        </w:rPr>
        <w:t>90</w:t>
      </w:r>
      <w:r>
        <w:rPr>
          <w:rFonts w:hint="eastAsia"/>
          <w:sz w:val="24"/>
          <w:szCs w:val="24"/>
          <w:lang w:val="en-US" w:eastAsia="zh-CN"/>
        </w:rPr>
        <w:t>℃，当温度超过</w:t>
      </w:r>
      <w:r>
        <w:rPr>
          <w:rFonts w:hint="default"/>
          <w:sz w:val="24"/>
          <w:szCs w:val="24"/>
          <w:lang w:val="en-US" w:eastAsia="zh-CN"/>
        </w:rPr>
        <w:t>90</w:t>
      </w:r>
      <w:r>
        <w:rPr>
          <w:rFonts w:hint="eastAsia"/>
          <w:sz w:val="24"/>
          <w:szCs w:val="24"/>
          <w:lang w:val="en-US" w:eastAsia="zh-CN"/>
        </w:rPr>
        <w:t>℃时自动断电，停止加热，当温度低于</w:t>
      </w:r>
      <w:r>
        <w:rPr>
          <w:rFonts w:hint="default"/>
          <w:sz w:val="24"/>
          <w:szCs w:val="24"/>
          <w:lang w:val="en-US" w:eastAsia="zh-CN"/>
        </w:rPr>
        <w:t>70</w:t>
      </w:r>
      <w:r>
        <w:rPr>
          <w:rFonts w:hint="eastAsia"/>
          <w:sz w:val="24"/>
          <w:szCs w:val="24"/>
          <w:lang w:val="en-US" w:eastAsia="zh-CN"/>
        </w:rPr>
        <w:t>℃时，则开始加热，反应釜不设冷凝水系统，反应釜全程密闭并且保持在</w:t>
      </w:r>
      <w:r>
        <w:rPr>
          <w:rFonts w:hint="default"/>
          <w:sz w:val="24"/>
          <w:szCs w:val="24"/>
          <w:lang w:val="en-US" w:eastAsia="zh-CN"/>
        </w:rPr>
        <w:t>-0.1Mpa</w:t>
      </w:r>
      <w:r>
        <w:rPr>
          <w:rFonts w:hint="eastAsia"/>
          <w:sz w:val="24"/>
          <w:szCs w:val="24"/>
          <w:lang w:val="en-US" w:eastAsia="zh-CN"/>
        </w:rPr>
        <w:t>下。反应釜加热是为了使化学反应在最适温度下反应，搅拌和抽真空是为了使液体原料以及反应釜中的空气从反应釜中分离出来，并从反应釜中抽出，从而避免产品产生气泡。</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反应釜（搅拌罐）抽真空的方式为：根据建设单位提供的资料，项目设</w:t>
      </w:r>
      <w:r>
        <w:rPr>
          <w:rFonts w:hint="default"/>
          <w:sz w:val="24"/>
          <w:szCs w:val="24"/>
          <w:lang w:val="en-US" w:eastAsia="zh-CN"/>
        </w:rPr>
        <w:t>2</w:t>
      </w:r>
      <w:r>
        <w:rPr>
          <w:rFonts w:hint="eastAsia"/>
          <w:sz w:val="24"/>
          <w:szCs w:val="24"/>
          <w:lang w:val="en-US" w:eastAsia="zh-CN"/>
        </w:rPr>
        <w:t>台真空泵，</w:t>
      </w:r>
      <w:r>
        <w:rPr>
          <w:rFonts w:hint="default"/>
          <w:sz w:val="24"/>
          <w:szCs w:val="24"/>
          <w:lang w:val="en-US" w:eastAsia="zh-CN"/>
        </w:rPr>
        <w:t>2</w:t>
      </w:r>
      <w:r>
        <w:rPr>
          <w:rFonts w:hint="eastAsia"/>
          <w:sz w:val="24"/>
          <w:szCs w:val="24"/>
          <w:lang w:val="en-US" w:eastAsia="zh-CN"/>
        </w:rPr>
        <w:t>台真空泵的抽气量均为</w:t>
      </w:r>
      <w:r>
        <w:rPr>
          <w:rFonts w:hint="default"/>
          <w:sz w:val="24"/>
          <w:szCs w:val="24"/>
          <w:lang w:val="en-US" w:eastAsia="zh-CN"/>
        </w:rPr>
        <w:t>25m</w:t>
      </w:r>
      <w:r>
        <w:rPr>
          <w:rFonts w:hint="default"/>
          <w:sz w:val="24"/>
          <w:szCs w:val="24"/>
          <w:vertAlign w:val="superscript"/>
          <w:lang w:val="en-US" w:eastAsia="zh-CN"/>
        </w:rPr>
        <w:t>3</w:t>
      </w:r>
      <w:r>
        <w:rPr>
          <w:rFonts w:hint="default"/>
          <w:sz w:val="24"/>
          <w:szCs w:val="24"/>
          <w:lang w:val="en-US" w:eastAsia="zh-CN"/>
        </w:rPr>
        <w:t>/min</w:t>
      </w:r>
      <w:r>
        <w:rPr>
          <w:rFonts w:hint="eastAsia"/>
          <w:sz w:val="24"/>
          <w:szCs w:val="24"/>
          <w:lang w:val="en-US" w:eastAsia="zh-CN"/>
        </w:rPr>
        <w:t>，项目每个反应釜及搅拌罐抽成真空（即</w:t>
      </w:r>
      <w:r>
        <w:rPr>
          <w:rFonts w:hint="default"/>
          <w:sz w:val="24"/>
          <w:szCs w:val="24"/>
          <w:lang w:val="en-US" w:eastAsia="zh-CN"/>
        </w:rPr>
        <w:t>-0.1MPa</w:t>
      </w:r>
      <w:r>
        <w:rPr>
          <w:rFonts w:hint="eastAsia"/>
          <w:sz w:val="24"/>
          <w:szCs w:val="24"/>
          <w:lang w:val="en-US" w:eastAsia="zh-CN"/>
        </w:rPr>
        <w:t>）后，关掉真空泵，使反应釜及搅拌罐保持密闭，即可保持真空状态（即</w:t>
      </w:r>
      <w:r>
        <w:rPr>
          <w:rFonts w:hint="default"/>
          <w:sz w:val="24"/>
          <w:szCs w:val="24"/>
          <w:lang w:val="en-US" w:eastAsia="zh-CN"/>
        </w:rPr>
        <w:t>-0.1MPa</w:t>
      </w:r>
      <w:r>
        <w:rPr>
          <w:rFonts w:hint="eastAsia"/>
          <w:sz w:val="24"/>
          <w:szCs w:val="24"/>
          <w:lang w:val="en-US" w:eastAsia="zh-CN"/>
        </w:rPr>
        <w:t>）。项目生产车间</w:t>
      </w:r>
      <w:r>
        <w:rPr>
          <w:rFonts w:hint="default"/>
          <w:sz w:val="24"/>
          <w:szCs w:val="24"/>
          <w:lang w:val="en-US" w:eastAsia="zh-CN"/>
        </w:rPr>
        <w:t>1#8</w:t>
      </w:r>
      <w:r>
        <w:rPr>
          <w:rFonts w:hint="eastAsia"/>
          <w:sz w:val="24"/>
          <w:szCs w:val="24"/>
          <w:lang w:val="en-US" w:eastAsia="zh-CN"/>
        </w:rPr>
        <w:t>台设备可同时共用</w:t>
      </w:r>
      <w:r>
        <w:rPr>
          <w:rFonts w:hint="default"/>
          <w:sz w:val="24"/>
          <w:szCs w:val="24"/>
          <w:lang w:val="en-US" w:eastAsia="zh-CN"/>
        </w:rPr>
        <w:t>1</w:t>
      </w:r>
      <w:r>
        <w:rPr>
          <w:rFonts w:hint="eastAsia"/>
          <w:sz w:val="24"/>
          <w:szCs w:val="24"/>
          <w:lang w:val="en-US" w:eastAsia="zh-CN"/>
        </w:rPr>
        <w:t>台真空泵。</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但由于反应釜及搅拌罐中存在传动装置（即搅拌机），真空状态（即</w:t>
      </w:r>
      <w:r>
        <w:rPr>
          <w:rFonts w:hint="default"/>
          <w:sz w:val="24"/>
          <w:szCs w:val="24"/>
          <w:lang w:val="en-US" w:eastAsia="zh-CN"/>
        </w:rPr>
        <w:t>-0.1MPa</w:t>
      </w:r>
      <w:r>
        <w:rPr>
          <w:rFonts w:hint="eastAsia"/>
          <w:sz w:val="24"/>
          <w:szCs w:val="24"/>
          <w:lang w:val="en-US" w:eastAsia="zh-CN"/>
        </w:rPr>
        <w:t>）保持约</w:t>
      </w:r>
      <w:r>
        <w:rPr>
          <w:rFonts w:hint="default"/>
          <w:sz w:val="24"/>
          <w:szCs w:val="24"/>
          <w:lang w:val="en-US" w:eastAsia="zh-CN"/>
        </w:rPr>
        <w:t>1</w:t>
      </w:r>
      <w:r>
        <w:rPr>
          <w:rFonts w:hint="eastAsia"/>
          <w:sz w:val="24"/>
          <w:szCs w:val="24"/>
          <w:lang w:val="en-US" w:eastAsia="zh-CN"/>
        </w:rPr>
        <w:t>小时左右后，反应釜及搅拌罐中的气压将升至</w:t>
      </w:r>
      <w:r>
        <w:rPr>
          <w:rFonts w:hint="default"/>
          <w:sz w:val="24"/>
          <w:szCs w:val="24"/>
          <w:lang w:val="en-US" w:eastAsia="zh-CN"/>
        </w:rPr>
        <w:t>-0.08MPa</w:t>
      </w:r>
      <w:r>
        <w:rPr>
          <w:rFonts w:hint="eastAsia"/>
          <w:sz w:val="24"/>
          <w:szCs w:val="24"/>
          <w:lang w:val="en-US" w:eastAsia="zh-CN"/>
        </w:rPr>
        <w:t>后，此时重新打开真空泵，进行抽真空，抽至</w:t>
      </w:r>
      <w:r>
        <w:rPr>
          <w:rFonts w:hint="default"/>
          <w:sz w:val="24"/>
          <w:szCs w:val="24"/>
          <w:lang w:val="en-US" w:eastAsia="zh-CN"/>
        </w:rPr>
        <w:t>-0.1MPa</w:t>
      </w:r>
      <w:r>
        <w:rPr>
          <w:rFonts w:hint="eastAsia"/>
          <w:sz w:val="24"/>
          <w:szCs w:val="24"/>
          <w:lang w:val="en-US" w:eastAsia="zh-CN"/>
        </w:rPr>
        <w:t>时关掉真空泵。每次由</w:t>
      </w:r>
      <w:r>
        <w:rPr>
          <w:rFonts w:hint="default"/>
          <w:sz w:val="24"/>
          <w:szCs w:val="24"/>
          <w:lang w:val="en-US" w:eastAsia="zh-CN"/>
        </w:rPr>
        <w:t>-0.08MPa</w:t>
      </w:r>
      <w:r>
        <w:rPr>
          <w:rFonts w:hint="eastAsia"/>
          <w:sz w:val="24"/>
          <w:szCs w:val="24"/>
          <w:lang w:val="en-US" w:eastAsia="zh-CN"/>
        </w:rPr>
        <w:t>抽至</w:t>
      </w:r>
      <w:r>
        <w:rPr>
          <w:rFonts w:hint="default"/>
          <w:sz w:val="24"/>
          <w:szCs w:val="24"/>
          <w:lang w:val="en-US" w:eastAsia="zh-CN"/>
        </w:rPr>
        <w:t>-0.1MPa</w:t>
      </w:r>
      <w:r>
        <w:rPr>
          <w:rFonts w:hint="eastAsia"/>
          <w:sz w:val="24"/>
          <w:szCs w:val="24"/>
          <w:lang w:val="en-US" w:eastAsia="zh-CN"/>
        </w:rPr>
        <w:t>用时约</w:t>
      </w:r>
      <w:r>
        <w:rPr>
          <w:rFonts w:hint="default"/>
          <w:sz w:val="24"/>
          <w:szCs w:val="24"/>
          <w:lang w:val="en-US" w:eastAsia="zh-CN"/>
        </w:rPr>
        <w:t>5min</w:t>
      </w:r>
      <w:r>
        <w:rPr>
          <w:rFonts w:hint="eastAsia"/>
          <w:sz w:val="24"/>
          <w:szCs w:val="24"/>
          <w:lang w:val="en-US" w:eastAsia="zh-CN"/>
        </w:rPr>
        <w:t>。</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重复上述操作，使反应釜及搅拌罐保持在</w:t>
      </w:r>
      <w:r>
        <w:rPr>
          <w:rFonts w:hint="default"/>
          <w:sz w:val="24"/>
          <w:szCs w:val="24"/>
          <w:lang w:val="en-US" w:eastAsia="zh-CN"/>
        </w:rPr>
        <w:t>-0.1MPa</w:t>
      </w:r>
      <w:r>
        <w:rPr>
          <w:rFonts w:hint="eastAsia"/>
          <w:sz w:val="24"/>
          <w:szCs w:val="24"/>
          <w:lang w:val="en-US" w:eastAsia="zh-CN"/>
        </w:rPr>
        <w:t>状态。</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rFonts w:hint="eastAsia"/>
          <w:sz w:val="24"/>
          <w:szCs w:val="24"/>
          <w:lang w:val="en-US" w:eastAsia="zh-CN"/>
        </w:rPr>
        <w:t>反应釜中发生的反应方程式如下所示：</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rFonts w:hint="eastAsia"/>
          <w:sz w:val="24"/>
          <w:szCs w:val="24"/>
          <w:lang w:val="en-US" w:eastAsia="zh-CN"/>
        </w:rPr>
        <w:t>二苯基甲烷二异氰酸酯与聚醚多元醇中的羟基反应生成氨基甲酸酯：</w:t>
      </w:r>
    </w:p>
    <w:p>
      <w:pPr>
        <w:keepNext w:val="0"/>
        <w:keepLines w:val="0"/>
        <w:pageBreakBefore w:val="0"/>
        <w:widowControl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sz w:val="24"/>
          <w:szCs w:val="24"/>
        </w:rPr>
        <w:drawing>
          <wp:inline distT="0" distB="0" distL="114300" distR="114300">
            <wp:extent cx="3549015" cy="427990"/>
            <wp:effectExtent l="0" t="0" r="13335" b="10160"/>
            <wp:docPr id="8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3"/>
                    <pic:cNvPicPr>
                      <a:picLocks noChangeAspect="1"/>
                    </pic:cNvPicPr>
                  </pic:nvPicPr>
                  <pic:blipFill>
                    <a:blip r:embed="rId46"/>
                    <a:stretch>
                      <a:fillRect/>
                    </a:stretch>
                  </pic:blipFill>
                  <pic:spPr>
                    <a:xfrm>
                      <a:off x="0" y="0"/>
                      <a:ext cx="3549015" cy="427990"/>
                    </a:xfrm>
                    <a:prstGeom prst="rect">
                      <a:avLst/>
                    </a:prstGeom>
                    <a:noFill/>
                    <a:ln>
                      <a:noFill/>
                    </a:ln>
                  </pic:spPr>
                </pic:pic>
              </a:graphicData>
            </a:graphic>
          </wp:inline>
        </w:drawing>
      </w:r>
    </w:p>
    <w:p>
      <w:pPr>
        <w:bidi w:val="0"/>
      </w:pPr>
      <w:r>
        <w:drawing>
          <wp:inline distT="0" distB="0" distL="114300" distR="114300">
            <wp:extent cx="4518660" cy="1059815"/>
            <wp:effectExtent l="0" t="0" r="15240" b="6985"/>
            <wp:docPr id="8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4"/>
                    <pic:cNvPicPr>
                      <a:picLocks noChangeAspect="1"/>
                    </pic:cNvPicPr>
                  </pic:nvPicPr>
                  <pic:blipFill>
                    <a:blip r:embed="rId47"/>
                    <a:stretch>
                      <a:fillRect/>
                    </a:stretch>
                  </pic:blipFill>
                  <pic:spPr>
                    <a:xfrm>
                      <a:off x="0" y="0"/>
                      <a:ext cx="4518660" cy="1059815"/>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同时，氨基甲酸酯中的活泼氢与过剩的异氰酸酯反应生成交联结构：</w:t>
      </w:r>
    </w:p>
    <w:p>
      <w:pPr>
        <w:bidi w:val="0"/>
      </w:pPr>
      <w:r>
        <w:drawing>
          <wp:inline distT="0" distB="0" distL="114300" distR="114300">
            <wp:extent cx="4978400" cy="1050290"/>
            <wp:effectExtent l="0" t="0" r="12700" b="16510"/>
            <wp:docPr id="8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5"/>
                    <pic:cNvPicPr>
                      <a:picLocks noChangeAspect="1"/>
                    </pic:cNvPicPr>
                  </pic:nvPicPr>
                  <pic:blipFill>
                    <a:blip r:embed="rId48"/>
                    <a:stretch>
                      <a:fillRect/>
                    </a:stretch>
                  </pic:blipFill>
                  <pic:spPr>
                    <a:xfrm>
                      <a:off x="0" y="0"/>
                      <a:ext cx="4978400" cy="1050290"/>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u w:val="single"/>
          <w:lang w:val="en-US" w:eastAsia="zh-CN"/>
        </w:rPr>
      </w:pPr>
      <w:r>
        <w:rPr>
          <w:rFonts w:hint="eastAsia"/>
          <w:sz w:val="24"/>
          <w:szCs w:val="24"/>
          <w:u w:val="single"/>
          <w:lang w:val="en-US" w:eastAsia="zh-CN"/>
        </w:rPr>
        <w:t>由以上反应方程式可知，项目反应过程产生少量的</w:t>
      </w:r>
      <w:r>
        <w:rPr>
          <w:rFonts w:hint="default"/>
          <w:sz w:val="24"/>
          <w:szCs w:val="24"/>
          <w:u w:val="single"/>
          <w:lang w:val="en-US" w:eastAsia="zh-CN"/>
        </w:rPr>
        <w:t>CO</w:t>
      </w:r>
      <w:r>
        <w:rPr>
          <w:rFonts w:hint="default"/>
          <w:sz w:val="24"/>
          <w:szCs w:val="24"/>
          <w:u w:val="single"/>
          <w:vertAlign w:val="subscript"/>
          <w:lang w:val="en-US" w:eastAsia="zh-CN"/>
        </w:rPr>
        <w:t>2</w:t>
      </w:r>
      <w:r>
        <w:rPr>
          <w:rFonts w:hint="eastAsia"/>
          <w:sz w:val="24"/>
          <w:szCs w:val="24"/>
          <w:u w:val="single"/>
          <w:lang w:val="en-US" w:eastAsia="zh-CN"/>
        </w:rPr>
        <w:t>气体，本项目工艺废气主要成分为少量过剩的氢化</w:t>
      </w:r>
      <w:r>
        <w:rPr>
          <w:rFonts w:hint="default"/>
          <w:sz w:val="24"/>
          <w:szCs w:val="24"/>
          <w:u w:val="single"/>
          <w:lang w:val="en-US" w:eastAsia="zh-CN"/>
        </w:rPr>
        <w:t>MDI</w:t>
      </w:r>
      <w:r>
        <w:rPr>
          <w:rFonts w:hint="eastAsia"/>
          <w:sz w:val="24"/>
          <w:szCs w:val="24"/>
          <w:u w:val="single"/>
          <w:lang w:val="en-US" w:eastAsia="zh-CN"/>
        </w:rPr>
        <w:t>和聚醚多元醇类物质挥发，项目反应釜不设通风口，产生的</w:t>
      </w:r>
      <w:r>
        <w:rPr>
          <w:rFonts w:hint="default"/>
          <w:sz w:val="24"/>
          <w:szCs w:val="24"/>
          <w:u w:val="single"/>
          <w:lang w:val="en-US" w:eastAsia="zh-CN"/>
        </w:rPr>
        <w:t>CO</w:t>
      </w:r>
      <w:r>
        <w:rPr>
          <w:rFonts w:hint="default"/>
          <w:sz w:val="24"/>
          <w:szCs w:val="24"/>
          <w:u w:val="single"/>
          <w:vertAlign w:val="subscript"/>
          <w:lang w:val="en-US" w:eastAsia="zh-CN"/>
        </w:rPr>
        <w:t>2</w:t>
      </w:r>
      <w:r>
        <w:rPr>
          <w:rFonts w:hint="eastAsia"/>
          <w:sz w:val="24"/>
          <w:szCs w:val="24"/>
          <w:u w:val="single"/>
          <w:lang w:val="en-US" w:eastAsia="zh-CN"/>
        </w:rPr>
        <w:t>及非甲烷总烃通过抽真空排气口排出，此外还产生噪声。</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反应釜整个生产单元耗时约</w:t>
      </w:r>
      <w:r>
        <w:rPr>
          <w:rFonts w:hint="default"/>
          <w:sz w:val="24"/>
          <w:szCs w:val="24"/>
          <w:lang w:val="en-US" w:eastAsia="zh-CN"/>
        </w:rPr>
        <w:t>3</w:t>
      </w:r>
      <w:r>
        <w:rPr>
          <w:rFonts w:hint="eastAsia"/>
          <w:sz w:val="24"/>
          <w:szCs w:val="24"/>
          <w:lang w:val="en-US" w:eastAsia="zh-CN"/>
        </w:rPr>
        <w:t>小时，其中发生反应的时间为</w:t>
      </w:r>
      <w:r>
        <w:rPr>
          <w:rFonts w:hint="default"/>
          <w:sz w:val="24"/>
          <w:szCs w:val="24"/>
          <w:lang w:val="en-US" w:eastAsia="zh-CN"/>
        </w:rPr>
        <w:t>3</w:t>
      </w:r>
      <w:r>
        <w:rPr>
          <w:rFonts w:hint="eastAsia"/>
          <w:sz w:val="24"/>
          <w:szCs w:val="24"/>
          <w:lang w:val="en-US" w:eastAsia="zh-CN"/>
        </w:rPr>
        <w:t>小时。</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w:t>
      </w:r>
      <w:r>
        <w:rPr>
          <w:rFonts w:hint="default"/>
          <w:sz w:val="24"/>
          <w:szCs w:val="24"/>
          <w:lang w:val="en-US" w:eastAsia="zh-CN"/>
        </w:rPr>
        <w:t>3</w:t>
      </w:r>
      <w:r>
        <w:rPr>
          <w:rFonts w:hint="eastAsia"/>
          <w:sz w:val="24"/>
          <w:szCs w:val="24"/>
          <w:lang w:val="en-US" w:eastAsia="zh-CN"/>
        </w:rPr>
        <w:t>）检验：取生产的少量粘度计测试其粘度，此过程含催化剂底液作为废液排除，产生一部分废液S4。</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u w:val="single"/>
          <w:lang w:val="en-US" w:eastAsia="zh-CN"/>
        </w:rPr>
      </w:pPr>
      <w:r>
        <w:rPr>
          <w:rFonts w:hint="eastAsia"/>
          <w:sz w:val="24"/>
          <w:szCs w:val="24"/>
          <w:u w:val="single"/>
          <w:lang w:val="en-US" w:eastAsia="zh-CN"/>
        </w:rPr>
        <w:t>（</w:t>
      </w:r>
      <w:r>
        <w:rPr>
          <w:rFonts w:hint="default"/>
          <w:sz w:val="24"/>
          <w:szCs w:val="24"/>
          <w:u w:val="single"/>
          <w:lang w:val="en-US" w:eastAsia="zh-CN"/>
        </w:rPr>
        <w:t>4</w:t>
      </w:r>
      <w:r>
        <w:rPr>
          <w:rFonts w:hint="eastAsia"/>
          <w:sz w:val="24"/>
          <w:szCs w:val="24"/>
          <w:u w:val="single"/>
          <w:lang w:val="en-US" w:eastAsia="zh-CN"/>
        </w:rPr>
        <w:t>）分装：由于反应釜为负压状态，分装前需利用空压机通过专用管道向反应釜内通入一定量空气，从而使反应釜保持常压状态，</w:t>
      </w:r>
      <w:r>
        <w:rPr>
          <w:rFonts w:hint="default"/>
          <w:sz w:val="24"/>
          <w:szCs w:val="24"/>
          <w:u w:val="single"/>
          <w:lang w:val="en-US" w:eastAsia="zh-CN"/>
        </w:rPr>
        <w:t>1000L</w:t>
      </w:r>
      <w:r>
        <w:rPr>
          <w:rFonts w:hint="eastAsia"/>
          <w:sz w:val="24"/>
          <w:szCs w:val="24"/>
          <w:u w:val="single"/>
          <w:lang w:val="en-US" w:eastAsia="zh-CN"/>
        </w:rPr>
        <w:t>反应釜需开空压机通风</w:t>
      </w:r>
      <w:r>
        <w:rPr>
          <w:rFonts w:hint="default"/>
          <w:sz w:val="24"/>
          <w:szCs w:val="24"/>
          <w:u w:val="single"/>
          <w:lang w:val="en-US" w:eastAsia="zh-CN"/>
        </w:rPr>
        <w:t>20</w:t>
      </w:r>
      <w:r>
        <w:rPr>
          <w:rFonts w:hint="eastAsia"/>
          <w:sz w:val="24"/>
          <w:szCs w:val="24"/>
          <w:u w:val="single"/>
          <w:lang w:val="en-US" w:eastAsia="zh-CN"/>
        </w:rPr>
        <w:t>秒。由于此时不搅拌，空气不会进入到产品里面。产品通过反应釜底部的放料阀门放入</w:t>
      </w:r>
      <w:r>
        <w:rPr>
          <w:rFonts w:hint="default"/>
          <w:sz w:val="24"/>
          <w:szCs w:val="24"/>
          <w:u w:val="single"/>
          <w:lang w:val="en-US" w:eastAsia="zh-CN"/>
        </w:rPr>
        <w:t>20kg</w:t>
      </w:r>
      <w:r>
        <w:rPr>
          <w:rFonts w:hint="eastAsia"/>
          <w:sz w:val="24"/>
          <w:szCs w:val="24"/>
          <w:u w:val="single"/>
          <w:lang w:val="en-US" w:eastAsia="zh-CN"/>
        </w:rPr>
        <w:t>的铁桶中，此过程产生少量非甲烷总烃。</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u w:val="single"/>
          <w:lang w:val="en-US" w:eastAsia="zh-CN"/>
        </w:rPr>
      </w:pPr>
      <w:r>
        <w:rPr>
          <w:rFonts w:hint="eastAsia"/>
          <w:sz w:val="24"/>
          <w:szCs w:val="24"/>
          <w:u w:val="single"/>
          <w:lang w:val="en-US" w:eastAsia="zh-CN"/>
        </w:rPr>
        <w:t>（</w:t>
      </w:r>
      <w:r>
        <w:rPr>
          <w:rFonts w:hint="default"/>
          <w:sz w:val="24"/>
          <w:szCs w:val="24"/>
          <w:u w:val="single"/>
          <w:lang w:val="en-US" w:eastAsia="zh-CN"/>
        </w:rPr>
        <w:t>5</w:t>
      </w:r>
      <w:r>
        <w:rPr>
          <w:rFonts w:hint="eastAsia"/>
          <w:sz w:val="24"/>
          <w:szCs w:val="24"/>
          <w:u w:val="single"/>
          <w:lang w:val="en-US" w:eastAsia="zh-CN"/>
        </w:rPr>
        <w:t>）自然冷却：将分装好的铁桶密闭自然冷却。</w:t>
      </w:r>
    </w:p>
    <w:p>
      <w:pPr>
        <w:keepNext w:val="0"/>
        <w:keepLines w:val="0"/>
        <w:pageBreakBefore w:val="0"/>
        <w:widowControl/>
        <w:kinsoku/>
        <w:wordWrap/>
        <w:overflowPunct/>
        <w:topLinePunct w:val="0"/>
        <w:autoSpaceDE/>
        <w:autoSpaceDN/>
        <w:bidi w:val="0"/>
        <w:adjustRightInd/>
        <w:snapToGrid/>
        <w:spacing w:beforeAutospacing="0" w:afterAutospacing="0"/>
        <w:ind w:firstLine="482" w:firstLineChars="200"/>
        <w:jc w:val="both"/>
        <w:textAlignment w:val="auto"/>
        <w:rPr>
          <w:sz w:val="24"/>
          <w:szCs w:val="24"/>
        </w:rPr>
      </w:pPr>
      <w:r>
        <w:rPr>
          <w:rFonts w:hint="eastAsia" w:ascii="宋体" w:hAnsi="宋体" w:cs="宋体"/>
          <w:b/>
          <w:bCs/>
          <w:color w:val="000000"/>
          <w:kern w:val="0"/>
          <w:sz w:val="24"/>
          <w:szCs w:val="24"/>
          <w:lang w:bidi="ar"/>
        </w:rPr>
        <w:t>二、产污流程简述：</w:t>
      </w:r>
    </w:p>
    <w:p>
      <w:pPr>
        <w:keepNext w:val="0"/>
        <w:keepLines w:val="0"/>
        <w:pageBreakBefore w:val="0"/>
        <w:widowControl/>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rFonts w:cs="Times New Roman"/>
          <w:color w:val="000000"/>
          <w:kern w:val="0"/>
          <w:sz w:val="24"/>
          <w:szCs w:val="24"/>
          <w:lang w:bidi="ar"/>
        </w:rPr>
        <w:t>废气：反应釜在投料口、卸料口、排气口存在少量有机废气（G</w:t>
      </w:r>
      <w:r>
        <w:rPr>
          <w:rFonts w:hint="eastAsia" w:cs="Times New Roman"/>
          <w:color w:val="000000"/>
          <w:kern w:val="0"/>
          <w:sz w:val="24"/>
          <w:szCs w:val="24"/>
          <w:lang w:val="en-US" w:eastAsia="zh-CN" w:bidi="ar"/>
        </w:rPr>
        <w:t>11~G13</w:t>
      </w:r>
      <w:r>
        <w:rPr>
          <w:rFonts w:cs="Times New Roman"/>
          <w:color w:val="000000"/>
          <w:kern w:val="0"/>
          <w:sz w:val="24"/>
          <w:szCs w:val="24"/>
          <w:lang w:bidi="ar"/>
        </w:rPr>
        <w:t>）排放</w:t>
      </w:r>
      <w:r>
        <w:rPr>
          <w:rFonts w:hint="eastAsia" w:ascii="宋体" w:hAnsi="宋体" w:cs="宋体"/>
          <w:color w:val="000000"/>
          <w:kern w:val="0"/>
          <w:sz w:val="24"/>
          <w:szCs w:val="24"/>
          <w:lang w:bidi="ar"/>
        </w:rPr>
        <w:t>；</w:t>
      </w:r>
    </w:p>
    <w:p>
      <w:pPr>
        <w:keepNext w:val="0"/>
        <w:keepLines w:val="0"/>
        <w:pageBreakBefore w:val="0"/>
        <w:widowControl/>
        <w:kinsoku/>
        <w:wordWrap/>
        <w:overflowPunct/>
        <w:topLinePunct w:val="0"/>
        <w:autoSpaceDE/>
        <w:autoSpaceDN/>
        <w:bidi w:val="0"/>
        <w:adjustRightInd/>
        <w:snapToGrid/>
        <w:spacing w:beforeAutospacing="0" w:afterAutospacing="0"/>
        <w:ind w:firstLine="480" w:firstLineChars="200"/>
        <w:jc w:val="both"/>
        <w:textAlignment w:val="auto"/>
        <w:rPr>
          <w:rFonts w:cs="Times New Roman"/>
          <w:color w:val="000000"/>
          <w:kern w:val="0"/>
          <w:sz w:val="24"/>
          <w:szCs w:val="24"/>
          <w:lang w:bidi="ar"/>
        </w:rPr>
      </w:pPr>
      <w:r>
        <w:rPr>
          <w:rFonts w:cs="Times New Roman"/>
          <w:color w:val="000000"/>
          <w:kern w:val="0"/>
          <w:sz w:val="24"/>
          <w:szCs w:val="24"/>
          <w:lang w:bidi="ar"/>
        </w:rPr>
        <w:t>固体废物：制备好的</w:t>
      </w:r>
      <w:r>
        <w:rPr>
          <w:rFonts w:hint="eastAsia" w:cs="Times New Roman"/>
          <w:color w:val="000000"/>
          <w:kern w:val="0"/>
          <w:sz w:val="24"/>
          <w:szCs w:val="24"/>
          <w:lang w:bidi="ar"/>
        </w:rPr>
        <w:t>水性胶水</w:t>
      </w:r>
      <w:r>
        <w:rPr>
          <w:rFonts w:cs="Times New Roman"/>
          <w:color w:val="000000"/>
          <w:kern w:val="0"/>
          <w:sz w:val="24"/>
          <w:szCs w:val="24"/>
          <w:lang w:bidi="ar"/>
        </w:rPr>
        <w:t>经滤网过滤掉杂质，会产生一定量的滤渣S</w:t>
      </w:r>
      <w:r>
        <w:rPr>
          <w:rFonts w:hint="eastAsia" w:cs="Times New Roman"/>
          <w:color w:val="000000"/>
          <w:kern w:val="0"/>
          <w:sz w:val="24"/>
          <w:szCs w:val="24"/>
          <w:lang w:bidi="ar"/>
        </w:rPr>
        <w:t>4</w:t>
      </w:r>
      <w:r>
        <w:rPr>
          <w:rFonts w:cs="Times New Roman"/>
          <w:color w:val="000000"/>
          <w:kern w:val="0"/>
          <w:sz w:val="24"/>
          <w:szCs w:val="24"/>
          <w:lang w:bidi="ar"/>
        </w:rPr>
        <w:t>；</w:t>
      </w:r>
    </w:p>
    <w:p>
      <w:pPr>
        <w:pStyle w:val="24"/>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hint="eastAsia" w:eastAsia="宋体"/>
          <w:sz w:val="24"/>
          <w:szCs w:val="24"/>
          <w:lang w:eastAsia="zh-CN"/>
        </w:rPr>
      </w:pPr>
      <w:r>
        <w:rPr>
          <w:rFonts w:hint="eastAsia" w:ascii="Times New Roman" w:cs="Times New Roman"/>
          <w:color w:val="000000"/>
          <w:kern w:val="0"/>
          <w:sz w:val="24"/>
          <w:szCs w:val="24"/>
          <w:lang w:bidi="ar"/>
        </w:rPr>
        <w:t>废水：</w:t>
      </w:r>
      <w:r>
        <w:rPr>
          <w:rFonts w:hint="eastAsia" w:ascii="Times New Roman" w:cs="Times New Roman"/>
          <w:color w:val="000000"/>
          <w:kern w:val="0"/>
          <w:sz w:val="24"/>
          <w:szCs w:val="24"/>
          <w:lang w:eastAsia="zh-CN" w:bidi="ar"/>
        </w:rPr>
        <w:t>无</w:t>
      </w:r>
    </w:p>
    <w:p>
      <w:pPr>
        <w:keepNext w:val="0"/>
        <w:keepLines w:val="0"/>
        <w:pageBreakBefore w:val="0"/>
        <w:widowControl/>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rFonts w:hint="eastAsia" w:ascii="宋体" w:hAnsi="宋体" w:cs="宋体"/>
          <w:color w:val="000000"/>
          <w:kern w:val="0"/>
          <w:sz w:val="24"/>
          <w:szCs w:val="24"/>
          <w:lang w:bidi="ar"/>
        </w:rPr>
        <w:t>噪声：主要为设备运行产生的噪声。</w:t>
      </w:r>
    </w:p>
    <w:p>
      <w:pPr>
        <w:keepNext w:val="0"/>
        <w:keepLines w:val="0"/>
        <w:pageBreakBefore w:val="0"/>
        <w:widowControl/>
        <w:kinsoku/>
        <w:wordWrap/>
        <w:overflowPunct/>
        <w:topLinePunct w:val="0"/>
        <w:autoSpaceDE/>
        <w:autoSpaceDN/>
        <w:bidi w:val="0"/>
        <w:adjustRightInd/>
        <w:snapToGrid/>
        <w:spacing w:beforeAutospacing="0" w:afterAutospacing="0"/>
        <w:ind w:firstLine="482" w:firstLineChars="200"/>
        <w:jc w:val="both"/>
        <w:textAlignment w:val="auto"/>
        <w:rPr>
          <w:rFonts w:ascii="宋体" w:hAnsi="宋体" w:cs="宋体"/>
          <w:b/>
          <w:bCs/>
          <w:color w:val="000000"/>
          <w:kern w:val="0"/>
          <w:sz w:val="24"/>
          <w:szCs w:val="24"/>
          <w:lang w:bidi="ar"/>
        </w:rPr>
      </w:pPr>
      <w:r>
        <w:rPr>
          <w:rFonts w:hint="eastAsia" w:ascii="宋体" w:hAnsi="宋体" w:cs="宋体"/>
          <w:b/>
          <w:bCs/>
          <w:color w:val="000000"/>
          <w:kern w:val="0"/>
          <w:sz w:val="24"/>
          <w:szCs w:val="24"/>
          <w:lang w:bidi="ar"/>
        </w:rPr>
        <w:t>三、物料衡算</w:t>
      </w:r>
    </w:p>
    <w:p>
      <w:pPr>
        <w:pStyle w:val="24"/>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ascii="Times New Roman" w:cs="Times New Roman"/>
          <w:color w:val="000000"/>
          <w:kern w:val="0"/>
          <w:sz w:val="24"/>
          <w:szCs w:val="24"/>
          <w:lang w:bidi="ar"/>
        </w:rPr>
      </w:pPr>
      <w:r>
        <w:rPr>
          <w:rFonts w:hint="eastAsia" w:ascii="Times New Roman" w:cs="Times New Roman"/>
          <w:color w:val="000000"/>
          <w:kern w:val="0"/>
          <w:sz w:val="24"/>
          <w:szCs w:val="24"/>
          <w:lang w:bidi="ar"/>
        </w:rPr>
        <w:t>G11~G13由于项目所使用的聚醚多元醇（</w:t>
      </w:r>
      <w:r>
        <w:rPr>
          <w:rFonts w:hint="eastAsia" w:ascii="Times New Roman" w:cs="Times New Roman"/>
          <w:color w:val="000000"/>
          <w:kern w:val="0"/>
          <w:sz w:val="24"/>
          <w:szCs w:val="24"/>
          <w:lang w:val="en-US" w:eastAsia="zh-CN" w:bidi="ar"/>
        </w:rPr>
        <w:t>包括二苯基甲烷二异氰酸酯（</w:t>
      </w:r>
      <w:r>
        <w:rPr>
          <w:rFonts w:hint="eastAsia" w:ascii="Times New Roman" w:cs="Times New Roman"/>
          <w:color w:val="000000"/>
          <w:kern w:val="0"/>
          <w:sz w:val="24"/>
          <w:szCs w:val="24"/>
          <w:lang w:bidi="ar"/>
        </w:rPr>
        <w:t>MDI</w:t>
      </w:r>
      <w:r>
        <w:rPr>
          <w:rFonts w:hint="eastAsia" w:ascii="Times New Roman" w:cs="Times New Roman"/>
          <w:color w:val="000000"/>
          <w:kern w:val="0"/>
          <w:sz w:val="24"/>
          <w:szCs w:val="24"/>
          <w:lang w:val="en-US" w:eastAsia="zh-CN" w:bidi="ar"/>
        </w:rPr>
        <w:t>）、聚醚多元醇、甲苯二异氰酸酯、环保增塑剂、氯化石蜡和有机锡催化剂</w:t>
      </w:r>
      <w:r>
        <w:rPr>
          <w:rFonts w:hint="eastAsia" w:ascii="Times New Roman" w:cs="Times New Roman"/>
          <w:color w:val="000000"/>
          <w:kern w:val="0"/>
          <w:sz w:val="24"/>
          <w:szCs w:val="24"/>
          <w:lang w:bidi="ar"/>
        </w:rPr>
        <w:t>）具有一定的挥发性，投料、抽真空及分装过程将挥发产生的少量的醚类及MDI有机废气，以非甲烷总烃表征。参照《排放源统计调查产排污核算方法和系数手册》</w:t>
      </w:r>
      <w:r>
        <w:rPr>
          <w:rFonts w:hint="eastAsia" w:ascii="Times New Roman" w:cs="Times New Roman"/>
          <w:color w:val="000000"/>
          <w:kern w:val="0"/>
          <w:sz w:val="24"/>
          <w:szCs w:val="24"/>
          <w:lang w:eastAsia="zh-CN" w:bidi="ar"/>
        </w:rPr>
        <w:t>“2</w:t>
      </w:r>
      <w:r>
        <w:rPr>
          <w:rFonts w:hint="eastAsia" w:ascii="Times New Roman" w:cs="Times New Roman"/>
          <w:color w:val="000000"/>
          <w:kern w:val="0"/>
          <w:sz w:val="24"/>
          <w:szCs w:val="24"/>
          <w:lang w:val="en-US" w:eastAsia="zh-CN" w:bidi="ar"/>
        </w:rPr>
        <w:t>669</w:t>
      </w:r>
      <w:r>
        <w:rPr>
          <w:rFonts w:hint="eastAsia" w:ascii="Times New Roman" w:cs="Times New Roman"/>
          <w:color w:val="000000"/>
          <w:kern w:val="0"/>
          <w:sz w:val="24"/>
          <w:szCs w:val="24"/>
          <w:lang w:eastAsia="zh-CN" w:bidi="ar"/>
        </w:rPr>
        <w:t xml:space="preserve"> 其他专用化学品制造行业系数表”反应型胶黏剂</w:t>
      </w:r>
      <w:r>
        <w:rPr>
          <w:rFonts w:hint="eastAsia" w:ascii="Times New Roman" w:cs="Times New Roman"/>
          <w:color w:val="000000"/>
          <w:kern w:val="0"/>
          <w:sz w:val="24"/>
          <w:szCs w:val="24"/>
          <w:lang w:bidi="ar"/>
        </w:rPr>
        <w:t>生产VOCs产生系数（</w:t>
      </w:r>
      <w:r>
        <w:rPr>
          <w:rFonts w:hint="eastAsia" w:ascii="Times New Roman" w:cs="Times New Roman"/>
          <w:color w:val="000000"/>
          <w:kern w:val="0"/>
          <w:sz w:val="24"/>
          <w:szCs w:val="24"/>
          <w:lang w:val="en-US" w:eastAsia="zh-CN" w:bidi="ar"/>
        </w:rPr>
        <w:t>0.79</w:t>
      </w:r>
      <w:r>
        <w:rPr>
          <w:rFonts w:hint="eastAsia" w:ascii="Times New Roman" w:cs="Times New Roman"/>
          <w:color w:val="000000"/>
          <w:kern w:val="0"/>
          <w:sz w:val="24"/>
          <w:szCs w:val="24"/>
          <w:lang w:bidi="ar"/>
        </w:rPr>
        <w:t>kg/t</w:t>
      </w:r>
      <w:r>
        <w:rPr>
          <w:rFonts w:hint="eastAsia" w:ascii="Times New Roman" w:cs="Times New Roman"/>
          <w:color w:val="000000"/>
          <w:kern w:val="0"/>
          <w:sz w:val="24"/>
          <w:szCs w:val="24"/>
          <w:lang w:val="en-US" w:eastAsia="zh-CN" w:bidi="ar"/>
        </w:rPr>
        <w:t>-产品</w:t>
      </w:r>
      <w:r>
        <w:rPr>
          <w:rFonts w:hint="eastAsia" w:ascii="Times New Roman" w:cs="Times New Roman"/>
          <w:color w:val="000000"/>
          <w:kern w:val="0"/>
          <w:sz w:val="24"/>
          <w:szCs w:val="24"/>
          <w:lang w:bidi="ar"/>
        </w:rPr>
        <w:t>），</w:t>
      </w:r>
      <w:r>
        <w:rPr>
          <w:rFonts w:hint="eastAsia" w:ascii="Times New Roman" w:cs="Times New Roman"/>
          <w:color w:val="000000"/>
          <w:kern w:val="0"/>
          <w:sz w:val="24"/>
          <w:szCs w:val="24"/>
          <w:lang w:eastAsia="zh-CN" w:bidi="ar"/>
        </w:rPr>
        <w:t>本项目产品单组份胶水设计产能为</w:t>
      </w:r>
      <w:r>
        <w:rPr>
          <w:rFonts w:hint="eastAsia" w:ascii="Times New Roman" w:cs="Times New Roman"/>
          <w:color w:val="000000"/>
          <w:kern w:val="0"/>
          <w:sz w:val="24"/>
          <w:szCs w:val="24"/>
          <w:lang w:val="en-US" w:eastAsia="zh-CN" w:bidi="ar"/>
        </w:rPr>
        <w:t>4000t/a</w:t>
      </w:r>
      <w:r>
        <w:rPr>
          <w:rFonts w:hint="eastAsia" w:ascii="Times New Roman" w:cs="Times New Roman"/>
          <w:color w:val="000000"/>
          <w:kern w:val="0"/>
          <w:sz w:val="24"/>
          <w:szCs w:val="24"/>
          <w:lang w:bidi="ar"/>
        </w:rPr>
        <w:t>，则有机废气产生量为</w:t>
      </w:r>
      <w:r>
        <w:rPr>
          <w:rFonts w:hint="eastAsia" w:ascii="Times New Roman" w:cs="Times New Roman"/>
          <w:color w:val="000000"/>
          <w:kern w:val="0"/>
          <w:sz w:val="24"/>
          <w:szCs w:val="24"/>
          <w:lang w:val="en-US" w:eastAsia="zh-CN" w:bidi="ar"/>
        </w:rPr>
        <w:t>3.16</w:t>
      </w:r>
      <w:r>
        <w:rPr>
          <w:rFonts w:hint="eastAsia" w:ascii="Times New Roman" w:cs="Times New Roman"/>
          <w:color w:val="000000"/>
          <w:kern w:val="0"/>
          <w:sz w:val="24"/>
          <w:szCs w:val="24"/>
          <w:lang w:bidi="ar"/>
        </w:rPr>
        <w:t>t/a。</w:t>
      </w:r>
    </w:p>
    <w:p>
      <w:pPr>
        <w:pStyle w:val="24"/>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ascii="Times New Roman" w:cs="Times New Roman"/>
          <w:color w:val="000000"/>
          <w:kern w:val="0"/>
          <w:sz w:val="24"/>
          <w:szCs w:val="24"/>
          <w:lang w:bidi="ar"/>
        </w:rPr>
      </w:pPr>
      <w:r>
        <w:rPr>
          <w:rFonts w:hint="eastAsia" w:ascii="Times New Roman" w:cs="Times New Roman"/>
          <w:color w:val="000000"/>
          <w:kern w:val="0"/>
          <w:sz w:val="24"/>
          <w:szCs w:val="24"/>
          <w:lang w:eastAsia="zh-CN" w:bidi="ar"/>
        </w:rPr>
        <w:t>废液</w:t>
      </w:r>
      <w:r>
        <w:rPr>
          <w:rFonts w:ascii="Times New Roman" w:cs="Times New Roman"/>
          <w:color w:val="000000"/>
          <w:kern w:val="0"/>
          <w:sz w:val="24"/>
          <w:szCs w:val="24"/>
          <w:lang w:bidi="ar"/>
        </w:rPr>
        <w:t>S</w:t>
      </w:r>
      <w:r>
        <w:rPr>
          <w:rFonts w:hint="eastAsia" w:ascii="Times New Roman" w:cs="Times New Roman"/>
          <w:color w:val="000000"/>
          <w:kern w:val="0"/>
          <w:sz w:val="24"/>
          <w:szCs w:val="24"/>
          <w:lang w:bidi="ar"/>
        </w:rPr>
        <w:t>4：根据业主提供资料，</w:t>
      </w:r>
      <w:r>
        <w:rPr>
          <w:rFonts w:hint="eastAsia" w:ascii="Times New Roman" w:cs="Times New Roman"/>
          <w:color w:val="000000"/>
          <w:kern w:val="0"/>
          <w:sz w:val="24"/>
          <w:szCs w:val="24"/>
          <w:lang w:eastAsia="zh-CN" w:bidi="ar"/>
        </w:rPr>
        <w:t>抽检按批次，每批次抽检</w:t>
      </w:r>
      <w:r>
        <w:rPr>
          <w:rFonts w:hint="eastAsia" w:ascii="Times New Roman" w:cs="Times New Roman"/>
          <w:color w:val="000000"/>
          <w:kern w:val="0"/>
          <w:sz w:val="24"/>
          <w:szCs w:val="24"/>
          <w:lang w:val="en-US" w:eastAsia="zh-CN" w:bidi="ar"/>
        </w:rPr>
        <w:t>2kg</w:t>
      </w:r>
      <w:r>
        <w:rPr>
          <w:rFonts w:hint="eastAsia" w:ascii="Times New Roman" w:cs="Times New Roman"/>
          <w:color w:val="000000"/>
          <w:kern w:val="0"/>
          <w:sz w:val="24"/>
          <w:szCs w:val="24"/>
          <w:lang w:bidi="ar"/>
        </w:rPr>
        <w:t>，</w:t>
      </w:r>
      <w:r>
        <w:rPr>
          <w:rFonts w:hint="eastAsia" w:ascii="Times New Roman" w:cs="Times New Roman"/>
          <w:color w:val="000000"/>
          <w:kern w:val="0"/>
          <w:sz w:val="24"/>
          <w:szCs w:val="24"/>
          <w:lang w:eastAsia="zh-CN" w:bidi="ar"/>
        </w:rPr>
        <w:t>底液含量为</w:t>
      </w:r>
      <w:r>
        <w:rPr>
          <w:rFonts w:hint="eastAsia" w:ascii="Times New Roman" w:cs="Times New Roman"/>
          <w:color w:val="000000"/>
          <w:kern w:val="0"/>
          <w:sz w:val="24"/>
          <w:szCs w:val="24"/>
          <w:lang w:val="en-US" w:eastAsia="zh-CN" w:bidi="ar"/>
        </w:rPr>
        <w:t>3.59kg/批次，废液</w:t>
      </w:r>
      <w:r>
        <w:rPr>
          <w:rFonts w:hint="eastAsia" w:ascii="Times New Roman" w:cs="Times New Roman"/>
          <w:color w:val="000000"/>
          <w:kern w:val="0"/>
          <w:sz w:val="24"/>
          <w:szCs w:val="24"/>
          <w:lang w:bidi="ar"/>
        </w:rPr>
        <w:t>产生量为</w:t>
      </w:r>
      <w:r>
        <w:rPr>
          <w:rFonts w:hint="eastAsia" w:ascii="Times New Roman" w:cs="Times New Roman"/>
          <w:color w:val="000000"/>
          <w:kern w:val="0"/>
          <w:sz w:val="24"/>
          <w:szCs w:val="24"/>
          <w:lang w:val="en-US" w:eastAsia="zh-CN" w:bidi="ar"/>
        </w:rPr>
        <w:t>1.867</w:t>
      </w:r>
      <w:r>
        <w:rPr>
          <w:rFonts w:hint="eastAsia" w:ascii="Times New Roman" w:cs="Times New Roman"/>
          <w:color w:val="000000"/>
          <w:kern w:val="0"/>
          <w:sz w:val="24"/>
          <w:szCs w:val="24"/>
          <w:lang w:bidi="ar"/>
        </w:rPr>
        <w:t>t/a。</w:t>
      </w:r>
    </w:p>
    <w:p>
      <w:pPr>
        <w:keepNext w:val="0"/>
        <w:keepLines w:val="0"/>
        <w:pageBreakBefore w:val="0"/>
        <w:widowControl/>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rPr>
      </w:pPr>
      <w:r>
        <w:rPr>
          <w:rFonts w:hint="eastAsia"/>
          <w:sz w:val="24"/>
          <w:szCs w:val="24"/>
        </w:rPr>
        <w:t>单组份胶水生产物料平衡见表4</w:t>
      </w:r>
      <w:r>
        <w:rPr>
          <w:sz w:val="24"/>
          <w:szCs w:val="24"/>
        </w:rPr>
        <w:t>.</w:t>
      </w:r>
      <w:r>
        <w:rPr>
          <w:rFonts w:hint="eastAsia"/>
          <w:sz w:val="24"/>
          <w:szCs w:val="24"/>
        </w:rPr>
        <w:t>2</w:t>
      </w:r>
      <w:r>
        <w:rPr>
          <w:sz w:val="24"/>
          <w:szCs w:val="24"/>
        </w:rPr>
        <w:t>-</w:t>
      </w:r>
      <w:r>
        <w:rPr>
          <w:rFonts w:hint="eastAsia"/>
          <w:sz w:val="24"/>
          <w:szCs w:val="24"/>
        </w:rPr>
        <w:t>4及图4</w:t>
      </w:r>
      <w:r>
        <w:rPr>
          <w:sz w:val="24"/>
          <w:szCs w:val="24"/>
        </w:rPr>
        <w:t>.</w:t>
      </w:r>
      <w:r>
        <w:rPr>
          <w:rFonts w:hint="eastAsia"/>
          <w:sz w:val="24"/>
          <w:szCs w:val="24"/>
        </w:rPr>
        <w:t>2</w:t>
      </w:r>
      <w:r>
        <w:rPr>
          <w:sz w:val="24"/>
          <w:szCs w:val="24"/>
        </w:rPr>
        <w:t>-</w:t>
      </w:r>
      <w:r>
        <w:rPr>
          <w:rFonts w:hint="eastAsia"/>
          <w:sz w:val="24"/>
          <w:szCs w:val="24"/>
        </w:rPr>
        <w:t>8。</w:t>
      </w:r>
    </w:p>
    <w:p>
      <w:pPr>
        <w:keepNext w:val="0"/>
        <w:keepLines w:val="0"/>
        <w:pageBreakBefore w:val="0"/>
        <w:widowControl/>
        <w:kinsoku/>
        <w:wordWrap/>
        <w:overflowPunct/>
        <w:topLinePunct w:val="0"/>
        <w:autoSpaceDE/>
        <w:autoSpaceDN/>
        <w:bidi w:val="0"/>
        <w:adjustRightInd/>
        <w:snapToGrid/>
        <w:spacing w:beforeAutospacing="0" w:afterAutospacing="0"/>
        <w:ind w:firstLine="480" w:firstLineChars="200"/>
        <w:jc w:val="both"/>
        <w:textAlignment w:val="auto"/>
        <w:rPr>
          <w:rFonts w:hint="default" w:eastAsia="宋体"/>
          <w:sz w:val="24"/>
          <w:szCs w:val="24"/>
          <w:u w:val="single"/>
          <w:lang w:val="en-US" w:eastAsia="zh-CN"/>
        </w:rPr>
      </w:pPr>
      <w:r>
        <w:rPr>
          <w:rFonts w:hint="eastAsia"/>
          <w:sz w:val="24"/>
          <w:szCs w:val="24"/>
          <w:u w:val="single"/>
          <w:lang w:eastAsia="zh-CN"/>
        </w:rPr>
        <w:t>根据</w:t>
      </w:r>
      <w:r>
        <w:rPr>
          <w:rFonts w:hint="eastAsia"/>
          <w:sz w:val="24"/>
          <w:szCs w:val="24"/>
          <w:u w:val="single"/>
          <w:lang w:val="en-US" w:eastAsia="zh-CN"/>
        </w:rPr>
        <w:t>3.2.5</w:t>
      </w:r>
      <w:r>
        <w:rPr>
          <w:rFonts w:hint="eastAsia"/>
          <w:sz w:val="24"/>
          <w:szCs w:val="24"/>
          <w:u w:val="single"/>
          <w:lang w:eastAsia="zh-CN"/>
        </w:rPr>
        <w:t>产品方案表</w:t>
      </w:r>
      <w:r>
        <w:rPr>
          <w:rFonts w:hint="eastAsia"/>
          <w:sz w:val="24"/>
          <w:szCs w:val="24"/>
          <w:u w:val="single"/>
          <w:lang w:val="en-US" w:eastAsia="zh-CN"/>
        </w:rPr>
        <w:t>3.2-6项目反应釜产能核实一览表，产品单组份胶水年产4000吨，生产批次334批/年，由此核算单批次产品量为1.1976t/批次。</w:t>
      </w:r>
    </w:p>
    <w:p>
      <w:pPr>
        <w:widowControl/>
        <w:ind w:firstLine="0" w:firstLineChars="0"/>
        <w:jc w:val="center"/>
        <w:rPr>
          <w:rFonts w:hint="eastAsia" w:ascii="宋体" w:hAnsi="宋体" w:cs="宋体"/>
          <w:b/>
          <w:bCs/>
          <w:color w:val="000000"/>
          <w:kern w:val="0"/>
          <w:lang w:bidi="ar"/>
        </w:rPr>
      </w:pPr>
      <w:r>
        <w:rPr>
          <w:rFonts w:hint="eastAsia" w:ascii="宋体" w:hAnsi="宋体" w:cs="宋体"/>
          <w:b/>
          <w:bCs/>
          <w:color w:val="000000"/>
          <w:kern w:val="0"/>
          <w:lang w:bidi="ar"/>
        </w:rPr>
        <w:t>表</w:t>
      </w:r>
      <w:r>
        <w:rPr>
          <w:rFonts w:hint="eastAsia" w:cs="Times New Roman"/>
          <w:b/>
          <w:bCs/>
          <w:color w:val="000000"/>
          <w:kern w:val="0"/>
          <w:lang w:bidi="ar"/>
        </w:rPr>
        <w:t>4.2</w:t>
      </w:r>
      <w:r>
        <w:rPr>
          <w:rFonts w:cs="Times New Roman"/>
          <w:b/>
          <w:bCs/>
          <w:color w:val="000000"/>
          <w:kern w:val="0"/>
          <w:lang w:bidi="ar"/>
        </w:rPr>
        <w:t>-</w:t>
      </w:r>
      <w:r>
        <w:rPr>
          <w:rFonts w:hint="eastAsia" w:cs="Times New Roman"/>
          <w:b/>
          <w:bCs/>
          <w:color w:val="000000"/>
          <w:kern w:val="0"/>
          <w:lang w:bidi="ar"/>
        </w:rPr>
        <w:t xml:space="preserve">4  </w:t>
      </w:r>
      <w:r>
        <w:rPr>
          <w:rFonts w:hint="eastAsia" w:cs="Times New Roman"/>
          <w:b/>
          <w:bCs/>
          <w:color w:val="000000"/>
          <w:kern w:val="0"/>
        </w:rPr>
        <mc:AlternateContent>
          <mc:Choice Requires="wps">
            <w:drawing>
              <wp:anchor distT="0" distB="0" distL="114300" distR="114300" simplePos="0" relativeHeight="251699200"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38" name="直接箭头连接符 138"/>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699200;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lcIbI&#10;1QAAAAkBAAAPAAAAAAAAAAEAIAAAACIAAABkcnMvZG93bnJldi54bWxQSwECFAAUAAAACACHTuJA&#10;42ka5rIBAABIAwAADgAAAAAAAAABACAAAAAkAQAAZHJzL2Uyb0RvYy54bWxQSwUGAAAAAAYABgBZ&#10;AQAASAUAAAAA&#10;">
                <v:fill on="f" focussize="0,0"/>
                <v:stroke on="f"/>
                <v:imagedata o:title=""/>
                <o:lock v:ext="edit" aspectratio="f"/>
              </v:shape>
            </w:pict>
          </mc:Fallback>
        </mc:AlternateContent>
      </w:r>
      <w:r>
        <w:rPr>
          <w:rFonts w:hint="eastAsia" w:cs="Times New Roman"/>
          <w:b/>
          <w:bCs/>
          <w:color w:val="000000"/>
          <w:kern w:val="0"/>
          <w:lang w:bidi="ar"/>
        </w:rPr>
        <w:t>单组份胶水生产</w:t>
      </w:r>
      <w:r>
        <w:rPr>
          <w:rFonts w:hint="eastAsia" w:ascii="宋体" w:hAnsi="宋体" w:cs="宋体"/>
          <w:b/>
          <w:bCs/>
          <w:color w:val="000000"/>
          <w:kern w:val="0"/>
          <w:lang w:bidi="ar"/>
        </w:rPr>
        <w:t>物料平衡一览表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2830"/>
        <w:gridCol w:w="1323"/>
        <w:gridCol w:w="576"/>
        <w:gridCol w:w="1953"/>
        <w:gridCol w:w="1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7" w:type="pct"/>
            <w:gridSpan w:val="3"/>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投入情况（kg/批次）</w:t>
            </w:r>
          </w:p>
        </w:tc>
        <w:tc>
          <w:tcPr>
            <w:tcW w:w="2362" w:type="pct"/>
            <w:gridSpan w:val="3"/>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产出情况（kg/批次）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2"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1</w:t>
            </w:r>
          </w:p>
        </w:tc>
        <w:tc>
          <w:tcPr>
            <w:tcW w:w="1522" w:type="pct"/>
            <w:tcBorders>
              <w:tl2br w:val="nil"/>
              <w:tr2bl w:val="nil"/>
            </w:tcBorders>
            <w:vAlign w:val="center"/>
          </w:tcPr>
          <w:p>
            <w:pPr>
              <w:spacing w:line="240" w:lineRule="auto"/>
              <w:ind w:firstLine="0" w:firstLineChars="0"/>
              <w:jc w:val="center"/>
              <w:rPr>
                <w:sz w:val="21"/>
                <w:szCs w:val="21"/>
                <w:u w:val="single"/>
              </w:rPr>
            </w:pPr>
            <w:r>
              <w:rPr>
                <w:rFonts w:cs="Times New Roman"/>
                <w:kern w:val="21"/>
                <w:sz w:val="21"/>
                <w:szCs w:val="21"/>
                <w:u w:val="single"/>
              </w:rPr>
              <w:t>聚醚多元醇</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10921.43</w:t>
            </w:r>
          </w:p>
        </w:tc>
        <w:tc>
          <w:tcPr>
            <w:tcW w:w="310"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1</w:t>
            </w:r>
          </w:p>
        </w:tc>
        <w:tc>
          <w:tcPr>
            <w:tcW w:w="1051"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mc:AlternateContent>
                <mc:Choice Requires="wps">
                  <w:drawing>
                    <wp:anchor distT="0" distB="0" distL="114300" distR="114300" simplePos="0" relativeHeight="251720704"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720704;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lcIbI&#10;1QAAAAkBAAAPAAAAAAAAAAEAIAAAACIAAABkcnMvZG93bnJldi54bWxQSwECFAAUAAAACACHTuJA&#10;wRFaFrIBAABIAwAADgAAAAAAAAABACAAAAAkAQAAZHJzL2Uyb0RvYy54bWxQSwUGAAAAAAYABgBZ&#10;AQAASAUAAAAA&#10;">
                      <v:fill on="f" focussize="0,0"/>
                      <v:stroke on="f"/>
                      <v:imagedata o:title=""/>
                      <o:lock v:ext="edit" aspectratio="f"/>
                    </v:shape>
                  </w:pict>
                </mc:Fallback>
              </mc:AlternateContent>
            </w:r>
            <w:r>
              <w:rPr>
                <w:rFonts w:hint="eastAsia"/>
                <w:sz w:val="21"/>
                <w:szCs w:val="21"/>
                <w:u w:val="single"/>
              </w:rPr>
              <w:t>单组份胶水</w:t>
            </w:r>
          </w:p>
        </w:tc>
        <w:tc>
          <w:tcPr>
            <w:tcW w:w="1001"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11976.05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2</w:t>
            </w:r>
          </w:p>
        </w:tc>
        <w:tc>
          <w:tcPr>
            <w:tcW w:w="1522" w:type="pct"/>
            <w:tcBorders>
              <w:tl2br w:val="nil"/>
              <w:tr2bl w:val="nil"/>
            </w:tcBorders>
            <w:vAlign w:val="center"/>
          </w:tcPr>
          <w:p>
            <w:pPr>
              <w:spacing w:line="240" w:lineRule="auto"/>
              <w:ind w:firstLine="0" w:firstLineChars="0"/>
              <w:jc w:val="center"/>
              <w:rPr>
                <w:sz w:val="21"/>
                <w:szCs w:val="21"/>
                <w:u w:val="single"/>
              </w:rPr>
            </w:pPr>
            <w:r>
              <w:rPr>
                <w:rFonts w:cs="Times New Roman"/>
                <w:kern w:val="21"/>
                <w:sz w:val="21"/>
                <w:szCs w:val="21"/>
                <w:u w:val="single"/>
              </w:rPr>
              <w:t>环保增塑剂</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308.26</w:t>
            </w:r>
          </w:p>
        </w:tc>
        <w:tc>
          <w:tcPr>
            <w:tcW w:w="310"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2</w:t>
            </w:r>
          </w:p>
        </w:tc>
        <w:tc>
          <w:tcPr>
            <w:tcW w:w="1051"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非甲烷总烃</w:t>
            </w:r>
          </w:p>
        </w:tc>
        <w:tc>
          <w:tcPr>
            <w:tcW w:w="1001"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9.46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3</w:t>
            </w:r>
          </w:p>
        </w:tc>
        <w:tc>
          <w:tcPr>
            <w:tcW w:w="1522" w:type="pct"/>
            <w:tcBorders>
              <w:tl2br w:val="nil"/>
              <w:tr2bl w:val="nil"/>
            </w:tcBorders>
            <w:vAlign w:val="center"/>
          </w:tcPr>
          <w:p>
            <w:pPr>
              <w:spacing w:line="240" w:lineRule="auto"/>
              <w:ind w:firstLine="0" w:firstLineChars="0"/>
              <w:jc w:val="center"/>
              <w:rPr>
                <w:rFonts w:cs="Times New Roman"/>
                <w:kern w:val="21"/>
                <w:sz w:val="21"/>
                <w:szCs w:val="21"/>
                <w:u w:val="single"/>
              </w:rPr>
            </w:pPr>
            <w:r>
              <w:rPr>
                <w:rFonts w:cs="Times New Roman"/>
                <w:kern w:val="21"/>
                <w:sz w:val="21"/>
                <w:szCs w:val="21"/>
                <w:u w:val="single"/>
              </w:rPr>
              <w:t>氯化石蜡</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65.87</w:t>
            </w:r>
          </w:p>
        </w:tc>
        <w:tc>
          <w:tcPr>
            <w:tcW w:w="310"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3</w:t>
            </w:r>
          </w:p>
        </w:tc>
        <w:tc>
          <w:tcPr>
            <w:tcW w:w="1051"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固废S4</w:t>
            </w:r>
          </w:p>
        </w:tc>
        <w:tc>
          <w:tcPr>
            <w:tcW w:w="1001"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5.59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2"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4</w:t>
            </w:r>
          </w:p>
        </w:tc>
        <w:tc>
          <w:tcPr>
            <w:tcW w:w="1522" w:type="pct"/>
            <w:tcBorders>
              <w:tl2br w:val="nil"/>
              <w:tr2bl w:val="nil"/>
            </w:tcBorders>
            <w:vAlign w:val="center"/>
          </w:tcPr>
          <w:p>
            <w:pPr>
              <w:spacing w:line="240" w:lineRule="auto"/>
              <w:ind w:firstLine="0" w:firstLineChars="0"/>
              <w:jc w:val="center"/>
              <w:rPr>
                <w:sz w:val="21"/>
                <w:szCs w:val="21"/>
                <w:u w:val="single"/>
              </w:rPr>
            </w:pPr>
            <w:r>
              <w:rPr>
                <w:rFonts w:cs="Times New Roman"/>
                <w:kern w:val="21"/>
                <w:sz w:val="21"/>
                <w:szCs w:val="21"/>
                <w:u w:val="single"/>
              </w:rPr>
              <w:t>甲苯二异氰酸酯</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248.25</w:t>
            </w:r>
          </w:p>
        </w:tc>
        <w:tc>
          <w:tcPr>
            <w:tcW w:w="310" w:type="pct"/>
            <w:tcBorders>
              <w:tl2br w:val="nil"/>
              <w:tr2bl w:val="nil"/>
            </w:tcBorders>
            <w:vAlign w:val="center"/>
          </w:tcPr>
          <w:p>
            <w:pPr>
              <w:widowControl/>
              <w:spacing w:line="240" w:lineRule="auto"/>
              <w:ind w:firstLine="0" w:firstLineChars="0"/>
              <w:jc w:val="center"/>
              <w:rPr>
                <w:sz w:val="21"/>
                <w:szCs w:val="21"/>
                <w:u w:val="single"/>
              </w:rPr>
            </w:pPr>
          </w:p>
        </w:tc>
        <w:tc>
          <w:tcPr>
            <w:tcW w:w="1051" w:type="pct"/>
            <w:tcBorders>
              <w:tl2br w:val="nil"/>
              <w:tr2bl w:val="nil"/>
            </w:tcBorders>
            <w:vAlign w:val="center"/>
          </w:tcPr>
          <w:p>
            <w:pPr>
              <w:widowControl/>
              <w:spacing w:line="240" w:lineRule="auto"/>
              <w:ind w:firstLine="0" w:firstLineChars="0"/>
              <w:jc w:val="center"/>
              <w:rPr>
                <w:sz w:val="21"/>
                <w:szCs w:val="21"/>
                <w:u w:val="single"/>
              </w:rPr>
            </w:pPr>
          </w:p>
        </w:tc>
        <w:tc>
          <w:tcPr>
            <w:tcW w:w="1001"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2"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5</w:t>
            </w:r>
          </w:p>
        </w:tc>
        <w:tc>
          <w:tcPr>
            <w:tcW w:w="1522" w:type="pct"/>
            <w:tcBorders>
              <w:tl2br w:val="nil"/>
              <w:tr2bl w:val="nil"/>
            </w:tcBorders>
            <w:vAlign w:val="center"/>
          </w:tcPr>
          <w:p>
            <w:pPr>
              <w:spacing w:line="240" w:lineRule="auto"/>
              <w:ind w:firstLine="0" w:firstLineChars="0"/>
              <w:jc w:val="center"/>
              <w:rPr>
                <w:sz w:val="21"/>
                <w:szCs w:val="21"/>
                <w:u w:val="single"/>
              </w:rPr>
            </w:pPr>
            <w:r>
              <w:rPr>
                <w:rFonts w:cs="Times New Roman"/>
                <w:kern w:val="21"/>
                <w:sz w:val="21"/>
                <w:szCs w:val="21"/>
                <w:u w:val="single"/>
              </w:rPr>
              <w:t>二苯基甲烷二异氰酸酯</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647.10</w:t>
            </w:r>
          </w:p>
        </w:tc>
        <w:tc>
          <w:tcPr>
            <w:tcW w:w="310" w:type="pct"/>
            <w:tcBorders>
              <w:tl2br w:val="nil"/>
              <w:tr2bl w:val="nil"/>
            </w:tcBorders>
            <w:vAlign w:val="center"/>
          </w:tcPr>
          <w:p>
            <w:pPr>
              <w:widowControl/>
              <w:spacing w:line="240" w:lineRule="auto"/>
              <w:ind w:firstLine="0" w:firstLineChars="0"/>
              <w:jc w:val="center"/>
              <w:rPr>
                <w:sz w:val="21"/>
                <w:szCs w:val="21"/>
                <w:u w:val="single"/>
              </w:rPr>
            </w:pPr>
          </w:p>
        </w:tc>
        <w:tc>
          <w:tcPr>
            <w:tcW w:w="1051" w:type="pct"/>
            <w:tcBorders>
              <w:tl2br w:val="nil"/>
              <w:tr2bl w:val="nil"/>
            </w:tcBorders>
            <w:vAlign w:val="center"/>
          </w:tcPr>
          <w:p>
            <w:pPr>
              <w:widowControl/>
              <w:spacing w:line="240" w:lineRule="auto"/>
              <w:ind w:firstLine="0" w:firstLineChars="0"/>
              <w:jc w:val="center"/>
              <w:rPr>
                <w:sz w:val="21"/>
                <w:szCs w:val="21"/>
                <w:u w:val="single"/>
              </w:rPr>
            </w:pPr>
          </w:p>
        </w:tc>
        <w:tc>
          <w:tcPr>
            <w:tcW w:w="1001" w:type="pct"/>
            <w:tcBorders>
              <w:tl2br w:val="nil"/>
              <w:tr2bl w:val="nil"/>
            </w:tcBorders>
            <w:vAlign w:val="center"/>
          </w:tcPr>
          <w:p>
            <w:pPr>
              <w:widowControl/>
              <w:spacing w:line="240" w:lineRule="auto"/>
              <w:ind w:firstLine="0" w:firstLineChars="0"/>
              <w:jc w:val="center"/>
              <w:rPr>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2"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6</w:t>
            </w:r>
          </w:p>
        </w:tc>
        <w:tc>
          <w:tcPr>
            <w:tcW w:w="1522" w:type="pct"/>
            <w:tcBorders>
              <w:tl2br w:val="nil"/>
              <w:tr2bl w:val="nil"/>
            </w:tcBorders>
            <w:vAlign w:val="center"/>
          </w:tcPr>
          <w:p>
            <w:pPr>
              <w:spacing w:line="240" w:lineRule="auto"/>
              <w:ind w:firstLine="0" w:firstLineChars="0"/>
              <w:jc w:val="center"/>
              <w:rPr>
                <w:sz w:val="21"/>
                <w:szCs w:val="21"/>
                <w:u w:val="single"/>
              </w:rPr>
            </w:pPr>
            <w:r>
              <w:rPr>
                <w:rFonts w:cs="Times New Roman"/>
                <w:kern w:val="21"/>
                <w:sz w:val="21"/>
                <w:szCs w:val="21"/>
                <w:u w:val="single"/>
              </w:rPr>
              <w:t>有机锡催化剂</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3.59</w:t>
            </w:r>
          </w:p>
        </w:tc>
        <w:tc>
          <w:tcPr>
            <w:tcW w:w="310" w:type="pct"/>
            <w:tcBorders>
              <w:tl2br w:val="nil"/>
              <w:tr2bl w:val="nil"/>
            </w:tcBorders>
            <w:vAlign w:val="center"/>
          </w:tcPr>
          <w:p>
            <w:pPr>
              <w:widowControl/>
              <w:spacing w:line="240" w:lineRule="auto"/>
              <w:ind w:firstLine="0" w:firstLineChars="0"/>
              <w:jc w:val="center"/>
              <w:rPr>
                <w:sz w:val="21"/>
                <w:szCs w:val="21"/>
                <w:u w:val="single"/>
              </w:rPr>
            </w:pPr>
          </w:p>
        </w:tc>
        <w:tc>
          <w:tcPr>
            <w:tcW w:w="1051" w:type="pct"/>
            <w:tcBorders>
              <w:tl2br w:val="nil"/>
              <w:tr2bl w:val="nil"/>
            </w:tcBorders>
            <w:vAlign w:val="center"/>
          </w:tcPr>
          <w:p>
            <w:pPr>
              <w:widowControl/>
              <w:spacing w:line="240" w:lineRule="auto"/>
              <w:ind w:firstLine="0" w:firstLineChars="0"/>
              <w:jc w:val="center"/>
              <w:rPr>
                <w:sz w:val="21"/>
                <w:szCs w:val="21"/>
                <w:u w:val="single"/>
              </w:rPr>
            </w:pPr>
          </w:p>
        </w:tc>
        <w:tc>
          <w:tcPr>
            <w:tcW w:w="1001" w:type="pct"/>
            <w:tcBorders>
              <w:tl2br w:val="nil"/>
              <w:tr2bl w:val="nil"/>
            </w:tcBorders>
            <w:vAlign w:val="center"/>
          </w:tcPr>
          <w:p>
            <w:pPr>
              <w:widowControl/>
              <w:spacing w:line="240" w:lineRule="auto"/>
              <w:ind w:firstLine="0" w:firstLineChars="0"/>
              <w:jc w:val="center"/>
              <w:rPr>
                <w:sz w:val="21"/>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25" w:type="pct"/>
            <w:gridSpan w:val="2"/>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合计</w:t>
            </w:r>
          </w:p>
        </w:tc>
        <w:tc>
          <w:tcPr>
            <w:tcW w:w="712" w:type="pct"/>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lang w:val="en-US" w:eastAsia="zh-CN"/>
              </w:rPr>
              <w:t>11911.1</w:t>
            </w:r>
          </w:p>
        </w:tc>
        <w:tc>
          <w:tcPr>
            <w:tcW w:w="1361" w:type="pct"/>
            <w:gridSpan w:val="2"/>
            <w:tcBorders>
              <w:tl2br w:val="nil"/>
              <w:tr2bl w:val="nil"/>
            </w:tcBorders>
            <w:vAlign w:val="center"/>
          </w:tcPr>
          <w:p>
            <w:pPr>
              <w:widowControl/>
              <w:spacing w:line="240" w:lineRule="auto"/>
              <w:ind w:firstLine="0" w:firstLineChars="0"/>
              <w:jc w:val="center"/>
              <w:rPr>
                <w:sz w:val="21"/>
                <w:szCs w:val="21"/>
                <w:u w:val="single"/>
              </w:rPr>
            </w:pPr>
            <w:r>
              <w:rPr>
                <w:rFonts w:hint="eastAsia"/>
                <w:sz w:val="21"/>
                <w:szCs w:val="21"/>
                <w:u w:val="single"/>
              </w:rPr>
              <w:t>合计</w:t>
            </w:r>
          </w:p>
        </w:tc>
        <w:tc>
          <w:tcPr>
            <w:tcW w:w="1001" w:type="pct"/>
            <w:tcBorders>
              <w:tl2br w:val="nil"/>
              <w:tr2bl w:val="nil"/>
            </w:tcBorders>
            <w:vAlign w:val="center"/>
          </w:tcPr>
          <w:p>
            <w:pPr>
              <w:widowControl/>
              <w:spacing w:line="240" w:lineRule="auto"/>
              <w:ind w:firstLine="0" w:firstLineChars="0"/>
              <w:jc w:val="center"/>
              <w:rPr>
                <w:rFonts w:hint="default" w:eastAsia="宋体"/>
                <w:sz w:val="21"/>
                <w:szCs w:val="21"/>
                <w:u w:val="single"/>
                <w:lang w:val="en-US" w:eastAsia="zh-CN"/>
              </w:rPr>
            </w:pPr>
            <w:r>
              <w:rPr>
                <w:rFonts w:hint="eastAsia"/>
                <w:sz w:val="21"/>
                <w:szCs w:val="21"/>
                <w:u w:val="single"/>
                <w:lang w:val="en-US" w:eastAsia="zh-CN"/>
              </w:rPr>
              <w:t>11911.1</w:t>
            </w:r>
          </w:p>
        </w:tc>
      </w:tr>
    </w:tbl>
    <w:p>
      <w:pPr>
        <w:keepNext w:val="0"/>
        <w:keepLines w:val="0"/>
        <w:pageBreakBefore w:val="0"/>
        <w:widowControl w:val="0"/>
        <w:kinsoku/>
        <w:wordWrap/>
        <w:overflowPunct/>
        <w:topLinePunct w:val="0"/>
        <w:autoSpaceDE/>
        <w:autoSpaceDN/>
        <w:bidi w:val="0"/>
        <w:adjustRightInd/>
        <w:snapToGrid/>
        <w:ind w:firstLine="0" w:firstLineChars="0"/>
        <w:jc w:val="center"/>
        <w:textAlignment w:val="auto"/>
      </w:pPr>
      <w:r>
        <w:drawing>
          <wp:inline distT="0" distB="0" distL="114300" distR="114300">
            <wp:extent cx="3473450" cy="3783330"/>
            <wp:effectExtent l="0" t="0" r="12700" b="7620"/>
            <wp:docPr id="10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6"/>
                    <pic:cNvPicPr>
                      <a:picLocks noChangeAspect="1"/>
                    </pic:cNvPicPr>
                  </pic:nvPicPr>
                  <pic:blipFill>
                    <a:blip r:embed="rId49"/>
                    <a:stretch>
                      <a:fillRect/>
                    </a:stretch>
                  </pic:blipFill>
                  <pic:spPr>
                    <a:xfrm>
                      <a:off x="0" y="0"/>
                      <a:ext cx="3473450" cy="3783330"/>
                    </a:xfrm>
                    <a:prstGeom prst="rect">
                      <a:avLst/>
                    </a:prstGeom>
                    <a:noFill/>
                    <a:ln>
                      <a:noFill/>
                    </a:ln>
                  </pic:spPr>
                </pic:pic>
              </a:graphicData>
            </a:graphic>
          </wp:inline>
        </w:drawing>
      </w:r>
    </w:p>
    <w:p>
      <w:pPr>
        <w:keepNext w:val="0"/>
        <w:keepLines w:val="0"/>
        <w:pageBreakBefore w:val="0"/>
        <w:widowControl/>
        <w:kinsoku/>
        <w:wordWrap/>
        <w:overflowPunct/>
        <w:topLinePunct w:val="0"/>
        <w:autoSpaceDE/>
        <w:autoSpaceDN/>
        <w:bidi w:val="0"/>
        <w:adjustRightInd/>
        <w:snapToGrid/>
        <w:spacing w:beforeAutospacing="0" w:afterAutospacing="0"/>
        <w:ind w:firstLine="0" w:firstLineChars="0"/>
        <w:jc w:val="center"/>
        <w:textAlignment w:val="auto"/>
        <w:rPr>
          <w:b/>
          <w:bCs/>
          <w:sz w:val="24"/>
          <w:szCs w:val="24"/>
        </w:rPr>
      </w:pPr>
      <w:r>
        <w:rPr>
          <w:rFonts w:hint="eastAsia" w:cs="Times New Roman"/>
          <w:b/>
          <w:bCs/>
          <w:color w:val="000000"/>
          <w:kern w:val="0"/>
          <w:sz w:val="24"/>
          <w:szCs w:val="24"/>
          <w:lang w:bidi="ar"/>
        </w:rPr>
        <w:t>图4.2</w:t>
      </w:r>
      <w:r>
        <w:rPr>
          <w:rFonts w:cs="Times New Roman"/>
          <w:b/>
          <w:bCs/>
          <w:color w:val="000000"/>
          <w:kern w:val="0"/>
          <w:sz w:val="24"/>
          <w:szCs w:val="24"/>
          <w:lang w:bidi="ar"/>
        </w:rPr>
        <w:t>-</w:t>
      </w:r>
      <w:r>
        <w:rPr>
          <w:rFonts w:hint="eastAsia" w:cs="Times New Roman"/>
          <w:b/>
          <w:bCs/>
          <w:color w:val="000000"/>
          <w:kern w:val="0"/>
          <w:sz w:val="24"/>
          <w:szCs w:val="24"/>
          <w:lang w:bidi="ar"/>
        </w:rPr>
        <w:t xml:space="preserve">8  </w:t>
      </w:r>
      <w:r>
        <w:rPr>
          <w:rFonts w:hint="eastAsia" w:cs="Times New Roman"/>
          <w:b/>
          <w:bCs/>
          <w:color w:val="000000"/>
          <w:kern w:val="0"/>
          <w:sz w:val="24"/>
          <w:szCs w:val="24"/>
        </w:rPr>
        <mc:AlternateContent>
          <mc:Choice Requires="wps">
            <w:drawing>
              <wp:anchor distT="0" distB="0" distL="114300" distR="114300" simplePos="0" relativeHeight="251700224"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40" name="直接箭头连接符 140"/>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700224;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lcIbI&#10;1QAAAAkBAAAPAAAAAAAAAAEAIAAAACIAAABkcnMvZG93bnJldi54bWxQSwECFAAUAAAACACHTuJA&#10;bkjCUrIBAABIAwAADgAAAAAAAAABACAAAAAkAQAAZHJzL2Uyb0RvYy54bWxQSwUGAAAAAAYABgBZ&#10;AQAASAUAAAAA&#10;">
                <v:fill on="f" focussize="0,0"/>
                <v:stroke on="f"/>
                <v:imagedata o:title=""/>
                <o:lock v:ext="edit" aspectratio="f"/>
              </v:shape>
            </w:pict>
          </mc:Fallback>
        </mc:AlternateContent>
      </w:r>
      <w:r>
        <w:rPr>
          <w:rFonts w:hint="eastAsia" w:cs="Times New Roman"/>
          <w:b/>
          <w:bCs/>
          <w:color w:val="000000"/>
          <w:kern w:val="0"/>
          <w:sz w:val="24"/>
          <w:szCs w:val="24"/>
          <w:lang w:bidi="ar"/>
        </w:rPr>
        <w:t>单组份胶水生产</w:t>
      </w:r>
      <w:r>
        <w:rPr>
          <w:rFonts w:hint="eastAsia" w:ascii="宋体" w:hAnsi="宋体" w:cs="宋体"/>
          <w:b/>
          <w:bCs/>
          <w:color w:val="000000"/>
          <w:kern w:val="0"/>
          <w:sz w:val="24"/>
          <w:szCs w:val="24"/>
          <w:lang w:bidi="ar"/>
        </w:rPr>
        <w:t>物料平衡图</w:t>
      </w:r>
    </w:p>
    <w:p>
      <w:pPr>
        <w:pStyle w:val="7"/>
        <w:ind w:firstLine="562"/>
      </w:pPr>
      <w:r>
        <w:t>4.</w:t>
      </w:r>
      <w:r>
        <w:rPr>
          <w:rFonts w:hint="eastAsia"/>
        </w:rPr>
        <w:t>2.5</w:t>
      </w:r>
      <w:r>
        <w:t xml:space="preserve"> </w:t>
      </w:r>
      <w:r>
        <w:rPr>
          <w:rFonts w:hint="eastAsia"/>
        </w:rPr>
        <w:t>双组份胶水生产线产污环节分析</w:t>
      </w:r>
    </w:p>
    <w:p>
      <w:pPr>
        <w:ind w:firstLine="0" w:firstLineChars="0"/>
        <w:jc w:val="center"/>
        <w:rPr>
          <w:rFonts w:cs="Times New Roman"/>
          <w:color w:val="000000" w:themeColor="text1"/>
          <w14:textFill>
            <w14:solidFill>
              <w14:schemeClr w14:val="tx1"/>
            </w14:solidFill>
          </w14:textFill>
        </w:rPr>
      </w:pPr>
      <w:r>
        <w:drawing>
          <wp:inline distT="0" distB="0" distL="114300" distR="114300">
            <wp:extent cx="1750060" cy="2771140"/>
            <wp:effectExtent l="0" t="0" r="2540" b="10160"/>
            <wp:docPr id="11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7"/>
                    <pic:cNvPicPr>
                      <a:picLocks noChangeAspect="1"/>
                    </pic:cNvPicPr>
                  </pic:nvPicPr>
                  <pic:blipFill>
                    <a:blip r:embed="rId50"/>
                    <a:stretch>
                      <a:fillRect/>
                    </a:stretch>
                  </pic:blipFill>
                  <pic:spPr>
                    <a:xfrm>
                      <a:off x="0" y="0"/>
                      <a:ext cx="1750060" cy="2771140"/>
                    </a:xfrm>
                    <a:prstGeom prst="rect">
                      <a:avLst/>
                    </a:prstGeom>
                    <a:noFill/>
                    <a:ln>
                      <a:noFill/>
                    </a:ln>
                  </pic:spPr>
                </pic:pic>
              </a:graphicData>
            </a:graphic>
          </wp:inline>
        </w:drawing>
      </w:r>
    </w:p>
    <w:p>
      <w:pPr>
        <w:ind w:firstLine="482"/>
        <w:jc w:val="center"/>
        <w:rPr>
          <w:rFonts w:cs="Times New Roman"/>
          <w:color w:val="000000" w:themeColor="text1"/>
          <w14:textFill>
            <w14:solidFill>
              <w14:schemeClr w14:val="tx1"/>
            </w14:solidFill>
          </w14:textFill>
        </w:rPr>
      </w:pPr>
      <w:r>
        <w:rPr>
          <w:rFonts w:hint="eastAsia" w:cs="Times New Roman"/>
          <w:b/>
          <w:bCs/>
        </w:rPr>
        <w:t xml:space="preserve">图4.2-9  </w:t>
      </w:r>
      <w:r>
        <w:rPr>
          <w:rFonts w:hint="eastAsia" w:cs="Times New Roman"/>
          <w:b/>
          <w:bCs/>
        </w:rPr>
        <mc:AlternateContent>
          <mc:Choice Requires="wps">
            <w:drawing>
              <wp:anchor distT="0" distB="0" distL="114300" distR="114300" simplePos="0" relativeHeight="251683840"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43" name="直接箭头连接符 43"/>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683840;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XCGyNUA&#10;AAAJAQAADwAAAAAAAAABACAAAAAiAAAAZHJzL2Rvd25yZXYueG1sUEsBAhQAFAAAAAgAh07iQJ3Q&#10;BlqwAQAARgMAAA4AAAAAAAAAAQAgAAAAJAEAAGRycy9lMm9Eb2MueG1sUEsFBgAAAAAGAAYAWQEA&#10;AEYFAAAAAA==&#10;">
                <v:fill on="f" focussize="0,0"/>
                <v:stroke on="f"/>
                <v:imagedata o:title=""/>
                <o:lock v:ext="edit" aspectratio="f"/>
              </v:shape>
            </w:pict>
          </mc:Fallback>
        </mc:AlternateContent>
      </w:r>
      <w:r>
        <w:rPr>
          <w:rFonts w:hint="eastAsia" w:cs="Times New Roman"/>
          <w:b/>
          <w:bCs/>
        </w:rPr>
        <w:t>双组份胶水生产工艺</w:t>
      </w:r>
      <w:r>
        <w:rPr>
          <w:rFonts w:hint="eastAsia" w:cs="Times New Roman"/>
          <w:b/>
          <w:bCs/>
        </w:rPr>
        <mc:AlternateContent>
          <mc:Choice Requires="wps">
            <w:drawing>
              <wp:anchor distT="0" distB="0" distL="114300" distR="114300" simplePos="0" relativeHeight="251682816" behindDoc="0" locked="0" layoutInCell="1" allowOverlap="1">
                <wp:simplePos x="0" y="0"/>
                <wp:positionH relativeFrom="column">
                  <wp:posOffset>489585</wp:posOffset>
                </wp:positionH>
                <wp:positionV relativeFrom="paragraph">
                  <wp:posOffset>101600</wp:posOffset>
                </wp:positionV>
                <wp:extent cx="371475" cy="635"/>
                <wp:effectExtent l="0" t="0" r="0" b="0"/>
                <wp:wrapNone/>
                <wp:docPr id="44" name="直接箭头连接符 44"/>
                <wp:cNvGraphicFramePr/>
                <a:graphic xmlns:a="http://schemas.openxmlformats.org/drawingml/2006/main">
                  <a:graphicData uri="http://schemas.microsoft.com/office/word/2010/wordprocessingShape">
                    <wps:wsp>
                      <wps:cNvCnPr/>
                      <wps:spPr>
                        <a:xfrm>
                          <a:off x="0" y="0"/>
                          <a:ext cx="371475" cy="635"/>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8pt;height:0.05pt;width:29.25pt;z-index:251682816;mso-width-relative:page;mso-height-relative:page;" filled="f" stroked="f" coordsize="21600,21600" o:gfxdata="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Ac&#10;T4u+1gAAAAgBAAAPAAAAAAAAAAEAIAAAACIAAABkcnMvZG93bnJldi54bWxQSwECFAAUAAAACACH&#10;TuJADqFICLQBAABIAwAADgAAAAAAAAABACAAAAAlAQAAZHJzL2Uyb0RvYy54bWxQSwUGAAAAAAYA&#10;BgBZAQAASwUAAAAA&#10;">
                <v:fill on="f" focussize="0,0"/>
                <v:stroke on="f"/>
                <v:imagedata o:title=""/>
                <o:lock v:ext="edit" aspectratio="f"/>
              </v:shape>
            </w:pict>
          </mc:Fallback>
        </mc:AlternateContent>
      </w:r>
      <w:r>
        <w:rPr>
          <w:rFonts w:hint="eastAsia" w:cs="Times New Roman"/>
          <w:b/>
          <w:bCs/>
        </w:rPr>
        <mc:AlternateContent>
          <mc:Choice Requires="wps">
            <w:drawing>
              <wp:anchor distT="0" distB="0" distL="114300" distR="114300" simplePos="0" relativeHeight="251681792" behindDoc="0" locked="0" layoutInCell="1" allowOverlap="1">
                <wp:simplePos x="0" y="0"/>
                <wp:positionH relativeFrom="column">
                  <wp:posOffset>489585</wp:posOffset>
                </wp:positionH>
                <wp:positionV relativeFrom="paragraph">
                  <wp:posOffset>100965</wp:posOffset>
                </wp:positionV>
                <wp:extent cx="371475" cy="0"/>
                <wp:effectExtent l="0" t="0" r="0" b="0"/>
                <wp:wrapNone/>
                <wp:docPr id="45" name="直接箭头连接符 45"/>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38.55pt;margin-top:7.95pt;height:0pt;width:29.25pt;z-index:251681792;mso-width-relative:page;mso-height-relative:page;" filled="f" stroked="f" coordsize="21600,21600" o:gfxdata="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iEUyp9YA&#10;AAAIAQAADwAAAAAAAAABACAAAAAiAAAAZHJzL2Rvd25yZXYueG1sUEsBAhQAFAAAAAgAh07iQEg5&#10;4JivAQAARgMAAA4AAAAAAAAAAQAgAAAAJQEAAGRycy9lMm9Eb2MueG1sUEsFBgAAAAAGAAYAWQEA&#10;AEYFAAAAAA==&#10;">
                <v:fill on="f" focussize="0,0"/>
                <v:stroke on="f"/>
                <v:imagedata o:title=""/>
                <o:lock v:ext="edit" aspectratio="f"/>
              </v:shape>
            </w:pict>
          </mc:Fallback>
        </mc:AlternateContent>
      </w:r>
      <w:r>
        <w:rPr>
          <w:rFonts w:hint="eastAsia" w:cs="Times New Roman"/>
          <w:b/>
          <w:bCs/>
        </w:rPr>
        <w:t>流程及产污环节图</w:t>
      </w:r>
    </w:p>
    <w:p>
      <w:pPr>
        <w:keepNext w:val="0"/>
        <w:keepLines w:val="0"/>
        <w:pageBreakBefore w:val="0"/>
        <w:kinsoku/>
        <w:wordWrap/>
        <w:overflowPunct/>
        <w:topLinePunct w:val="0"/>
        <w:autoSpaceDE/>
        <w:autoSpaceDN/>
        <w:bidi w:val="0"/>
        <w:adjustRightInd/>
        <w:snapToGrid/>
        <w:spacing w:beforeAutospacing="0" w:afterAutospacing="0"/>
        <w:ind w:firstLine="482" w:firstLineChars="200"/>
        <w:jc w:val="both"/>
        <w:textAlignment w:val="auto"/>
        <w:rPr>
          <w:rFonts w:cs="Times New Roman"/>
          <w:b/>
          <w:bCs/>
          <w:color w:val="000000" w:themeColor="text1"/>
          <w:sz w:val="24"/>
          <w:szCs w:val="24"/>
          <w14:textFill>
            <w14:solidFill>
              <w14:schemeClr w14:val="tx1"/>
            </w14:solidFill>
          </w14:textFill>
        </w:rPr>
      </w:pPr>
      <w:r>
        <w:rPr>
          <w:rFonts w:hint="eastAsia" w:cs="Times New Roman"/>
          <w:b/>
          <w:bCs/>
          <w:color w:val="000000" w:themeColor="text1"/>
          <w:sz w:val="24"/>
          <w:szCs w:val="24"/>
          <w14:textFill>
            <w14:solidFill>
              <w14:schemeClr w14:val="tx1"/>
            </w14:solidFill>
          </w14:textFill>
        </w:rPr>
        <w:t>一、</w:t>
      </w:r>
      <w:r>
        <w:rPr>
          <w:rFonts w:hint="eastAsia" w:cs="Times New Roman"/>
          <w:b/>
          <w:bCs/>
          <w:color w:val="000000" w:themeColor="text1"/>
          <w:sz w:val="24"/>
          <w:szCs w:val="24"/>
          <w:lang w:val="en-US" w:eastAsia="zh-CN"/>
          <w14:textFill>
            <w14:solidFill>
              <w14:schemeClr w14:val="tx1"/>
            </w14:solidFill>
          </w14:textFill>
        </w:rPr>
        <w:t>A组分</w:t>
      </w:r>
      <w:r>
        <w:rPr>
          <w:rFonts w:hint="eastAsia" w:cs="Times New Roman"/>
          <w:b/>
          <w:bCs/>
          <w:color w:val="000000" w:themeColor="text1"/>
          <w:sz w:val="24"/>
          <w:szCs w:val="24"/>
          <w14:textFill>
            <w14:solidFill>
              <w14:schemeClr w14:val="tx1"/>
            </w14:solidFill>
          </w14:textFill>
        </w:rPr>
        <w:t>胶水生产工艺说明：</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w:t>
      </w:r>
      <w:r>
        <w:rPr>
          <w:rFonts w:hint="default"/>
          <w:sz w:val="24"/>
          <w:szCs w:val="24"/>
          <w:lang w:val="en-US" w:eastAsia="zh-CN"/>
        </w:rPr>
        <w:t>1</w:t>
      </w:r>
      <w:r>
        <w:rPr>
          <w:rFonts w:hint="eastAsia"/>
          <w:sz w:val="24"/>
          <w:szCs w:val="24"/>
          <w:lang w:val="en-US" w:eastAsia="zh-CN"/>
        </w:rPr>
        <w:t>）投料：首先开动真空泵，将反应釜抽成真空后，再将生产配方的液体原料（包括二苯基甲烷二异氰酸酯、聚醚多元醇、甲苯二异氰酸酯、环保增塑剂、氯化石蜡和有机锡催化剂）通过原料输送管道直接从原料桶中抽吸到反应釜中，反应釜为负压状态，投料过程产生少量非甲烷总烃G14。</w:t>
      </w:r>
      <w:r>
        <w:rPr>
          <w:rFonts w:hint="default"/>
          <w:sz w:val="24"/>
          <w:szCs w:val="24"/>
          <w:lang w:val="en-US" w:eastAsia="zh-CN"/>
        </w:rPr>
        <w:t>1000L</w:t>
      </w:r>
      <w:r>
        <w:rPr>
          <w:rFonts w:hint="eastAsia"/>
          <w:sz w:val="24"/>
          <w:szCs w:val="24"/>
          <w:lang w:val="en-US" w:eastAsia="zh-CN"/>
        </w:rPr>
        <w:t>反应釜抽至</w:t>
      </w:r>
      <w:r>
        <w:rPr>
          <w:rFonts w:hint="default"/>
          <w:sz w:val="24"/>
          <w:szCs w:val="24"/>
          <w:lang w:val="en-US" w:eastAsia="zh-CN"/>
        </w:rPr>
        <w:t>-0.1MPa</w:t>
      </w:r>
      <w:r>
        <w:rPr>
          <w:rFonts w:hint="eastAsia"/>
          <w:sz w:val="24"/>
          <w:szCs w:val="24"/>
          <w:lang w:val="en-US" w:eastAsia="zh-CN"/>
        </w:rPr>
        <w:t>所需时间为</w:t>
      </w:r>
      <w:r>
        <w:rPr>
          <w:rFonts w:hint="default"/>
          <w:sz w:val="24"/>
          <w:szCs w:val="24"/>
          <w:lang w:val="en-US" w:eastAsia="zh-CN"/>
        </w:rPr>
        <w:t>30</w:t>
      </w:r>
      <w:r>
        <w:rPr>
          <w:rFonts w:hint="eastAsia"/>
          <w:sz w:val="24"/>
          <w:szCs w:val="24"/>
          <w:lang w:val="en-US" w:eastAsia="zh-CN"/>
        </w:rPr>
        <w:t>秒，为了避免真空泵急开急停，真空泵实际运行时间为5min左右。</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rFonts w:hint="eastAsia"/>
          <w:sz w:val="24"/>
          <w:szCs w:val="24"/>
          <w:lang w:val="en-US" w:eastAsia="zh-CN"/>
        </w:rPr>
        <w:t>液体原料的计量方式为：在对某种液体原料投料前，先将该种液体原料的原料桶放在磅秤上称量一次重量，记录好此时磅秤的数字，接着将原料输送管放在原料桶中抽吸液体原料，当磅秤上的数字减少为“抽吸前重量—需添加的液体原料重量”时，停止抽吸。项目所有液体原料均以这种方式计量。</w:t>
      </w:r>
      <w:r>
        <w:rPr>
          <w:rFonts w:hint="default"/>
          <w:sz w:val="24"/>
          <w:szCs w:val="24"/>
          <w:lang w:val="en-US" w:eastAsia="zh-CN"/>
        </w:rPr>
        <w:t>1000L</w:t>
      </w:r>
      <w:r>
        <w:rPr>
          <w:rFonts w:hint="eastAsia"/>
          <w:sz w:val="24"/>
          <w:szCs w:val="24"/>
          <w:lang w:val="en-US" w:eastAsia="zh-CN"/>
        </w:rPr>
        <w:t>反应釜投料时间需用时</w:t>
      </w:r>
      <w:r>
        <w:rPr>
          <w:rFonts w:hint="default"/>
          <w:sz w:val="24"/>
          <w:szCs w:val="24"/>
          <w:lang w:val="en-US" w:eastAsia="zh-CN"/>
        </w:rPr>
        <w:t>2</w:t>
      </w:r>
      <w:r>
        <w:rPr>
          <w:rFonts w:hint="eastAsia"/>
          <w:sz w:val="24"/>
          <w:szCs w:val="24"/>
          <w:lang w:val="en-US" w:eastAsia="zh-CN"/>
        </w:rPr>
        <w:t>小时。</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w:t>
      </w:r>
      <w:r>
        <w:rPr>
          <w:rFonts w:hint="default"/>
          <w:sz w:val="24"/>
          <w:szCs w:val="24"/>
          <w:lang w:val="en-US" w:eastAsia="zh-CN"/>
        </w:rPr>
        <w:t>2</w:t>
      </w:r>
      <w:r>
        <w:rPr>
          <w:rFonts w:hint="eastAsia"/>
          <w:sz w:val="24"/>
          <w:szCs w:val="24"/>
          <w:lang w:val="en-US" w:eastAsia="zh-CN"/>
        </w:rPr>
        <w:t>）反应：原料投入反应釜中后，开动反应釜中的搅拌机，将原料搅拌均匀后，通过手摇油泵将导热油通入反应釜夹层，给夹层中的电热棒通电从而加热导热油，使反应釜中的原料缓慢升温至</w:t>
      </w:r>
      <w:r>
        <w:rPr>
          <w:rFonts w:hint="default"/>
          <w:sz w:val="24"/>
          <w:szCs w:val="24"/>
          <w:lang w:val="en-US" w:eastAsia="zh-CN"/>
        </w:rPr>
        <w:t>70</w:t>
      </w:r>
      <w:r>
        <w:rPr>
          <w:rFonts w:hint="eastAsia"/>
          <w:sz w:val="24"/>
          <w:szCs w:val="24"/>
          <w:lang w:val="en-US" w:eastAsia="zh-CN"/>
        </w:rPr>
        <w:t>℃，此过程需用时约</w:t>
      </w:r>
      <w:r>
        <w:rPr>
          <w:rFonts w:hint="default"/>
          <w:sz w:val="24"/>
          <w:szCs w:val="24"/>
          <w:lang w:val="en-US" w:eastAsia="zh-CN"/>
        </w:rPr>
        <w:t>0.5</w:t>
      </w:r>
      <w:r>
        <w:rPr>
          <w:rFonts w:hint="eastAsia"/>
          <w:sz w:val="24"/>
          <w:szCs w:val="24"/>
          <w:lang w:val="en-US" w:eastAsia="zh-CN"/>
        </w:rPr>
        <w:t>小时，然后将加热温度设置在</w:t>
      </w:r>
      <w:r>
        <w:rPr>
          <w:rFonts w:hint="default"/>
          <w:sz w:val="24"/>
          <w:szCs w:val="24"/>
          <w:lang w:val="en-US" w:eastAsia="zh-CN"/>
        </w:rPr>
        <w:t>85</w:t>
      </w:r>
      <w:r>
        <w:rPr>
          <w:rFonts w:hint="eastAsia"/>
          <w:sz w:val="24"/>
          <w:szCs w:val="24"/>
          <w:lang w:val="en-US" w:eastAsia="zh-CN"/>
        </w:rPr>
        <w:t>℃，则整个反应过程反应釜温度可保持在</w:t>
      </w:r>
      <w:r>
        <w:rPr>
          <w:rFonts w:hint="default"/>
          <w:sz w:val="24"/>
          <w:szCs w:val="24"/>
          <w:lang w:val="en-US" w:eastAsia="zh-CN"/>
        </w:rPr>
        <w:t>70</w:t>
      </w:r>
      <w:r>
        <w:rPr>
          <w:rFonts w:hint="eastAsia"/>
          <w:sz w:val="24"/>
          <w:szCs w:val="24"/>
          <w:lang w:val="en-US" w:eastAsia="zh-CN"/>
        </w:rPr>
        <w:t>℃～</w:t>
      </w:r>
      <w:r>
        <w:rPr>
          <w:rFonts w:hint="default"/>
          <w:sz w:val="24"/>
          <w:szCs w:val="24"/>
          <w:lang w:val="en-US" w:eastAsia="zh-CN"/>
        </w:rPr>
        <w:t>90</w:t>
      </w:r>
      <w:r>
        <w:rPr>
          <w:rFonts w:hint="eastAsia"/>
          <w:sz w:val="24"/>
          <w:szCs w:val="24"/>
          <w:lang w:val="en-US" w:eastAsia="zh-CN"/>
        </w:rPr>
        <w:t>℃，当温度超过</w:t>
      </w:r>
      <w:r>
        <w:rPr>
          <w:rFonts w:hint="default"/>
          <w:sz w:val="24"/>
          <w:szCs w:val="24"/>
          <w:lang w:val="en-US" w:eastAsia="zh-CN"/>
        </w:rPr>
        <w:t>90</w:t>
      </w:r>
      <w:r>
        <w:rPr>
          <w:rFonts w:hint="eastAsia"/>
          <w:sz w:val="24"/>
          <w:szCs w:val="24"/>
          <w:lang w:val="en-US" w:eastAsia="zh-CN"/>
        </w:rPr>
        <w:t>℃时自动断电，停止加热，当温度低于</w:t>
      </w:r>
      <w:r>
        <w:rPr>
          <w:rFonts w:hint="default"/>
          <w:sz w:val="24"/>
          <w:szCs w:val="24"/>
          <w:lang w:val="en-US" w:eastAsia="zh-CN"/>
        </w:rPr>
        <w:t>70</w:t>
      </w:r>
      <w:r>
        <w:rPr>
          <w:rFonts w:hint="eastAsia"/>
          <w:sz w:val="24"/>
          <w:szCs w:val="24"/>
          <w:lang w:val="en-US" w:eastAsia="zh-CN"/>
        </w:rPr>
        <w:t>℃时，则开始加热，反应釜不设冷凝水系统，反应釜全程密闭并且保持在</w:t>
      </w:r>
      <w:r>
        <w:rPr>
          <w:rFonts w:hint="default"/>
          <w:sz w:val="24"/>
          <w:szCs w:val="24"/>
          <w:lang w:val="en-US" w:eastAsia="zh-CN"/>
        </w:rPr>
        <w:t>-0.1Mpa</w:t>
      </w:r>
      <w:r>
        <w:rPr>
          <w:rFonts w:hint="eastAsia"/>
          <w:sz w:val="24"/>
          <w:szCs w:val="24"/>
          <w:lang w:val="en-US" w:eastAsia="zh-CN"/>
        </w:rPr>
        <w:t>下。反应釜加热是为了使化学反应在最适温度下反应，搅拌和抽真空是为了使液体原料以及反应釜中的空气从反应釜中分离出来，并从反应釜中抽出，从而避免产品产生气泡。</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反应釜（搅拌罐）抽真空的方式为：根据建设单位提供的资料，项目设</w:t>
      </w:r>
      <w:r>
        <w:rPr>
          <w:rFonts w:hint="default"/>
          <w:sz w:val="24"/>
          <w:szCs w:val="24"/>
          <w:lang w:val="en-US" w:eastAsia="zh-CN"/>
        </w:rPr>
        <w:t>2</w:t>
      </w:r>
      <w:r>
        <w:rPr>
          <w:rFonts w:hint="eastAsia"/>
          <w:sz w:val="24"/>
          <w:szCs w:val="24"/>
          <w:lang w:val="en-US" w:eastAsia="zh-CN"/>
        </w:rPr>
        <w:t>台真空泵，</w:t>
      </w:r>
      <w:r>
        <w:rPr>
          <w:rFonts w:hint="default"/>
          <w:sz w:val="24"/>
          <w:szCs w:val="24"/>
          <w:lang w:val="en-US" w:eastAsia="zh-CN"/>
        </w:rPr>
        <w:t>2</w:t>
      </w:r>
      <w:r>
        <w:rPr>
          <w:rFonts w:hint="eastAsia"/>
          <w:sz w:val="24"/>
          <w:szCs w:val="24"/>
          <w:lang w:val="en-US" w:eastAsia="zh-CN"/>
        </w:rPr>
        <w:t>台真空泵的抽气量均为</w:t>
      </w:r>
      <w:r>
        <w:rPr>
          <w:rFonts w:hint="default"/>
          <w:sz w:val="24"/>
          <w:szCs w:val="24"/>
          <w:lang w:val="en-US" w:eastAsia="zh-CN"/>
        </w:rPr>
        <w:t>25m</w:t>
      </w:r>
      <w:r>
        <w:rPr>
          <w:rFonts w:hint="default"/>
          <w:sz w:val="24"/>
          <w:szCs w:val="24"/>
          <w:vertAlign w:val="superscript"/>
          <w:lang w:val="en-US" w:eastAsia="zh-CN"/>
        </w:rPr>
        <w:t>3</w:t>
      </w:r>
      <w:r>
        <w:rPr>
          <w:rFonts w:hint="default"/>
          <w:sz w:val="24"/>
          <w:szCs w:val="24"/>
          <w:lang w:val="en-US" w:eastAsia="zh-CN"/>
        </w:rPr>
        <w:t>/min</w:t>
      </w:r>
      <w:r>
        <w:rPr>
          <w:rFonts w:hint="eastAsia"/>
          <w:sz w:val="24"/>
          <w:szCs w:val="24"/>
          <w:lang w:val="en-US" w:eastAsia="zh-CN"/>
        </w:rPr>
        <w:t>，项目每个反应釜及搅拌罐抽成真空（即</w:t>
      </w:r>
      <w:r>
        <w:rPr>
          <w:rFonts w:hint="default"/>
          <w:sz w:val="24"/>
          <w:szCs w:val="24"/>
          <w:lang w:val="en-US" w:eastAsia="zh-CN"/>
        </w:rPr>
        <w:t>-0.1MPa</w:t>
      </w:r>
      <w:r>
        <w:rPr>
          <w:rFonts w:hint="eastAsia"/>
          <w:sz w:val="24"/>
          <w:szCs w:val="24"/>
          <w:lang w:val="en-US" w:eastAsia="zh-CN"/>
        </w:rPr>
        <w:t>）后，关掉真空泵，使反应釜及搅拌罐保持密闭，即可保持真空状态（即</w:t>
      </w:r>
      <w:r>
        <w:rPr>
          <w:rFonts w:hint="default"/>
          <w:sz w:val="24"/>
          <w:szCs w:val="24"/>
          <w:lang w:val="en-US" w:eastAsia="zh-CN"/>
        </w:rPr>
        <w:t>-0.1MPa</w:t>
      </w:r>
      <w:r>
        <w:rPr>
          <w:rFonts w:hint="eastAsia"/>
          <w:sz w:val="24"/>
          <w:szCs w:val="24"/>
          <w:lang w:val="en-US" w:eastAsia="zh-CN"/>
        </w:rPr>
        <w:t>）。项目生产车间</w:t>
      </w:r>
      <w:r>
        <w:rPr>
          <w:rFonts w:hint="default"/>
          <w:sz w:val="24"/>
          <w:szCs w:val="24"/>
          <w:lang w:val="en-US" w:eastAsia="zh-CN"/>
        </w:rPr>
        <w:t>1#8</w:t>
      </w:r>
      <w:r>
        <w:rPr>
          <w:rFonts w:hint="eastAsia"/>
          <w:sz w:val="24"/>
          <w:szCs w:val="24"/>
          <w:lang w:val="en-US" w:eastAsia="zh-CN"/>
        </w:rPr>
        <w:t>台设备可同时共用</w:t>
      </w:r>
      <w:r>
        <w:rPr>
          <w:rFonts w:hint="default"/>
          <w:sz w:val="24"/>
          <w:szCs w:val="24"/>
          <w:lang w:val="en-US" w:eastAsia="zh-CN"/>
        </w:rPr>
        <w:t>1</w:t>
      </w:r>
      <w:r>
        <w:rPr>
          <w:rFonts w:hint="eastAsia"/>
          <w:sz w:val="24"/>
          <w:szCs w:val="24"/>
          <w:lang w:val="en-US" w:eastAsia="zh-CN"/>
        </w:rPr>
        <w:t>台真空泵。</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但由于反应釜及搅拌罐中存在传动装置（即搅拌机），真空状态（即</w:t>
      </w:r>
      <w:r>
        <w:rPr>
          <w:rFonts w:hint="default"/>
          <w:sz w:val="24"/>
          <w:szCs w:val="24"/>
          <w:lang w:val="en-US" w:eastAsia="zh-CN"/>
        </w:rPr>
        <w:t>-0.1MPa</w:t>
      </w:r>
      <w:r>
        <w:rPr>
          <w:rFonts w:hint="eastAsia"/>
          <w:sz w:val="24"/>
          <w:szCs w:val="24"/>
          <w:lang w:val="en-US" w:eastAsia="zh-CN"/>
        </w:rPr>
        <w:t>）保持约</w:t>
      </w:r>
      <w:r>
        <w:rPr>
          <w:rFonts w:hint="default"/>
          <w:sz w:val="24"/>
          <w:szCs w:val="24"/>
          <w:lang w:val="en-US" w:eastAsia="zh-CN"/>
        </w:rPr>
        <w:t>1</w:t>
      </w:r>
      <w:r>
        <w:rPr>
          <w:rFonts w:hint="eastAsia"/>
          <w:sz w:val="24"/>
          <w:szCs w:val="24"/>
          <w:lang w:val="en-US" w:eastAsia="zh-CN"/>
        </w:rPr>
        <w:t>小时左右后，反应釜及搅拌罐中的气压将升至</w:t>
      </w:r>
      <w:r>
        <w:rPr>
          <w:rFonts w:hint="default"/>
          <w:sz w:val="24"/>
          <w:szCs w:val="24"/>
          <w:lang w:val="en-US" w:eastAsia="zh-CN"/>
        </w:rPr>
        <w:t>-0.08MPa</w:t>
      </w:r>
      <w:r>
        <w:rPr>
          <w:rFonts w:hint="eastAsia"/>
          <w:sz w:val="24"/>
          <w:szCs w:val="24"/>
          <w:lang w:val="en-US" w:eastAsia="zh-CN"/>
        </w:rPr>
        <w:t>后，此时重新打开真空泵，进行抽真空，抽至</w:t>
      </w:r>
      <w:r>
        <w:rPr>
          <w:rFonts w:hint="default"/>
          <w:sz w:val="24"/>
          <w:szCs w:val="24"/>
          <w:lang w:val="en-US" w:eastAsia="zh-CN"/>
        </w:rPr>
        <w:t>-0.1MPa</w:t>
      </w:r>
      <w:r>
        <w:rPr>
          <w:rFonts w:hint="eastAsia"/>
          <w:sz w:val="24"/>
          <w:szCs w:val="24"/>
          <w:lang w:val="en-US" w:eastAsia="zh-CN"/>
        </w:rPr>
        <w:t>时关掉真空泵。每次由</w:t>
      </w:r>
      <w:r>
        <w:rPr>
          <w:rFonts w:hint="default"/>
          <w:sz w:val="24"/>
          <w:szCs w:val="24"/>
          <w:lang w:val="en-US" w:eastAsia="zh-CN"/>
        </w:rPr>
        <w:t>-0.08MPa</w:t>
      </w:r>
      <w:r>
        <w:rPr>
          <w:rFonts w:hint="eastAsia"/>
          <w:sz w:val="24"/>
          <w:szCs w:val="24"/>
          <w:lang w:val="en-US" w:eastAsia="zh-CN"/>
        </w:rPr>
        <w:t>抽至</w:t>
      </w:r>
      <w:r>
        <w:rPr>
          <w:rFonts w:hint="default"/>
          <w:sz w:val="24"/>
          <w:szCs w:val="24"/>
          <w:lang w:val="en-US" w:eastAsia="zh-CN"/>
        </w:rPr>
        <w:t>-0.1MPa</w:t>
      </w:r>
      <w:r>
        <w:rPr>
          <w:rFonts w:hint="eastAsia"/>
          <w:sz w:val="24"/>
          <w:szCs w:val="24"/>
          <w:lang w:val="en-US" w:eastAsia="zh-CN"/>
        </w:rPr>
        <w:t>用时约</w:t>
      </w:r>
      <w:r>
        <w:rPr>
          <w:rFonts w:hint="default"/>
          <w:sz w:val="24"/>
          <w:szCs w:val="24"/>
          <w:lang w:val="en-US" w:eastAsia="zh-CN"/>
        </w:rPr>
        <w:t>5min</w:t>
      </w:r>
      <w:r>
        <w:rPr>
          <w:rFonts w:hint="eastAsia"/>
          <w:sz w:val="24"/>
          <w:szCs w:val="24"/>
          <w:lang w:val="en-US" w:eastAsia="zh-CN"/>
        </w:rPr>
        <w:t>。</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重复上述操作，使反应釜及搅拌罐保持在</w:t>
      </w:r>
      <w:r>
        <w:rPr>
          <w:rFonts w:hint="default"/>
          <w:sz w:val="24"/>
          <w:szCs w:val="24"/>
          <w:lang w:val="en-US" w:eastAsia="zh-CN"/>
        </w:rPr>
        <w:t>-0.1MPa</w:t>
      </w:r>
      <w:r>
        <w:rPr>
          <w:rFonts w:hint="eastAsia"/>
          <w:sz w:val="24"/>
          <w:szCs w:val="24"/>
          <w:lang w:val="en-US" w:eastAsia="zh-CN"/>
        </w:rPr>
        <w:t>状态。</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rFonts w:hint="eastAsia"/>
          <w:sz w:val="24"/>
          <w:szCs w:val="24"/>
          <w:lang w:val="en-US" w:eastAsia="zh-CN"/>
        </w:rPr>
        <w:t>反应釜中发生的反应方程式如下所示：</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rFonts w:hint="eastAsia"/>
          <w:sz w:val="24"/>
          <w:szCs w:val="24"/>
          <w:lang w:val="en-US" w:eastAsia="zh-CN"/>
        </w:rPr>
        <w:t>二苯基甲烷二异氰酸酯与聚醚多元醇中的羟基反应生成氨基甲酸酯：</w:t>
      </w:r>
    </w:p>
    <w:p>
      <w:pPr>
        <w:keepNext w:val="0"/>
        <w:keepLines w:val="0"/>
        <w:pageBreakBefore w:val="0"/>
        <w:widowControl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sz w:val="24"/>
          <w:szCs w:val="24"/>
        </w:rPr>
        <w:drawing>
          <wp:inline distT="0" distB="0" distL="114300" distR="114300">
            <wp:extent cx="3549015" cy="427990"/>
            <wp:effectExtent l="0" t="0" r="13335" b="10160"/>
            <wp:docPr id="11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3"/>
                    <pic:cNvPicPr>
                      <a:picLocks noChangeAspect="1"/>
                    </pic:cNvPicPr>
                  </pic:nvPicPr>
                  <pic:blipFill>
                    <a:blip r:embed="rId46"/>
                    <a:stretch>
                      <a:fillRect/>
                    </a:stretch>
                  </pic:blipFill>
                  <pic:spPr>
                    <a:xfrm>
                      <a:off x="0" y="0"/>
                      <a:ext cx="3549015" cy="42799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sz w:val="24"/>
          <w:szCs w:val="24"/>
        </w:rPr>
        <w:drawing>
          <wp:inline distT="0" distB="0" distL="114300" distR="114300">
            <wp:extent cx="4525010" cy="1061085"/>
            <wp:effectExtent l="0" t="0" r="8890" b="5715"/>
            <wp:docPr id="11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4"/>
                    <pic:cNvPicPr>
                      <a:picLocks noChangeAspect="1"/>
                    </pic:cNvPicPr>
                  </pic:nvPicPr>
                  <pic:blipFill>
                    <a:blip r:embed="rId47"/>
                    <a:stretch>
                      <a:fillRect/>
                    </a:stretch>
                  </pic:blipFill>
                  <pic:spPr>
                    <a:xfrm>
                      <a:off x="0" y="0"/>
                      <a:ext cx="4525010" cy="1061085"/>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同时，氨基甲酸酯中的活泼氢与过剩的异氰酸酯反应生成交联结构：</w:t>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pPr>
      <w:r>
        <w:drawing>
          <wp:inline distT="0" distB="0" distL="114300" distR="114300">
            <wp:extent cx="4779645" cy="1008380"/>
            <wp:effectExtent l="0" t="0" r="1905" b="1270"/>
            <wp:docPr id="12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5"/>
                    <pic:cNvPicPr>
                      <a:picLocks noChangeAspect="1"/>
                    </pic:cNvPicPr>
                  </pic:nvPicPr>
                  <pic:blipFill>
                    <a:blip r:embed="rId48"/>
                    <a:stretch>
                      <a:fillRect/>
                    </a:stretch>
                  </pic:blipFill>
                  <pic:spPr>
                    <a:xfrm>
                      <a:off x="0" y="0"/>
                      <a:ext cx="4779645" cy="1008380"/>
                    </a:xfrm>
                    <a:prstGeom prst="rect">
                      <a:avLst/>
                    </a:prstGeom>
                    <a:noFill/>
                    <a:ln>
                      <a:noFill/>
                    </a:ln>
                  </pic:spPr>
                </pic:pic>
              </a:graphicData>
            </a:graphic>
          </wp:inline>
        </w:drawing>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由以上反应方程式可知，项目反应过程产生少量的</w:t>
      </w:r>
      <w:r>
        <w:rPr>
          <w:rFonts w:hint="default"/>
          <w:sz w:val="24"/>
          <w:szCs w:val="24"/>
          <w:lang w:val="en-US" w:eastAsia="zh-CN"/>
        </w:rPr>
        <w:t>CO</w:t>
      </w:r>
      <w:r>
        <w:rPr>
          <w:rFonts w:hint="default"/>
          <w:sz w:val="24"/>
          <w:szCs w:val="24"/>
          <w:vertAlign w:val="subscript"/>
          <w:lang w:val="en-US" w:eastAsia="zh-CN"/>
        </w:rPr>
        <w:t>2</w:t>
      </w:r>
      <w:r>
        <w:rPr>
          <w:rFonts w:hint="eastAsia"/>
          <w:sz w:val="24"/>
          <w:szCs w:val="24"/>
          <w:lang w:val="en-US" w:eastAsia="zh-CN"/>
        </w:rPr>
        <w:t>气体，本项目工艺废气主要成分为少量过剩的氢化</w:t>
      </w:r>
      <w:r>
        <w:rPr>
          <w:rFonts w:hint="default"/>
          <w:sz w:val="24"/>
          <w:szCs w:val="24"/>
          <w:lang w:val="en-US" w:eastAsia="zh-CN"/>
        </w:rPr>
        <w:t>MDI</w:t>
      </w:r>
      <w:r>
        <w:rPr>
          <w:rFonts w:hint="eastAsia"/>
          <w:sz w:val="24"/>
          <w:szCs w:val="24"/>
          <w:lang w:val="en-US" w:eastAsia="zh-CN"/>
        </w:rPr>
        <w:t>和聚醚多元醇类物质挥发，项目反应釜不设通风口，产生的非甲烷总烃通过抽真空排气口排出，此外还产生噪声。</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default"/>
          <w:sz w:val="24"/>
          <w:szCs w:val="24"/>
          <w:lang w:val="en-US" w:eastAsia="zh-CN"/>
        </w:rPr>
      </w:pPr>
      <w:r>
        <w:rPr>
          <w:rFonts w:hint="eastAsia"/>
          <w:sz w:val="24"/>
          <w:szCs w:val="24"/>
          <w:lang w:val="en-US" w:eastAsia="zh-CN"/>
        </w:rPr>
        <w:t>反应釜整个生产单元耗时约</w:t>
      </w:r>
      <w:r>
        <w:rPr>
          <w:rFonts w:hint="default"/>
          <w:sz w:val="24"/>
          <w:szCs w:val="24"/>
          <w:lang w:val="en-US" w:eastAsia="zh-CN"/>
        </w:rPr>
        <w:t>3</w:t>
      </w:r>
      <w:r>
        <w:rPr>
          <w:rFonts w:hint="eastAsia"/>
          <w:sz w:val="24"/>
          <w:szCs w:val="24"/>
          <w:lang w:val="en-US" w:eastAsia="zh-CN"/>
        </w:rPr>
        <w:t>小时，其中发生反应的时间为</w:t>
      </w:r>
      <w:r>
        <w:rPr>
          <w:rFonts w:hint="default"/>
          <w:sz w:val="24"/>
          <w:szCs w:val="24"/>
          <w:lang w:val="en-US" w:eastAsia="zh-CN"/>
        </w:rPr>
        <w:t>3</w:t>
      </w:r>
      <w:r>
        <w:rPr>
          <w:rFonts w:hint="eastAsia"/>
          <w:sz w:val="24"/>
          <w:szCs w:val="24"/>
          <w:lang w:val="en-US" w:eastAsia="zh-CN"/>
        </w:rPr>
        <w:t>小时。此过程产生反应废气G15。</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w:t>
      </w:r>
      <w:r>
        <w:rPr>
          <w:rFonts w:hint="default"/>
          <w:sz w:val="24"/>
          <w:szCs w:val="24"/>
          <w:lang w:val="en-US" w:eastAsia="zh-CN"/>
        </w:rPr>
        <w:t>3</w:t>
      </w:r>
      <w:r>
        <w:rPr>
          <w:rFonts w:hint="eastAsia"/>
          <w:sz w:val="24"/>
          <w:szCs w:val="24"/>
          <w:lang w:val="en-US" w:eastAsia="zh-CN"/>
        </w:rPr>
        <w:t>）检验：取生产的少量粘度计测试其粘度，此过程含催化剂底液作为废液排除，产生一部分废液S5。</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w:t>
      </w:r>
      <w:r>
        <w:rPr>
          <w:rFonts w:hint="default"/>
          <w:sz w:val="24"/>
          <w:szCs w:val="24"/>
          <w:lang w:val="en-US" w:eastAsia="zh-CN"/>
        </w:rPr>
        <w:t>4</w:t>
      </w:r>
      <w:r>
        <w:rPr>
          <w:rFonts w:hint="eastAsia"/>
          <w:sz w:val="24"/>
          <w:szCs w:val="24"/>
          <w:lang w:val="en-US" w:eastAsia="zh-CN"/>
        </w:rPr>
        <w:t>）分装：由于反应釜为负压状态，分装前需利用空压机通过专用管道向反应釜内通入一定量空气，从而使反应釜保持常压状态，</w:t>
      </w:r>
      <w:r>
        <w:rPr>
          <w:rFonts w:hint="default"/>
          <w:sz w:val="24"/>
          <w:szCs w:val="24"/>
          <w:lang w:val="en-US" w:eastAsia="zh-CN"/>
        </w:rPr>
        <w:t>1000L</w:t>
      </w:r>
      <w:r>
        <w:rPr>
          <w:rFonts w:hint="eastAsia"/>
          <w:sz w:val="24"/>
          <w:szCs w:val="24"/>
          <w:lang w:val="en-US" w:eastAsia="zh-CN"/>
        </w:rPr>
        <w:t>反应釜需开空压机通风</w:t>
      </w:r>
      <w:r>
        <w:rPr>
          <w:rFonts w:hint="default"/>
          <w:sz w:val="24"/>
          <w:szCs w:val="24"/>
          <w:lang w:val="en-US" w:eastAsia="zh-CN"/>
        </w:rPr>
        <w:t>20</w:t>
      </w:r>
      <w:r>
        <w:rPr>
          <w:rFonts w:hint="eastAsia"/>
          <w:sz w:val="24"/>
          <w:szCs w:val="24"/>
          <w:lang w:val="en-US" w:eastAsia="zh-CN"/>
        </w:rPr>
        <w:t>秒。由于此时不搅拌，空气不会进入到产品里面。产品通过反应釜底部的放料阀门放入</w:t>
      </w:r>
      <w:r>
        <w:rPr>
          <w:rFonts w:hint="default"/>
          <w:sz w:val="24"/>
          <w:szCs w:val="24"/>
          <w:lang w:val="en-US" w:eastAsia="zh-CN"/>
        </w:rPr>
        <w:t>20kg</w:t>
      </w:r>
      <w:r>
        <w:rPr>
          <w:rFonts w:hint="eastAsia"/>
          <w:sz w:val="24"/>
          <w:szCs w:val="24"/>
          <w:lang w:val="en-US" w:eastAsia="zh-CN"/>
        </w:rPr>
        <w:t>的铁桶中，此过程产生少量非甲烷总烃G16。</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lang w:val="en-US" w:eastAsia="zh-CN"/>
        </w:rPr>
      </w:pPr>
      <w:r>
        <w:rPr>
          <w:rFonts w:hint="eastAsia"/>
          <w:sz w:val="24"/>
          <w:szCs w:val="24"/>
          <w:lang w:val="en-US" w:eastAsia="zh-CN"/>
        </w:rPr>
        <w:t>（</w:t>
      </w:r>
      <w:r>
        <w:rPr>
          <w:rFonts w:hint="default"/>
          <w:sz w:val="24"/>
          <w:szCs w:val="24"/>
          <w:lang w:val="en-US" w:eastAsia="zh-CN"/>
        </w:rPr>
        <w:t>5</w:t>
      </w:r>
      <w:r>
        <w:rPr>
          <w:rFonts w:hint="eastAsia"/>
          <w:sz w:val="24"/>
          <w:szCs w:val="24"/>
          <w:lang w:val="en-US" w:eastAsia="zh-CN"/>
        </w:rPr>
        <w:t>）自然冷却：将分装好的铁桶密闭自然冷却。</w:t>
      </w:r>
    </w:p>
    <w:p>
      <w:pPr>
        <w:keepNext w:val="0"/>
        <w:keepLines w:val="0"/>
        <w:pageBreakBefore w:val="0"/>
        <w:kinsoku/>
        <w:wordWrap/>
        <w:overflowPunct/>
        <w:topLinePunct w:val="0"/>
        <w:autoSpaceDE/>
        <w:autoSpaceDN/>
        <w:bidi w:val="0"/>
        <w:adjustRightInd/>
        <w:snapToGrid/>
        <w:spacing w:beforeAutospacing="0" w:afterAutospacing="0"/>
        <w:ind w:firstLine="482" w:firstLineChars="200"/>
        <w:jc w:val="both"/>
        <w:textAlignment w:val="auto"/>
        <w:rPr>
          <w:rFonts w:cs="Times New Roman"/>
          <w:b/>
          <w:bCs/>
          <w:color w:val="000000" w:themeColor="text1"/>
          <w:sz w:val="24"/>
          <w:szCs w:val="24"/>
          <w14:textFill>
            <w14:solidFill>
              <w14:schemeClr w14:val="tx1"/>
            </w14:solidFill>
          </w14:textFill>
        </w:rPr>
      </w:pPr>
      <w:r>
        <w:rPr>
          <w:rFonts w:hint="eastAsia" w:cs="Times New Roman"/>
          <w:b/>
          <w:bCs/>
          <w:color w:val="000000" w:themeColor="text1"/>
          <w:sz w:val="24"/>
          <w:szCs w:val="24"/>
          <w:lang w:eastAsia="zh-CN"/>
          <w14:textFill>
            <w14:solidFill>
              <w14:schemeClr w14:val="tx1"/>
            </w14:solidFill>
          </w14:textFill>
        </w:rPr>
        <w:t>二</w:t>
      </w:r>
      <w:r>
        <w:rPr>
          <w:rFonts w:hint="eastAsia" w:cs="Times New Roman"/>
          <w:b/>
          <w:bCs/>
          <w:color w:val="000000" w:themeColor="text1"/>
          <w:sz w:val="24"/>
          <w:szCs w:val="24"/>
          <w14:textFill>
            <w14:solidFill>
              <w14:schemeClr w14:val="tx1"/>
            </w14:solidFill>
          </w14:textFill>
        </w:rPr>
        <w:t>、</w:t>
      </w:r>
      <w:r>
        <w:rPr>
          <w:rFonts w:hint="eastAsia" w:cs="Times New Roman"/>
          <w:b/>
          <w:bCs/>
          <w:color w:val="000000" w:themeColor="text1"/>
          <w:sz w:val="24"/>
          <w:szCs w:val="24"/>
          <w:lang w:val="en-US" w:eastAsia="zh-CN"/>
          <w14:textFill>
            <w14:solidFill>
              <w14:schemeClr w14:val="tx1"/>
            </w14:solidFill>
          </w14:textFill>
        </w:rPr>
        <w:t>B</w:t>
      </w:r>
      <w:r>
        <w:rPr>
          <w:rFonts w:hint="eastAsia" w:cs="Times New Roman"/>
          <w:b/>
          <w:bCs/>
          <w:color w:val="000000" w:themeColor="text1"/>
          <w:sz w:val="24"/>
          <w:szCs w:val="24"/>
          <w14:textFill>
            <w14:solidFill>
              <w14:schemeClr w14:val="tx1"/>
            </w14:solidFill>
          </w14:textFill>
        </w:rPr>
        <w:t>组份胶水生产工艺说明：</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ind w:firstLine="480" w:firstLineChars="200"/>
        <w:jc w:val="both"/>
        <w:textAlignment w:val="auto"/>
        <w:rPr>
          <w:rFonts w:hint="eastAsia" w:ascii="宋体" w:hAnsi="宋体" w:eastAsia="宋体" w:cs="宋体"/>
          <w:color w:val="000000"/>
          <w:kern w:val="0"/>
          <w:sz w:val="24"/>
          <w:szCs w:val="24"/>
          <w:u w:val="single"/>
          <w:lang w:val="en-US" w:eastAsia="zh-CN" w:bidi="ar"/>
        </w:rPr>
      </w:pPr>
      <w:r>
        <w:rPr>
          <w:rFonts w:hint="eastAsia" w:ascii="宋体" w:hAnsi="宋体" w:eastAsia="宋体" w:cs="宋体"/>
          <w:color w:val="000000"/>
          <w:kern w:val="0"/>
          <w:sz w:val="24"/>
          <w:szCs w:val="24"/>
          <w:u w:val="single"/>
          <w:lang w:val="en-US" w:eastAsia="zh-CN" w:bidi="ar"/>
        </w:rPr>
        <w:t>（</w:t>
      </w:r>
      <w:r>
        <w:rPr>
          <w:rFonts w:hint="default" w:ascii="Times New Roman" w:hAnsi="Times New Roman" w:eastAsia="宋体" w:cs="Times New Roman"/>
          <w:color w:val="000000"/>
          <w:kern w:val="0"/>
          <w:sz w:val="24"/>
          <w:szCs w:val="24"/>
          <w:u w:val="single"/>
          <w:lang w:val="en-US" w:eastAsia="zh-CN" w:bidi="ar"/>
        </w:rPr>
        <w:t>1</w:t>
      </w:r>
      <w:r>
        <w:rPr>
          <w:rFonts w:hint="eastAsia" w:ascii="宋体" w:hAnsi="宋体" w:eastAsia="宋体" w:cs="宋体"/>
          <w:color w:val="000000"/>
          <w:kern w:val="0"/>
          <w:sz w:val="24"/>
          <w:szCs w:val="24"/>
          <w:u w:val="single"/>
          <w:lang w:val="en-US" w:eastAsia="zh-CN" w:bidi="ar"/>
        </w:rPr>
        <w:t>）投料：首先开动真空泵，将搅拌罐抽成真空后，将生产配方</w:t>
      </w:r>
      <w:r>
        <w:rPr>
          <w:rFonts w:hint="default" w:ascii="Times New Roman" w:hAnsi="Times New Roman" w:eastAsia="宋体" w:cs="Times New Roman"/>
          <w:color w:val="000000"/>
          <w:kern w:val="0"/>
          <w:sz w:val="24"/>
          <w:szCs w:val="24"/>
          <w:u w:val="single"/>
          <w:lang w:val="en-US" w:eastAsia="zh-CN" w:bidi="ar"/>
        </w:rPr>
        <w:t>B</w:t>
      </w:r>
      <w:r>
        <w:rPr>
          <w:rFonts w:hint="eastAsia" w:cs="Times New Roman"/>
          <w:color w:val="000000"/>
          <w:kern w:val="0"/>
          <w:sz w:val="24"/>
          <w:szCs w:val="24"/>
          <w:u w:val="single"/>
          <w:lang w:val="en-US" w:eastAsia="zh-CN" w:bidi="ar"/>
        </w:rPr>
        <w:t>组分的</w:t>
      </w:r>
      <w:r>
        <w:rPr>
          <w:rFonts w:hint="eastAsia" w:ascii="宋体" w:hAnsi="宋体" w:eastAsia="宋体" w:cs="宋体"/>
          <w:color w:val="000000"/>
          <w:kern w:val="0"/>
          <w:sz w:val="24"/>
          <w:szCs w:val="24"/>
          <w:u w:val="single"/>
          <w:lang w:val="en-US" w:eastAsia="zh-CN" w:bidi="ar"/>
        </w:rPr>
        <w:t>液体原料（包括聚醚多元醇、碳酸</w:t>
      </w:r>
      <w:r>
        <w:rPr>
          <w:rFonts w:hint="eastAsia" w:ascii="宋体" w:hAnsi="宋体" w:cs="宋体"/>
          <w:color w:val="000000"/>
          <w:kern w:val="0"/>
          <w:sz w:val="24"/>
          <w:szCs w:val="24"/>
          <w:u w:val="single"/>
          <w:lang w:val="en-US" w:eastAsia="zh-CN" w:bidi="ar"/>
        </w:rPr>
        <w:t>二甲酯</w:t>
      </w:r>
      <w:r>
        <w:rPr>
          <w:rFonts w:hint="eastAsia" w:ascii="宋体" w:hAnsi="宋体" w:eastAsia="宋体" w:cs="宋体"/>
          <w:color w:val="000000"/>
          <w:kern w:val="0"/>
          <w:sz w:val="24"/>
          <w:szCs w:val="24"/>
          <w:u w:val="single"/>
          <w:lang w:val="en-US" w:eastAsia="zh-CN" w:bidi="ar"/>
        </w:rPr>
        <w:t>、环保增塑剂、碳酸</w:t>
      </w:r>
      <w:r>
        <w:rPr>
          <w:rFonts w:hint="eastAsia" w:ascii="宋体" w:hAnsi="宋体" w:cs="宋体"/>
          <w:color w:val="000000"/>
          <w:kern w:val="0"/>
          <w:sz w:val="24"/>
          <w:szCs w:val="24"/>
          <w:u w:val="single"/>
          <w:lang w:val="en-US" w:eastAsia="zh-CN" w:bidi="ar"/>
        </w:rPr>
        <w:t>二甲酯</w:t>
      </w:r>
      <w:r>
        <w:rPr>
          <w:rFonts w:hint="eastAsia" w:ascii="宋体" w:hAnsi="宋体" w:eastAsia="宋体" w:cs="宋体"/>
          <w:color w:val="000000"/>
          <w:kern w:val="0"/>
          <w:sz w:val="24"/>
          <w:szCs w:val="24"/>
          <w:u w:val="single"/>
          <w:lang w:val="en-US" w:eastAsia="zh-CN" w:bidi="ar"/>
        </w:rPr>
        <w:t>、扩链剂及水性色浆）通过原料管道负压直接从原料桶中抽吸到搅拌罐中，接着将真空泵关掉。</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cs="Times New Roman"/>
          <w:sz w:val="24"/>
          <w:szCs w:val="24"/>
          <w:u w:val="single"/>
        </w:rPr>
      </w:pPr>
      <w:r>
        <w:rPr>
          <w:rFonts w:hint="eastAsia" w:ascii="宋体" w:hAnsi="宋体" w:eastAsia="宋体" w:cs="宋体"/>
          <w:color w:val="000000"/>
          <w:kern w:val="0"/>
          <w:sz w:val="24"/>
          <w:szCs w:val="24"/>
          <w:u w:val="single"/>
          <w:lang w:val="en-US" w:eastAsia="zh-CN" w:bidi="ar"/>
        </w:rPr>
        <w:t>项目滑石粉原料投料方式：将盛装粉体原料的容器置于</w:t>
      </w:r>
      <w:r>
        <w:rPr>
          <w:rFonts w:hint="eastAsia" w:ascii="宋体" w:hAnsi="宋体" w:cs="宋体"/>
          <w:color w:val="000000"/>
          <w:kern w:val="0"/>
          <w:sz w:val="24"/>
          <w:szCs w:val="24"/>
          <w:u w:val="single"/>
          <w:lang w:val="en-US" w:eastAsia="zh-CN" w:bidi="ar"/>
        </w:rPr>
        <w:t>磅秤上</w:t>
      </w:r>
      <w:r>
        <w:rPr>
          <w:rFonts w:hint="eastAsia" w:ascii="宋体" w:hAnsi="宋体" w:eastAsia="宋体" w:cs="宋体"/>
          <w:color w:val="000000"/>
          <w:kern w:val="0"/>
          <w:sz w:val="24"/>
          <w:szCs w:val="24"/>
          <w:u w:val="single"/>
          <w:lang w:val="en-US" w:eastAsia="zh-CN" w:bidi="ar"/>
        </w:rPr>
        <w:t>，接着人工从粉体原料袋中将粉体原料倒入容器中，至</w:t>
      </w:r>
      <w:r>
        <w:rPr>
          <w:rFonts w:hint="eastAsia" w:ascii="宋体" w:hAnsi="宋体" w:cs="宋体"/>
          <w:color w:val="000000"/>
          <w:kern w:val="0"/>
          <w:sz w:val="24"/>
          <w:szCs w:val="24"/>
          <w:u w:val="single"/>
          <w:lang w:val="en-US" w:eastAsia="zh-CN" w:bidi="ar"/>
        </w:rPr>
        <w:t>磅秤</w:t>
      </w:r>
      <w:r>
        <w:rPr>
          <w:rFonts w:hint="eastAsia" w:ascii="宋体" w:hAnsi="宋体" w:eastAsia="宋体" w:cs="宋体"/>
          <w:color w:val="000000"/>
          <w:kern w:val="0"/>
          <w:sz w:val="24"/>
          <w:szCs w:val="24"/>
          <w:u w:val="single"/>
          <w:lang w:val="en-US" w:eastAsia="zh-CN" w:bidi="ar"/>
        </w:rPr>
        <w:t>显示所需重量时，停止添加粉体原料，粉料</w:t>
      </w:r>
      <w:r>
        <w:rPr>
          <w:rFonts w:hint="eastAsia" w:cs="Times New Roman"/>
          <w:sz w:val="24"/>
          <w:szCs w:val="24"/>
          <w:u w:val="single"/>
          <w:lang w:eastAsia="zh-CN"/>
        </w:rPr>
        <w:t>在密闭投料间</w:t>
      </w:r>
      <w:r>
        <w:rPr>
          <w:rFonts w:hint="eastAsia" w:cs="Times New Roman"/>
          <w:sz w:val="24"/>
          <w:szCs w:val="24"/>
          <w:u w:val="single"/>
        </w:rPr>
        <w:t>经人工投料投入</w:t>
      </w:r>
      <w:r>
        <w:rPr>
          <w:rFonts w:hint="eastAsia" w:cs="Times New Roman"/>
          <w:sz w:val="24"/>
          <w:szCs w:val="24"/>
          <w:u w:val="single"/>
          <w:lang w:eastAsia="zh-CN"/>
        </w:rPr>
        <w:t>粉料槽（密封槽）</w:t>
      </w:r>
      <w:r>
        <w:rPr>
          <w:rFonts w:hint="eastAsia" w:cs="Times New Roman"/>
          <w:sz w:val="24"/>
          <w:szCs w:val="24"/>
          <w:u w:val="single"/>
        </w:rPr>
        <w:t>，然后粉料经螺旋泵输送到反应釜中，将投入的物料搅拌均匀待用。</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rFonts w:hint="eastAsia" w:ascii="宋体" w:hAnsi="宋体" w:eastAsia="宋体" w:cs="宋体"/>
          <w:color w:val="000000"/>
          <w:kern w:val="0"/>
          <w:sz w:val="24"/>
          <w:szCs w:val="24"/>
          <w:lang w:val="en-US" w:eastAsia="zh-CN" w:bidi="ar"/>
        </w:rPr>
        <w:t>液体原料和粉体原料计量方式如前所述。</w:t>
      </w:r>
      <w:r>
        <w:rPr>
          <w:rFonts w:hint="eastAsia" w:ascii="Times New Roman" w:hAnsi="Times New Roman" w:eastAsia="宋体" w:cs="Times New Roman"/>
          <w:color w:val="000000"/>
          <w:kern w:val="0"/>
          <w:sz w:val="24"/>
          <w:szCs w:val="24"/>
          <w:lang w:val="en-US" w:eastAsia="zh-CN" w:bidi="ar"/>
        </w:rPr>
        <w:t>10</w:t>
      </w:r>
      <w:r>
        <w:rPr>
          <w:rFonts w:hint="default" w:ascii="Times New Roman" w:hAnsi="Times New Roman" w:eastAsia="宋体" w:cs="Times New Roman"/>
          <w:color w:val="000000"/>
          <w:kern w:val="0"/>
          <w:sz w:val="24"/>
          <w:szCs w:val="24"/>
          <w:lang w:val="en-US" w:eastAsia="zh-CN" w:bidi="ar"/>
        </w:rPr>
        <w:t>00L</w:t>
      </w:r>
      <w:r>
        <w:rPr>
          <w:rFonts w:hint="eastAsia" w:ascii="宋体" w:hAnsi="宋体" w:eastAsia="宋体" w:cs="宋体"/>
          <w:color w:val="000000"/>
          <w:kern w:val="0"/>
          <w:sz w:val="24"/>
          <w:szCs w:val="24"/>
          <w:lang w:val="en-US" w:eastAsia="zh-CN" w:bidi="ar"/>
        </w:rPr>
        <w:t>搅拌罐投料时间为</w:t>
      </w:r>
      <w:r>
        <w:rPr>
          <w:rFonts w:hint="default" w:ascii="Times New Roman" w:hAnsi="Times New Roman" w:eastAsia="宋体" w:cs="Times New Roman"/>
          <w:color w:val="000000"/>
          <w:kern w:val="0"/>
          <w:sz w:val="24"/>
          <w:szCs w:val="24"/>
          <w:lang w:val="en-US" w:eastAsia="zh-CN" w:bidi="ar"/>
        </w:rPr>
        <w:t>1</w:t>
      </w:r>
      <w:r>
        <w:rPr>
          <w:rFonts w:hint="eastAsia" w:ascii="宋体" w:hAnsi="宋体" w:eastAsia="宋体" w:cs="宋体"/>
          <w:color w:val="000000"/>
          <w:kern w:val="0"/>
          <w:sz w:val="24"/>
          <w:szCs w:val="24"/>
          <w:lang w:val="en-US" w:eastAsia="zh-CN" w:bidi="ar"/>
        </w:rPr>
        <w:t>小时。投料过程产生少量粉尘、</w:t>
      </w:r>
      <w:r>
        <w:rPr>
          <w:rFonts w:hint="default" w:ascii="Times New Roman" w:hAnsi="Times New Roman" w:eastAsia="宋体" w:cs="Times New Roman"/>
          <w:color w:val="000000"/>
          <w:kern w:val="0"/>
          <w:sz w:val="24"/>
          <w:szCs w:val="24"/>
          <w:lang w:val="en-US" w:eastAsia="zh-CN" w:bidi="ar"/>
        </w:rPr>
        <w:t>非甲烷总烃G1</w:t>
      </w:r>
      <w:r>
        <w:rPr>
          <w:rFonts w:hint="eastAsia" w:ascii="Times New Roman" w:hAnsi="Times New Roman" w:eastAsia="宋体" w:cs="Times New Roman"/>
          <w:color w:val="000000"/>
          <w:kern w:val="0"/>
          <w:sz w:val="24"/>
          <w:szCs w:val="24"/>
          <w:lang w:val="en-US" w:eastAsia="zh-CN" w:bidi="ar"/>
        </w:rPr>
        <w:t>4</w:t>
      </w:r>
      <w:r>
        <w:rPr>
          <w:rFonts w:hint="default" w:ascii="Times New Roman" w:hAnsi="Times New Roman" w:eastAsia="宋体" w:cs="Times New Roman"/>
          <w:color w:val="000000"/>
          <w:kern w:val="0"/>
          <w:sz w:val="24"/>
          <w:szCs w:val="24"/>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ind w:firstLine="480" w:firstLineChars="200"/>
        <w:jc w:val="both"/>
        <w:textAlignment w:val="auto"/>
        <w:rPr>
          <w:rFonts w:hint="default" w:ascii="Times New Roman" w:hAnsi="Times New Roman" w:eastAsia="宋体" w:cs="Times New Roman"/>
          <w:color w:val="000000"/>
          <w:kern w:val="0"/>
          <w:sz w:val="24"/>
          <w:szCs w:val="24"/>
          <w:lang w:val="en-US" w:eastAsia="zh-CN" w:bidi="ar"/>
        </w:rPr>
      </w:pPr>
      <w:r>
        <w:rPr>
          <w:rFonts w:hint="eastAsia" w:cs="Times New Roman"/>
          <w:sz w:val="24"/>
          <w:szCs w:val="24"/>
          <w:lang w:val="en-US" w:eastAsia="zh-CN"/>
        </w:rPr>
        <w:t>（</w:t>
      </w:r>
      <w:r>
        <w:rPr>
          <w:rFonts w:hint="default" w:cs="Times New Roman"/>
          <w:sz w:val="24"/>
          <w:szCs w:val="24"/>
          <w:lang w:val="en-US" w:eastAsia="zh-CN"/>
        </w:rPr>
        <w:t>2</w:t>
      </w:r>
      <w:r>
        <w:rPr>
          <w:rFonts w:hint="eastAsia" w:cs="Times New Roman"/>
          <w:sz w:val="24"/>
          <w:szCs w:val="24"/>
          <w:lang w:val="en-US" w:eastAsia="zh-CN"/>
        </w:rPr>
        <w:t>）搅拌：搅拌过程在搅拌罐中进行，搅拌过程全程密闭并且保持在-0.1Mpa下，密闭是为了防止空气中的水分进入到搅拌罐中，通过手摇油泵将导热油通入搅拌罐夹层，给夹层中的电热棒通电从而加热导热油，使搅拌罐中的原料缓慢升温至70℃，此过程需用时0.5小时，然后将加热温度设置在85℃，则整个搅拌过程搅拌罐温度均可保持在70℃～90℃之间，当温度超过90℃时自动断电，停止加热，当温度低于70℃时，则开始加热，搅拌3小时，搅拌罐全程密闭并且保持在-0.1Mpa下。搅拌罐加热和搅拌是为了使物料之间的相溶性更好，同时搅</w:t>
      </w:r>
      <w:r>
        <w:rPr>
          <w:rFonts w:hint="default" w:ascii="Times New Roman" w:hAnsi="Times New Roman" w:eastAsia="宋体" w:cs="Times New Roman"/>
          <w:color w:val="000000"/>
          <w:kern w:val="0"/>
          <w:sz w:val="24"/>
          <w:szCs w:val="24"/>
          <w:lang w:val="en-US" w:eastAsia="zh-CN" w:bidi="ar"/>
        </w:rPr>
        <w:t>拌和抽真空能使原料中的空气从原料中分离出来，并从搅拌罐中抽出，从而避免产品产生气泡。搅拌过程产生非甲烷总烃G1</w:t>
      </w:r>
      <w:r>
        <w:rPr>
          <w:rFonts w:hint="eastAsia" w:ascii="Times New Roman" w:hAnsi="Times New Roman" w:cs="Times New Roman"/>
          <w:color w:val="000000"/>
          <w:kern w:val="0"/>
          <w:sz w:val="24"/>
          <w:szCs w:val="24"/>
          <w:lang w:val="en-US" w:eastAsia="zh-CN" w:bidi="ar"/>
        </w:rPr>
        <w:t>5</w:t>
      </w:r>
      <w:r>
        <w:rPr>
          <w:rFonts w:hint="default" w:ascii="Times New Roman" w:hAnsi="Times New Roman" w:eastAsia="宋体" w:cs="Times New Roman"/>
          <w:color w:val="000000"/>
          <w:kern w:val="0"/>
          <w:sz w:val="24"/>
          <w:szCs w:val="24"/>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ind w:firstLine="480" w:firstLineChars="200"/>
        <w:jc w:val="both"/>
        <w:textAlignment w:val="auto"/>
        <w:rPr>
          <w:rFonts w:hint="default" w:ascii="Times New Roman" w:hAnsi="Times New Roman" w:eastAsia="宋体" w:cs="Times New Roman"/>
          <w:color w:val="000000"/>
          <w:kern w:val="0"/>
          <w:sz w:val="24"/>
          <w:szCs w:val="24"/>
          <w:lang w:val="en-US" w:eastAsia="zh-CN" w:bidi="ar"/>
        </w:rPr>
      </w:pPr>
      <w:r>
        <w:rPr>
          <w:rFonts w:hint="default" w:ascii="Times New Roman" w:hAnsi="Times New Roman" w:eastAsia="宋体" w:cs="Times New Roman"/>
          <w:color w:val="000000"/>
          <w:kern w:val="0"/>
          <w:sz w:val="24"/>
          <w:szCs w:val="24"/>
          <w:lang w:val="en-US" w:eastAsia="zh-CN" w:bidi="ar"/>
        </w:rPr>
        <w:t>（3）检验：项目生产的每批次配方B</w:t>
      </w:r>
      <w:r>
        <w:rPr>
          <w:rFonts w:hint="eastAsia" w:cs="Times New Roman"/>
          <w:color w:val="000000"/>
          <w:kern w:val="0"/>
          <w:sz w:val="24"/>
          <w:szCs w:val="24"/>
          <w:lang w:val="en-US" w:eastAsia="zh-CN" w:bidi="ar"/>
        </w:rPr>
        <w:t>组分</w:t>
      </w:r>
      <w:r>
        <w:rPr>
          <w:rFonts w:hint="default" w:ascii="Times New Roman" w:hAnsi="Times New Roman" w:eastAsia="宋体" w:cs="Times New Roman"/>
          <w:color w:val="000000"/>
          <w:kern w:val="0"/>
          <w:sz w:val="24"/>
          <w:szCs w:val="24"/>
          <w:lang w:val="en-US" w:eastAsia="zh-CN" w:bidi="ar"/>
        </w:rPr>
        <w:t>需取</w:t>
      </w:r>
      <w:r>
        <w:rPr>
          <w:rFonts w:hint="eastAsia" w:ascii="Times New Roman" w:hAnsi="Times New Roman" w:cs="Times New Roman"/>
          <w:color w:val="000000"/>
          <w:kern w:val="0"/>
          <w:sz w:val="24"/>
          <w:szCs w:val="24"/>
          <w:lang w:val="en-US" w:eastAsia="zh-CN" w:bidi="ar"/>
        </w:rPr>
        <w:t>2</w:t>
      </w:r>
      <w:r>
        <w:rPr>
          <w:rFonts w:hint="default" w:ascii="Times New Roman" w:hAnsi="Times New Roman" w:eastAsia="宋体" w:cs="Times New Roman"/>
          <w:color w:val="000000"/>
          <w:kern w:val="0"/>
          <w:sz w:val="24"/>
          <w:szCs w:val="24"/>
          <w:lang w:val="en-US" w:eastAsia="zh-CN" w:bidi="ar"/>
        </w:rPr>
        <w:t>g与配套的配方二A组份（约</w:t>
      </w:r>
      <w:r>
        <w:rPr>
          <w:rFonts w:hint="eastAsia" w:ascii="Times New Roman" w:hAnsi="Times New Roman" w:cs="Times New Roman"/>
          <w:color w:val="000000"/>
          <w:kern w:val="0"/>
          <w:sz w:val="24"/>
          <w:szCs w:val="24"/>
          <w:lang w:val="en-US" w:eastAsia="zh-CN" w:bidi="ar"/>
        </w:rPr>
        <w:t>2</w:t>
      </w:r>
      <w:r>
        <w:rPr>
          <w:rFonts w:hint="default" w:ascii="Times New Roman" w:hAnsi="Times New Roman" w:eastAsia="宋体" w:cs="Times New Roman"/>
          <w:color w:val="000000"/>
          <w:kern w:val="0"/>
          <w:sz w:val="24"/>
          <w:szCs w:val="24"/>
          <w:lang w:val="en-US" w:eastAsia="zh-CN" w:bidi="ar"/>
        </w:rPr>
        <w:t>g）混合在一起，检验产品的固化时间。如果根据检验结果，产品固化时间不能达到要求，则在B组分中适量加入少量有机铋催化剂。检验过程产生的固化灌封胶留样保存，储存于专门的留样柜中</w:t>
      </w:r>
      <w:r>
        <w:rPr>
          <w:rFonts w:hint="eastAsia" w:ascii="Times New Roman" w:hAnsi="Times New Roman" w:cs="Times New Roman"/>
          <w:color w:val="000000"/>
          <w:kern w:val="0"/>
          <w:sz w:val="24"/>
          <w:szCs w:val="24"/>
          <w:lang w:val="en-US" w:eastAsia="zh-CN" w:bidi="ar"/>
        </w:rPr>
        <w:t>，此过程产生实验废物S5。</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ind w:firstLine="480" w:firstLineChars="200"/>
        <w:jc w:val="both"/>
        <w:textAlignment w:val="auto"/>
        <w:rPr>
          <w:rFonts w:hint="default" w:ascii="Times New Roman" w:hAnsi="Times New Roman" w:eastAsia="宋体" w:cs="Times New Roman"/>
          <w:color w:val="000000"/>
          <w:kern w:val="0"/>
          <w:sz w:val="24"/>
          <w:szCs w:val="24"/>
          <w:lang w:val="en-US" w:eastAsia="zh-CN" w:bidi="ar"/>
        </w:rPr>
      </w:pPr>
      <w:r>
        <w:rPr>
          <w:rFonts w:hint="default" w:ascii="Times New Roman" w:hAnsi="Times New Roman" w:eastAsia="宋体" w:cs="Times New Roman"/>
          <w:color w:val="000000"/>
          <w:kern w:val="0"/>
          <w:sz w:val="24"/>
          <w:szCs w:val="24"/>
          <w:lang w:val="en-US" w:eastAsia="zh-CN" w:bidi="ar"/>
        </w:rPr>
        <w:t>（4）分装：由于搅拌罐为负压状态，分装前需利用空压机通过专用管道向搅拌罐内通入一定量空气，从而使搅拌罐保持常压状态，此时</w:t>
      </w:r>
      <w:r>
        <w:rPr>
          <w:rFonts w:hint="eastAsia" w:ascii="Times New Roman" w:hAnsi="Times New Roman" w:cs="Times New Roman"/>
          <w:color w:val="000000"/>
          <w:kern w:val="0"/>
          <w:sz w:val="24"/>
          <w:szCs w:val="24"/>
          <w:lang w:val="en-US" w:eastAsia="zh-CN" w:bidi="ar"/>
        </w:rPr>
        <w:t>100</w:t>
      </w:r>
      <w:r>
        <w:rPr>
          <w:rFonts w:hint="default" w:ascii="Times New Roman" w:hAnsi="Times New Roman" w:eastAsia="宋体" w:cs="Times New Roman"/>
          <w:color w:val="000000"/>
          <w:kern w:val="0"/>
          <w:sz w:val="24"/>
          <w:szCs w:val="24"/>
          <w:lang w:val="en-US" w:eastAsia="zh-CN" w:bidi="ar"/>
        </w:rPr>
        <w:t>0L搅拌罐需开空压机通风10秒。由于此时不搅拌，空气不会进入到产品里面。将生产的配方B</w:t>
      </w:r>
      <w:r>
        <w:rPr>
          <w:rFonts w:hint="eastAsia" w:cs="Times New Roman"/>
          <w:color w:val="000000"/>
          <w:kern w:val="0"/>
          <w:sz w:val="24"/>
          <w:szCs w:val="24"/>
          <w:lang w:val="en-US" w:eastAsia="zh-CN" w:bidi="ar"/>
        </w:rPr>
        <w:t>组分</w:t>
      </w:r>
      <w:r>
        <w:rPr>
          <w:rFonts w:hint="default" w:ascii="Times New Roman" w:hAnsi="Times New Roman" w:eastAsia="宋体" w:cs="Times New Roman"/>
          <w:color w:val="000000"/>
          <w:kern w:val="0"/>
          <w:sz w:val="24"/>
          <w:szCs w:val="24"/>
          <w:lang w:val="en-US" w:eastAsia="zh-CN" w:bidi="ar"/>
        </w:rPr>
        <w:t>通过搅拌罐底部的放料阀门放入20kg的铁桶中，</w:t>
      </w:r>
      <w:r>
        <w:rPr>
          <w:rFonts w:hint="eastAsia" w:ascii="Times New Roman" w:hAnsi="Times New Roman" w:cs="Times New Roman"/>
          <w:color w:val="000000"/>
          <w:kern w:val="0"/>
          <w:sz w:val="24"/>
          <w:szCs w:val="24"/>
          <w:lang w:val="en-US" w:eastAsia="zh-CN" w:bidi="ar"/>
        </w:rPr>
        <w:t>10</w:t>
      </w:r>
      <w:r>
        <w:rPr>
          <w:rFonts w:hint="default" w:ascii="Times New Roman" w:hAnsi="Times New Roman" w:eastAsia="宋体" w:cs="Times New Roman"/>
          <w:color w:val="000000"/>
          <w:kern w:val="0"/>
          <w:sz w:val="24"/>
          <w:szCs w:val="24"/>
          <w:lang w:val="en-US" w:eastAsia="zh-CN" w:bidi="ar"/>
        </w:rPr>
        <w:t>00L搅拌罐分装时间为1小时。此过程产生少量非甲烷总烃</w:t>
      </w:r>
      <w:r>
        <w:rPr>
          <w:rFonts w:hint="eastAsia" w:ascii="Times New Roman" w:hAnsi="Times New Roman" w:cs="Times New Roman"/>
          <w:color w:val="000000"/>
          <w:kern w:val="0"/>
          <w:sz w:val="24"/>
          <w:szCs w:val="24"/>
          <w:lang w:val="en-US" w:eastAsia="zh-CN" w:bidi="ar"/>
        </w:rPr>
        <w:t>G16</w:t>
      </w:r>
      <w:r>
        <w:rPr>
          <w:rFonts w:hint="default" w:ascii="Times New Roman" w:hAnsi="Times New Roman" w:eastAsia="宋体" w:cs="Times New Roman"/>
          <w:color w:val="000000"/>
          <w:kern w:val="0"/>
          <w:sz w:val="24"/>
          <w:szCs w:val="24"/>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beforeAutospacing="0" w:afterAutospacing="0"/>
        <w:ind w:firstLine="480" w:firstLineChars="200"/>
        <w:jc w:val="both"/>
        <w:textAlignment w:val="auto"/>
        <w:rPr>
          <w:rFonts w:hint="default" w:ascii="Times New Roman" w:hAnsi="Times New Roman" w:eastAsia="宋体" w:cs="Times New Roman"/>
          <w:color w:val="000000"/>
          <w:kern w:val="0"/>
          <w:sz w:val="24"/>
          <w:szCs w:val="24"/>
          <w:lang w:val="en-US" w:eastAsia="zh-CN" w:bidi="ar"/>
        </w:rPr>
      </w:pPr>
      <w:r>
        <w:rPr>
          <w:rFonts w:hint="default" w:ascii="Times New Roman" w:hAnsi="Times New Roman" w:eastAsia="宋体" w:cs="Times New Roman"/>
          <w:color w:val="000000"/>
          <w:kern w:val="0"/>
          <w:sz w:val="24"/>
          <w:szCs w:val="24"/>
          <w:lang w:val="en-US" w:eastAsia="zh-CN" w:bidi="ar"/>
        </w:rPr>
        <w:t>（5）自然冷却：将分装好的铁桶密闭自然冷却。</w:t>
      </w:r>
    </w:p>
    <w:p>
      <w:pPr>
        <w:keepNext w:val="0"/>
        <w:keepLines w:val="0"/>
        <w:pageBreakBefore w:val="0"/>
        <w:widowControl/>
        <w:kinsoku/>
        <w:wordWrap/>
        <w:overflowPunct/>
        <w:topLinePunct w:val="0"/>
        <w:autoSpaceDE/>
        <w:autoSpaceDN/>
        <w:bidi w:val="0"/>
        <w:adjustRightInd/>
        <w:snapToGrid/>
        <w:spacing w:beforeAutospacing="0" w:afterAutospacing="0"/>
        <w:ind w:firstLine="482" w:firstLineChars="200"/>
        <w:jc w:val="both"/>
        <w:textAlignment w:val="auto"/>
        <w:rPr>
          <w:sz w:val="24"/>
          <w:szCs w:val="24"/>
        </w:rPr>
      </w:pPr>
      <w:r>
        <w:rPr>
          <w:rFonts w:hint="eastAsia" w:ascii="宋体" w:hAnsi="宋体" w:cs="宋体"/>
          <w:b/>
          <w:bCs/>
          <w:color w:val="000000"/>
          <w:kern w:val="0"/>
          <w:sz w:val="24"/>
          <w:szCs w:val="24"/>
          <w:lang w:bidi="ar"/>
        </w:rPr>
        <w:t>二、产污流程简述：</w:t>
      </w:r>
    </w:p>
    <w:p>
      <w:pPr>
        <w:keepNext w:val="0"/>
        <w:keepLines w:val="0"/>
        <w:pageBreakBefore w:val="0"/>
        <w:widowControl/>
        <w:kinsoku/>
        <w:wordWrap/>
        <w:overflowPunct/>
        <w:topLinePunct w:val="0"/>
        <w:autoSpaceDE/>
        <w:autoSpaceDN/>
        <w:bidi w:val="0"/>
        <w:adjustRightInd/>
        <w:snapToGrid/>
        <w:spacing w:beforeAutospacing="0" w:afterAutospacing="0"/>
        <w:ind w:firstLine="480" w:firstLineChars="200"/>
        <w:jc w:val="both"/>
        <w:textAlignment w:val="auto"/>
        <w:rPr>
          <w:sz w:val="24"/>
          <w:szCs w:val="24"/>
        </w:rPr>
      </w:pPr>
      <w:r>
        <w:rPr>
          <w:rFonts w:cs="Times New Roman"/>
          <w:color w:val="000000"/>
          <w:kern w:val="0"/>
          <w:sz w:val="24"/>
          <w:szCs w:val="24"/>
          <w:lang w:bidi="ar"/>
        </w:rPr>
        <w:t>废气：</w:t>
      </w:r>
      <w:r>
        <w:rPr>
          <w:rFonts w:hint="eastAsia" w:cs="Times New Roman"/>
          <w:color w:val="000000"/>
          <w:kern w:val="0"/>
          <w:sz w:val="24"/>
          <w:szCs w:val="24"/>
          <w:lang w:eastAsia="zh-CN" w:bidi="ar"/>
        </w:rPr>
        <w:t>投料口废气</w:t>
      </w:r>
      <w:r>
        <w:rPr>
          <w:rFonts w:hint="eastAsia" w:cs="Times New Roman"/>
          <w:color w:val="000000"/>
          <w:kern w:val="0"/>
          <w:sz w:val="24"/>
          <w:szCs w:val="24"/>
          <w:lang w:val="en-US" w:eastAsia="zh-CN" w:bidi="ar"/>
        </w:rPr>
        <w:t>G14</w:t>
      </w:r>
      <w:r>
        <w:rPr>
          <w:rFonts w:cs="Times New Roman"/>
          <w:color w:val="000000"/>
          <w:kern w:val="0"/>
          <w:sz w:val="24"/>
          <w:szCs w:val="24"/>
          <w:lang w:bidi="ar"/>
        </w:rPr>
        <w:t>、</w:t>
      </w:r>
      <w:r>
        <w:rPr>
          <w:rFonts w:hint="eastAsia" w:cs="Times New Roman"/>
          <w:color w:val="000000"/>
          <w:kern w:val="0"/>
          <w:sz w:val="24"/>
          <w:szCs w:val="24"/>
          <w:lang w:eastAsia="zh-CN" w:bidi="ar"/>
        </w:rPr>
        <w:t>搅拌反应废气</w:t>
      </w:r>
      <w:r>
        <w:rPr>
          <w:rFonts w:hint="eastAsia" w:cs="Times New Roman"/>
          <w:color w:val="000000"/>
          <w:kern w:val="0"/>
          <w:sz w:val="24"/>
          <w:szCs w:val="24"/>
          <w:lang w:val="en-US" w:eastAsia="zh-CN" w:bidi="ar"/>
        </w:rPr>
        <w:t>G15</w:t>
      </w:r>
      <w:r>
        <w:rPr>
          <w:rFonts w:cs="Times New Roman"/>
          <w:color w:val="000000"/>
          <w:kern w:val="0"/>
          <w:sz w:val="24"/>
          <w:szCs w:val="24"/>
          <w:lang w:bidi="ar"/>
        </w:rPr>
        <w:t>、</w:t>
      </w:r>
      <w:r>
        <w:rPr>
          <w:rFonts w:hint="eastAsia" w:cs="Times New Roman"/>
          <w:color w:val="000000"/>
          <w:kern w:val="0"/>
          <w:sz w:val="24"/>
          <w:szCs w:val="24"/>
          <w:lang w:eastAsia="zh-CN" w:bidi="ar"/>
        </w:rPr>
        <w:t>分装卸料口</w:t>
      </w:r>
      <w:r>
        <w:rPr>
          <w:rFonts w:cs="Times New Roman"/>
          <w:color w:val="000000"/>
          <w:kern w:val="0"/>
          <w:sz w:val="24"/>
          <w:szCs w:val="24"/>
          <w:lang w:bidi="ar"/>
        </w:rPr>
        <w:t>存在少量有机废气</w:t>
      </w:r>
      <w:r>
        <w:rPr>
          <w:rFonts w:hint="eastAsia" w:cs="Times New Roman"/>
          <w:color w:val="000000"/>
          <w:kern w:val="0"/>
          <w:sz w:val="24"/>
          <w:szCs w:val="24"/>
          <w:lang w:val="en-US" w:eastAsia="zh-CN" w:bidi="ar"/>
        </w:rPr>
        <w:t>G16</w:t>
      </w:r>
      <w:r>
        <w:rPr>
          <w:rFonts w:cs="Times New Roman"/>
          <w:color w:val="000000"/>
          <w:kern w:val="0"/>
          <w:sz w:val="24"/>
          <w:szCs w:val="24"/>
          <w:lang w:bidi="ar"/>
        </w:rPr>
        <w:t>排放</w:t>
      </w:r>
      <w:r>
        <w:rPr>
          <w:rFonts w:hint="eastAsia" w:ascii="宋体" w:hAnsi="宋体" w:cs="宋体"/>
          <w:color w:val="000000"/>
          <w:kern w:val="0"/>
          <w:sz w:val="24"/>
          <w:szCs w:val="24"/>
          <w:lang w:bidi="ar"/>
        </w:rPr>
        <w:t>；</w:t>
      </w:r>
    </w:p>
    <w:p>
      <w:pPr>
        <w:keepNext w:val="0"/>
        <w:keepLines w:val="0"/>
        <w:pageBreakBefore w:val="0"/>
        <w:widowControl/>
        <w:kinsoku/>
        <w:wordWrap/>
        <w:overflowPunct/>
        <w:topLinePunct w:val="0"/>
        <w:autoSpaceDE/>
        <w:autoSpaceDN/>
        <w:bidi w:val="0"/>
        <w:adjustRightInd/>
        <w:snapToGrid/>
        <w:spacing w:beforeAutospacing="0" w:afterAutospacing="0"/>
        <w:ind w:firstLine="480" w:firstLineChars="200"/>
        <w:jc w:val="both"/>
        <w:textAlignment w:val="auto"/>
        <w:rPr>
          <w:rFonts w:cs="Times New Roman"/>
          <w:color w:val="000000"/>
          <w:kern w:val="0"/>
          <w:sz w:val="24"/>
          <w:szCs w:val="24"/>
          <w:lang w:bidi="ar"/>
        </w:rPr>
      </w:pPr>
      <w:r>
        <w:rPr>
          <w:rFonts w:cs="Times New Roman"/>
          <w:color w:val="000000"/>
          <w:kern w:val="0"/>
          <w:sz w:val="24"/>
          <w:szCs w:val="24"/>
          <w:lang w:bidi="ar"/>
        </w:rPr>
        <w:t>固体废物：</w:t>
      </w:r>
      <w:r>
        <w:rPr>
          <w:rFonts w:hint="eastAsia" w:cs="Times New Roman"/>
          <w:color w:val="000000"/>
          <w:kern w:val="0"/>
          <w:sz w:val="24"/>
          <w:szCs w:val="24"/>
          <w:lang w:eastAsia="zh-CN" w:bidi="ar"/>
        </w:rPr>
        <w:t>检验废物</w:t>
      </w:r>
      <w:r>
        <w:rPr>
          <w:rFonts w:hint="eastAsia" w:cs="Times New Roman"/>
          <w:color w:val="000000"/>
          <w:kern w:val="0"/>
          <w:sz w:val="24"/>
          <w:szCs w:val="24"/>
          <w:lang w:val="en-US" w:eastAsia="zh-CN" w:bidi="ar"/>
        </w:rPr>
        <w:t>S5</w:t>
      </w:r>
      <w:r>
        <w:rPr>
          <w:rFonts w:cs="Times New Roman"/>
          <w:color w:val="000000"/>
          <w:kern w:val="0"/>
          <w:sz w:val="24"/>
          <w:szCs w:val="24"/>
          <w:lang w:bidi="ar"/>
        </w:rPr>
        <w:t>；</w:t>
      </w:r>
    </w:p>
    <w:p>
      <w:pPr>
        <w:keepNext w:val="0"/>
        <w:keepLines w:val="0"/>
        <w:pageBreakBefore w:val="0"/>
        <w:widowControl/>
        <w:kinsoku/>
        <w:wordWrap/>
        <w:overflowPunct/>
        <w:topLinePunct w:val="0"/>
        <w:autoSpaceDE/>
        <w:autoSpaceDN/>
        <w:bidi w:val="0"/>
        <w:adjustRightInd/>
        <w:snapToGrid/>
        <w:spacing w:beforeAutospacing="0" w:afterAutospacing="0"/>
        <w:ind w:firstLine="482" w:firstLineChars="200"/>
        <w:jc w:val="both"/>
        <w:textAlignment w:val="auto"/>
        <w:rPr>
          <w:rFonts w:ascii="宋体" w:hAnsi="宋体" w:cs="宋体"/>
          <w:b/>
          <w:bCs/>
          <w:color w:val="000000"/>
          <w:kern w:val="0"/>
          <w:sz w:val="24"/>
          <w:szCs w:val="24"/>
          <w:lang w:bidi="ar"/>
        </w:rPr>
      </w:pPr>
      <w:r>
        <w:rPr>
          <w:rFonts w:hint="eastAsia" w:ascii="宋体" w:hAnsi="宋体" w:cs="宋体"/>
          <w:b/>
          <w:bCs/>
          <w:color w:val="000000"/>
          <w:kern w:val="0"/>
          <w:sz w:val="24"/>
          <w:szCs w:val="24"/>
          <w:lang w:bidi="ar"/>
        </w:rPr>
        <w:t>三、物料衡算</w:t>
      </w:r>
    </w:p>
    <w:p>
      <w:pPr>
        <w:keepNext w:val="0"/>
        <w:keepLines w:val="0"/>
        <w:pageBreakBefore w:val="0"/>
        <w:kinsoku/>
        <w:wordWrap/>
        <w:overflowPunct/>
        <w:topLinePunct w:val="0"/>
        <w:autoSpaceDE/>
        <w:autoSpaceDN/>
        <w:bidi w:val="0"/>
        <w:adjustRightInd/>
        <w:snapToGrid/>
        <w:spacing w:beforeAutospacing="0" w:afterAutospacing="0"/>
        <w:ind w:firstLine="480" w:firstLineChars="200"/>
        <w:jc w:val="both"/>
        <w:textAlignment w:val="auto"/>
        <w:rPr>
          <w:rFonts w:hint="eastAsia" w:cs="Times New Roman"/>
          <w:sz w:val="24"/>
          <w:szCs w:val="24"/>
          <w:lang w:eastAsia="zh-CN"/>
        </w:rPr>
      </w:pPr>
      <w:r>
        <w:rPr>
          <w:rFonts w:hint="eastAsia" w:cs="Times New Roman"/>
          <w:sz w:val="24"/>
          <w:szCs w:val="24"/>
        </w:rPr>
        <w:t>G14</w:t>
      </w:r>
      <w:r>
        <w:rPr>
          <w:rFonts w:hint="eastAsia" w:cs="Times New Roman"/>
          <w:sz w:val="24"/>
          <w:szCs w:val="24"/>
          <w:lang w:eastAsia="zh-CN"/>
        </w:rPr>
        <w:t>粉尘，</w:t>
      </w:r>
      <w:r>
        <w:rPr>
          <w:rFonts w:hint="eastAsia" w:cs="Times New Roman"/>
          <w:sz w:val="24"/>
          <w:szCs w:val="24"/>
          <w:lang w:val="en-US" w:eastAsia="zh-CN"/>
        </w:rPr>
        <w:t>本项目主要固体原料为滑石粉，与水泥粒径相似，故投料粉尘参考《逸散性工业粉尘控制技术》（J.A.奥里蒙、G.A.久兹等编著）中细微物料投料粉尘产生系数，产生系数为0.00015~0.02kg/t（装料），本项目投料过程中粉尘产生源强取0.02kg/t（装料）</w:t>
      </w:r>
      <w:r>
        <w:rPr>
          <w:rFonts w:hint="eastAsia" w:cs="Times New Roman"/>
          <w:sz w:val="24"/>
          <w:szCs w:val="24"/>
          <w:lang w:eastAsia="zh-CN"/>
        </w:rPr>
        <w:t>，项目</w:t>
      </w:r>
      <w:r>
        <w:rPr>
          <w:rFonts w:hint="eastAsia" w:cs="Times New Roman"/>
          <w:sz w:val="24"/>
          <w:szCs w:val="24"/>
          <w:lang w:val="en-US" w:eastAsia="zh-CN"/>
        </w:rPr>
        <w:t>B组分</w:t>
      </w:r>
      <w:r>
        <w:rPr>
          <w:rFonts w:hint="eastAsia" w:cs="Times New Roman"/>
          <w:sz w:val="24"/>
          <w:szCs w:val="24"/>
          <w:lang w:eastAsia="zh-CN"/>
        </w:rPr>
        <w:t>粉状物料滑石粉用量为</w:t>
      </w:r>
      <w:r>
        <w:rPr>
          <w:rFonts w:hint="eastAsia" w:cs="Times New Roman"/>
          <w:sz w:val="24"/>
          <w:szCs w:val="24"/>
          <w:lang w:val="en-US" w:eastAsia="zh-CN"/>
        </w:rPr>
        <w:t>1047.52</w:t>
      </w:r>
      <w:r>
        <w:rPr>
          <w:rFonts w:hint="eastAsia" w:cs="Times New Roman"/>
          <w:sz w:val="24"/>
          <w:szCs w:val="24"/>
          <w:lang w:eastAsia="zh-CN"/>
        </w:rPr>
        <w:t>t/a，则粉尘产生量约为</w:t>
      </w:r>
      <w:r>
        <w:rPr>
          <w:rFonts w:hint="eastAsia" w:cs="Times New Roman"/>
          <w:sz w:val="24"/>
          <w:szCs w:val="24"/>
          <w:lang w:val="en-US" w:eastAsia="zh-CN"/>
        </w:rPr>
        <w:t>0.021</w:t>
      </w:r>
      <w:r>
        <w:rPr>
          <w:rFonts w:hint="eastAsia" w:cs="Times New Roman"/>
          <w:sz w:val="24"/>
          <w:szCs w:val="24"/>
          <w:lang w:eastAsia="zh-CN"/>
        </w:rPr>
        <w:t>t/a。</w:t>
      </w:r>
    </w:p>
    <w:p>
      <w:pPr>
        <w:pStyle w:val="24"/>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ascii="Times New Roman" w:cs="Times New Roman"/>
          <w:color w:val="000000"/>
          <w:kern w:val="0"/>
          <w:sz w:val="24"/>
          <w:szCs w:val="24"/>
          <w:lang w:bidi="ar"/>
        </w:rPr>
      </w:pPr>
      <w:r>
        <w:rPr>
          <w:rFonts w:hint="eastAsia" w:ascii="Times New Roman" w:cs="Times New Roman"/>
          <w:color w:val="000000"/>
          <w:kern w:val="0"/>
          <w:sz w:val="24"/>
          <w:szCs w:val="24"/>
          <w:lang w:bidi="ar"/>
        </w:rPr>
        <w:t>G1</w:t>
      </w:r>
      <w:r>
        <w:rPr>
          <w:rFonts w:hint="eastAsia" w:ascii="Times New Roman" w:cs="Times New Roman"/>
          <w:color w:val="000000"/>
          <w:kern w:val="0"/>
          <w:sz w:val="24"/>
          <w:szCs w:val="24"/>
          <w:lang w:val="en-US" w:eastAsia="zh-CN" w:bidi="ar"/>
        </w:rPr>
        <w:t>5</w:t>
      </w:r>
      <w:r>
        <w:rPr>
          <w:rFonts w:hint="eastAsia" w:ascii="Times New Roman" w:cs="Times New Roman"/>
          <w:color w:val="000000"/>
          <w:kern w:val="0"/>
          <w:sz w:val="24"/>
          <w:szCs w:val="24"/>
          <w:lang w:bidi="ar"/>
        </w:rPr>
        <w:t>~G1</w:t>
      </w:r>
      <w:r>
        <w:rPr>
          <w:rFonts w:hint="eastAsia" w:ascii="Times New Roman" w:cs="Times New Roman"/>
          <w:color w:val="000000"/>
          <w:kern w:val="0"/>
          <w:sz w:val="24"/>
          <w:szCs w:val="24"/>
          <w:lang w:val="en-US" w:eastAsia="zh-CN" w:bidi="ar"/>
        </w:rPr>
        <w:t>6</w:t>
      </w:r>
      <w:r>
        <w:rPr>
          <w:rFonts w:hint="eastAsia" w:ascii="Times New Roman" w:cs="Times New Roman"/>
          <w:color w:val="000000"/>
          <w:kern w:val="0"/>
          <w:sz w:val="24"/>
          <w:szCs w:val="24"/>
          <w:lang w:bidi="ar"/>
        </w:rPr>
        <w:t>由于项目所使用的聚醚多元醇（</w:t>
      </w:r>
      <w:r>
        <w:rPr>
          <w:rFonts w:hint="eastAsia" w:ascii="Times New Roman" w:cs="Times New Roman"/>
          <w:color w:val="000000"/>
          <w:kern w:val="0"/>
          <w:sz w:val="24"/>
          <w:szCs w:val="24"/>
          <w:lang w:val="en-US" w:eastAsia="zh-CN" w:bidi="ar"/>
        </w:rPr>
        <w:t>聚醚多元醇、碳酸二甲酯、环保增塑剂、碳酸二甲酯、扩链剂及水性色浆等</w:t>
      </w:r>
      <w:r>
        <w:rPr>
          <w:rFonts w:hint="eastAsia" w:ascii="Times New Roman" w:cs="Times New Roman"/>
          <w:color w:val="000000"/>
          <w:kern w:val="0"/>
          <w:sz w:val="24"/>
          <w:szCs w:val="24"/>
          <w:lang w:bidi="ar"/>
        </w:rPr>
        <w:t>）具有一定的挥发性，投料、抽真空及分装过程将挥发产生的少量的醚类及MDI有机废气，以非甲烷总烃表征。参照《排放源统计调查产排污核算方法和系数手册》</w:t>
      </w:r>
      <w:r>
        <w:rPr>
          <w:rFonts w:hint="eastAsia" w:ascii="Times New Roman" w:cs="Times New Roman"/>
          <w:color w:val="000000"/>
          <w:kern w:val="0"/>
          <w:sz w:val="24"/>
          <w:szCs w:val="24"/>
          <w:lang w:eastAsia="zh-CN" w:bidi="ar"/>
        </w:rPr>
        <w:t>“2</w:t>
      </w:r>
      <w:r>
        <w:rPr>
          <w:rFonts w:hint="eastAsia" w:ascii="Times New Roman" w:cs="Times New Roman"/>
          <w:color w:val="000000"/>
          <w:kern w:val="0"/>
          <w:sz w:val="24"/>
          <w:szCs w:val="24"/>
          <w:lang w:val="en-US" w:eastAsia="zh-CN" w:bidi="ar"/>
        </w:rPr>
        <w:t>669</w:t>
      </w:r>
      <w:r>
        <w:rPr>
          <w:rFonts w:hint="eastAsia" w:ascii="Times New Roman" w:cs="Times New Roman"/>
          <w:color w:val="000000"/>
          <w:kern w:val="0"/>
          <w:sz w:val="24"/>
          <w:szCs w:val="24"/>
          <w:lang w:eastAsia="zh-CN" w:bidi="ar"/>
        </w:rPr>
        <w:t xml:space="preserve"> 其他专用化学品制造行业系数表”反应型胶黏剂</w:t>
      </w:r>
      <w:r>
        <w:rPr>
          <w:rFonts w:hint="eastAsia" w:ascii="Times New Roman" w:cs="Times New Roman"/>
          <w:color w:val="000000"/>
          <w:kern w:val="0"/>
          <w:sz w:val="24"/>
          <w:szCs w:val="24"/>
          <w:lang w:bidi="ar"/>
        </w:rPr>
        <w:t>生产VOCs产生系数（</w:t>
      </w:r>
      <w:r>
        <w:rPr>
          <w:rFonts w:hint="eastAsia" w:ascii="Times New Roman" w:cs="Times New Roman"/>
          <w:color w:val="000000"/>
          <w:kern w:val="0"/>
          <w:sz w:val="24"/>
          <w:szCs w:val="24"/>
          <w:lang w:val="en-US" w:eastAsia="zh-CN" w:bidi="ar"/>
        </w:rPr>
        <w:t>0.79</w:t>
      </w:r>
      <w:r>
        <w:rPr>
          <w:rFonts w:hint="eastAsia" w:ascii="Times New Roman" w:cs="Times New Roman"/>
          <w:color w:val="000000"/>
          <w:kern w:val="0"/>
          <w:sz w:val="24"/>
          <w:szCs w:val="24"/>
          <w:lang w:bidi="ar"/>
        </w:rPr>
        <w:t>kg/t</w:t>
      </w:r>
      <w:r>
        <w:rPr>
          <w:rFonts w:hint="eastAsia" w:ascii="Times New Roman" w:cs="Times New Roman"/>
          <w:color w:val="000000"/>
          <w:kern w:val="0"/>
          <w:sz w:val="24"/>
          <w:szCs w:val="24"/>
          <w:lang w:val="en-US" w:eastAsia="zh-CN" w:bidi="ar"/>
        </w:rPr>
        <w:t>-产品</w:t>
      </w:r>
      <w:r>
        <w:rPr>
          <w:rFonts w:hint="eastAsia" w:ascii="Times New Roman" w:cs="Times New Roman"/>
          <w:color w:val="000000"/>
          <w:kern w:val="0"/>
          <w:sz w:val="24"/>
          <w:szCs w:val="24"/>
          <w:lang w:bidi="ar"/>
        </w:rPr>
        <w:t>），</w:t>
      </w:r>
      <w:r>
        <w:rPr>
          <w:rFonts w:hint="eastAsia" w:ascii="Times New Roman" w:cs="Times New Roman"/>
          <w:color w:val="000000"/>
          <w:kern w:val="0"/>
          <w:sz w:val="24"/>
          <w:szCs w:val="24"/>
          <w:lang w:eastAsia="zh-CN" w:bidi="ar"/>
        </w:rPr>
        <w:t>本项目产品双组份胶水设计产能为</w:t>
      </w:r>
      <w:r>
        <w:rPr>
          <w:rFonts w:hint="eastAsia" w:ascii="Times New Roman" w:cs="Times New Roman"/>
          <w:color w:val="000000"/>
          <w:kern w:val="0"/>
          <w:sz w:val="24"/>
          <w:szCs w:val="24"/>
          <w:lang w:val="en-US" w:eastAsia="zh-CN" w:bidi="ar"/>
        </w:rPr>
        <w:t>8000t/a</w:t>
      </w:r>
      <w:r>
        <w:rPr>
          <w:rFonts w:hint="eastAsia" w:ascii="Times New Roman" w:cs="Times New Roman"/>
          <w:color w:val="000000"/>
          <w:kern w:val="0"/>
          <w:sz w:val="24"/>
          <w:szCs w:val="24"/>
          <w:lang w:bidi="ar"/>
        </w:rPr>
        <w:t>，则有机废气产生量为</w:t>
      </w:r>
      <w:r>
        <w:rPr>
          <w:rFonts w:hint="eastAsia" w:ascii="Times New Roman" w:cs="Times New Roman"/>
          <w:color w:val="000000"/>
          <w:kern w:val="0"/>
          <w:sz w:val="24"/>
          <w:szCs w:val="24"/>
          <w:lang w:val="en-US" w:eastAsia="zh-CN" w:bidi="ar"/>
        </w:rPr>
        <w:t>6.32</w:t>
      </w:r>
      <w:r>
        <w:rPr>
          <w:rFonts w:hint="eastAsia" w:ascii="Times New Roman" w:cs="Times New Roman"/>
          <w:color w:val="000000"/>
          <w:kern w:val="0"/>
          <w:sz w:val="24"/>
          <w:szCs w:val="24"/>
          <w:lang w:bidi="ar"/>
        </w:rPr>
        <w:t>t/a。</w:t>
      </w:r>
    </w:p>
    <w:p>
      <w:pPr>
        <w:pStyle w:val="24"/>
        <w:keepNext w:val="0"/>
        <w:keepLines w:val="0"/>
        <w:pageBreakBefore w:val="0"/>
        <w:kinsoku/>
        <w:wordWrap/>
        <w:overflowPunct/>
        <w:topLinePunct w:val="0"/>
        <w:autoSpaceDE/>
        <w:autoSpaceDN/>
        <w:bidi w:val="0"/>
        <w:adjustRightInd/>
        <w:snapToGrid/>
        <w:spacing w:beforeAutospacing="0" w:afterAutospacing="0" w:line="360" w:lineRule="auto"/>
        <w:ind w:firstLine="480" w:firstLineChars="200"/>
        <w:jc w:val="both"/>
        <w:textAlignment w:val="auto"/>
        <w:rPr>
          <w:rFonts w:ascii="Times New Roman" w:cs="Times New Roman"/>
          <w:color w:val="000000"/>
          <w:kern w:val="0"/>
          <w:sz w:val="24"/>
          <w:szCs w:val="24"/>
          <w:lang w:bidi="ar"/>
        </w:rPr>
      </w:pPr>
      <w:r>
        <w:rPr>
          <w:rFonts w:hint="eastAsia" w:ascii="Times New Roman" w:cs="Times New Roman"/>
          <w:color w:val="000000"/>
          <w:kern w:val="0"/>
          <w:sz w:val="24"/>
          <w:szCs w:val="24"/>
          <w:lang w:eastAsia="zh-CN" w:bidi="ar"/>
        </w:rPr>
        <w:t>废液</w:t>
      </w:r>
      <w:r>
        <w:rPr>
          <w:rFonts w:ascii="Times New Roman" w:cs="Times New Roman"/>
          <w:color w:val="000000"/>
          <w:kern w:val="0"/>
          <w:sz w:val="24"/>
          <w:szCs w:val="24"/>
          <w:lang w:bidi="ar"/>
        </w:rPr>
        <w:t>S</w:t>
      </w:r>
      <w:r>
        <w:rPr>
          <w:rFonts w:hint="eastAsia" w:ascii="Times New Roman" w:cs="Times New Roman"/>
          <w:color w:val="000000"/>
          <w:kern w:val="0"/>
          <w:sz w:val="24"/>
          <w:szCs w:val="24"/>
          <w:lang w:val="en-US" w:eastAsia="zh-CN" w:bidi="ar"/>
        </w:rPr>
        <w:t>5</w:t>
      </w:r>
      <w:r>
        <w:rPr>
          <w:rFonts w:hint="eastAsia" w:ascii="Times New Roman" w:cs="Times New Roman"/>
          <w:color w:val="000000"/>
          <w:kern w:val="0"/>
          <w:sz w:val="24"/>
          <w:szCs w:val="24"/>
          <w:lang w:bidi="ar"/>
        </w:rPr>
        <w:t>：根据业主提供资料，</w:t>
      </w:r>
      <w:r>
        <w:rPr>
          <w:rFonts w:hint="eastAsia" w:ascii="Times New Roman" w:cs="Times New Roman"/>
          <w:color w:val="000000"/>
          <w:kern w:val="0"/>
          <w:sz w:val="24"/>
          <w:szCs w:val="24"/>
          <w:lang w:eastAsia="zh-CN" w:bidi="ar"/>
        </w:rPr>
        <w:t>抽检按批次，每批次抽检</w:t>
      </w:r>
      <w:r>
        <w:rPr>
          <w:rFonts w:hint="eastAsia" w:ascii="Times New Roman" w:cs="Times New Roman"/>
          <w:color w:val="000000"/>
          <w:kern w:val="0"/>
          <w:sz w:val="24"/>
          <w:szCs w:val="24"/>
          <w:lang w:val="en-US" w:eastAsia="zh-CN" w:bidi="ar"/>
        </w:rPr>
        <w:t>A组分2kg</w:t>
      </w:r>
      <w:r>
        <w:rPr>
          <w:rFonts w:hint="eastAsia" w:ascii="Times New Roman" w:cs="Times New Roman"/>
          <w:color w:val="000000"/>
          <w:kern w:val="0"/>
          <w:sz w:val="24"/>
          <w:szCs w:val="24"/>
          <w:lang w:bidi="ar"/>
        </w:rPr>
        <w:t>，</w:t>
      </w:r>
      <w:r>
        <w:rPr>
          <w:rFonts w:hint="eastAsia" w:ascii="Times New Roman" w:cs="Times New Roman"/>
          <w:color w:val="000000"/>
          <w:kern w:val="0"/>
          <w:sz w:val="24"/>
          <w:szCs w:val="24"/>
          <w:lang w:val="en-US" w:eastAsia="zh-CN" w:bidi="ar"/>
        </w:rPr>
        <w:t>B组分2kg，</w:t>
      </w:r>
      <w:r>
        <w:rPr>
          <w:rFonts w:hint="eastAsia" w:ascii="Times New Roman" w:cs="Times New Roman"/>
          <w:color w:val="000000"/>
          <w:kern w:val="0"/>
          <w:sz w:val="24"/>
          <w:szCs w:val="24"/>
          <w:lang w:eastAsia="zh-CN" w:bidi="ar"/>
        </w:rPr>
        <w:t>底液含量为</w:t>
      </w:r>
      <w:r>
        <w:rPr>
          <w:rFonts w:hint="eastAsia" w:ascii="Times New Roman" w:cs="Times New Roman"/>
          <w:color w:val="000000"/>
          <w:kern w:val="0"/>
          <w:sz w:val="24"/>
          <w:szCs w:val="24"/>
          <w:lang w:val="en-US" w:eastAsia="zh-CN" w:bidi="ar"/>
        </w:rPr>
        <w:t>2.70kg/批次，废液</w:t>
      </w:r>
      <w:r>
        <w:rPr>
          <w:rFonts w:hint="eastAsia" w:ascii="Times New Roman" w:cs="Times New Roman"/>
          <w:color w:val="000000"/>
          <w:kern w:val="0"/>
          <w:sz w:val="24"/>
          <w:szCs w:val="24"/>
          <w:lang w:bidi="ar"/>
        </w:rPr>
        <w:t>产生量为</w:t>
      </w:r>
      <w:r>
        <w:rPr>
          <w:rFonts w:hint="eastAsia" w:ascii="Times New Roman" w:cs="Times New Roman"/>
          <w:color w:val="000000"/>
          <w:kern w:val="0"/>
          <w:sz w:val="24"/>
          <w:szCs w:val="24"/>
          <w:lang w:val="en-US" w:eastAsia="zh-CN" w:bidi="ar"/>
        </w:rPr>
        <w:t>1.867</w:t>
      </w:r>
      <w:r>
        <w:rPr>
          <w:rFonts w:hint="eastAsia" w:ascii="Times New Roman" w:cs="Times New Roman"/>
          <w:color w:val="000000"/>
          <w:kern w:val="0"/>
          <w:sz w:val="24"/>
          <w:szCs w:val="24"/>
          <w:lang w:bidi="ar"/>
        </w:rPr>
        <w:t>t/a。</w:t>
      </w:r>
    </w:p>
    <w:p>
      <w:pPr>
        <w:keepNext w:val="0"/>
        <w:keepLines w:val="0"/>
        <w:pageBreakBefore w:val="0"/>
        <w:widowControl/>
        <w:kinsoku/>
        <w:wordWrap/>
        <w:overflowPunct/>
        <w:topLinePunct w:val="0"/>
        <w:autoSpaceDE/>
        <w:autoSpaceDN/>
        <w:bidi w:val="0"/>
        <w:adjustRightInd/>
        <w:snapToGrid/>
        <w:spacing w:beforeAutospacing="0" w:afterAutospacing="0"/>
        <w:ind w:firstLine="480" w:firstLineChars="200"/>
        <w:jc w:val="both"/>
        <w:textAlignment w:val="auto"/>
        <w:rPr>
          <w:rFonts w:hint="eastAsia"/>
          <w:sz w:val="24"/>
          <w:szCs w:val="24"/>
        </w:rPr>
      </w:pPr>
      <w:r>
        <w:rPr>
          <w:rFonts w:hint="eastAsia"/>
          <w:sz w:val="24"/>
          <w:szCs w:val="24"/>
        </w:rPr>
        <w:t>双组份胶水生产物料平衡见表4</w:t>
      </w:r>
      <w:r>
        <w:rPr>
          <w:sz w:val="24"/>
          <w:szCs w:val="24"/>
        </w:rPr>
        <w:t>.</w:t>
      </w:r>
      <w:r>
        <w:rPr>
          <w:rFonts w:hint="eastAsia"/>
          <w:sz w:val="24"/>
          <w:szCs w:val="24"/>
        </w:rPr>
        <w:t>2</w:t>
      </w:r>
      <w:r>
        <w:rPr>
          <w:sz w:val="24"/>
          <w:szCs w:val="24"/>
        </w:rPr>
        <w:t>-</w:t>
      </w:r>
      <w:r>
        <w:rPr>
          <w:rFonts w:hint="eastAsia"/>
          <w:sz w:val="24"/>
          <w:szCs w:val="24"/>
        </w:rPr>
        <w:t>5及图4</w:t>
      </w:r>
      <w:r>
        <w:rPr>
          <w:sz w:val="24"/>
          <w:szCs w:val="24"/>
        </w:rPr>
        <w:t>.</w:t>
      </w:r>
      <w:r>
        <w:rPr>
          <w:rFonts w:hint="eastAsia"/>
          <w:sz w:val="24"/>
          <w:szCs w:val="24"/>
        </w:rPr>
        <w:t>2</w:t>
      </w:r>
      <w:r>
        <w:rPr>
          <w:sz w:val="24"/>
          <w:szCs w:val="24"/>
        </w:rPr>
        <w:t>-</w:t>
      </w:r>
      <w:r>
        <w:rPr>
          <w:rFonts w:hint="eastAsia"/>
          <w:sz w:val="24"/>
          <w:szCs w:val="24"/>
        </w:rPr>
        <w:t>10。</w:t>
      </w:r>
    </w:p>
    <w:p>
      <w:pPr>
        <w:keepNext w:val="0"/>
        <w:keepLines w:val="0"/>
        <w:pageBreakBefore w:val="0"/>
        <w:widowControl/>
        <w:kinsoku/>
        <w:wordWrap/>
        <w:overflowPunct/>
        <w:topLinePunct w:val="0"/>
        <w:autoSpaceDE/>
        <w:autoSpaceDN/>
        <w:bidi w:val="0"/>
        <w:adjustRightInd/>
        <w:snapToGrid/>
        <w:spacing w:beforeAutospacing="0" w:afterAutospacing="0"/>
        <w:ind w:firstLine="480" w:firstLineChars="200"/>
        <w:jc w:val="both"/>
        <w:textAlignment w:val="auto"/>
        <w:rPr>
          <w:rFonts w:hint="default" w:eastAsia="宋体"/>
          <w:sz w:val="24"/>
          <w:szCs w:val="24"/>
          <w:u w:val="single"/>
          <w:lang w:val="en-US" w:eastAsia="zh-CN"/>
        </w:rPr>
      </w:pPr>
      <w:r>
        <w:rPr>
          <w:rFonts w:hint="eastAsia"/>
          <w:sz w:val="24"/>
          <w:szCs w:val="24"/>
          <w:u w:val="single"/>
          <w:lang w:eastAsia="zh-CN"/>
        </w:rPr>
        <w:t>根据</w:t>
      </w:r>
      <w:r>
        <w:rPr>
          <w:rFonts w:hint="eastAsia"/>
          <w:sz w:val="24"/>
          <w:szCs w:val="24"/>
          <w:u w:val="single"/>
          <w:lang w:val="en-US" w:eastAsia="zh-CN"/>
        </w:rPr>
        <w:t>3.2.5</w:t>
      </w:r>
      <w:r>
        <w:rPr>
          <w:rFonts w:hint="eastAsia"/>
          <w:sz w:val="24"/>
          <w:szCs w:val="24"/>
          <w:u w:val="single"/>
          <w:lang w:eastAsia="zh-CN"/>
        </w:rPr>
        <w:t>产品方案表</w:t>
      </w:r>
      <w:r>
        <w:rPr>
          <w:rFonts w:hint="eastAsia"/>
          <w:sz w:val="24"/>
          <w:szCs w:val="24"/>
          <w:u w:val="single"/>
          <w:lang w:val="en-US" w:eastAsia="zh-CN"/>
        </w:rPr>
        <w:t>3.2-6项目反应釜产能核实一览表，产品双组份胶水年产8000吨，生产批次445批/年，由此核算单批次产品量为17.9775t/批次。</w:t>
      </w:r>
    </w:p>
    <w:p>
      <w:pPr>
        <w:widowControl/>
        <w:ind w:firstLine="0" w:firstLineChars="0"/>
        <w:jc w:val="center"/>
        <w:rPr>
          <w:b/>
          <w:bCs/>
        </w:rPr>
      </w:pPr>
      <w:r>
        <w:rPr>
          <w:rFonts w:hint="eastAsia" w:ascii="宋体" w:hAnsi="宋体" w:cs="宋体"/>
          <w:b/>
          <w:bCs/>
          <w:color w:val="000000"/>
          <w:kern w:val="0"/>
          <w:lang w:bidi="ar"/>
        </w:rPr>
        <w:t>表</w:t>
      </w:r>
      <w:r>
        <w:rPr>
          <w:rFonts w:hint="eastAsia" w:cs="Times New Roman"/>
          <w:b/>
          <w:bCs/>
          <w:color w:val="000000"/>
          <w:kern w:val="0"/>
          <w:lang w:bidi="ar"/>
        </w:rPr>
        <w:t>4.2</w:t>
      </w:r>
      <w:r>
        <w:rPr>
          <w:rFonts w:cs="Times New Roman"/>
          <w:b/>
          <w:bCs/>
          <w:color w:val="000000"/>
          <w:kern w:val="0"/>
          <w:lang w:bidi="ar"/>
        </w:rPr>
        <w:t>-</w:t>
      </w:r>
      <w:r>
        <w:rPr>
          <w:rFonts w:hint="eastAsia" w:cs="Times New Roman"/>
          <w:b/>
          <w:bCs/>
          <w:color w:val="000000"/>
          <w:kern w:val="0"/>
          <w:lang w:bidi="ar"/>
        </w:rPr>
        <w:t xml:space="preserve">5  </w:t>
      </w:r>
      <w:r>
        <w:rPr>
          <w:rFonts w:hint="eastAsia" w:cs="Times New Roman"/>
          <w:b/>
          <w:bCs/>
          <w:color w:val="000000"/>
          <w:kern w:val="0"/>
        </w:rPr>
        <mc:AlternateContent>
          <mc:Choice Requires="wps">
            <w:drawing>
              <wp:anchor distT="0" distB="0" distL="114300" distR="114300" simplePos="0" relativeHeight="251701248"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46" name="直接箭头连接符 146"/>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701248;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lcIbI&#10;1QAAAAkBAAAPAAAAAAAAAAEAIAAAACIAAABkcnMvZG93bnJldi54bWxQSwECFAAUAAAACACHTuJA&#10;DxGSfLIBAABIAwAADgAAAAAAAAABACAAAAAkAQAAZHJzL2Uyb0RvYy54bWxQSwUGAAAAAAYABgBZ&#10;AQAASAUAAAAA&#10;">
                <v:fill on="f" focussize="0,0"/>
                <v:stroke on="f"/>
                <v:imagedata o:title=""/>
                <o:lock v:ext="edit" aspectratio="f"/>
              </v:shape>
            </w:pict>
          </mc:Fallback>
        </mc:AlternateContent>
      </w:r>
      <w:r>
        <w:rPr>
          <w:rFonts w:hint="eastAsia" w:cs="Times New Roman"/>
          <w:b/>
          <w:bCs/>
          <w:color w:val="000000"/>
          <w:kern w:val="0"/>
          <w:lang w:bidi="ar"/>
        </w:rPr>
        <w:t>双组份胶水生产</w:t>
      </w:r>
      <w:r>
        <w:rPr>
          <w:rFonts w:hint="eastAsia" w:ascii="宋体" w:hAnsi="宋体" w:cs="宋体"/>
          <w:b/>
          <w:bCs/>
          <w:color w:val="000000"/>
          <w:kern w:val="0"/>
          <w:lang w:bidi="ar"/>
        </w:rPr>
        <w:t>物料平衡一览表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2830"/>
        <w:gridCol w:w="1323"/>
        <w:gridCol w:w="576"/>
        <w:gridCol w:w="1520"/>
        <w:gridCol w:w="2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637"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投入情况（kg/批次）</w:t>
            </w:r>
          </w:p>
        </w:tc>
        <w:tc>
          <w:tcPr>
            <w:tcW w:w="2362"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产出情况（kg/批次）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02" w:type="pct"/>
            <w:vMerge w:val="restar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w:t>
            </w:r>
          </w:p>
        </w:tc>
        <w:tc>
          <w:tcPr>
            <w:tcW w:w="1522" w:type="pct"/>
            <w:vMerge w:val="restar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聚醚多元醇</w:t>
            </w:r>
          </w:p>
        </w:tc>
        <w:tc>
          <w:tcPr>
            <w:tcW w:w="712" w:type="pct"/>
            <w:vMerge w:val="restar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14371.96</w:t>
            </w:r>
          </w:p>
        </w:tc>
        <w:tc>
          <w:tcPr>
            <w:tcW w:w="310" w:type="pct"/>
            <w:vMerge w:val="restar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w:t>
            </w:r>
          </w:p>
        </w:tc>
        <w:tc>
          <w:tcPr>
            <w:tcW w:w="81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A组分</w:t>
            </w:r>
            <w:r>
              <w:rPr>
                <w:rFonts w:hint="eastAsia"/>
                <w:sz w:val="21"/>
                <w:szCs w:val="21"/>
                <w:u w:val="none"/>
              </w:rPr>
              <mc:AlternateContent>
                <mc:Choice Requires="wps">
                  <w:drawing>
                    <wp:anchor distT="0" distB="0" distL="114300" distR="114300" simplePos="0" relativeHeight="251721728"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47" name="直接箭头连接符 147"/>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721728;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GVwhsjV&#10;AAAACQEAAA8AAAAAAAAAAQAgAAAAIgAAAGRycy9kb3ducmV2LnhtbFBLAQIUABQAAAAIAIdO4kB/&#10;dOIqsQEAAEgDAAAOAAAAAAAAAAEAIAAAACQBAABkcnMvZTJvRG9jLnhtbFBLBQYAAAAABgAGAFkB&#10;AABHBQAAAAA=&#10;">
                      <v:fill on="f" focussize="0,0"/>
                      <v:stroke on="f"/>
                      <v:imagedata o:title=""/>
                      <o:lock v:ext="edit" aspectratio="f"/>
                    </v:shape>
                  </w:pict>
                </mc:Fallback>
              </mc:AlternateContent>
            </w:r>
            <w:r>
              <w:rPr>
                <w:rFonts w:hint="eastAsia"/>
                <w:sz w:val="21"/>
                <w:szCs w:val="21"/>
                <w:u w:val="none"/>
              </w:rPr>
              <w:t>胶水</w:t>
            </w:r>
          </w:p>
        </w:tc>
        <w:tc>
          <w:tcPr>
            <w:tcW w:w="1234"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8988.76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02" w:type="pct"/>
            <w:vMerge w:val="continue"/>
            <w:tcBorders>
              <w:tl2br w:val="nil"/>
              <w:tr2bl w:val="nil"/>
            </w:tcBorders>
            <w:vAlign w:val="center"/>
          </w:tcPr>
          <w:p>
            <w:pPr>
              <w:widowControl/>
              <w:spacing w:line="240" w:lineRule="auto"/>
              <w:ind w:firstLine="0" w:firstLineChars="0"/>
              <w:jc w:val="center"/>
              <w:rPr>
                <w:sz w:val="21"/>
                <w:szCs w:val="21"/>
                <w:u w:val="none"/>
              </w:rPr>
            </w:pPr>
          </w:p>
        </w:tc>
        <w:tc>
          <w:tcPr>
            <w:tcW w:w="1522" w:type="pct"/>
            <w:vMerge w:val="continue"/>
            <w:tcBorders>
              <w:tl2br w:val="nil"/>
              <w:tr2bl w:val="nil"/>
            </w:tcBorders>
            <w:vAlign w:val="center"/>
          </w:tcPr>
          <w:p>
            <w:pPr>
              <w:spacing w:line="240" w:lineRule="auto"/>
              <w:ind w:firstLine="0" w:firstLineChars="0"/>
              <w:jc w:val="center"/>
              <w:rPr>
                <w:rFonts w:cs="Times New Roman"/>
                <w:kern w:val="21"/>
                <w:sz w:val="21"/>
                <w:szCs w:val="21"/>
                <w:u w:val="none"/>
              </w:rPr>
            </w:pPr>
          </w:p>
        </w:tc>
        <w:tc>
          <w:tcPr>
            <w:tcW w:w="712" w:type="pct"/>
            <w:vMerge w:val="continue"/>
            <w:tcBorders>
              <w:tl2br w:val="nil"/>
              <w:tr2bl w:val="nil"/>
            </w:tcBorders>
            <w:vAlign w:val="center"/>
          </w:tcPr>
          <w:p>
            <w:pPr>
              <w:widowControl/>
              <w:spacing w:line="240" w:lineRule="auto"/>
              <w:ind w:firstLine="0" w:firstLineChars="0"/>
              <w:jc w:val="center"/>
              <w:rPr>
                <w:sz w:val="21"/>
                <w:szCs w:val="21"/>
                <w:u w:val="none"/>
              </w:rPr>
            </w:pPr>
          </w:p>
        </w:tc>
        <w:tc>
          <w:tcPr>
            <w:tcW w:w="310" w:type="pct"/>
            <w:vMerge w:val="continue"/>
            <w:tcBorders>
              <w:tl2br w:val="nil"/>
              <w:tr2bl w:val="nil"/>
            </w:tcBorders>
            <w:vAlign w:val="center"/>
          </w:tcPr>
          <w:p>
            <w:pPr>
              <w:widowControl/>
              <w:spacing w:line="240" w:lineRule="auto"/>
              <w:ind w:firstLine="0" w:firstLineChars="0"/>
              <w:jc w:val="center"/>
              <w:rPr>
                <w:sz w:val="21"/>
                <w:szCs w:val="21"/>
                <w:u w:val="none"/>
              </w:rPr>
            </w:pPr>
          </w:p>
        </w:tc>
        <w:tc>
          <w:tcPr>
            <w:tcW w:w="81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B组分</w:t>
            </w:r>
            <w:r>
              <w:rPr>
                <w:rFonts w:hint="eastAsia"/>
                <w:sz w:val="21"/>
                <w:szCs w:val="21"/>
                <w:u w:val="none"/>
              </w:rPr>
              <mc:AlternateContent>
                <mc:Choice Requires="wps">
                  <w:drawing>
                    <wp:anchor distT="0" distB="0" distL="114300" distR="114300" simplePos="0" relativeHeight="251722752"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21" name="直接箭头连接符 121"/>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722752;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GVwhsjV&#10;AAAACQEAAA8AAAAAAAAAAQAgAAAAIgAAAGRycy9kb3ducmV2LnhtbFBLAQIUABQAAAAIAIdO4kCJ&#10;LCk+sQEAAEgDAAAOAAAAAAAAAAEAIAAAACQBAABkcnMvZTJvRG9jLnhtbFBLBQYAAAAABgAGAFkB&#10;AABHBQAAAAA=&#10;">
                      <v:fill on="f" focussize="0,0"/>
                      <v:stroke on="f"/>
                      <v:imagedata o:title=""/>
                      <o:lock v:ext="edit" aspectratio="f"/>
                    </v:shape>
                  </w:pict>
                </mc:Fallback>
              </mc:AlternateContent>
            </w:r>
            <w:r>
              <w:rPr>
                <w:rFonts w:hint="eastAsia"/>
                <w:sz w:val="21"/>
                <w:szCs w:val="21"/>
                <w:u w:val="none"/>
              </w:rPr>
              <w:t>胶水</w:t>
            </w:r>
          </w:p>
        </w:tc>
        <w:tc>
          <w:tcPr>
            <w:tcW w:w="1234"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8988.76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2</w:t>
            </w:r>
          </w:p>
        </w:tc>
        <w:tc>
          <w:tcPr>
            <w:tcW w:w="1522"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环保增塑剂</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426.07</w:t>
            </w:r>
          </w:p>
        </w:tc>
        <w:tc>
          <w:tcPr>
            <w:tcW w:w="310"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2</w:t>
            </w:r>
          </w:p>
        </w:tc>
        <w:tc>
          <w:tcPr>
            <w:tcW w:w="81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非甲烷总烃</w:t>
            </w:r>
          </w:p>
        </w:tc>
        <w:tc>
          <w:tcPr>
            <w:tcW w:w="1234"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14.20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3</w:t>
            </w:r>
          </w:p>
        </w:tc>
        <w:tc>
          <w:tcPr>
            <w:tcW w:w="1522" w:type="pct"/>
            <w:tcBorders>
              <w:tl2br w:val="nil"/>
              <w:tr2bl w:val="nil"/>
            </w:tcBorders>
            <w:vAlign w:val="center"/>
          </w:tcPr>
          <w:p>
            <w:pPr>
              <w:spacing w:line="240" w:lineRule="auto"/>
              <w:ind w:firstLine="0" w:firstLineChars="0"/>
              <w:jc w:val="center"/>
              <w:rPr>
                <w:rFonts w:cs="Times New Roman"/>
                <w:kern w:val="21"/>
                <w:sz w:val="21"/>
                <w:szCs w:val="21"/>
                <w:u w:val="none"/>
              </w:rPr>
            </w:pPr>
            <w:r>
              <w:rPr>
                <w:rFonts w:cs="Times New Roman"/>
                <w:kern w:val="21"/>
                <w:sz w:val="21"/>
                <w:szCs w:val="21"/>
                <w:u w:val="none"/>
              </w:rPr>
              <w:t>氯化石蜡</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49.44</w:t>
            </w:r>
          </w:p>
        </w:tc>
        <w:tc>
          <w:tcPr>
            <w:tcW w:w="310"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3</w:t>
            </w:r>
          </w:p>
        </w:tc>
        <w:tc>
          <w:tcPr>
            <w:tcW w:w="81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固废S5</w:t>
            </w:r>
          </w:p>
        </w:tc>
        <w:tc>
          <w:tcPr>
            <w:tcW w:w="1234"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6.70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4</w:t>
            </w:r>
          </w:p>
        </w:tc>
        <w:tc>
          <w:tcPr>
            <w:tcW w:w="1522"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甲苯二异氰酸酯</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185.57</w:t>
            </w:r>
          </w:p>
        </w:tc>
        <w:tc>
          <w:tcPr>
            <w:tcW w:w="310"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4</w:t>
            </w:r>
          </w:p>
        </w:tc>
        <w:tc>
          <w:tcPr>
            <w:tcW w:w="81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颗粒物</w:t>
            </w:r>
          </w:p>
        </w:tc>
        <w:tc>
          <w:tcPr>
            <w:tcW w:w="1234"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0.047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5</w:t>
            </w:r>
          </w:p>
        </w:tc>
        <w:tc>
          <w:tcPr>
            <w:tcW w:w="1522"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二苯基甲烷二异氰酸酯</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485.69</w:t>
            </w:r>
          </w:p>
        </w:tc>
        <w:tc>
          <w:tcPr>
            <w:tcW w:w="310" w:type="pct"/>
            <w:tcBorders>
              <w:tl2br w:val="nil"/>
              <w:tr2bl w:val="nil"/>
            </w:tcBorders>
            <w:vAlign w:val="center"/>
          </w:tcPr>
          <w:p>
            <w:pPr>
              <w:widowControl/>
              <w:spacing w:line="240" w:lineRule="auto"/>
              <w:ind w:firstLine="0" w:firstLineChars="0"/>
              <w:jc w:val="center"/>
              <w:rPr>
                <w:sz w:val="21"/>
                <w:szCs w:val="21"/>
                <w:u w:val="none"/>
              </w:rPr>
            </w:pPr>
          </w:p>
        </w:tc>
        <w:tc>
          <w:tcPr>
            <w:tcW w:w="818" w:type="pct"/>
            <w:tcBorders>
              <w:tl2br w:val="nil"/>
              <w:tr2bl w:val="nil"/>
            </w:tcBorders>
            <w:vAlign w:val="center"/>
          </w:tcPr>
          <w:p>
            <w:pPr>
              <w:widowControl/>
              <w:spacing w:line="240" w:lineRule="auto"/>
              <w:ind w:firstLine="0" w:firstLineChars="0"/>
              <w:jc w:val="center"/>
              <w:rPr>
                <w:sz w:val="21"/>
                <w:szCs w:val="21"/>
                <w:u w:val="none"/>
              </w:rPr>
            </w:pPr>
          </w:p>
        </w:tc>
        <w:tc>
          <w:tcPr>
            <w:tcW w:w="1234"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6</w:t>
            </w:r>
          </w:p>
        </w:tc>
        <w:tc>
          <w:tcPr>
            <w:tcW w:w="1522"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滑石粉</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2353.98</w:t>
            </w:r>
          </w:p>
        </w:tc>
        <w:tc>
          <w:tcPr>
            <w:tcW w:w="310" w:type="pct"/>
            <w:tcBorders>
              <w:tl2br w:val="nil"/>
              <w:tr2bl w:val="nil"/>
            </w:tcBorders>
            <w:vAlign w:val="center"/>
          </w:tcPr>
          <w:p>
            <w:pPr>
              <w:widowControl/>
              <w:spacing w:line="240" w:lineRule="auto"/>
              <w:ind w:firstLine="0" w:firstLineChars="0"/>
              <w:jc w:val="center"/>
              <w:rPr>
                <w:sz w:val="21"/>
                <w:szCs w:val="21"/>
                <w:u w:val="none"/>
              </w:rPr>
            </w:pPr>
          </w:p>
        </w:tc>
        <w:tc>
          <w:tcPr>
            <w:tcW w:w="818" w:type="pct"/>
            <w:tcBorders>
              <w:tl2br w:val="nil"/>
              <w:tr2bl w:val="nil"/>
            </w:tcBorders>
            <w:vAlign w:val="center"/>
          </w:tcPr>
          <w:p>
            <w:pPr>
              <w:widowControl/>
              <w:spacing w:line="240" w:lineRule="auto"/>
              <w:ind w:firstLine="0" w:firstLineChars="0"/>
              <w:jc w:val="center"/>
              <w:rPr>
                <w:sz w:val="21"/>
                <w:szCs w:val="21"/>
                <w:u w:val="none"/>
              </w:rPr>
            </w:pPr>
          </w:p>
        </w:tc>
        <w:tc>
          <w:tcPr>
            <w:tcW w:w="1234"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7</w:t>
            </w:r>
          </w:p>
        </w:tc>
        <w:tc>
          <w:tcPr>
            <w:tcW w:w="1522"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有机锡催化剂</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2.70</w:t>
            </w:r>
          </w:p>
        </w:tc>
        <w:tc>
          <w:tcPr>
            <w:tcW w:w="310" w:type="pct"/>
            <w:tcBorders>
              <w:tl2br w:val="nil"/>
              <w:tr2bl w:val="nil"/>
            </w:tcBorders>
            <w:vAlign w:val="center"/>
          </w:tcPr>
          <w:p>
            <w:pPr>
              <w:widowControl/>
              <w:spacing w:line="240" w:lineRule="auto"/>
              <w:ind w:firstLine="0" w:firstLineChars="0"/>
              <w:jc w:val="center"/>
              <w:rPr>
                <w:sz w:val="21"/>
                <w:szCs w:val="21"/>
                <w:u w:val="none"/>
              </w:rPr>
            </w:pPr>
          </w:p>
        </w:tc>
        <w:tc>
          <w:tcPr>
            <w:tcW w:w="818" w:type="pct"/>
            <w:tcBorders>
              <w:tl2br w:val="nil"/>
              <w:tr2bl w:val="nil"/>
            </w:tcBorders>
            <w:vAlign w:val="center"/>
          </w:tcPr>
          <w:p>
            <w:pPr>
              <w:widowControl/>
              <w:spacing w:line="240" w:lineRule="auto"/>
              <w:ind w:firstLine="0" w:firstLineChars="0"/>
              <w:jc w:val="center"/>
              <w:rPr>
                <w:sz w:val="21"/>
                <w:szCs w:val="21"/>
                <w:u w:val="none"/>
              </w:rPr>
            </w:pPr>
          </w:p>
        </w:tc>
        <w:tc>
          <w:tcPr>
            <w:tcW w:w="1234"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8</w:t>
            </w:r>
          </w:p>
        </w:tc>
        <w:tc>
          <w:tcPr>
            <w:tcW w:w="1522"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碳酸二甲酯</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56.67</w:t>
            </w:r>
          </w:p>
        </w:tc>
        <w:tc>
          <w:tcPr>
            <w:tcW w:w="310" w:type="pct"/>
            <w:tcBorders>
              <w:tl2br w:val="nil"/>
              <w:tr2bl w:val="nil"/>
            </w:tcBorders>
            <w:vAlign w:val="center"/>
          </w:tcPr>
          <w:p>
            <w:pPr>
              <w:widowControl/>
              <w:spacing w:line="240" w:lineRule="auto"/>
              <w:ind w:firstLine="0" w:firstLineChars="0"/>
              <w:jc w:val="center"/>
              <w:rPr>
                <w:sz w:val="21"/>
                <w:szCs w:val="21"/>
                <w:u w:val="none"/>
              </w:rPr>
            </w:pPr>
          </w:p>
        </w:tc>
        <w:tc>
          <w:tcPr>
            <w:tcW w:w="818" w:type="pct"/>
            <w:tcBorders>
              <w:tl2br w:val="nil"/>
              <w:tr2bl w:val="nil"/>
            </w:tcBorders>
            <w:vAlign w:val="center"/>
          </w:tcPr>
          <w:p>
            <w:pPr>
              <w:widowControl/>
              <w:spacing w:line="240" w:lineRule="auto"/>
              <w:ind w:firstLine="0" w:firstLineChars="0"/>
              <w:jc w:val="center"/>
              <w:rPr>
                <w:sz w:val="21"/>
                <w:szCs w:val="21"/>
                <w:u w:val="none"/>
              </w:rPr>
            </w:pPr>
          </w:p>
        </w:tc>
        <w:tc>
          <w:tcPr>
            <w:tcW w:w="1234"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9</w:t>
            </w:r>
          </w:p>
        </w:tc>
        <w:tc>
          <w:tcPr>
            <w:tcW w:w="1522"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扩链剂</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4.88</w:t>
            </w:r>
          </w:p>
        </w:tc>
        <w:tc>
          <w:tcPr>
            <w:tcW w:w="310" w:type="pct"/>
            <w:tcBorders>
              <w:tl2br w:val="nil"/>
              <w:tr2bl w:val="nil"/>
            </w:tcBorders>
            <w:vAlign w:val="center"/>
          </w:tcPr>
          <w:p>
            <w:pPr>
              <w:widowControl/>
              <w:spacing w:line="240" w:lineRule="auto"/>
              <w:ind w:firstLine="0" w:firstLineChars="0"/>
              <w:jc w:val="center"/>
              <w:rPr>
                <w:sz w:val="21"/>
                <w:szCs w:val="21"/>
                <w:u w:val="none"/>
              </w:rPr>
            </w:pPr>
          </w:p>
        </w:tc>
        <w:tc>
          <w:tcPr>
            <w:tcW w:w="818" w:type="pct"/>
            <w:tcBorders>
              <w:tl2br w:val="nil"/>
              <w:tr2bl w:val="nil"/>
            </w:tcBorders>
            <w:vAlign w:val="center"/>
          </w:tcPr>
          <w:p>
            <w:pPr>
              <w:widowControl/>
              <w:spacing w:line="240" w:lineRule="auto"/>
              <w:ind w:firstLine="0" w:firstLineChars="0"/>
              <w:jc w:val="center"/>
              <w:rPr>
                <w:sz w:val="21"/>
                <w:szCs w:val="21"/>
                <w:u w:val="none"/>
              </w:rPr>
            </w:pPr>
          </w:p>
        </w:tc>
        <w:tc>
          <w:tcPr>
            <w:tcW w:w="1234"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0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10</w:t>
            </w:r>
          </w:p>
        </w:tc>
        <w:tc>
          <w:tcPr>
            <w:tcW w:w="1522" w:type="pct"/>
            <w:tcBorders>
              <w:tl2br w:val="nil"/>
              <w:tr2bl w:val="nil"/>
            </w:tcBorders>
            <w:vAlign w:val="center"/>
          </w:tcPr>
          <w:p>
            <w:pPr>
              <w:spacing w:line="240" w:lineRule="auto"/>
              <w:ind w:firstLine="0" w:firstLineChars="0"/>
              <w:jc w:val="center"/>
              <w:rPr>
                <w:sz w:val="21"/>
                <w:szCs w:val="21"/>
                <w:u w:val="none"/>
              </w:rPr>
            </w:pPr>
            <w:r>
              <w:rPr>
                <w:rFonts w:hint="eastAsia" w:cs="Times New Roman"/>
                <w:kern w:val="21"/>
                <w:sz w:val="21"/>
                <w:szCs w:val="21"/>
                <w:u w:val="none"/>
                <w:lang w:eastAsia="zh-CN"/>
              </w:rPr>
              <w:t>水性</w:t>
            </w:r>
            <w:r>
              <w:rPr>
                <w:rFonts w:cs="Times New Roman"/>
                <w:kern w:val="21"/>
                <w:sz w:val="21"/>
                <w:szCs w:val="21"/>
                <w:u w:val="none"/>
              </w:rPr>
              <w:t>色浆</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61.51</w:t>
            </w:r>
          </w:p>
        </w:tc>
        <w:tc>
          <w:tcPr>
            <w:tcW w:w="310" w:type="pct"/>
            <w:tcBorders>
              <w:tl2br w:val="nil"/>
              <w:tr2bl w:val="nil"/>
            </w:tcBorders>
            <w:vAlign w:val="center"/>
          </w:tcPr>
          <w:p>
            <w:pPr>
              <w:widowControl/>
              <w:spacing w:line="240" w:lineRule="auto"/>
              <w:ind w:firstLine="0" w:firstLineChars="0"/>
              <w:jc w:val="center"/>
              <w:rPr>
                <w:sz w:val="21"/>
                <w:szCs w:val="21"/>
                <w:u w:val="none"/>
              </w:rPr>
            </w:pPr>
          </w:p>
        </w:tc>
        <w:tc>
          <w:tcPr>
            <w:tcW w:w="818" w:type="pct"/>
            <w:tcBorders>
              <w:tl2br w:val="nil"/>
              <w:tr2bl w:val="nil"/>
            </w:tcBorders>
            <w:vAlign w:val="center"/>
          </w:tcPr>
          <w:p>
            <w:pPr>
              <w:widowControl/>
              <w:spacing w:line="240" w:lineRule="auto"/>
              <w:ind w:firstLine="0" w:firstLineChars="0"/>
              <w:jc w:val="center"/>
              <w:rPr>
                <w:sz w:val="21"/>
                <w:szCs w:val="21"/>
                <w:u w:val="none"/>
              </w:rPr>
            </w:pPr>
          </w:p>
        </w:tc>
        <w:tc>
          <w:tcPr>
            <w:tcW w:w="1234"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925" w:type="pct"/>
            <w:gridSpan w:val="2"/>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合计</w:t>
            </w:r>
          </w:p>
        </w:tc>
        <w:tc>
          <w:tcPr>
            <w:tcW w:w="71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lang w:val="en-US" w:eastAsia="zh-CN"/>
              </w:rPr>
              <w:t>17998.47</w:t>
            </w:r>
          </w:p>
        </w:tc>
        <w:tc>
          <w:tcPr>
            <w:tcW w:w="1128" w:type="pct"/>
            <w:gridSpan w:val="2"/>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合计</w:t>
            </w:r>
          </w:p>
        </w:tc>
        <w:tc>
          <w:tcPr>
            <w:tcW w:w="1234"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17998.47</w:t>
            </w:r>
          </w:p>
        </w:tc>
      </w:tr>
    </w:tbl>
    <w:p>
      <w:pPr>
        <w:ind w:firstLine="0" w:firstLineChars="0"/>
        <w:jc w:val="center"/>
      </w:pPr>
      <w:r>
        <w:drawing>
          <wp:inline distT="0" distB="0" distL="114300" distR="114300">
            <wp:extent cx="4910455" cy="3084195"/>
            <wp:effectExtent l="0" t="0" r="4445" b="1905"/>
            <wp:docPr id="12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8"/>
                    <pic:cNvPicPr>
                      <a:picLocks noChangeAspect="1"/>
                    </pic:cNvPicPr>
                  </pic:nvPicPr>
                  <pic:blipFill>
                    <a:blip r:embed="rId51"/>
                    <a:stretch>
                      <a:fillRect/>
                    </a:stretch>
                  </pic:blipFill>
                  <pic:spPr>
                    <a:xfrm>
                      <a:off x="0" y="0"/>
                      <a:ext cx="4910455" cy="3084195"/>
                    </a:xfrm>
                    <a:prstGeom prst="rect">
                      <a:avLst/>
                    </a:prstGeom>
                    <a:noFill/>
                    <a:ln>
                      <a:noFill/>
                    </a:ln>
                  </pic:spPr>
                </pic:pic>
              </a:graphicData>
            </a:graphic>
          </wp:inline>
        </w:drawing>
      </w:r>
    </w:p>
    <w:p>
      <w:pPr>
        <w:ind w:firstLine="482"/>
        <w:jc w:val="center"/>
        <w:rPr>
          <w:rFonts w:cs="Times New Roman"/>
          <w:szCs w:val="23"/>
        </w:rPr>
      </w:pPr>
      <w:r>
        <w:rPr>
          <w:rFonts w:hint="eastAsia" w:cs="Times New Roman"/>
          <w:b/>
          <w:bCs/>
        </w:rPr>
        <w:t xml:space="preserve">图4.2-10  </w:t>
      </w:r>
      <w:r>
        <w:rPr>
          <w:rFonts w:hint="eastAsia" w:cs="Times New Roman"/>
          <w:b/>
          <w:bCs/>
          <w:color w:val="000000"/>
          <w:kern w:val="0"/>
        </w:rPr>
        <mc:AlternateContent>
          <mc:Choice Requires="wps">
            <w:drawing>
              <wp:anchor distT="0" distB="0" distL="114300" distR="114300" simplePos="0" relativeHeight="251703296" behindDoc="0" locked="0" layoutInCell="1" allowOverlap="1">
                <wp:simplePos x="0" y="0"/>
                <wp:positionH relativeFrom="column">
                  <wp:posOffset>794385</wp:posOffset>
                </wp:positionH>
                <wp:positionV relativeFrom="paragraph">
                  <wp:posOffset>405765</wp:posOffset>
                </wp:positionV>
                <wp:extent cx="371475" cy="0"/>
                <wp:effectExtent l="0" t="0" r="0" b="0"/>
                <wp:wrapNone/>
                <wp:docPr id="156" name="直接箭头连接符 156"/>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62.55pt;margin-top:31.95pt;height:0pt;width:29.25pt;z-index:251703296;mso-width-relative:page;mso-height-relative:page;" filled="f" stroked="f" coordsize="21600,21600" o:gfxdata="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hiKW&#10;StYAAAAJAQAADwAAAAAAAAABACAAAAAiAAAAZHJzL2Rvd25yZXYueG1sUEsBAhQAFAAAAAgAh07i&#10;QFYQwSyyAQAASAMAAA4AAAAAAAAAAQAgAAAAJQEAAGRycy9lMm9Eb2MueG1sUEsFBgAAAAAGAAYA&#10;WQEAAEkFAAAAAA==&#10;">
                <v:fill on="f" focussize="0,0"/>
                <v:stroke on="f"/>
                <v:imagedata o:title=""/>
                <o:lock v:ext="edit" aspectratio="f"/>
              </v:shape>
            </w:pict>
          </mc:Fallback>
        </mc:AlternateContent>
      </w:r>
      <w:r>
        <w:rPr>
          <w:rFonts w:hint="eastAsia" w:cs="Times New Roman"/>
          <w:b/>
          <w:bCs/>
          <w:color w:val="000000"/>
          <w:kern w:val="0"/>
          <w:lang w:bidi="ar"/>
        </w:rPr>
        <w:t>双组份胶水生产</w:t>
      </w:r>
      <w:r>
        <w:rPr>
          <w:rFonts w:hint="eastAsia" w:ascii="宋体" w:hAnsi="宋体" w:cs="宋体"/>
          <w:b/>
          <w:bCs/>
          <w:color w:val="000000"/>
          <w:kern w:val="0"/>
          <w:lang w:bidi="ar"/>
        </w:rPr>
        <w:t>物料平衡</w:t>
      </w:r>
      <w:r>
        <w:rPr>
          <w:rFonts w:hint="eastAsia" w:cs="Times New Roman"/>
          <w:b/>
          <w:bCs/>
        </w:rPr>
        <mc:AlternateContent>
          <mc:Choice Requires="wps">
            <w:drawing>
              <wp:anchor distT="0" distB="0" distL="114300" distR="114300" simplePos="0" relativeHeight="251702272"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53" name="直接箭头连接符 153"/>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702272;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lcIbI&#10;1QAAAAkBAAAPAAAAAAAAAAEAIAAAACIAAABkcnMvZG93bnJldi54bWxQSwECFAAUAAAACACHTuJA&#10;p+YB+LIBAABIAwAADgAAAAAAAAABACAAAAAkAQAAZHJzL2Uyb0RvYy54bWxQSwUGAAAAAAYABgBZ&#10;AQAASAUAAAAA&#10;">
                <v:fill on="f" focussize="0,0"/>
                <v:stroke on="f"/>
                <v:imagedata o:title=""/>
                <o:lock v:ext="edit" aspectratio="f"/>
              </v:shape>
            </w:pict>
          </mc:Fallback>
        </mc:AlternateContent>
      </w:r>
      <w:r>
        <w:rPr>
          <w:rFonts w:hint="eastAsia" w:cs="Times New Roman"/>
          <w:b/>
          <w:bCs/>
        </w:rPr>
        <w:t>图</w:t>
      </w:r>
    </w:p>
    <w:p>
      <w:pPr>
        <w:pStyle w:val="7"/>
        <w:ind w:firstLine="562"/>
      </w:pPr>
      <w:r>
        <w:t>4.</w:t>
      </w:r>
      <w:r>
        <w:rPr>
          <w:rFonts w:hint="eastAsia"/>
        </w:rPr>
        <w:t>2.6</w:t>
      </w:r>
      <w:r>
        <w:t xml:space="preserve"> </w:t>
      </w:r>
      <w:r>
        <w:rPr>
          <w:rFonts w:hint="eastAsia"/>
        </w:rPr>
        <w:t>专用面漆生产线产污环节分析</w:t>
      </w:r>
    </w:p>
    <w:p>
      <w:pPr>
        <w:adjustRightInd w:val="0"/>
        <w:snapToGrid w:val="0"/>
        <w:ind w:firstLine="480"/>
        <w:jc w:val="center"/>
      </w:pPr>
      <w:r>
        <w:drawing>
          <wp:inline distT="0" distB="0" distL="114300" distR="114300">
            <wp:extent cx="1557020" cy="2650490"/>
            <wp:effectExtent l="0" t="0" r="5080" b="16510"/>
            <wp:docPr id="12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9"/>
                    <pic:cNvPicPr>
                      <a:picLocks noChangeAspect="1"/>
                    </pic:cNvPicPr>
                  </pic:nvPicPr>
                  <pic:blipFill>
                    <a:blip r:embed="rId52"/>
                    <a:stretch>
                      <a:fillRect/>
                    </a:stretch>
                  </pic:blipFill>
                  <pic:spPr>
                    <a:xfrm>
                      <a:off x="0" y="0"/>
                      <a:ext cx="1557020" cy="2650490"/>
                    </a:xfrm>
                    <a:prstGeom prst="rect">
                      <a:avLst/>
                    </a:prstGeom>
                    <a:noFill/>
                    <a:ln>
                      <a:noFill/>
                    </a:ln>
                  </pic:spPr>
                </pic:pic>
              </a:graphicData>
            </a:graphic>
          </wp:inline>
        </w:drawing>
      </w:r>
    </w:p>
    <w:p>
      <w:pPr>
        <w:ind w:firstLine="482"/>
        <w:jc w:val="center"/>
        <w:rPr>
          <w:rFonts w:cs="Times New Roman"/>
          <w:color w:val="000000" w:themeColor="text1"/>
          <w14:textFill>
            <w14:solidFill>
              <w14:schemeClr w14:val="tx1"/>
            </w14:solidFill>
          </w14:textFill>
        </w:rPr>
      </w:pPr>
      <w:r>
        <w:rPr>
          <w:rFonts w:hint="eastAsia" w:cs="Times New Roman"/>
          <w:b/>
          <w:bCs/>
        </w:rPr>
        <w:t>图4.2-11  专用面漆生产工艺流程及产污环节图</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cs="Times New Roman"/>
          <w:szCs w:val="23"/>
        </w:rPr>
      </w:pPr>
      <w:r>
        <w:rPr>
          <w:rFonts w:hint="eastAsia" w:cs="Times New Roman"/>
          <w:szCs w:val="23"/>
        </w:rPr>
        <w:t>一、专用面漆生产工艺说明：</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eastAsia="宋体" w:cs="Times New Roman"/>
          <w:szCs w:val="23"/>
          <w:lang w:eastAsia="zh-CN"/>
        </w:rPr>
      </w:pPr>
      <w:r>
        <w:rPr>
          <w:rFonts w:hint="eastAsia" w:cs="Times New Roman"/>
          <w:szCs w:val="23"/>
          <w:lang w:val="en-US" w:eastAsia="zh-CN"/>
        </w:rPr>
        <w:t>1、</w:t>
      </w:r>
      <w:r>
        <w:rPr>
          <w:rFonts w:hint="eastAsia" w:cs="Times New Roman"/>
          <w:szCs w:val="23"/>
          <w:lang w:eastAsia="zh-CN"/>
        </w:rPr>
        <w:t>投料：</w:t>
      </w:r>
      <w:r>
        <w:rPr>
          <w:rFonts w:hint="eastAsia" w:cs="Times New Roman"/>
          <w:szCs w:val="23"/>
        </w:rPr>
        <w:t>将去离子水加入至搅拌釜中</w:t>
      </w:r>
      <w:r>
        <w:rPr>
          <w:rFonts w:hint="eastAsia" w:cs="Times New Roman"/>
          <w:szCs w:val="23"/>
          <w:lang w:eastAsia="zh-CN"/>
        </w:rPr>
        <w:t>，缓慢搅动；投料方式：泵入</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cs="Times New Roman"/>
          <w:szCs w:val="23"/>
          <w:lang w:eastAsia="zh-CN"/>
        </w:rPr>
      </w:pPr>
      <w:r>
        <w:rPr>
          <w:rFonts w:hint="eastAsia" w:cs="Times New Roman"/>
          <w:szCs w:val="23"/>
        </w:rPr>
        <w:t>在搅拌情况下加入重钙粉、轻钙粉、</w:t>
      </w:r>
      <w:r>
        <w:rPr>
          <w:rFonts w:hint="eastAsia" w:cs="Times New Roman"/>
          <w:szCs w:val="23"/>
          <w:lang w:eastAsia="zh-CN"/>
        </w:rPr>
        <w:t>钛白粉加入分散罐</w:t>
      </w:r>
      <w:r>
        <w:rPr>
          <w:rFonts w:hint="eastAsia" w:cs="Times New Roman"/>
          <w:szCs w:val="23"/>
        </w:rPr>
        <w:t>，分散均匀</w:t>
      </w:r>
      <w:r>
        <w:rPr>
          <w:rFonts w:hint="eastAsia" w:cs="Times New Roman"/>
          <w:szCs w:val="23"/>
          <w:lang w:eastAsia="zh-CN"/>
        </w:rPr>
        <w:t>；粉料投料：重钙粉、轻钙粉、钛白粉等粉料在密闭投料间经人工投料投入粉料槽（密封槽），然后粉料经螺旋泵输送到反应釜中，将投入的物料搅拌均匀待用。</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cs="Times New Roman"/>
          <w:szCs w:val="23"/>
          <w:lang w:val="en-US" w:eastAsia="zh-CN"/>
        </w:rPr>
      </w:pPr>
      <w:r>
        <w:rPr>
          <w:rFonts w:hint="eastAsia" w:cs="Times New Roman"/>
          <w:szCs w:val="23"/>
          <w:lang w:eastAsia="zh-CN"/>
        </w:rPr>
        <w:t>投料过程持续</w:t>
      </w:r>
      <w:r>
        <w:rPr>
          <w:rFonts w:hint="eastAsia" w:cs="Times New Roman"/>
          <w:szCs w:val="23"/>
          <w:lang w:val="en-US" w:eastAsia="zh-CN"/>
        </w:rPr>
        <w:t>0.5h，</w:t>
      </w:r>
      <w:r>
        <w:rPr>
          <w:rFonts w:hint="eastAsia" w:cs="Times New Roman"/>
          <w:szCs w:val="23"/>
          <w:lang w:eastAsia="zh-CN"/>
        </w:rPr>
        <w:t>投料过程粉料会产生投料粉尘</w:t>
      </w:r>
      <w:r>
        <w:rPr>
          <w:rFonts w:hint="eastAsia" w:cs="Times New Roman"/>
          <w:szCs w:val="23"/>
          <w:lang w:val="en-US" w:eastAsia="zh-CN"/>
        </w:rPr>
        <w:t>G17。</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cs="Times New Roman"/>
          <w:szCs w:val="23"/>
        </w:rPr>
      </w:pPr>
      <w:r>
        <w:rPr>
          <w:rFonts w:hint="eastAsia" w:cs="Times New Roman"/>
          <w:szCs w:val="23"/>
          <w:lang w:val="en-US" w:eastAsia="zh-CN"/>
        </w:rPr>
        <w:t>2、高速分散：</w:t>
      </w:r>
      <w:r>
        <w:rPr>
          <w:rFonts w:hint="eastAsia" w:cs="Times New Roman"/>
          <w:szCs w:val="23"/>
          <w:lang w:eastAsia="zh-CN"/>
        </w:rPr>
        <w:t>分散罐加速搅拌使原料充分混合</w:t>
      </w:r>
      <w:r>
        <w:rPr>
          <w:rFonts w:hint="eastAsia" w:cs="Times New Roman"/>
          <w:szCs w:val="23"/>
        </w:rPr>
        <w:t>，</w:t>
      </w:r>
      <w:r>
        <w:rPr>
          <w:rFonts w:hint="eastAsia" w:cs="Times New Roman"/>
          <w:szCs w:val="23"/>
          <w:lang w:val="en-US" w:eastAsia="zh-CN"/>
        </w:rPr>
        <w:t>操作工艺为常温常压，操作时间为60min，生产过程放热，此时物料温度能够达到50℃，需自然冷却90min，使物料温度降低至40℃以下</w:t>
      </w:r>
      <w:r>
        <w:rPr>
          <w:rFonts w:hint="eastAsia" w:cs="Times New Roman"/>
          <w:szCs w:val="23"/>
        </w:rPr>
        <w:t>。</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cs="Times New Roman"/>
          <w:szCs w:val="23"/>
        </w:rPr>
      </w:pPr>
      <w:r>
        <w:rPr>
          <w:rFonts w:hint="eastAsia" w:cs="Times New Roman"/>
          <w:szCs w:val="23"/>
          <w:lang w:val="en-US" w:eastAsia="zh-CN"/>
        </w:rPr>
        <w:t>3、乳化：计量投入羟基丙烯酸乳液及其他助剂原料进入分散罐，在分散罐内低速分散调整pH值，操作工艺为常温常压，操作时间为30min</w:t>
      </w:r>
      <w:r>
        <w:rPr>
          <w:rFonts w:hint="eastAsia" w:cs="Times New Roman"/>
          <w:szCs w:val="23"/>
        </w:rPr>
        <w:t>加入色浆，搅拌</w:t>
      </w:r>
      <w:r>
        <w:rPr>
          <w:rFonts w:cs="Times New Roman"/>
          <w:szCs w:val="23"/>
        </w:rPr>
        <w:t>0.5</w:t>
      </w:r>
      <w:r>
        <w:rPr>
          <w:rFonts w:hint="eastAsia" w:cs="Times New Roman"/>
          <w:szCs w:val="23"/>
        </w:rPr>
        <w:t>小时，混合均匀。</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cs="Times New Roman"/>
          <w:szCs w:val="23"/>
        </w:rPr>
      </w:pPr>
      <w:r>
        <w:rPr>
          <w:rFonts w:hint="eastAsia"/>
          <w:lang w:val="en-US" w:eastAsia="zh-CN"/>
        </w:rPr>
        <w:t>液体原料的计量方式为：在对某种液体原料投料前，先将该种液体原料的原料桶放在磅秤上称量一次重量，记录好此时磅秤的数字，接着将原料输送管放在原料桶中抽吸液体原料，当磅秤上的数字减少为“抽吸前重量—需添加的液体原料重量”时，停止抽吸。项目所有液体原料均以这种方式计量。</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cs="Times New Roman"/>
          <w:szCs w:val="23"/>
        </w:rPr>
      </w:pPr>
      <w:r>
        <w:rPr>
          <w:rFonts w:hint="eastAsia" w:cs="Times New Roman"/>
          <w:szCs w:val="23"/>
          <w:lang w:eastAsia="zh-CN"/>
        </w:rPr>
        <w:t>乳化过程会产生有机废气</w:t>
      </w:r>
      <w:r>
        <w:rPr>
          <w:rFonts w:hint="eastAsia" w:cs="Times New Roman"/>
          <w:szCs w:val="23"/>
          <w:lang w:val="en-US" w:eastAsia="zh-CN"/>
        </w:rPr>
        <w:t>G18。</w:t>
      </w:r>
    </w:p>
    <w:p>
      <w:pPr>
        <w:keepNext w:val="0"/>
        <w:keepLines w:val="0"/>
        <w:pageBreakBefore w:val="0"/>
        <w:numPr>
          <w:ilvl w:val="0"/>
          <w:numId w:val="7"/>
        </w:numPr>
        <w:kinsoku/>
        <w:wordWrap/>
        <w:overflowPunct/>
        <w:topLinePunct w:val="0"/>
        <w:autoSpaceDE/>
        <w:autoSpaceDN/>
        <w:bidi w:val="0"/>
        <w:adjustRightInd/>
        <w:snapToGrid/>
        <w:spacing w:line="360" w:lineRule="auto"/>
        <w:ind w:firstLine="480"/>
        <w:jc w:val="both"/>
        <w:textAlignment w:val="auto"/>
        <w:rPr>
          <w:rFonts w:hint="eastAsia" w:cs="Times New Roman"/>
          <w:szCs w:val="23"/>
        </w:rPr>
      </w:pPr>
      <w:r>
        <w:rPr>
          <w:rFonts w:hint="eastAsia" w:cs="Times New Roman"/>
          <w:szCs w:val="23"/>
          <w:lang w:val="en-US" w:eastAsia="zh-CN"/>
        </w:rPr>
        <w:t>过滤：</w:t>
      </w:r>
      <w:r>
        <w:rPr>
          <w:rFonts w:hint="eastAsia" w:cs="Times New Roman"/>
          <w:szCs w:val="23"/>
          <w:lang w:eastAsia="zh-CN"/>
        </w:rPr>
        <w:t>分散乳化完成后产品经出料口滤网过滤，此过程产生滤渣</w:t>
      </w:r>
      <w:r>
        <w:rPr>
          <w:rFonts w:hint="eastAsia" w:cs="Times New Roman"/>
          <w:szCs w:val="23"/>
          <w:lang w:val="en-US" w:eastAsia="zh-CN"/>
        </w:rPr>
        <w:t>S6</w:t>
      </w:r>
      <w:r>
        <w:rPr>
          <w:rFonts w:hint="eastAsia" w:cs="Times New Roman"/>
          <w:szCs w:val="23"/>
        </w:rPr>
        <w:t>。</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cs="Times New Roman"/>
          <w:szCs w:val="23"/>
        </w:rPr>
      </w:pPr>
      <w:r>
        <w:rPr>
          <w:rFonts w:hint="eastAsia"/>
          <w:lang w:val="en-US" w:eastAsia="zh-CN"/>
        </w:rPr>
        <w:t>5、灌装：产品自动计量灌装并加盖后即可用叉车运至仓库待售，该工序操作时间为30min。灌装过程</w:t>
      </w:r>
      <w:r>
        <w:rPr>
          <w:rFonts w:hint="eastAsia" w:cs="Times New Roman"/>
          <w:szCs w:val="23"/>
          <w:lang w:eastAsia="zh-CN"/>
        </w:rPr>
        <w:t>会产生有机废气</w:t>
      </w:r>
      <w:r>
        <w:rPr>
          <w:rFonts w:hint="eastAsia" w:cs="Times New Roman"/>
          <w:szCs w:val="23"/>
          <w:lang w:val="en-US" w:eastAsia="zh-CN"/>
        </w:rPr>
        <w:t>G19。</w:t>
      </w:r>
    </w:p>
    <w:p>
      <w:pPr>
        <w:pStyle w:val="24"/>
        <w:keepNext w:val="0"/>
        <w:keepLines w:val="0"/>
        <w:pageBreakBefore w:val="0"/>
        <w:kinsoku/>
        <w:wordWrap/>
        <w:overflowPunct/>
        <w:topLinePunct w:val="0"/>
        <w:autoSpaceDE/>
        <w:autoSpaceDN/>
        <w:bidi w:val="0"/>
        <w:adjustRightInd/>
        <w:snapToGrid/>
        <w:spacing w:line="360" w:lineRule="auto"/>
        <w:ind w:firstLine="480"/>
        <w:jc w:val="both"/>
        <w:textAlignment w:val="auto"/>
        <w:rPr>
          <w:rFonts w:ascii="Times New Roman" w:cs="Times New Roman"/>
          <w:sz w:val="24"/>
          <w:szCs w:val="23"/>
        </w:rPr>
      </w:pPr>
      <w:r>
        <w:rPr>
          <w:rFonts w:hint="eastAsia" w:ascii="Times New Roman" w:cs="Times New Roman"/>
          <w:sz w:val="24"/>
          <w:szCs w:val="23"/>
        </w:rPr>
        <w:t>二</w:t>
      </w:r>
      <w:r>
        <w:rPr>
          <w:rFonts w:hint="eastAsia" w:hAnsi="宋体" w:cs="宋体"/>
          <w:b/>
          <w:bCs/>
          <w:color w:val="000000"/>
          <w:kern w:val="0"/>
          <w:sz w:val="24"/>
          <w:lang w:bidi="ar"/>
        </w:rPr>
        <w:t>、产污流程简述：</w:t>
      </w:r>
    </w:p>
    <w:p>
      <w:pPr>
        <w:keepNext w:val="0"/>
        <w:keepLines w:val="0"/>
        <w:pageBreakBefore w:val="0"/>
        <w:widowControl/>
        <w:kinsoku/>
        <w:wordWrap/>
        <w:overflowPunct/>
        <w:topLinePunct w:val="0"/>
        <w:autoSpaceDE/>
        <w:autoSpaceDN/>
        <w:bidi w:val="0"/>
        <w:adjustRightInd/>
        <w:snapToGrid/>
        <w:spacing w:line="360" w:lineRule="auto"/>
        <w:ind w:firstLine="480"/>
        <w:jc w:val="both"/>
        <w:textAlignment w:val="auto"/>
      </w:pPr>
      <w:r>
        <w:rPr>
          <w:rFonts w:cs="Times New Roman"/>
          <w:color w:val="000000"/>
          <w:kern w:val="0"/>
          <w:lang w:bidi="ar"/>
        </w:rPr>
        <w:t>废气：反应釜在投料口、卸料口、排气口存在少量有机废气</w:t>
      </w:r>
      <w:r>
        <w:rPr>
          <w:rFonts w:hint="eastAsia" w:cs="Times New Roman"/>
          <w:color w:val="000000"/>
          <w:kern w:val="0"/>
          <w:lang w:bidi="ar"/>
        </w:rPr>
        <w:t>和粉尘</w:t>
      </w:r>
      <w:r>
        <w:rPr>
          <w:rFonts w:cs="Times New Roman"/>
          <w:color w:val="000000"/>
          <w:kern w:val="0"/>
          <w:lang w:bidi="ar"/>
        </w:rPr>
        <w:t>（G</w:t>
      </w:r>
      <w:r>
        <w:rPr>
          <w:rFonts w:hint="eastAsia" w:cs="Times New Roman"/>
          <w:color w:val="000000"/>
          <w:kern w:val="0"/>
          <w:lang w:val="en-US" w:eastAsia="zh-CN" w:bidi="ar"/>
        </w:rPr>
        <w:t>17~19</w:t>
      </w:r>
      <w:r>
        <w:rPr>
          <w:rFonts w:cs="Times New Roman"/>
          <w:color w:val="000000"/>
          <w:kern w:val="0"/>
          <w:lang w:bidi="ar"/>
        </w:rPr>
        <w:t>）排放</w:t>
      </w:r>
      <w:r>
        <w:rPr>
          <w:rFonts w:hint="eastAsia" w:ascii="宋体" w:hAnsi="宋体" w:cs="宋体"/>
          <w:color w:val="000000"/>
          <w:kern w:val="0"/>
          <w:lang w:bidi="ar"/>
        </w:rPr>
        <w:t>；</w:t>
      </w:r>
    </w:p>
    <w:p>
      <w:pPr>
        <w:keepNext w:val="0"/>
        <w:keepLines w:val="0"/>
        <w:pageBreakBefore w:val="0"/>
        <w:widowControl/>
        <w:kinsoku/>
        <w:wordWrap/>
        <w:overflowPunct/>
        <w:topLinePunct w:val="0"/>
        <w:autoSpaceDE/>
        <w:autoSpaceDN/>
        <w:bidi w:val="0"/>
        <w:adjustRightInd/>
        <w:snapToGrid/>
        <w:spacing w:line="360" w:lineRule="auto"/>
        <w:ind w:firstLine="480"/>
        <w:jc w:val="both"/>
        <w:textAlignment w:val="auto"/>
        <w:rPr>
          <w:rFonts w:cs="Times New Roman"/>
          <w:color w:val="000000"/>
          <w:kern w:val="0"/>
          <w:lang w:bidi="ar"/>
        </w:rPr>
      </w:pPr>
      <w:r>
        <w:rPr>
          <w:rFonts w:cs="Times New Roman"/>
          <w:color w:val="000000"/>
          <w:kern w:val="0"/>
          <w:lang w:bidi="ar"/>
        </w:rPr>
        <w:t>固体废物：制备好的</w:t>
      </w:r>
      <w:r>
        <w:rPr>
          <w:rFonts w:hint="eastAsia" w:cs="Times New Roman"/>
          <w:color w:val="000000"/>
          <w:kern w:val="0"/>
          <w:lang w:bidi="ar"/>
        </w:rPr>
        <w:t>胶水</w:t>
      </w:r>
      <w:r>
        <w:rPr>
          <w:rFonts w:cs="Times New Roman"/>
          <w:color w:val="000000"/>
          <w:kern w:val="0"/>
          <w:lang w:bidi="ar"/>
        </w:rPr>
        <w:t>经滤网过滤掉杂质，会产生一定量的滤渣S</w:t>
      </w:r>
      <w:r>
        <w:rPr>
          <w:rFonts w:hint="eastAsia" w:cs="Times New Roman"/>
          <w:color w:val="000000"/>
          <w:kern w:val="0"/>
          <w:lang w:val="en-US" w:eastAsia="zh-CN" w:bidi="ar"/>
        </w:rPr>
        <w:t>6</w:t>
      </w:r>
      <w:r>
        <w:rPr>
          <w:rFonts w:cs="Times New Roman"/>
          <w:color w:val="000000"/>
          <w:kern w:val="0"/>
          <w:lang w:bidi="ar"/>
        </w:rPr>
        <w:t>；</w:t>
      </w:r>
    </w:p>
    <w:p>
      <w:pPr>
        <w:keepNext w:val="0"/>
        <w:keepLines w:val="0"/>
        <w:pageBreakBefore w:val="0"/>
        <w:widowControl/>
        <w:kinsoku/>
        <w:wordWrap/>
        <w:overflowPunct/>
        <w:topLinePunct w:val="0"/>
        <w:autoSpaceDE/>
        <w:autoSpaceDN/>
        <w:bidi w:val="0"/>
        <w:adjustRightInd/>
        <w:snapToGrid/>
        <w:spacing w:line="360" w:lineRule="auto"/>
        <w:ind w:firstLine="482"/>
        <w:jc w:val="both"/>
        <w:textAlignment w:val="auto"/>
        <w:rPr>
          <w:rFonts w:ascii="宋体" w:hAnsi="宋体" w:cs="宋体"/>
          <w:b/>
          <w:bCs/>
          <w:color w:val="000000"/>
          <w:kern w:val="0"/>
          <w:lang w:bidi="ar"/>
        </w:rPr>
      </w:pPr>
      <w:r>
        <w:rPr>
          <w:rFonts w:hint="eastAsia" w:ascii="宋体" w:hAnsi="宋体" w:cs="宋体"/>
          <w:b/>
          <w:bCs/>
          <w:color w:val="000000"/>
          <w:kern w:val="0"/>
          <w:lang w:bidi="ar"/>
        </w:rPr>
        <w:t>三、物料衡算</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cs="Times New Roman"/>
          <w:szCs w:val="23"/>
          <w:lang w:eastAsia="zh-CN"/>
        </w:rPr>
      </w:pPr>
      <w:r>
        <w:rPr>
          <w:rFonts w:hint="eastAsia" w:cs="Times New Roman"/>
          <w:szCs w:val="23"/>
        </w:rPr>
        <w:t>G</w:t>
      </w:r>
      <w:r>
        <w:rPr>
          <w:rFonts w:hint="eastAsia" w:cs="Times New Roman"/>
          <w:szCs w:val="23"/>
          <w:lang w:val="en-US" w:eastAsia="zh-CN"/>
        </w:rPr>
        <w:t>17</w:t>
      </w:r>
      <w:r>
        <w:rPr>
          <w:rFonts w:hint="eastAsia" w:cs="Times New Roman"/>
          <w:szCs w:val="23"/>
          <w:lang w:eastAsia="zh-CN"/>
        </w:rPr>
        <w:t>投料粉尘：</w:t>
      </w:r>
      <w:r>
        <w:rPr>
          <w:rFonts w:hint="eastAsia" w:cs="Times New Roman"/>
          <w:szCs w:val="23"/>
          <w:lang w:val="en-US" w:eastAsia="zh-CN"/>
        </w:rPr>
        <w:t>本产品主要固体原料为重钙粉、轻钙粉和钛白粉，与水泥粒径相似，故投料粉尘参考《逸散性工业粉尘控制技术》（J.A.奥里蒙、G.A.久兹等编著）中细微物料投料粉尘产生系数，产生系数为0.00015~0.02kg/t（装料），本项目投料过程中粉尘产生源强取0.02kg/t（装料）</w:t>
      </w:r>
      <w:r>
        <w:rPr>
          <w:rFonts w:hint="eastAsia" w:cs="Times New Roman"/>
          <w:szCs w:val="23"/>
          <w:lang w:eastAsia="zh-CN"/>
        </w:rPr>
        <w:t>，项目粉状物料用量为</w:t>
      </w:r>
      <w:r>
        <w:rPr>
          <w:rFonts w:hint="eastAsia" w:cs="Times New Roman"/>
          <w:szCs w:val="23"/>
          <w:lang w:val="en-US" w:eastAsia="zh-CN"/>
        </w:rPr>
        <w:t>600</w:t>
      </w:r>
      <w:r>
        <w:rPr>
          <w:rFonts w:hint="eastAsia" w:cs="Times New Roman"/>
          <w:szCs w:val="23"/>
          <w:lang w:eastAsia="zh-CN"/>
        </w:rPr>
        <w:t>t/a，则粉尘产生量约为</w:t>
      </w:r>
      <w:r>
        <w:rPr>
          <w:rFonts w:hint="eastAsia" w:cs="Times New Roman"/>
          <w:szCs w:val="23"/>
          <w:lang w:val="en-US" w:eastAsia="zh-CN"/>
        </w:rPr>
        <w:t>0.012</w:t>
      </w:r>
      <w:r>
        <w:rPr>
          <w:rFonts w:hint="eastAsia" w:cs="Times New Roman"/>
          <w:szCs w:val="23"/>
          <w:lang w:eastAsia="zh-CN"/>
        </w:rPr>
        <w:t>t/a。</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cs="Times New Roman"/>
          <w:szCs w:val="23"/>
          <w:lang w:val="en-US" w:eastAsia="zh-CN"/>
        </w:rPr>
      </w:pPr>
      <w:r>
        <w:rPr>
          <w:rFonts w:hint="eastAsia" w:cs="Times New Roman"/>
          <w:szCs w:val="23"/>
        </w:rPr>
        <w:t>G</w:t>
      </w:r>
      <w:r>
        <w:rPr>
          <w:rFonts w:hint="eastAsia" w:cs="Times New Roman"/>
          <w:szCs w:val="23"/>
          <w:lang w:val="en-US" w:eastAsia="zh-CN"/>
        </w:rPr>
        <w:t>18~19由于项目所使用的羟基丙烯酸乳液、成膜助剂及水性色浆具有一定的挥发性，投料、抽真空及分装过程将挥发产生的少量的有机废气，以非甲烷总烃表征。参照《排放源统计调查产排污核算方法和系数手册》“2641 涂料制造行业系数表”水性涂料用树脂生产VOCs产生系数（0.7kg/t-产品），本项目产品跑道专用漆设计产能为2000t/a，则有机废气产生量为1.40t/a。</w:t>
      </w:r>
    </w:p>
    <w:p>
      <w:pPr>
        <w:pStyle w:val="24"/>
        <w:keepNext w:val="0"/>
        <w:keepLines w:val="0"/>
        <w:pageBreakBefore w:val="0"/>
        <w:kinsoku/>
        <w:wordWrap/>
        <w:overflowPunct/>
        <w:topLinePunct w:val="0"/>
        <w:autoSpaceDE/>
        <w:autoSpaceDN/>
        <w:bidi w:val="0"/>
        <w:adjustRightInd/>
        <w:snapToGrid/>
        <w:spacing w:line="360" w:lineRule="auto"/>
        <w:ind w:firstLine="480"/>
        <w:jc w:val="both"/>
        <w:textAlignment w:val="auto"/>
        <w:rPr>
          <w:rFonts w:ascii="Times New Roman" w:cs="Times New Roman"/>
          <w:color w:val="000000"/>
          <w:kern w:val="0"/>
          <w:sz w:val="24"/>
          <w:lang w:bidi="ar"/>
        </w:rPr>
      </w:pPr>
      <w:r>
        <w:rPr>
          <w:rFonts w:ascii="Times New Roman" w:cs="Times New Roman"/>
          <w:color w:val="000000"/>
          <w:kern w:val="0"/>
          <w:sz w:val="24"/>
          <w:lang w:bidi="ar"/>
        </w:rPr>
        <w:t>滤渣S</w:t>
      </w:r>
      <w:r>
        <w:rPr>
          <w:rFonts w:hint="eastAsia" w:ascii="Times New Roman" w:cs="Times New Roman"/>
          <w:color w:val="000000"/>
          <w:kern w:val="0"/>
          <w:sz w:val="24"/>
          <w:lang w:val="en-US" w:eastAsia="zh-CN" w:bidi="ar"/>
        </w:rPr>
        <w:t>6</w:t>
      </w:r>
      <w:r>
        <w:rPr>
          <w:rFonts w:hint="eastAsia" w:ascii="Times New Roman" w:cs="Times New Roman"/>
          <w:color w:val="000000"/>
          <w:kern w:val="0"/>
          <w:sz w:val="24"/>
          <w:lang w:bidi="ar"/>
        </w:rPr>
        <w:t>：</w:t>
      </w:r>
      <w:r>
        <w:rPr>
          <w:rFonts w:hint="eastAsia" w:ascii="Times New Roman" w:cs="Times New Roman"/>
          <w:color w:val="000000"/>
          <w:kern w:val="0"/>
          <w:sz w:val="24"/>
          <w:lang w:eastAsia="zh-CN" w:bidi="ar"/>
        </w:rPr>
        <w:t>参考</w:t>
      </w:r>
      <w:r>
        <w:rPr>
          <w:rFonts w:hint="eastAsia" w:ascii="Times New Roman" w:cs="Times New Roman"/>
          <w:color w:val="000000"/>
          <w:kern w:val="0"/>
          <w:sz w:val="24"/>
          <w:lang w:val="en-US" w:eastAsia="zh-CN" w:bidi="ar"/>
        </w:rPr>
        <w:t>《排放源统计调查产排污核算方法和系数手册》“2641 涂料制造行业系数表”水性涂料用树脂生产HW12 危险废物系数（0.015t/t-产品）</w:t>
      </w:r>
      <w:r>
        <w:rPr>
          <w:rFonts w:hint="eastAsia" w:ascii="Times New Roman" w:cs="Times New Roman"/>
          <w:color w:val="000000"/>
          <w:kern w:val="0"/>
          <w:sz w:val="24"/>
          <w:lang w:bidi="ar"/>
        </w:rPr>
        <w:t>，则滤渣产生量约</w:t>
      </w:r>
      <w:r>
        <w:rPr>
          <w:rFonts w:hint="eastAsia" w:ascii="Times New Roman" w:cs="Times New Roman"/>
          <w:color w:val="000000"/>
          <w:kern w:val="0"/>
          <w:sz w:val="24"/>
          <w:lang w:val="en-US" w:eastAsia="zh-CN" w:bidi="ar"/>
        </w:rPr>
        <w:t>30</w:t>
      </w:r>
      <w:r>
        <w:rPr>
          <w:rFonts w:ascii="Times New Roman" w:cs="Times New Roman"/>
          <w:color w:val="000000"/>
          <w:kern w:val="0"/>
          <w:sz w:val="24"/>
          <w:lang w:bidi="ar"/>
        </w:rPr>
        <w:t>t/a</w:t>
      </w:r>
      <w:r>
        <w:rPr>
          <w:rFonts w:hint="eastAsia" w:ascii="Times New Roman" w:cs="Times New Roman"/>
          <w:color w:val="000000"/>
          <w:kern w:val="0"/>
          <w:sz w:val="24"/>
          <w:lang w:bidi="ar"/>
        </w:rPr>
        <w:t>。</w:t>
      </w:r>
    </w:p>
    <w:p>
      <w:pPr>
        <w:keepNext w:val="0"/>
        <w:keepLines w:val="0"/>
        <w:pageBreakBefore w:val="0"/>
        <w:widowControl/>
        <w:kinsoku/>
        <w:wordWrap/>
        <w:overflowPunct/>
        <w:topLinePunct w:val="0"/>
        <w:autoSpaceDE/>
        <w:autoSpaceDN/>
        <w:bidi w:val="0"/>
        <w:adjustRightInd/>
        <w:snapToGrid/>
        <w:spacing w:line="360" w:lineRule="auto"/>
        <w:ind w:firstLine="480"/>
        <w:jc w:val="both"/>
        <w:textAlignment w:val="auto"/>
        <w:rPr>
          <w:rFonts w:hint="eastAsia"/>
        </w:rPr>
      </w:pPr>
      <w:r>
        <w:rPr>
          <w:rFonts w:hint="eastAsia"/>
        </w:rPr>
        <w:t>专用面漆生产物料平衡见表4</w:t>
      </w:r>
      <w:r>
        <w:t>.</w:t>
      </w:r>
      <w:r>
        <w:rPr>
          <w:rFonts w:hint="eastAsia"/>
        </w:rPr>
        <w:t>2</w:t>
      </w:r>
      <w:r>
        <w:t>-</w:t>
      </w:r>
      <w:r>
        <w:rPr>
          <w:rFonts w:hint="eastAsia"/>
        </w:rPr>
        <w:t>6及图4</w:t>
      </w:r>
      <w:r>
        <w:t>.</w:t>
      </w:r>
      <w:r>
        <w:rPr>
          <w:rFonts w:hint="eastAsia"/>
        </w:rPr>
        <w:t>2</w:t>
      </w:r>
      <w:r>
        <w:t>-</w:t>
      </w:r>
      <w:r>
        <w:rPr>
          <w:rFonts w:hint="eastAsia"/>
        </w:rPr>
        <w:t>12。</w:t>
      </w:r>
    </w:p>
    <w:p>
      <w:pPr>
        <w:keepNext w:val="0"/>
        <w:keepLines w:val="0"/>
        <w:pageBreakBefore w:val="0"/>
        <w:widowControl/>
        <w:kinsoku/>
        <w:wordWrap/>
        <w:overflowPunct/>
        <w:topLinePunct w:val="0"/>
        <w:autoSpaceDE/>
        <w:autoSpaceDN/>
        <w:bidi w:val="0"/>
        <w:adjustRightInd/>
        <w:snapToGrid/>
        <w:spacing w:line="360" w:lineRule="auto"/>
        <w:ind w:firstLine="480"/>
        <w:jc w:val="both"/>
        <w:textAlignment w:val="auto"/>
        <w:rPr>
          <w:rFonts w:hint="default" w:eastAsia="宋体"/>
          <w:u w:val="single"/>
          <w:lang w:val="en-US" w:eastAsia="zh-CN"/>
        </w:rPr>
      </w:pPr>
      <w:r>
        <w:rPr>
          <w:rFonts w:hint="eastAsia"/>
          <w:u w:val="single"/>
          <w:lang w:eastAsia="zh-CN"/>
        </w:rPr>
        <w:t>根据</w:t>
      </w:r>
      <w:r>
        <w:rPr>
          <w:rFonts w:hint="eastAsia"/>
          <w:u w:val="single"/>
          <w:lang w:val="en-US" w:eastAsia="zh-CN"/>
        </w:rPr>
        <w:t>3.2.5</w:t>
      </w:r>
      <w:r>
        <w:rPr>
          <w:rFonts w:hint="eastAsia"/>
          <w:u w:val="single"/>
          <w:lang w:eastAsia="zh-CN"/>
        </w:rPr>
        <w:t>产品方案表</w:t>
      </w:r>
      <w:r>
        <w:rPr>
          <w:rFonts w:hint="eastAsia"/>
          <w:u w:val="single"/>
          <w:lang w:val="en-US" w:eastAsia="zh-CN"/>
        </w:rPr>
        <w:t>3.2-6项目反应釜产能核实一览表，产品跑道专用面漆年产2000吨，生产批次400批/年，由此核算单批次产品量为5t/批次。</w:t>
      </w:r>
    </w:p>
    <w:p>
      <w:pPr>
        <w:widowControl/>
        <w:ind w:firstLine="0" w:firstLineChars="0"/>
        <w:jc w:val="center"/>
        <w:rPr>
          <w:b/>
          <w:bCs/>
        </w:rPr>
      </w:pPr>
      <w:r>
        <w:rPr>
          <w:rFonts w:hint="eastAsia" w:ascii="宋体" w:hAnsi="宋体" w:cs="宋体"/>
          <w:b/>
          <w:bCs/>
          <w:color w:val="000000"/>
          <w:kern w:val="0"/>
          <w:lang w:bidi="ar"/>
        </w:rPr>
        <w:t>表</w:t>
      </w:r>
      <w:r>
        <w:rPr>
          <w:rFonts w:hint="eastAsia" w:cs="Times New Roman"/>
          <w:b/>
          <w:bCs/>
          <w:color w:val="000000"/>
          <w:kern w:val="0"/>
          <w:lang w:bidi="ar"/>
        </w:rPr>
        <w:t>4.2</w:t>
      </w:r>
      <w:r>
        <w:rPr>
          <w:rFonts w:cs="Times New Roman"/>
          <w:b/>
          <w:bCs/>
          <w:color w:val="000000"/>
          <w:kern w:val="0"/>
          <w:lang w:bidi="ar"/>
        </w:rPr>
        <w:t>-</w:t>
      </w:r>
      <w:r>
        <w:rPr>
          <w:rFonts w:hint="eastAsia" w:cs="Times New Roman"/>
          <w:b/>
          <w:bCs/>
          <w:color w:val="000000"/>
          <w:kern w:val="0"/>
          <w:lang w:bidi="ar"/>
        </w:rPr>
        <w:t>6  专用面漆生产</w:t>
      </w:r>
      <w:r>
        <w:rPr>
          <w:rFonts w:hint="eastAsia" w:ascii="宋体" w:hAnsi="宋体" w:cs="宋体"/>
          <w:b/>
          <w:bCs/>
          <w:color w:val="000000"/>
          <w:kern w:val="0"/>
          <w:lang w:bidi="ar"/>
        </w:rPr>
        <w:t>物料平衡一览表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8"/>
        <w:gridCol w:w="2841"/>
        <w:gridCol w:w="1271"/>
        <w:gridCol w:w="585"/>
        <w:gridCol w:w="1531"/>
        <w:gridCol w:w="23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21"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投入情况（kg/批次）</w:t>
            </w:r>
          </w:p>
        </w:tc>
        <w:tc>
          <w:tcPr>
            <w:tcW w:w="2378"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产出情况（kg/批次）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w:t>
            </w:r>
          </w:p>
        </w:tc>
        <w:tc>
          <w:tcPr>
            <w:tcW w:w="1529"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羟基丙烯酸乳液</w:t>
            </w:r>
          </w:p>
        </w:tc>
        <w:tc>
          <w:tcPr>
            <w:tcW w:w="684"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1025.00</w:t>
            </w:r>
          </w:p>
        </w:tc>
        <w:tc>
          <w:tcPr>
            <w:tcW w:w="315"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w:t>
            </w:r>
          </w:p>
        </w:tc>
        <w:tc>
          <w:tcPr>
            <w:tcW w:w="823"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mc:AlternateContent>
                <mc:Choice Requires="wps">
                  <w:drawing>
                    <wp:anchor distT="0" distB="0" distL="114300" distR="114300" simplePos="0" relativeHeight="251723776"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58" name="直接箭头连接符 158"/>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723776;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lcIbI&#10;1QAAAAkBAAAPAAAAAAAAAAEAIAAAACIAAABkcnMvZG93bnJldi54bWxQSwECFAAUAAAACACHTuJA&#10;dGiB3LIBAABIAwAADgAAAAAAAAABACAAAAAkAQAAZHJzL2Uyb0RvYy54bWxQSwUGAAAAAAYABgBZ&#10;AQAASAUAAAAA&#10;">
                      <v:fill on="f" focussize="0,0"/>
                      <v:stroke on="f"/>
                      <v:imagedata o:title=""/>
                      <o:lock v:ext="edit" aspectratio="f"/>
                    </v:shape>
                  </w:pict>
                </mc:Fallback>
              </mc:AlternateContent>
            </w:r>
            <w:r>
              <w:rPr>
                <w:rFonts w:hint="eastAsia"/>
                <w:sz w:val="21"/>
                <w:szCs w:val="21"/>
                <w:u w:val="none"/>
              </w:rPr>
              <w:t>专用面漆</w:t>
            </w:r>
          </w:p>
        </w:tc>
        <w:tc>
          <w:tcPr>
            <w:tcW w:w="123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5000.00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2</w:t>
            </w:r>
          </w:p>
        </w:tc>
        <w:tc>
          <w:tcPr>
            <w:tcW w:w="1529"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成膜助剂</w:t>
            </w:r>
          </w:p>
        </w:tc>
        <w:tc>
          <w:tcPr>
            <w:tcW w:w="684"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6.50</w:t>
            </w:r>
          </w:p>
        </w:tc>
        <w:tc>
          <w:tcPr>
            <w:tcW w:w="315"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2</w:t>
            </w:r>
          </w:p>
        </w:tc>
        <w:tc>
          <w:tcPr>
            <w:tcW w:w="823"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非甲烷总烃</w:t>
            </w:r>
          </w:p>
        </w:tc>
        <w:tc>
          <w:tcPr>
            <w:tcW w:w="1239"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3</w:t>
            </w:r>
          </w:p>
        </w:tc>
        <w:tc>
          <w:tcPr>
            <w:tcW w:w="1529" w:type="pct"/>
            <w:tcBorders>
              <w:tl2br w:val="nil"/>
              <w:tr2bl w:val="nil"/>
            </w:tcBorders>
            <w:vAlign w:val="center"/>
          </w:tcPr>
          <w:p>
            <w:pPr>
              <w:widowControl/>
              <w:kinsoku w:val="0"/>
              <w:autoSpaceDE w:val="0"/>
              <w:autoSpaceDN w:val="0"/>
              <w:spacing w:line="240" w:lineRule="auto"/>
              <w:ind w:firstLine="0" w:firstLineChars="0"/>
              <w:jc w:val="center"/>
              <w:textAlignment w:val="baseline"/>
              <w:rPr>
                <w:rFonts w:cs="Times New Roman"/>
                <w:kern w:val="21"/>
                <w:sz w:val="21"/>
                <w:szCs w:val="21"/>
                <w:u w:val="none"/>
              </w:rPr>
            </w:pPr>
            <w:r>
              <w:rPr>
                <w:rFonts w:cs="Times New Roman"/>
                <w:kern w:val="21"/>
                <w:sz w:val="21"/>
                <w:szCs w:val="21"/>
                <w:u w:val="none"/>
              </w:rPr>
              <w:t>去离子水</w:t>
            </w:r>
          </w:p>
        </w:tc>
        <w:tc>
          <w:tcPr>
            <w:tcW w:w="684"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2490.53</w:t>
            </w:r>
          </w:p>
        </w:tc>
        <w:tc>
          <w:tcPr>
            <w:tcW w:w="315"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3</w:t>
            </w:r>
          </w:p>
        </w:tc>
        <w:tc>
          <w:tcPr>
            <w:tcW w:w="823" w:type="pct"/>
            <w:tcBorders>
              <w:tl2br w:val="nil"/>
              <w:tr2bl w:val="nil"/>
            </w:tcBorders>
            <w:vAlign w:val="center"/>
          </w:tcPr>
          <w:p>
            <w:pPr>
              <w:widowControl/>
              <w:spacing w:line="240" w:lineRule="auto"/>
              <w:ind w:firstLine="0" w:firstLineChars="0"/>
              <w:jc w:val="center"/>
              <w:rPr>
                <w:rFonts w:hint="eastAsia" w:eastAsia="宋体"/>
                <w:sz w:val="21"/>
                <w:szCs w:val="21"/>
                <w:u w:val="none"/>
                <w:lang w:eastAsia="zh-CN"/>
              </w:rPr>
            </w:pPr>
            <w:r>
              <w:rPr>
                <w:rFonts w:hint="eastAsia"/>
                <w:sz w:val="21"/>
                <w:szCs w:val="21"/>
                <w:u w:val="none"/>
              </w:rPr>
              <w:t>固废S</w:t>
            </w:r>
            <w:r>
              <w:rPr>
                <w:rFonts w:hint="eastAsia"/>
                <w:sz w:val="21"/>
                <w:szCs w:val="21"/>
                <w:u w:val="none"/>
                <w:lang w:val="en-US" w:eastAsia="zh-CN"/>
              </w:rPr>
              <w:t>7</w:t>
            </w:r>
          </w:p>
        </w:tc>
        <w:tc>
          <w:tcPr>
            <w:tcW w:w="1239"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4</w:t>
            </w:r>
          </w:p>
        </w:tc>
        <w:tc>
          <w:tcPr>
            <w:tcW w:w="1529"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轻钙粉</w:t>
            </w:r>
          </w:p>
        </w:tc>
        <w:tc>
          <w:tcPr>
            <w:tcW w:w="684"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700.00</w:t>
            </w:r>
          </w:p>
        </w:tc>
        <w:tc>
          <w:tcPr>
            <w:tcW w:w="315"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4</w:t>
            </w:r>
          </w:p>
        </w:tc>
        <w:tc>
          <w:tcPr>
            <w:tcW w:w="823"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颗粒物</w:t>
            </w:r>
          </w:p>
        </w:tc>
        <w:tc>
          <w:tcPr>
            <w:tcW w:w="1239"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5</w:t>
            </w:r>
          </w:p>
        </w:tc>
        <w:tc>
          <w:tcPr>
            <w:tcW w:w="1529"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重钙粉</w:t>
            </w:r>
          </w:p>
        </w:tc>
        <w:tc>
          <w:tcPr>
            <w:tcW w:w="684"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400.00</w:t>
            </w:r>
          </w:p>
        </w:tc>
        <w:tc>
          <w:tcPr>
            <w:tcW w:w="315" w:type="pct"/>
            <w:tcBorders>
              <w:tl2br w:val="nil"/>
              <w:tr2bl w:val="nil"/>
            </w:tcBorders>
            <w:vAlign w:val="center"/>
          </w:tcPr>
          <w:p>
            <w:pPr>
              <w:widowControl/>
              <w:spacing w:line="240" w:lineRule="auto"/>
              <w:ind w:firstLine="0" w:firstLineChars="0"/>
              <w:jc w:val="center"/>
              <w:rPr>
                <w:sz w:val="21"/>
                <w:szCs w:val="21"/>
                <w:u w:val="none"/>
              </w:rPr>
            </w:pPr>
          </w:p>
        </w:tc>
        <w:tc>
          <w:tcPr>
            <w:tcW w:w="823" w:type="pct"/>
            <w:tcBorders>
              <w:tl2br w:val="nil"/>
              <w:tr2bl w:val="nil"/>
            </w:tcBorders>
            <w:vAlign w:val="center"/>
          </w:tcPr>
          <w:p>
            <w:pPr>
              <w:widowControl/>
              <w:spacing w:line="240" w:lineRule="auto"/>
              <w:ind w:firstLine="0" w:firstLineChars="0"/>
              <w:jc w:val="center"/>
              <w:rPr>
                <w:sz w:val="21"/>
                <w:szCs w:val="21"/>
                <w:u w:val="none"/>
              </w:rPr>
            </w:pPr>
          </w:p>
        </w:tc>
        <w:tc>
          <w:tcPr>
            <w:tcW w:w="1239"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6</w:t>
            </w:r>
          </w:p>
        </w:tc>
        <w:tc>
          <w:tcPr>
            <w:tcW w:w="1529"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钛白粉</w:t>
            </w:r>
          </w:p>
        </w:tc>
        <w:tc>
          <w:tcPr>
            <w:tcW w:w="684"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450.00</w:t>
            </w:r>
          </w:p>
        </w:tc>
        <w:tc>
          <w:tcPr>
            <w:tcW w:w="315" w:type="pct"/>
            <w:tcBorders>
              <w:tl2br w:val="nil"/>
              <w:tr2bl w:val="nil"/>
            </w:tcBorders>
            <w:vAlign w:val="center"/>
          </w:tcPr>
          <w:p>
            <w:pPr>
              <w:widowControl/>
              <w:spacing w:line="240" w:lineRule="auto"/>
              <w:ind w:firstLine="0" w:firstLineChars="0"/>
              <w:jc w:val="center"/>
              <w:rPr>
                <w:sz w:val="21"/>
                <w:szCs w:val="21"/>
                <w:u w:val="none"/>
              </w:rPr>
            </w:pPr>
          </w:p>
        </w:tc>
        <w:tc>
          <w:tcPr>
            <w:tcW w:w="823" w:type="pct"/>
            <w:tcBorders>
              <w:tl2br w:val="nil"/>
              <w:tr2bl w:val="nil"/>
            </w:tcBorders>
            <w:vAlign w:val="center"/>
          </w:tcPr>
          <w:p>
            <w:pPr>
              <w:widowControl/>
              <w:spacing w:line="240" w:lineRule="auto"/>
              <w:ind w:firstLine="0" w:firstLineChars="0"/>
              <w:jc w:val="center"/>
              <w:rPr>
                <w:sz w:val="21"/>
                <w:szCs w:val="21"/>
                <w:u w:val="none"/>
              </w:rPr>
            </w:pPr>
          </w:p>
        </w:tc>
        <w:tc>
          <w:tcPr>
            <w:tcW w:w="1239"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408"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7</w:t>
            </w:r>
          </w:p>
        </w:tc>
        <w:tc>
          <w:tcPr>
            <w:tcW w:w="1529"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色浆</w:t>
            </w:r>
          </w:p>
        </w:tc>
        <w:tc>
          <w:tcPr>
            <w:tcW w:w="684"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6.50</w:t>
            </w:r>
          </w:p>
        </w:tc>
        <w:tc>
          <w:tcPr>
            <w:tcW w:w="315" w:type="pct"/>
            <w:tcBorders>
              <w:tl2br w:val="nil"/>
              <w:tr2bl w:val="nil"/>
            </w:tcBorders>
            <w:vAlign w:val="center"/>
          </w:tcPr>
          <w:p>
            <w:pPr>
              <w:widowControl/>
              <w:spacing w:line="240" w:lineRule="auto"/>
              <w:ind w:firstLine="0" w:firstLineChars="0"/>
              <w:jc w:val="center"/>
              <w:rPr>
                <w:sz w:val="21"/>
                <w:szCs w:val="21"/>
                <w:u w:val="none"/>
              </w:rPr>
            </w:pPr>
          </w:p>
        </w:tc>
        <w:tc>
          <w:tcPr>
            <w:tcW w:w="823" w:type="pct"/>
            <w:tcBorders>
              <w:tl2br w:val="nil"/>
              <w:tr2bl w:val="nil"/>
            </w:tcBorders>
            <w:vAlign w:val="center"/>
          </w:tcPr>
          <w:p>
            <w:pPr>
              <w:widowControl/>
              <w:spacing w:line="240" w:lineRule="auto"/>
              <w:ind w:firstLine="0" w:firstLineChars="0"/>
              <w:jc w:val="center"/>
              <w:rPr>
                <w:sz w:val="21"/>
                <w:szCs w:val="21"/>
                <w:u w:val="none"/>
              </w:rPr>
            </w:pPr>
          </w:p>
        </w:tc>
        <w:tc>
          <w:tcPr>
            <w:tcW w:w="1239"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37" w:type="pct"/>
            <w:gridSpan w:val="2"/>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合计</w:t>
            </w:r>
          </w:p>
        </w:tc>
        <w:tc>
          <w:tcPr>
            <w:tcW w:w="684" w:type="pct"/>
            <w:tcBorders>
              <w:tl2br w:val="nil"/>
              <w:tr2bl w:val="nil"/>
            </w:tcBorders>
            <w:vAlign w:val="center"/>
          </w:tcPr>
          <w:p>
            <w:pPr>
              <w:widowControl/>
              <w:spacing w:line="240" w:lineRule="auto"/>
              <w:ind w:firstLine="0" w:firstLineChars="0"/>
              <w:jc w:val="center"/>
              <w:rPr>
                <w:rFonts w:hint="eastAsia"/>
                <w:sz w:val="21"/>
                <w:szCs w:val="21"/>
                <w:u w:val="none"/>
                <w:lang w:val="en-US" w:eastAsia="zh-CN"/>
              </w:rPr>
            </w:pPr>
            <w:r>
              <w:rPr>
                <w:rFonts w:hint="eastAsia"/>
                <w:sz w:val="21"/>
                <w:szCs w:val="21"/>
                <w:u w:val="none"/>
                <w:lang w:val="en-US" w:eastAsia="zh-CN"/>
              </w:rPr>
              <w:t>5078.53</w:t>
            </w:r>
          </w:p>
        </w:tc>
        <w:tc>
          <w:tcPr>
            <w:tcW w:w="1139" w:type="pct"/>
            <w:gridSpan w:val="2"/>
            <w:tcBorders>
              <w:tl2br w:val="nil"/>
              <w:tr2bl w:val="nil"/>
            </w:tcBorders>
            <w:vAlign w:val="center"/>
          </w:tcPr>
          <w:p>
            <w:pPr>
              <w:widowControl/>
              <w:spacing w:line="240" w:lineRule="auto"/>
              <w:ind w:firstLine="0" w:firstLineChars="0"/>
              <w:jc w:val="center"/>
              <w:rPr>
                <w:rFonts w:hint="eastAsia"/>
                <w:sz w:val="21"/>
                <w:szCs w:val="21"/>
                <w:u w:val="none"/>
              </w:rPr>
            </w:pPr>
            <w:r>
              <w:rPr>
                <w:rFonts w:hint="eastAsia"/>
                <w:sz w:val="21"/>
                <w:szCs w:val="21"/>
                <w:u w:val="none"/>
              </w:rPr>
              <w:t>合计</w:t>
            </w:r>
          </w:p>
        </w:tc>
        <w:tc>
          <w:tcPr>
            <w:tcW w:w="123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lang w:val="en-US" w:eastAsia="zh-CN"/>
              </w:rPr>
              <w:t>5078.53</w:t>
            </w:r>
          </w:p>
        </w:tc>
      </w:tr>
    </w:tbl>
    <w:p>
      <w:pPr>
        <w:pStyle w:val="24"/>
        <w:spacing w:line="360" w:lineRule="auto"/>
        <w:ind w:firstLine="0" w:firstLineChars="0"/>
        <w:jc w:val="center"/>
        <w:rPr>
          <w:rFonts w:ascii="Times New Roman" w:cs="Times New Roman"/>
          <w:sz w:val="24"/>
          <w:szCs w:val="23"/>
        </w:rPr>
      </w:pPr>
      <w:r>
        <w:drawing>
          <wp:inline distT="0" distB="0" distL="114300" distR="114300">
            <wp:extent cx="2882265" cy="3996690"/>
            <wp:effectExtent l="0" t="0" r="13335" b="3810"/>
            <wp:docPr id="12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
                    <pic:cNvPicPr>
                      <a:picLocks noChangeAspect="1"/>
                    </pic:cNvPicPr>
                  </pic:nvPicPr>
                  <pic:blipFill>
                    <a:blip r:embed="rId53"/>
                    <a:stretch>
                      <a:fillRect/>
                    </a:stretch>
                  </pic:blipFill>
                  <pic:spPr>
                    <a:xfrm>
                      <a:off x="0" y="0"/>
                      <a:ext cx="2882265" cy="3996690"/>
                    </a:xfrm>
                    <a:prstGeom prst="rect">
                      <a:avLst/>
                    </a:prstGeom>
                    <a:noFill/>
                    <a:ln>
                      <a:noFill/>
                    </a:ln>
                  </pic:spPr>
                </pic:pic>
              </a:graphicData>
            </a:graphic>
          </wp:inline>
        </w:drawing>
      </w:r>
    </w:p>
    <w:p>
      <w:pPr>
        <w:ind w:firstLine="482"/>
        <w:jc w:val="center"/>
        <w:rPr>
          <w:rFonts w:cs="Times New Roman"/>
          <w:color w:val="000000" w:themeColor="text1"/>
          <w14:textFill>
            <w14:solidFill>
              <w14:schemeClr w14:val="tx1"/>
            </w14:solidFill>
          </w14:textFill>
        </w:rPr>
      </w:pPr>
      <w:r>
        <w:rPr>
          <w:rFonts w:hint="eastAsia" w:cs="Times New Roman"/>
          <w:b/>
          <w:bCs/>
        </w:rPr>
        <w:t>图4.2-12  专用面漆</w:t>
      </w:r>
      <w:r>
        <w:rPr>
          <w:rFonts w:hint="eastAsia" w:cs="Times New Roman"/>
          <w:b/>
          <w:bCs/>
          <w:color w:val="000000"/>
          <w:kern w:val="0"/>
          <w:lang w:bidi="ar"/>
        </w:rPr>
        <w:t>生产</w:t>
      </w:r>
      <w:r>
        <w:rPr>
          <w:rFonts w:hint="eastAsia" w:ascii="宋体" w:hAnsi="宋体" w:cs="宋体"/>
          <w:b/>
          <w:bCs/>
          <w:color w:val="000000"/>
          <w:kern w:val="0"/>
          <w:lang w:bidi="ar"/>
        </w:rPr>
        <w:t>物料平衡</w:t>
      </w:r>
      <w:r>
        <w:rPr>
          <w:rFonts w:hint="eastAsia" w:cs="Times New Roman"/>
          <w:b/>
          <w:bCs/>
        </w:rPr>
        <w:t>图</w:t>
      </w:r>
    </w:p>
    <w:p>
      <w:pPr>
        <w:pStyle w:val="7"/>
        <w:ind w:firstLine="562"/>
      </w:pPr>
      <w:r>
        <w:t>4.</w:t>
      </w:r>
      <w:r>
        <w:rPr>
          <w:rFonts w:hint="eastAsia"/>
        </w:rPr>
        <w:t>2.7</w:t>
      </w:r>
      <w:r>
        <w:t xml:space="preserve"> </w:t>
      </w:r>
      <w:r>
        <w:rPr>
          <w:rFonts w:hint="eastAsia"/>
        </w:rPr>
        <w:t>水性树脂生产线产污环节分析</w:t>
      </w:r>
    </w:p>
    <w:p>
      <w:pPr>
        <w:ind w:firstLine="0" w:firstLineChars="0"/>
        <w:jc w:val="center"/>
        <w:rPr>
          <w:rFonts w:cs="Times New Roman"/>
          <w:color w:val="000000" w:themeColor="text1"/>
          <w14:textFill>
            <w14:solidFill>
              <w14:schemeClr w14:val="tx1"/>
            </w14:solidFill>
          </w14:textFill>
        </w:rPr>
      </w:pPr>
      <w:r>
        <w:drawing>
          <wp:inline distT="0" distB="0" distL="114300" distR="114300">
            <wp:extent cx="5758180" cy="2364740"/>
            <wp:effectExtent l="0" t="0" r="13970" b="16510"/>
            <wp:docPr id="125"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0"/>
                    <pic:cNvPicPr>
                      <a:picLocks noChangeAspect="1"/>
                    </pic:cNvPicPr>
                  </pic:nvPicPr>
                  <pic:blipFill>
                    <a:blip r:embed="rId54"/>
                    <a:stretch>
                      <a:fillRect/>
                    </a:stretch>
                  </pic:blipFill>
                  <pic:spPr>
                    <a:xfrm>
                      <a:off x="0" y="0"/>
                      <a:ext cx="5758180" cy="2364740"/>
                    </a:xfrm>
                    <a:prstGeom prst="rect">
                      <a:avLst/>
                    </a:prstGeom>
                    <a:noFill/>
                    <a:ln>
                      <a:noFill/>
                    </a:ln>
                  </pic:spPr>
                </pic:pic>
              </a:graphicData>
            </a:graphic>
          </wp:inline>
        </w:drawing>
      </w:r>
    </w:p>
    <w:p>
      <w:pPr>
        <w:ind w:firstLine="482"/>
        <w:jc w:val="center"/>
        <w:rPr>
          <w:rFonts w:cs="Times New Roman"/>
          <w:color w:val="000000" w:themeColor="text1"/>
          <w14:textFill>
            <w14:solidFill>
              <w14:schemeClr w14:val="tx1"/>
            </w14:solidFill>
          </w14:textFill>
        </w:rPr>
      </w:pPr>
      <w:r>
        <w:rPr>
          <w:rFonts w:hint="eastAsia" w:cs="Times New Roman"/>
          <w:b/>
          <w:bCs/>
        </w:rPr>
        <w:t>图4.2-13  水性树脂生产工艺流程及产污环节图</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cs="Times New Roman"/>
          <w:color w:val="000000" w:themeColor="text1"/>
          <w:sz w:val="24"/>
          <w:szCs w:val="24"/>
          <w14:textFill>
            <w14:solidFill>
              <w14:schemeClr w14:val="tx1"/>
            </w14:solidFill>
          </w14:textFill>
        </w:rPr>
      </w:pPr>
      <w:r>
        <w:rPr>
          <w:rFonts w:hint="eastAsia" w:cs="Times New Roman"/>
          <w:color w:val="000000" w:themeColor="text1"/>
          <w:sz w:val="24"/>
          <w:szCs w:val="24"/>
          <w14:textFill>
            <w14:solidFill>
              <w14:schemeClr w14:val="tx1"/>
            </w14:solidFill>
          </w14:textFill>
        </w:rPr>
        <w:t>一、</w:t>
      </w:r>
      <w:r>
        <w:rPr>
          <w:rFonts w:cs="Times New Roman"/>
          <w:color w:val="000000" w:themeColor="text1"/>
          <w:sz w:val="24"/>
          <w:szCs w:val="24"/>
          <w14:textFill>
            <w14:solidFill>
              <w14:schemeClr w14:val="tx1"/>
            </w14:solidFill>
          </w14:textFill>
        </w:rPr>
        <w:t>水性树脂</w:t>
      </w:r>
      <w:r>
        <w:rPr>
          <w:rFonts w:hint="eastAsia" w:cs="Times New Roman"/>
          <w:color w:val="000000" w:themeColor="text1"/>
          <w:sz w:val="24"/>
          <w:szCs w:val="24"/>
          <w14:textFill>
            <w14:solidFill>
              <w14:schemeClr w14:val="tx1"/>
            </w14:solidFill>
          </w14:textFill>
        </w:rPr>
        <w:t>生产工艺说明：</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cs="Times New Roman"/>
          <w:color w:val="000000" w:themeColor="text1"/>
          <w:sz w:val="24"/>
          <w:szCs w:val="24"/>
          <w14:textFill>
            <w14:solidFill>
              <w14:schemeClr w14:val="tx1"/>
            </w14:solidFill>
          </w14:textFill>
        </w:rPr>
      </w:pPr>
      <w:r>
        <w:rPr>
          <w:rFonts w:hint="eastAsia" w:cs="Times New Roman"/>
          <w:color w:val="000000" w:themeColor="text1"/>
          <w:sz w:val="24"/>
          <w:szCs w:val="24"/>
          <w14:textFill>
            <w14:solidFill>
              <w14:schemeClr w14:val="tx1"/>
            </w14:solidFill>
          </w14:textFill>
        </w:rPr>
        <w:t>水性树脂的生产原料为丙烯酸、丙烯酸丁酯、甲基丙烯酸甲酯。</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cs="Times New Roman"/>
          <w:color w:val="000000" w:themeColor="text1"/>
          <w:sz w:val="24"/>
          <w:szCs w:val="24"/>
          <w14:textFill>
            <w14:solidFill>
              <w14:schemeClr w14:val="tx1"/>
            </w14:solidFill>
          </w14:textFill>
        </w:rPr>
      </w:pPr>
      <w:r>
        <w:rPr>
          <w:rFonts w:hint="eastAsia" w:cs="Times New Roman"/>
          <w:color w:val="000000" w:themeColor="text1"/>
          <w:sz w:val="24"/>
          <w:szCs w:val="24"/>
          <w14:textFill>
            <w14:solidFill>
              <w14:schemeClr w14:val="tx1"/>
            </w14:solidFill>
          </w14:textFill>
        </w:rPr>
        <w:t>反应通式：</w:t>
      </w:r>
      <w:r>
        <w:rPr>
          <w:rFonts w:hint="eastAsia" w:ascii="宋体" w:hAnsi="宋体" w:cs="宋体"/>
          <w:color w:val="000000" w:themeColor="text1"/>
          <w:sz w:val="24"/>
          <w:szCs w:val="24"/>
          <w14:textFill>
            <w14:solidFill>
              <w14:schemeClr w14:val="tx1"/>
            </w14:solidFill>
          </w14:textFill>
        </w:rPr>
        <w:t>①</w:t>
      </w:r>
      <w:r>
        <w:rPr>
          <w:rFonts w:hint="eastAsia" w:cs="Times New Roman"/>
          <w:color w:val="000000" w:themeColor="text1"/>
          <w:sz w:val="24"/>
          <w:szCs w:val="24"/>
          <w14:textFill>
            <w14:solidFill>
              <w14:schemeClr w14:val="tx1"/>
            </w14:solidFill>
          </w14:textFill>
        </w:rPr>
        <w:t>链引发反应：</w:t>
      </w:r>
      <w:r>
        <w:rPr>
          <w:rFonts w:hint="eastAsia" w:cs="Times New Roman"/>
          <w:color w:val="000000" w:themeColor="text1"/>
          <w:position w:val="-10"/>
          <w:sz w:val="24"/>
          <w:szCs w:val="24"/>
          <w14:textFill>
            <w14:solidFill>
              <w14:schemeClr w14:val="tx1"/>
            </w14:solidFill>
          </w14:textFill>
        </w:rPr>
        <w:object>
          <v:shape id="_x0000_i1026" o:spt="75" type="#_x0000_t75" style="height:17.2pt;width:145pt;" o:ole="t" filled="f" o:preferrelative="t" stroked="f" coordsize="21600,21600">
            <v:path/>
            <v:fill on="f" focussize="0,0"/>
            <v:stroke on="f"/>
            <v:imagedata r:id="rId56" o:title=""/>
            <o:lock v:ext="edit" aspectratio="t"/>
            <w10:wrap type="none"/>
            <w10:anchorlock/>
          </v:shape>
          <o:OLEObject Type="Embed" ProgID="Equations" ShapeID="_x0000_i1026" DrawAspect="Content" ObjectID="_1468075726" r:id="rId55">
            <o:LockedField>false</o:LockedField>
          </o:OLEObject>
        </w:objec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cs="Times New Roman"/>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②</w:t>
      </w:r>
      <w:r>
        <w:rPr>
          <w:rFonts w:hint="eastAsia" w:cs="Times New Roman"/>
          <w:color w:val="000000" w:themeColor="text1"/>
          <w:sz w:val="24"/>
          <w:szCs w:val="24"/>
          <w14:textFill>
            <w14:solidFill>
              <w14:schemeClr w14:val="tx1"/>
            </w14:solidFill>
          </w14:textFill>
        </w:rPr>
        <w:t>链增长反应：</w:t>
      </w:r>
      <w:r>
        <w:rPr>
          <w:rFonts w:hint="eastAsia" w:cs="Times New Roman"/>
          <w:color w:val="000000" w:themeColor="text1"/>
          <w:position w:val="-10"/>
          <w:sz w:val="24"/>
          <w:szCs w:val="24"/>
          <w14:textFill>
            <w14:solidFill>
              <w14:schemeClr w14:val="tx1"/>
            </w14:solidFill>
          </w14:textFill>
        </w:rPr>
        <w:object>
          <v:shape id="_x0000_i1027" o:spt="75" type="#_x0000_t75" style="height:17.2pt;width:270.75pt;" o:ole="t" filled="f" o:preferrelative="t" stroked="f" coordsize="21600,21600">
            <v:path/>
            <v:fill on="f" focussize="0,0"/>
            <v:stroke on="f" joinstyle="miter"/>
            <v:imagedata r:id="rId58" o:title=""/>
            <o:lock v:ext="edit" aspectratio="t"/>
            <w10:wrap type="none"/>
            <w10:anchorlock/>
          </v:shape>
          <o:OLEObject Type="Embed" ProgID="Equations" ShapeID="_x0000_i1027" DrawAspect="Content" ObjectID="_1468075727" r:id="rId57">
            <o:LockedField>false</o:LockedField>
          </o:OLEObject>
        </w:object>
      </w:r>
    </w:p>
    <w:p>
      <w:pPr>
        <w:pStyle w:val="24"/>
        <w:keepNext w:val="0"/>
        <w:keepLines w:val="0"/>
        <w:pageBreakBefore w:val="0"/>
        <w:widowControl w:val="0"/>
        <w:kinsoku/>
        <w:wordWrap/>
        <w:overflowPunct/>
        <w:topLinePunct w:val="0"/>
        <w:autoSpaceDE/>
        <w:autoSpaceDN/>
        <w:bidi w:val="0"/>
        <w:adjustRightInd/>
        <w:snapToGrid/>
        <w:spacing w:line="360" w:lineRule="auto"/>
        <w:ind w:firstLine="480"/>
        <w:textAlignment w:val="auto"/>
        <w:rPr>
          <w:sz w:val="24"/>
          <w:szCs w:val="24"/>
        </w:rPr>
      </w:pPr>
      <w:r>
        <w:rPr>
          <w:rFonts w:hint="eastAsia" w:hAnsi="宋体" w:cs="宋体"/>
          <w:color w:val="000000" w:themeColor="text1"/>
          <w:sz w:val="24"/>
          <w:szCs w:val="24"/>
          <w14:textFill>
            <w14:solidFill>
              <w14:schemeClr w14:val="tx1"/>
            </w14:solidFill>
          </w14:textFill>
        </w:rPr>
        <w:t>③</w:t>
      </w:r>
      <w:r>
        <w:rPr>
          <w:rFonts w:hint="eastAsia" w:cs="Times New Roman"/>
          <w:color w:val="000000" w:themeColor="text1"/>
          <w:sz w:val="24"/>
          <w:szCs w:val="24"/>
          <w14:textFill>
            <w14:solidFill>
              <w14:schemeClr w14:val="tx1"/>
            </w14:solidFill>
          </w14:textFill>
        </w:rPr>
        <w:t>链终止反应：</w:t>
      </w:r>
      <w:r>
        <w:rPr>
          <w:rFonts w:hint="eastAsia" w:cs="Times New Roman"/>
          <w:color w:val="000000" w:themeColor="text1"/>
          <w:position w:val="-12"/>
          <w:sz w:val="24"/>
          <w:szCs w:val="24"/>
          <w14:textFill>
            <w14:solidFill>
              <w14:schemeClr w14:val="tx1"/>
            </w14:solidFill>
          </w14:textFill>
        </w:rPr>
        <w:object>
          <v:shape id="_x0000_i1028" o:spt="75" type="#_x0000_t75" style="height:18.25pt;width:277.7pt;" o:ole="t" filled="f" o:preferrelative="t" stroked="f" coordsize="21600,21600">
            <v:path/>
            <v:fill on="f" focussize="0,0"/>
            <v:stroke on="f" joinstyle="miter"/>
            <v:imagedata r:id="rId60" o:title=""/>
            <o:lock v:ext="edit" aspectratio="t"/>
            <w10:wrap type="none"/>
            <w10:anchorlock/>
          </v:shape>
          <o:OLEObject Type="Embed" ProgID="Equations" ShapeID="_x0000_i1028" DrawAspect="Content" ObjectID="_1468075728" r:id="rId59">
            <o:LockedField>false</o:LockedField>
          </o:OLEObject>
        </w:objec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cs="Times New Roman"/>
          <w:color w:val="000000" w:themeColor="text1"/>
          <w:u w:val="single"/>
          <w14:textFill>
            <w14:solidFill>
              <w14:schemeClr w14:val="tx1"/>
            </w14:solidFill>
          </w14:textFill>
        </w:rPr>
      </w:pPr>
      <w:r>
        <w:rPr>
          <w:rFonts w:hint="eastAsia" w:cs="Times New Roman"/>
          <w:color w:val="000000" w:themeColor="text1"/>
          <w:u w:val="single"/>
          <w14:textFill>
            <w14:solidFill>
              <w14:schemeClr w14:val="tx1"/>
            </w14:solidFill>
          </w14:textFill>
        </w:rPr>
        <w:t>（1）乳化</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cs="Times New Roman"/>
          <w:color w:val="000000" w:themeColor="text1"/>
          <w:u w:val="single"/>
          <w14:textFill>
            <w14:solidFill>
              <w14:schemeClr w14:val="tx1"/>
            </w14:solidFill>
          </w14:textFill>
        </w:rPr>
      </w:pPr>
      <w:r>
        <w:rPr>
          <w:rFonts w:hint="eastAsia" w:cs="Times New Roman"/>
          <w:color w:val="000000" w:themeColor="text1"/>
          <w:u w:val="single"/>
          <w14:textFill>
            <w14:solidFill>
              <w14:schemeClr w14:val="tx1"/>
            </w14:solidFill>
          </w14:textFill>
        </w:rPr>
        <w:t>在乳化釜中</w:t>
      </w:r>
      <w:r>
        <w:rPr>
          <w:rFonts w:hint="eastAsia" w:cs="Times New Roman"/>
          <w:color w:val="000000" w:themeColor="text1"/>
          <w:u w:val="single"/>
          <w:lang w:eastAsia="zh-CN"/>
          <w14:textFill>
            <w14:solidFill>
              <w14:schemeClr w14:val="tx1"/>
            </w14:solidFill>
          </w14:textFill>
        </w:rPr>
        <w:t>通过纯水管道</w:t>
      </w:r>
      <w:r>
        <w:rPr>
          <w:rFonts w:hint="eastAsia" w:cs="Times New Roman"/>
          <w:color w:val="000000" w:themeColor="text1"/>
          <w:u w:val="single"/>
          <w14:textFill>
            <w14:solidFill>
              <w14:schemeClr w14:val="tx1"/>
            </w14:solidFill>
          </w14:textFill>
        </w:rPr>
        <w:t>加入定量的水，在搅拌过程中加入定量乳化剂</w:t>
      </w:r>
      <w:r>
        <w:rPr>
          <w:rFonts w:hint="eastAsia" w:cs="Times New Roman"/>
          <w:color w:val="000000" w:themeColor="text1"/>
          <w:u w:val="single"/>
          <w:lang w:eastAsia="zh-CN"/>
          <w14:textFill>
            <w14:solidFill>
              <w14:schemeClr w14:val="tx1"/>
            </w14:solidFill>
          </w14:textFill>
        </w:rPr>
        <w:t>（OP-10）</w:t>
      </w:r>
      <w:r>
        <w:rPr>
          <w:rFonts w:hint="eastAsia" w:cs="Times New Roman"/>
          <w:color w:val="000000" w:themeColor="text1"/>
          <w:u w:val="single"/>
          <w14:textFill>
            <w14:solidFill>
              <w14:schemeClr w14:val="tx1"/>
            </w14:solidFill>
          </w14:textFill>
        </w:rPr>
        <w:t>，搅拌30min左右至乳化剂全部溶解。在乳化釜中加入配方中所需的丙烯酸单体、功能单体等其他所需原料，乳化30～40min，得到稳定不分层的乳化液。在引发剂滴加釜中将配方所需的水及水溶性引发剂配置成10%～20%的水溶液。</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cs="Times New Roman"/>
          <w:szCs w:val="23"/>
          <w:u w:val="single"/>
        </w:rPr>
      </w:pPr>
      <w:r>
        <w:rPr>
          <w:rFonts w:hint="eastAsia"/>
          <w:u w:val="single"/>
          <w:lang w:val="en-US" w:eastAsia="zh-CN"/>
        </w:rPr>
        <w:t>甲基丙烯酸甲酯液体原料的计量方式为：在对某种液体原料投料前，先将该种液体原料的原料桶放在磅秤上称量一次重量，记录好此时磅秤的数字，接着将原料输送管放在原料桶中抽吸液体原料，当磅秤上的数字减少为“抽吸前重量—需添加的液体原料重量”时，停止抽吸。</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cs="Times New Roman"/>
          <w:color w:val="000000" w:themeColor="text1"/>
          <w:u w:val="single"/>
          <w:lang w:eastAsia="zh-CN"/>
          <w14:textFill>
            <w14:solidFill>
              <w14:schemeClr w14:val="tx1"/>
            </w14:solidFill>
          </w14:textFill>
        </w:rPr>
      </w:pPr>
      <w:r>
        <w:rPr>
          <w:rFonts w:hint="eastAsia" w:cs="Times New Roman"/>
          <w:color w:val="000000" w:themeColor="text1"/>
          <w:u w:val="single"/>
          <w14:textFill>
            <w14:solidFill>
              <w14:schemeClr w14:val="tx1"/>
            </w14:solidFill>
          </w14:textFill>
        </w:rPr>
        <w:t>丙烯酸、丙烯酸丁酯</w:t>
      </w:r>
      <w:r>
        <w:rPr>
          <w:rFonts w:hint="eastAsia" w:cs="Times New Roman"/>
          <w:color w:val="000000" w:themeColor="text1"/>
          <w:u w:val="single"/>
          <w:lang w:eastAsia="zh-CN"/>
          <w14:textFill>
            <w14:solidFill>
              <w14:schemeClr w14:val="tx1"/>
            </w14:solidFill>
          </w14:textFill>
        </w:rPr>
        <w:t>原料加料方式：罐区丙烯酸桶、</w:t>
      </w:r>
      <w:r>
        <w:rPr>
          <w:rFonts w:hint="eastAsia" w:cs="Times New Roman"/>
          <w:color w:val="000000" w:themeColor="text1"/>
          <w:u w:val="single"/>
          <w14:textFill>
            <w14:solidFill>
              <w14:schemeClr w14:val="tx1"/>
            </w14:solidFill>
          </w14:textFill>
        </w:rPr>
        <w:t>丙烯酸丁酯</w:t>
      </w:r>
      <w:r>
        <w:rPr>
          <w:rFonts w:hint="eastAsia" w:cs="Times New Roman"/>
          <w:color w:val="000000" w:themeColor="text1"/>
          <w:u w:val="single"/>
          <w:lang w:eastAsia="zh-CN"/>
          <w14:textFill>
            <w14:solidFill>
              <w14:schemeClr w14:val="tx1"/>
            </w14:solidFill>
          </w14:textFill>
        </w:rPr>
        <w:t>桶通过输液管道直接连接乳化釜进料口，采取自动化控制进料，计量系统控制进料量。</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default"/>
          <w:u w:val="single"/>
          <w:lang w:val="en-US" w:eastAsia="zh-CN"/>
        </w:rPr>
      </w:pPr>
      <w:r>
        <w:rPr>
          <w:rFonts w:hint="eastAsia"/>
          <w:u w:val="single"/>
          <w:lang w:val="en-US" w:eastAsia="zh-CN"/>
        </w:rPr>
        <w:t>乳化釜乳化稳定后打开放气阀，收集乳化釜内有机废气G20。</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cs="Times New Roman"/>
          <w:color w:val="000000" w:themeColor="text1"/>
          <w:u w:val="single"/>
          <w14:textFill>
            <w14:solidFill>
              <w14:schemeClr w14:val="tx1"/>
            </w14:solidFill>
          </w14:textFill>
        </w:rPr>
      </w:pPr>
      <w:r>
        <w:rPr>
          <w:rFonts w:hint="eastAsia" w:cs="Times New Roman"/>
          <w:color w:val="000000" w:themeColor="text1"/>
          <w:u w:val="single"/>
          <w14:textFill>
            <w14:solidFill>
              <w14:schemeClr w14:val="tx1"/>
            </w14:solidFill>
          </w14:textFill>
        </w:rPr>
        <w:t>（2）升温聚合</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cs="Times New Roman"/>
          <w:color w:val="000000" w:themeColor="text1"/>
          <w:u w:val="single"/>
          <w14:textFill>
            <w14:solidFill>
              <w14:schemeClr w14:val="tx1"/>
            </w14:solidFill>
          </w14:textFill>
        </w:rPr>
      </w:pPr>
      <w:r>
        <w:rPr>
          <w:rFonts w:hint="eastAsia" w:cs="Times New Roman"/>
          <w:color w:val="000000" w:themeColor="text1"/>
          <w:u w:val="single"/>
          <w14:textFill>
            <w14:solidFill>
              <w14:schemeClr w14:val="tx1"/>
            </w14:solidFill>
          </w14:textFill>
        </w:rPr>
        <w:t>在聚合反应釜中加入水、</w:t>
      </w:r>
      <w:r>
        <w:rPr>
          <w:rFonts w:hint="eastAsia" w:cs="Times New Roman"/>
          <w:color w:val="000000" w:themeColor="text1"/>
          <w:u w:val="single"/>
          <w:lang w:eastAsia="zh-CN"/>
          <w14:textFill>
            <w14:solidFill>
              <w14:schemeClr w14:val="tx1"/>
            </w14:solidFill>
          </w14:textFill>
        </w:rPr>
        <w:t>过硫酸铵</w:t>
      </w:r>
      <w:r>
        <w:rPr>
          <w:rFonts w:hint="eastAsia" w:cs="Times New Roman"/>
          <w:color w:val="000000" w:themeColor="text1"/>
          <w:u w:val="single"/>
          <w14:textFill>
            <w14:solidFill>
              <w14:schemeClr w14:val="tx1"/>
            </w14:solidFill>
          </w14:textFill>
        </w:rPr>
        <w:t>原料，以特定的搅拌速度搅拌并打开蒸汽加热阀门控制反应釜温度在75～80℃。保温接着将聚合反应釜保温反应1h。打开蒸汽加热阀门将反应釜温度控制在85～90℃，保温30min左右，以提高转化率。保温结束后，关闭蒸汽加热阀门停止加热，打开冷凝水降温开关，降温至30～50℃加入pH调节剂调节反应体系的pH值为7～8之间。</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cs="Times New Roman"/>
          <w:color w:val="000000" w:themeColor="text1"/>
          <w:u w:val="single"/>
          <w:lang w:eastAsia="zh-CN"/>
          <w14:textFill>
            <w14:solidFill>
              <w14:schemeClr w14:val="tx1"/>
            </w14:solidFill>
          </w14:textFill>
        </w:rPr>
      </w:pPr>
      <w:r>
        <w:rPr>
          <w:rFonts w:hint="eastAsia" w:cs="Times New Roman"/>
          <w:color w:val="000000" w:themeColor="text1"/>
          <w:u w:val="single"/>
          <w:lang w:eastAsia="zh-CN"/>
          <w14:textFill>
            <w14:solidFill>
              <w14:schemeClr w14:val="tx1"/>
            </w14:solidFill>
          </w14:textFill>
        </w:rPr>
        <w:t>上述反应整个过程均在密闭反应器中进行，反应物料为液体状态，无生产废水；聚合反应釜反应过程中产生的有机废气首先会经反应釜配备的立式冷凝器冷凝处理，立式冷凝器采用水进行间接冷却，冷凝温度为15~25℃，气体经冷凝成液体后，直接回流至反应釜，不凝气经尾气</w:t>
      </w:r>
      <w:r>
        <w:rPr>
          <w:rFonts w:hint="eastAsia" w:cs="Times New Roman"/>
          <w:color w:val="000000" w:themeColor="text1"/>
          <w:u w:val="single"/>
          <w:lang w:val="en-US" w:eastAsia="zh-CN"/>
          <w14:textFill>
            <w14:solidFill>
              <w14:schemeClr w14:val="tx1"/>
            </w14:solidFill>
          </w14:textFill>
        </w:rPr>
        <w:t>G21</w:t>
      </w:r>
      <w:r>
        <w:rPr>
          <w:rFonts w:hint="eastAsia" w:cs="Times New Roman"/>
          <w:color w:val="000000" w:themeColor="text1"/>
          <w:u w:val="single"/>
          <w:lang w:eastAsia="zh-CN"/>
          <w14:textFill>
            <w14:solidFill>
              <w14:schemeClr w14:val="tx1"/>
            </w14:solidFill>
          </w14:textFill>
        </w:rPr>
        <w:t>总管收集进入有机废气治理设施进行处理。</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eastAsia="宋体" w:cs="Times New Roman"/>
          <w:color w:val="000000" w:themeColor="text1"/>
          <w:u w:val="single"/>
          <w:lang w:eastAsia="zh-CN"/>
          <w14:textFill>
            <w14:solidFill>
              <w14:schemeClr w14:val="tx1"/>
            </w14:solidFill>
          </w14:textFill>
        </w:rPr>
      </w:pPr>
      <w:r>
        <w:rPr>
          <w:rFonts w:hint="eastAsia" w:cs="Times New Roman"/>
          <w:color w:val="000000" w:themeColor="text1"/>
          <w:u w:val="single"/>
          <w:lang w:eastAsia="zh-CN"/>
          <w14:textFill>
            <w14:solidFill>
              <w14:schemeClr w14:val="tx1"/>
            </w14:solidFill>
          </w14:textFill>
        </w:rPr>
        <w:t>上料方式：去离子水通过管道直接进入聚合釜中，硫酸铵用量较少直接通过进料口手工加入。</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cs="Times New Roman"/>
          <w:color w:val="000000" w:themeColor="text1"/>
          <w:u w:val="single"/>
          <w14:textFill>
            <w14:solidFill>
              <w14:schemeClr w14:val="tx1"/>
            </w14:solidFill>
          </w14:textFill>
        </w:rPr>
      </w:pPr>
      <w:r>
        <w:rPr>
          <w:rFonts w:hint="eastAsia" w:cs="Times New Roman"/>
          <w:color w:val="000000" w:themeColor="text1"/>
          <w:u w:val="single"/>
          <w14:textFill>
            <w14:solidFill>
              <w14:schemeClr w14:val="tx1"/>
            </w14:solidFill>
          </w14:textFill>
        </w:rPr>
        <w:t>（</w:t>
      </w:r>
      <w:r>
        <w:rPr>
          <w:rFonts w:hint="eastAsia" w:cs="Times New Roman"/>
          <w:color w:val="000000" w:themeColor="text1"/>
          <w:u w:val="single"/>
          <w:lang w:val="en-US" w:eastAsia="zh-CN"/>
          <w14:textFill>
            <w14:solidFill>
              <w14:schemeClr w14:val="tx1"/>
            </w14:solidFill>
          </w14:textFill>
        </w:rPr>
        <w:t>3</w:t>
      </w:r>
      <w:r>
        <w:rPr>
          <w:rFonts w:hint="eastAsia" w:cs="Times New Roman"/>
          <w:color w:val="000000" w:themeColor="text1"/>
          <w:u w:val="single"/>
          <w14:textFill>
            <w14:solidFill>
              <w14:schemeClr w14:val="tx1"/>
            </w14:solidFill>
          </w14:textFill>
        </w:rPr>
        <w:t>）过滤</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cs="Times New Roman"/>
          <w:color w:val="000000" w:themeColor="text1"/>
          <w:u w:val="single"/>
          <w14:textFill>
            <w14:solidFill>
              <w14:schemeClr w14:val="tx1"/>
            </w14:solidFill>
          </w14:textFill>
        </w:rPr>
      </w:pPr>
      <w:r>
        <w:rPr>
          <w:rFonts w:hint="eastAsia" w:cs="Times New Roman"/>
          <w:color w:val="000000" w:themeColor="text1"/>
          <w:u w:val="single"/>
          <w14:textFill>
            <w14:solidFill>
              <w14:schemeClr w14:val="tx1"/>
            </w14:solidFill>
          </w14:textFill>
        </w:rPr>
        <w:t>反应釜外利用循环冷却水降温，待物料冷却至40℃以下后，采用无泄漏泵将物料送入过滤装置过滤，以除去反应中的杂质，确保产品质量，耗时约1h。过滤装置工艺采用“滤袋和机械式密封过滤网”，过滤过程设备处于密闭状态。过滤出来的滤渣属危险废物，送有资质的危废处理单位处置。</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cs="Times New Roman"/>
          <w:color w:val="000000" w:themeColor="text1"/>
          <w:u w:val="single"/>
          <w14:textFill>
            <w14:solidFill>
              <w14:schemeClr w14:val="tx1"/>
            </w14:solidFill>
          </w14:textFill>
        </w:rPr>
      </w:pPr>
      <w:r>
        <w:rPr>
          <w:rFonts w:hint="eastAsia" w:cs="Times New Roman"/>
          <w:color w:val="000000" w:themeColor="text1"/>
          <w:u w:val="single"/>
          <w14:textFill>
            <w14:solidFill>
              <w14:schemeClr w14:val="tx1"/>
            </w14:solidFill>
          </w14:textFill>
        </w:rPr>
        <w:t>（</w:t>
      </w:r>
      <w:r>
        <w:rPr>
          <w:rFonts w:hint="eastAsia" w:cs="Times New Roman"/>
          <w:color w:val="000000" w:themeColor="text1"/>
          <w:u w:val="single"/>
          <w:lang w:val="en-US" w:eastAsia="zh-CN"/>
          <w14:textFill>
            <w14:solidFill>
              <w14:schemeClr w14:val="tx1"/>
            </w14:solidFill>
          </w14:textFill>
        </w:rPr>
        <w:t>4</w:t>
      </w:r>
      <w:r>
        <w:rPr>
          <w:rFonts w:hint="eastAsia" w:cs="Times New Roman"/>
          <w:color w:val="000000" w:themeColor="text1"/>
          <w:u w:val="single"/>
          <w14:textFill>
            <w14:solidFill>
              <w14:schemeClr w14:val="tx1"/>
            </w14:solidFill>
          </w14:textFill>
        </w:rPr>
        <w:t>）包装</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cs="Times New Roman"/>
          <w:color w:val="000000" w:themeColor="text1"/>
          <w:u w:val="single"/>
          <w14:textFill>
            <w14:solidFill>
              <w14:schemeClr w14:val="tx1"/>
            </w14:solidFill>
          </w14:textFill>
        </w:rPr>
      </w:pPr>
      <w:r>
        <w:rPr>
          <w:rFonts w:hint="eastAsia" w:cs="Times New Roman"/>
          <w:color w:val="000000" w:themeColor="text1"/>
          <w:u w:val="single"/>
          <w14:textFill>
            <w14:solidFill>
              <w14:schemeClr w14:val="tx1"/>
            </w14:solidFill>
          </w14:textFill>
        </w:rPr>
        <w:t>产品经过滤器过滤后，输送至包装工段采用自动包装机进行包装，包装后即可得到产品，每批次耗时1h。产品包装时通过管道连接包装桶的进料口，密闭灌装；在包装桶进料口上方设置集气罩，对包装产生的少量有机废气</w:t>
      </w:r>
      <w:r>
        <w:rPr>
          <w:rFonts w:hint="eastAsia" w:cs="Times New Roman"/>
          <w:color w:val="000000" w:themeColor="text1"/>
          <w:u w:val="single"/>
          <w:lang w:val="en-US" w:eastAsia="zh-CN"/>
          <w14:textFill>
            <w14:solidFill>
              <w14:schemeClr w14:val="tx1"/>
            </w14:solidFill>
          </w14:textFill>
        </w:rPr>
        <w:t>G23</w:t>
      </w:r>
      <w:r>
        <w:rPr>
          <w:rFonts w:hint="eastAsia" w:cs="Times New Roman"/>
          <w:color w:val="000000" w:themeColor="text1"/>
          <w:u w:val="single"/>
          <w14:textFill>
            <w14:solidFill>
              <w14:schemeClr w14:val="tx1"/>
            </w14:solidFill>
          </w14:textFill>
        </w:rPr>
        <w:t>进行收集，收集后进入有机废气处理设施进行处理。</w:t>
      </w:r>
    </w:p>
    <w:p>
      <w:pPr>
        <w:pStyle w:val="24"/>
        <w:keepNext w:val="0"/>
        <w:keepLines w:val="0"/>
        <w:pageBreakBefore w:val="0"/>
        <w:kinsoku/>
        <w:wordWrap/>
        <w:overflowPunct/>
        <w:topLinePunct w:val="0"/>
        <w:autoSpaceDE/>
        <w:autoSpaceDN/>
        <w:bidi w:val="0"/>
        <w:adjustRightInd/>
        <w:snapToGrid/>
        <w:spacing w:line="360" w:lineRule="auto"/>
        <w:ind w:firstLine="480"/>
        <w:textAlignment w:val="auto"/>
        <w:rPr>
          <w:rFonts w:ascii="Times New Roman" w:cs="Times New Roman"/>
          <w:sz w:val="24"/>
          <w:szCs w:val="23"/>
        </w:rPr>
      </w:pPr>
      <w:r>
        <w:rPr>
          <w:rFonts w:hint="eastAsia" w:ascii="Times New Roman" w:cs="Times New Roman"/>
          <w:sz w:val="24"/>
          <w:szCs w:val="23"/>
        </w:rPr>
        <w:t>二</w:t>
      </w:r>
      <w:r>
        <w:rPr>
          <w:rFonts w:hint="eastAsia" w:hAnsi="宋体" w:cs="宋体"/>
          <w:b/>
          <w:bCs/>
          <w:color w:val="000000"/>
          <w:kern w:val="0"/>
          <w:sz w:val="24"/>
          <w:lang w:bidi="ar"/>
        </w:rPr>
        <w:t>、产污流程简述：</w:t>
      </w:r>
    </w:p>
    <w:p>
      <w:pPr>
        <w:keepNext w:val="0"/>
        <w:keepLines w:val="0"/>
        <w:pageBreakBefore w:val="0"/>
        <w:widowControl/>
        <w:kinsoku/>
        <w:wordWrap/>
        <w:overflowPunct/>
        <w:topLinePunct w:val="0"/>
        <w:autoSpaceDE/>
        <w:autoSpaceDN/>
        <w:bidi w:val="0"/>
        <w:adjustRightInd/>
        <w:snapToGrid/>
        <w:spacing w:line="360" w:lineRule="auto"/>
        <w:ind w:firstLine="480"/>
        <w:textAlignment w:val="auto"/>
      </w:pPr>
      <w:r>
        <w:rPr>
          <w:rFonts w:cs="Times New Roman"/>
          <w:color w:val="000000"/>
          <w:kern w:val="0"/>
          <w:lang w:bidi="ar"/>
        </w:rPr>
        <w:t>废气：</w:t>
      </w:r>
      <w:r>
        <w:rPr>
          <w:rFonts w:hint="eastAsia" w:cs="Times New Roman"/>
          <w:color w:val="000000"/>
          <w:kern w:val="0"/>
          <w:lang w:bidi="ar"/>
        </w:rPr>
        <w:t>乳化釜</w:t>
      </w:r>
      <w:r>
        <w:rPr>
          <w:rFonts w:cs="Times New Roman"/>
          <w:color w:val="000000"/>
          <w:kern w:val="0"/>
          <w:lang w:bidi="ar"/>
        </w:rPr>
        <w:t>在投料口、卸料口、排气口存在少量有机废气（G</w:t>
      </w:r>
      <w:r>
        <w:rPr>
          <w:rFonts w:hint="eastAsia" w:cs="Times New Roman"/>
          <w:color w:val="000000"/>
          <w:kern w:val="0"/>
          <w:lang w:bidi="ar"/>
        </w:rPr>
        <w:t>2</w:t>
      </w:r>
      <w:r>
        <w:rPr>
          <w:rFonts w:hint="eastAsia" w:cs="Times New Roman"/>
          <w:color w:val="000000"/>
          <w:kern w:val="0"/>
          <w:lang w:val="en-US" w:eastAsia="zh-CN" w:bidi="ar"/>
        </w:rPr>
        <w:t>0</w:t>
      </w:r>
      <w:r>
        <w:rPr>
          <w:rFonts w:hint="eastAsia" w:cs="Times New Roman"/>
          <w:color w:val="000000"/>
          <w:kern w:val="0"/>
          <w:lang w:bidi="ar"/>
        </w:rPr>
        <w:t>、G2</w:t>
      </w:r>
      <w:r>
        <w:rPr>
          <w:rFonts w:hint="eastAsia" w:cs="Times New Roman"/>
          <w:color w:val="000000"/>
          <w:kern w:val="0"/>
          <w:lang w:val="en-US" w:eastAsia="zh-CN" w:bidi="ar"/>
        </w:rPr>
        <w:t>1</w:t>
      </w:r>
      <w:r>
        <w:rPr>
          <w:rFonts w:hint="eastAsia" w:cs="Times New Roman"/>
          <w:color w:val="000000"/>
          <w:kern w:val="0"/>
          <w:lang w:bidi="ar"/>
        </w:rPr>
        <w:t>、G2</w:t>
      </w:r>
      <w:r>
        <w:rPr>
          <w:rFonts w:hint="eastAsia" w:cs="Times New Roman"/>
          <w:color w:val="000000"/>
          <w:kern w:val="0"/>
          <w:lang w:val="en-US" w:eastAsia="zh-CN" w:bidi="ar"/>
        </w:rPr>
        <w:t>2</w:t>
      </w:r>
      <w:r>
        <w:rPr>
          <w:rFonts w:cs="Times New Roman"/>
          <w:color w:val="000000"/>
          <w:kern w:val="0"/>
          <w:lang w:bidi="ar"/>
        </w:rPr>
        <w:t>）排放</w:t>
      </w:r>
      <w:r>
        <w:rPr>
          <w:rFonts w:hint="eastAsia" w:cs="Times New Roman"/>
          <w:color w:val="000000"/>
          <w:kern w:val="0"/>
          <w:lang w:eastAsia="zh-CN" w:bidi="ar"/>
        </w:rPr>
        <w:t>，以及包装废气</w:t>
      </w:r>
      <w:r>
        <w:rPr>
          <w:rFonts w:hint="eastAsia" w:cs="Times New Roman"/>
          <w:color w:val="000000"/>
          <w:kern w:val="0"/>
          <w:lang w:val="en-US" w:eastAsia="zh-CN" w:bidi="ar"/>
        </w:rPr>
        <w:t>G23</w:t>
      </w:r>
      <w:r>
        <w:rPr>
          <w:rFonts w:hint="eastAsia" w:ascii="宋体" w:hAnsi="宋体" w:cs="宋体"/>
          <w:color w:val="000000"/>
          <w:kern w:val="0"/>
          <w:lang w:bidi="ar"/>
        </w:rPr>
        <w:t>；</w:t>
      </w:r>
    </w:p>
    <w:p>
      <w:pPr>
        <w:keepNext w:val="0"/>
        <w:keepLines w:val="0"/>
        <w:pageBreakBefore w:val="0"/>
        <w:widowControl/>
        <w:kinsoku/>
        <w:wordWrap/>
        <w:overflowPunct/>
        <w:topLinePunct w:val="0"/>
        <w:autoSpaceDE/>
        <w:autoSpaceDN/>
        <w:bidi w:val="0"/>
        <w:adjustRightInd/>
        <w:snapToGrid/>
        <w:spacing w:line="360" w:lineRule="auto"/>
        <w:ind w:firstLine="480"/>
        <w:textAlignment w:val="auto"/>
        <w:rPr>
          <w:rFonts w:cs="Times New Roman"/>
          <w:color w:val="000000"/>
          <w:kern w:val="0"/>
          <w:lang w:bidi="ar"/>
        </w:rPr>
      </w:pPr>
      <w:r>
        <w:rPr>
          <w:rFonts w:cs="Times New Roman"/>
          <w:color w:val="000000"/>
          <w:kern w:val="0"/>
          <w:lang w:bidi="ar"/>
        </w:rPr>
        <w:t>固体废物：制备好的</w:t>
      </w:r>
      <w:r>
        <w:rPr>
          <w:rFonts w:hint="eastAsia" w:cs="Times New Roman"/>
          <w:color w:val="000000"/>
          <w:kern w:val="0"/>
          <w:lang w:bidi="ar"/>
        </w:rPr>
        <w:t>产品</w:t>
      </w:r>
      <w:r>
        <w:rPr>
          <w:rFonts w:cs="Times New Roman"/>
          <w:color w:val="000000"/>
          <w:kern w:val="0"/>
          <w:lang w:bidi="ar"/>
        </w:rPr>
        <w:t>经滤网过滤掉杂质，会产生一定量的滤渣S</w:t>
      </w:r>
      <w:r>
        <w:rPr>
          <w:rFonts w:hint="eastAsia" w:cs="Times New Roman"/>
          <w:color w:val="000000"/>
          <w:kern w:val="0"/>
          <w:lang w:val="en-US" w:eastAsia="zh-CN" w:bidi="ar"/>
        </w:rPr>
        <w:t>7</w:t>
      </w:r>
      <w:r>
        <w:rPr>
          <w:rFonts w:cs="Times New Roman"/>
          <w:color w:val="000000"/>
          <w:kern w:val="0"/>
          <w:lang w:bidi="ar"/>
        </w:rPr>
        <w:t>；</w:t>
      </w:r>
    </w:p>
    <w:p>
      <w:pPr>
        <w:keepNext w:val="0"/>
        <w:keepLines w:val="0"/>
        <w:pageBreakBefore w:val="0"/>
        <w:widowControl/>
        <w:kinsoku/>
        <w:wordWrap/>
        <w:overflowPunct/>
        <w:topLinePunct w:val="0"/>
        <w:autoSpaceDE/>
        <w:autoSpaceDN/>
        <w:bidi w:val="0"/>
        <w:adjustRightInd/>
        <w:snapToGrid/>
        <w:spacing w:line="360" w:lineRule="auto"/>
        <w:ind w:firstLine="482"/>
        <w:textAlignment w:val="auto"/>
        <w:rPr>
          <w:rFonts w:ascii="宋体" w:hAnsi="宋体" w:cs="宋体"/>
          <w:b/>
          <w:bCs/>
          <w:color w:val="000000"/>
          <w:kern w:val="0"/>
          <w:lang w:bidi="ar"/>
        </w:rPr>
      </w:pPr>
      <w:r>
        <w:rPr>
          <w:rFonts w:hint="eastAsia" w:ascii="宋体" w:hAnsi="宋体" w:cs="宋体"/>
          <w:b/>
          <w:bCs/>
          <w:color w:val="000000"/>
          <w:kern w:val="0"/>
          <w:lang w:bidi="ar"/>
        </w:rPr>
        <w:t>三、物料衡算</w:t>
      </w:r>
    </w:p>
    <w:p>
      <w:pPr>
        <w:keepNext w:val="0"/>
        <w:keepLines w:val="0"/>
        <w:pageBreakBefore w:val="0"/>
        <w:widowControl/>
        <w:kinsoku/>
        <w:wordWrap/>
        <w:overflowPunct/>
        <w:topLinePunct w:val="0"/>
        <w:autoSpaceDE/>
        <w:autoSpaceDN/>
        <w:bidi w:val="0"/>
        <w:adjustRightInd/>
        <w:snapToGrid/>
        <w:spacing w:line="360" w:lineRule="auto"/>
        <w:ind w:firstLine="480"/>
        <w:textAlignment w:val="auto"/>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G20~G22工艺废气：</w:t>
      </w:r>
      <w:r>
        <w:rPr>
          <w:rFonts w:hint="eastAsia"/>
          <w:color w:val="000000" w:themeColor="text1"/>
          <w14:textFill>
            <w14:solidFill>
              <w14:schemeClr w14:val="tx1"/>
            </w14:solidFill>
          </w14:textFill>
        </w:rPr>
        <w:t>水性树脂生产过程主要包括化学品投料、聚合反应等过程，项目参考《第二次全国污染源普查工业源系数手册》（油墨及类似产品制造业-水性丙烯酸树脂）表2642系数法中丙烯酸树脂的产污系数为0.6kg/t产品，则本项目水性树脂工艺有机废气量为2.1t/a（水性树脂年产量为3500t/a）。</w:t>
      </w:r>
    </w:p>
    <w:p>
      <w:pPr>
        <w:keepNext w:val="0"/>
        <w:keepLines w:val="0"/>
        <w:pageBreakBefore w:val="0"/>
        <w:widowControl/>
        <w:kinsoku/>
        <w:wordWrap/>
        <w:overflowPunct/>
        <w:topLinePunct w:val="0"/>
        <w:autoSpaceDE/>
        <w:autoSpaceDN/>
        <w:bidi w:val="0"/>
        <w:adjustRightInd/>
        <w:snapToGrid/>
        <w:spacing w:line="360" w:lineRule="auto"/>
        <w:ind w:firstLine="480"/>
        <w:textAlignment w:val="auto"/>
        <w:rPr>
          <w:color w:val="000000" w:themeColor="text1"/>
          <w:u w:val="single"/>
          <w14:textFill>
            <w14:solidFill>
              <w14:schemeClr w14:val="tx1"/>
            </w14:solidFill>
          </w14:textFill>
        </w:rPr>
      </w:pPr>
      <w:r>
        <w:rPr>
          <w:rFonts w:hint="eastAsia"/>
          <w:color w:val="000000" w:themeColor="text1"/>
          <w:u w:val="single"/>
          <w:lang w:val="en-US" w:eastAsia="zh-CN"/>
          <w14:textFill>
            <w14:solidFill>
              <w14:schemeClr w14:val="tx1"/>
            </w14:solidFill>
          </w14:textFill>
        </w:rPr>
        <w:t>G23包装废气：</w:t>
      </w:r>
      <w:r>
        <w:rPr>
          <w:rFonts w:hint="eastAsia"/>
          <w:color w:val="000000" w:themeColor="text1"/>
          <w:u w:val="single"/>
          <w14:textFill>
            <w14:solidFill>
              <w14:schemeClr w14:val="tx1"/>
            </w14:solidFill>
          </w14:textFill>
        </w:rPr>
        <w:t>根据建设单位相关设计资料，本项目树脂产品的包装桶均为200kg金属桶，包装口截面积约为0.001m</w:t>
      </w:r>
      <w:r>
        <w:rPr>
          <w:rFonts w:hint="eastAsia"/>
          <w:color w:val="000000" w:themeColor="text1"/>
          <w:u w:val="single"/>
          <w:vertAlign w:val="superscript"/>
          <w14:textFill>
            <w14:solidFill>
              <w14:schemeClr w14:val="tx1"/>
            </w14:solidFill>
          </w14:textFill>
        </w:rPr>
        <w:t>2</w:t>
      </w:r>
      <w:r>
        <w:rPr>
          <w:rFonts w:hint="eastAsia"/>
          <w:color w:val="000000" w:themeColor="text1"/>
          <w:u w:val="single"/>
          <w14:textFill>
            <w14:solidFill>
              <w14:schemeClr w14:val="tx1"/>
            </w14:solidFill>
          </w14:textFill>
        </w:rPr>
        <w:t>（直径约40mm），包装机速率为6min/桶，项目年产3500t水性树脂，则需要打包17500桶水性树脂，包装机包装时长约为</w:t>
      </w:r>
      <w:r>
        <w:rPr>
          <w:rFonts w:hint="eastAsia"/>
          <w:color w:val="000000" w:themeColor="text1"/>
          <w:u w:val="single"/>
          <w:lang w:val="en-US" w:eastAsia="zh-CN"/>
          <w14:textFill>
            <w14:solidFill>
              <w14:schemeClr w14:val="tx1"/>
            </w14:solidFill>
          </w14:textFill>
        </w:rPr>
        <w:t>1750</w:t>
      </w:r>
      <w:r>
        <w:rPr>
          <w:rFonts w:hint="eastAsia"/>
          <w:color w:val="000000" w:themeColor="text1"/>
          <w:u w:val="single"/>
          <w14:textFill>
            <w14:solidFill>
              <w14:schemeClr w14:val="tx1"/>
            </w14:solidFill>
          </w14:textFill>
        </w:rPr>
        <w:t>h。包装时有机溶剂挥发量采用有害物质敞漏挥发量计算公式（引自《环境统计手册》85版）进行该部分有机废气计算，则本项目包装工序非甲烷总烃产生量约为</w:t>
      </w:r>
      <w:r>
        <w:rPr>
          <w:rFonts w:hint="eastAsia"/>
          <w:color w:val="000000" w:themeColor="text1"/>
          <w:u w:val="single"/>
          <w:lang w:val="en-US" w:eastAsia="zh-CN"/>
          <w14:textFill>
            <w14:solidFill>
              <w14:schemeClr w14:val="tx1"/>
            </w14:solidFill>
          </w14:textFill>
        </w:rPr>
        <w:t>0.003</w:t>
      </w:r>
      <w:r>
        <w:rPr>
          <w:rFonts w:hint="eastAsia"/>
          <w:color w:val="000000" w:themeColor="text1"/>
          <w:u w:val="single"/>
          <w14:textFill>
            <w14:solidFill>
              <w14:schemeClr w14:val="tx1"/>
            </w14:solidFill>
          </w14:textFill>
        </w:rPr>
        <w:t>kg/h（</w:t>
      </w:r>
      <w:r>
        <w:rPr>
          <w:rFonts w:hint="eastAsia"/>
          <w:color w:val="000000" w:themeColor="text1"/>
          <w:u w:val="single"/>
          <w:lang w:val="en-US" w:eastAsia="zh-CN"/>
          <w14:textFill>
            <w14:solidFill>
              <w14:schemeClr w14:val="tx1"/>
            </w14:solidFill>
          </w14:textFill>
        </w:rPr>
        <w:t>0.005</w:t>
      </w:r>
      <w:r>
        <w:rPr>
          <w:rFonts w:hint="eastAsia"/>
          <w:color w:val="000000" w:themeColor="text1"/>
          <w:u w:val="single"/>
          <w14:textFill>
            <w14:solidFill>
              <w14:schemeClr w14:val="tx1"/>
            </w14:solidFill>
          </w14:textFill>
        </w:rPr>
        <w:t>t/a）。</w:t>
      </w:r>
    </w:p>
    <w:p>
      <w:pPr>
        <w:widowControl/>
        <w:ind w:firstLine="0" w:firstLineChars="0"/>
        <w:jc w:val="center"/>
        <w:rPr>
          <w:b/>
          <w:bCs/>
          <w:color w:val="000000"/>
          <w:lang w:bidi="ar"/>
        </w:rPr>
      </w:pPr>
      <w:r>
        <w:rPr>
          <w:rFonts w:hint="eastAsia"/>
          <w:b/>
          <w:bCs/>
          <w:color w:val="000000"/>
          <w:lang w:bidi="ar"/>
        </w:rPr>
        <w:t>表4.2-7  本项目水性树脂包装过程废气产生情况一览表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4"/>
        <w:gridCol w:w="1146"/>
        <w:gridCol w:w="1787"/>
        <w:gridCol w:w="1759"/>
        <w:gridCol w:w="1263"/>
        <w:gridCol w:w="1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名称</w:t>
            </w:r>
          </w:p>
        </w:tc>
        <w:tc>
          <w:tcPr>
            <w:tcW w:w="61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V（m/s）</w:t>
            </w:r>
          </w:p>
        </w:tc>
        <w:tc>
          <w:tcPr>
            <w:tcW w:w="96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P（25℃mmHg）</w:t>
            </w:r>
          </w:p>
        </w:tc>
        <w:tc>
          <w:tcPr>
            <w:tcW w:w="94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敞露面积（m</w:t>
            </w:r>
            <w:r>
              <w:rPr>
                <w:rFonts w:hint="eastAsia"/>
                <w:color w:val="000000" w:themeColor="text1"/>
                <w:sz w:val="21"/>
                <w:szCs w:val="21"/>
                <w:vertAlign w:val="superscript"/>
                <w14:textFill>
                  <w14:solidFill>
                    <w14:schemeClr w14:val="tx1"/>
                  </w14:solidFill>
                </w14:textFill>
              </w:rPr>
              <w:t>2</w:t>
            </w:r>
            <w:r>
              <w:rPr>
                <w:rFonts w:hint="eastAsia"/>
                <w:color w:val="000000" w:themeColor="text1"/>
                <w:sz w:val="21"/>
                <w:szCs w:val="21"/>
                <w14:textFill>
                  <w14:solidFill>
                    <w14:schemeClr w14:val="tx1"/>
                  </w14:solidFill>
                </w14:textFill>
              </w:rPr>
              <w:t>）</w:t>
            </w:r>
          </w:p>
        </w:tc>
        <w:tc>
          <w:tcPr>
            <w:tcW w:w="6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M</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Gg（g/h）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丙烯酸</w:t>
            </w:r>
          </w:p>
        </w:tc>
        <w:tc>
          <w:tcPr>
            <w:tcW w:w="61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0.3</w:t>
            </w:r>
          </w:p>
        </w:tc>
        <w:tc>
          <w:tcPr>
            <w:tcW w:w="96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4.26035</w:t>
            </w:r>
          </w:p>
        </w:tc>
        <w:tc>
          <w:tcPr>
            <w:tcW w:w="94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0.01</w:t>
            </w:r>
          </w:p>
        </w:tc>
        <w:tc>
          <w:tcPr>
            <w:tcW w:w="6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72.06</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0.239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丙烯酸丁酯</w:t>
            </w:r>
          </w:p>
        </w:tc>
        <w:tc>
          <w:tcPr>
            <w:tcW w:w="61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0.3</w:t>
            </w:r>
          </w:p>
        </w:tc>
        <w:tc>
          <w:tcPr>
            <w:tcW w:w="96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5.283</w:t>
            </w:r>
          </w:p>
        </w:tc>
        <w:tc>
          <w:tcPr>
            <w:tcW w:w="94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0.01</w:t>
            </w:r>
          </w:p>
        </w:tc>
        <w:tc>
          <w:tcPr>
            <w:tcW w:w="6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128.17</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0.395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甲基丙烯酸甲酯</w:t>
            </w:r>
          </w:p>
        </w:tc>
        <w:tc>
          <w:tcPr>
            <w:tcW w:w="61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0.3</w:t>
            </w:r>
          </w:p>
        </w:tc>
        <w:tc>
          <w:tcPr>
            <w:tcW w:w="96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36.355</w:t>
            </w:r>
          </w:p>
        </w:tc>
        <w:tc>
          <w:tcPr>
            <w:tcW w:w="94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0.01</w:t>
            </w:r>
          </w:p>
        </w:tc>
        <w:tc>
          <w:tcPr>
            <w:tcW w:w="6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100.12</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2.405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178" w:type="pct"/>
            <w:gridSpan w:val="5"/>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合计</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rFonts w:hint="default" w:eastAsia="宋体"/>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3.039</w:t>
            </w:r>
          </w:p>
        </w:tc>
      </w:tr>
    </w:tbl>
    <w:p>
      <w:pPr>
        <w:pStyle w:val="24"/>
        <w:spacing w:line="360" w:lineRule="auto"/>
        <w:ind w:firstLine="480"/>
        <w:rPr>
          <w:rFonts w:ascii="Times New Roman" w:cs="Times New Roman"/>
          <w:color w:val="000000"/>
          <w:kern w:val="0"/>
          <w:sz w:val="24"/>
          <w:lang w:bidi="ar"/>
        </w:rPr>
      </w:pPr>
      <w:r>
        <w:rPr>
          <w:rFonts w:ascii="Times New Roman" w:cs="Times New Roman"/>
          <w:color w:val="000000"/>
          <w:kern w:val="0"/>
          <w:sz w:val="24"/>
          <w:lang w:bidi="ar"/>
        </w:rPr>
        <w:t>滤渣S</w:t>
      </w:r>
      <w:r>
        <w:rPr>
          <w:rFonts w:hint="eastAsia" w:ascii="Times New Roman" w:cs="Times New Roman"/>
          <w:color w:val="000000"/>
          <w:kern w:val="0"/>
          <w:sz w:val="24"/>
          <w:lang w:val="en-US" w:eastAsia="zh-CN" w:bidi="ar"/>
        </w:rPr>
        <w:t>8</w:t>
      </w:r>
      <w:r>
        <w:rPr>
          <w:rFonts w:hint="eastAsia" w:ascii="Times New Roman" w:cs="Times New Roman"/>
          <w:color w:val="000000"/>
          <w:kern w:val="0"/>
          <w:sz w:val="24"/>
          <w:lang w:bidi="ar"/>
        </w:rPr>
        <w:t>：</w:t>
      </w:r>
      <w:r>
        <w:rPr>
          <w:rFonts w:hint="eastAsia" w:ascii="Times New Roman" w:cs="Times New Roman"/>
          <w:color w:val="000000"/>
          <w:kern w:val="0"/>
          <w:sz w:val="24"/>
          <w:lang w:eastAsia="zh-CN" w:bidi="ar"/>
        </w:rPr>
        <w:t>参考</w:t>
      </w:r>
      <w:r>
        <w:rPr>
          <w:rFonts w:hint="eastAsia" w:ascii="Times New Roman" w:cs="Times New Roman"/>
          <w:color w:val="000000"/>
          <w:kern w:val="0"/>
          <w:sz w:val="24"/>
          <w:lang w:val="en-US" w:eastAsia="zh-CN" w:bidi="ar"/>
        </w:rPr>
        <w:t>《排放源统计调查产排污核算方法和系数手册》“2642 油墨及类似产品制造业系数表”水性丙烯酸树脂生产HW12危险废物系数（0.002t/t-产品）</w:t>
      </w:r>
      <w:r>
        <w:rPr>
          <w:rFonts w:hint="eastAsia" w:ascii="Times New Roman" w:cs="Times New Roman"/>
          <w:color w:val="000000"/>
          <w:kern w:val="0"/>
          <w:sz w:val="24"/>
          <w:lang w:bidi="ar"/>
        </w:rPr>
        <w:t>，则滤渣产生量约</w:t>
      </w:r>
      <w:r>
        <w:rPr>
          <w:rFonts w:hint="eastAsia" w:ascii="Times New Roman" w:cs="Times New Roman"/>
          <w:color w:val="000000"/>
          <w:kern w:val="0"/>
          <w:sz w:val="24"/>
          <w:lang w:val="en-US" w:eastAsia="zh-CN" w:bidi="ar"/>
        </w:rPr>
        <w:t>7.0</w:t>
      </w:r>
      <w:r>
        <w:rPr>
          <w:rFonts w:ascii="Times New Roman" w:cs="Times New Roman"/>
          <w:color w:val="000000"/>
          <w:kern w:val="0"/>
          <w:sz w:val="24"/>
          <w:lang w:bidi="ar"/>
        </w:rPr>
        <w:t>t/a</w:t>
      </w:r>
      <w:r>
        <w:rPr>
          <w:rFonts w:hint="eastAsia" w:ascii="Times New Roman" w:cs="Times New Roman"/>
          <w:color w:val="000000"/>
          <w:kern w:val="0"/>
          <w:sz w:val="24"/>
          <w:lang w:bidi="ar"/>
        </w:rPr>
        <w:t>。</w:t>
      </w:r>
    </w:p>
    <w:p>
      <w:pPr>
        <w:widowControl/>
        <w:ind w:firstLine="480"/>
        <w:rPr>
          <w:rFonts w:hint="eastAsia"/>
        </w:rPr>
      </w:pPr>
      <w:r>
        <w:rPr>
          <w:rFonts w:hint="eastAsia"/>
        </w:rPr>
        <w:t>水性树脂生产物料平衡见表4</w:t>
      </w:r>
      <w:r>
        <w:t>.</w:t>
      </w:r>
      <w:r>
        <w:rPr>
          <w:rFonts w:hint="eastAsia"/>
        </w:rPr>
        <w:t>2</w:t>
      </w:r>
      <w:r>
        <w:t>-</w:t>
      </w:r>
      <w:r>
        <w:rPr>
          <w:rFonts w:hint="eastAsia"/>
        </w:rPr>
        <w:t>8及图4</w:t>
      </w:r>
      <w:r>
        <w:t>.</w:t>
      </w:r>
      <w:r>
        <w:rPr>
          <w:rFonts w:hint="eastAsia"/>
        </w:rPr>
        <w:t>2</w:t>
      </w:r>
      <w:r>
        <w:t>-</w:t>
      </w:r>
      <w:r>
        <w:rPr>
          <w:rFonts w:hint="eastAsia"/>
        </w:rPr>
        <w:t>14。</w:t>
      </w:r>
    </w:p>
    <w:p>
      <w:pPr>
        <w:widowControl/>
        <w:ind w:firstLine="480"/>
        <w:jc w:val="left"/>
        <w:rPr>
          <w:rFonts w:hint="default" w:eastAsia="宋体"/>
          <w:u w:val="none"/>
          <w:lang w:val="en-US" w:eastAsia="zh-CN"/>
        </w:rPr>
      </w:pPr>
      <w:r>
        <w:rPr>
          <w:rFonts w:hint="eastAsia"/>
          <w:u w:val="none"/>
          <w:lang w:eastAsia="zh-CN"/>
        </w:rPr>
        <w:t>根据</w:t>
      </w:r>
      <w:r>
        <w:rPr>
          <w:rFonts w:hint="eastAsia"/>
          <w:u w:val="none"/>
          <w:lang w:val="en-US" w:eastAsia="zh-CN"/>
        </w:rPr>
        <w:t>3.2.5</w:t>
      </w:r>
      <w:r>
        <w:rPr>
          <w:rFonts w:hint="eastAsia"/>
          <w:u w:val="none"/>
          <w:lang w:eastAsia="zh-CN"/>
        </w:rPr>
        <w:t>产品方案表</w:t>
      </w:r>
      <w:r>
        <w:rPr>
          <w:rFonts w:hint="eastAsia"/>
          <w:u w:val="none"/>
          <w:lang w:val="en-US" w:eastAsia="zh-CN"/>
        </w:rPr>
        <w:t>3.2-6项目反应釜产能核实一览表，水性树脂年产3500吨，生产批次146批/年，由此核算单批次产品量为23.9726t/批次。</w:t>
      </w:r>
    </w:p>
    <w:p>
      <w:pPr>
        <w:widowControl/>
        <w:ind w:firstLine="0" w:firstLineChars="0"/>
        <w:jc w:val="center"/>
        <w:rPr>
          <w:b/>
          <w:bCs/>
        </w:rPr>
      </w:pPr>
      <w:r>
        <w:rPr>
          <w:rFonts w:hint="eastAsia" w:ascii="宋体" w:hAnsi="宋体" w:cs="宋体"/>
          <w:b/>
          <w:bCs/>
          <w:color w:val="000000"/>
          <w:kern w:val="0"/>
          <w:lang w:bidi="ar"/>
        </w:rPr>
        <w:t>表</w:t>
      </w:r>
      <w:r>
        <w:rPr>
          <w:rFonts w:hint="eastAsia" w:cs="Times New Roman"/>
          <w:b/>
          <w:bCs/>
          <w:color w:val="000000"/>
          <w:kern w:val="0"/>
          <w:lang w:bidi="ar"/>
        </w:rPr>
        <w:t>4.2</w:t>
      </w:r>
      <w:r>
        <w:rPr>
          <w:rFonts w:cs="Times New Roman"/>
          <w:b/>
          <w:bCs/>
          <w:color w:val="000000"/>
          <w:kern w:val="0"/>
          <w:lang w:bidi="ar"/>
        </w:rPr>
        <w:t>-</w:t>
      </w:r>
      <w:r>
        <w:rPr>
          <w:rFonts w:hint="eastAsia" w:cs="Times New Roman"/>
          <w:b/>
          <w:bCs/>
          <w:color w:val="000000"/>
          <w:kern w:val="0"/>
          <w:lang w:bidi="ar"/>
        </w:rPr>
        <w:t>8  水性树脂生产</w:t>
      </w:r>
      <w:r>
        <w:rPr>
          <w:rFonts w:hint="eastAsia" w:ascii="宋体" w:hAnsi="宋体" w:cs="宋体"/>
          <w:b/>
          <w:bCs/>
          <w:color w:val="000000"/>
          <w:kern w:val="0"/>
          <w:lang w:bidi="ar"/>
        </w:rPr>
        <w:t>物料平衡一览表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1"/>
        <w:gridCol w:w="2845"/>
        <w:gridCol w:w="1323"/>
        <w:gridCol w:w="574"/>
        <w:gridCol w:w="1522"/>
        <w:gridCol w:w="2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7"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投入情况（kg/批次）</w:t>
            </w:r>
          </w:p>
        </w:tc>
        <w:tc>
          <w:tcPr>
            <w:tcW w:w="2362" w:type="pct"/>
            <w:gridSpan w:val="3"/>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产出情况（kg/批次）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94" w:type="pct"/>
            <w:tcBorders>
              <w:tl2br w:val="nil"/>
              <w:tr2bl w:val="nil"/>
            </w:tcBorders>
            <w:vAlign w:val="center"/>
          </w:tcPr>
          <w:p>
            <w:pPr>
              <w:widowControl/>
              <w:spacing w:line="240" w:lineRule="auto"/>
              <w:ind w:firstLine="0" w:firstLineChars="0"/>
              <w:jc w:val="center"/>
              <w:rPr>
                <w:rFonts w:hint="eastAsia" w:eastAsia="宋体"/>
                <w:sz w:val="21"/>
                <w:szCs w:val="21"/>
                <w:u w:val="none"/>
                <w:lang w:val="en-US" w:eastAsia="zh-CN"/>
              </w:rPr>
            </w:pPr>
            <w:r>
              <w:rPr>
                <w:rFonts w:hint="eastAsia"/>
                <w:sz w:val="21"/>
                <w:szCs w:val="21"/>
                <w:u w:val="none"/>
                <w:lang w:val="en-US" w:eastAsia="zh-CN"/>
              </w:rPr>
              <w:t>1</w:t>
            </w:r>
          </w:p>
        </w:tc>
        <w:tc>
          <w:tcPr>
            <w:tcW w:w="1530"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丙烯酸</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582.19</w:t>
            </w:r>
          </w:p>
        </w:tc>
        <w:tc>
          <w:tcPr>
            <w:tcW w:w="3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1</w:t>
            </w:r>
          </w:p>
        </w:tc>
        <w:tc>
          <w:tcPr>
            <w:tcW w:w="81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mc:AlternateContent>
                <mc:Choice Requires="wps">
                  <w:drawing>
                    <wp:anchor distT="0" distB="0" distL="114300" distR="114300" simplePos="0" relativeHeight="251724800"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160" name="直接箭头连接符 160"/>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724800;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lcIbI&#10;1QAAAAkBAAAPAAAAAAAAAAEAIAAAACIAAABkcnMvZG93bnJldi54bWxQSwECFAAUAAAACACHTuJA&#10;3Epk8rIBAABIAwAADgAAAAAAAAABACAAAAAkAQAAZHJzL2Uyb0RvYy54bWxQSwUGAAAAAAYABgBZ&#10;AQAASAUAAAAA&#10;">
                      <v:fill on="f" focussize="0,0"/>
                      <v:stroke on="f"/>
                      <v:imagedata o:title=""/>
                      <o:lock v:ext="edit" aspectratio="f"/>
                    </v:shape>
                  </w:pict>
                </mc:Fallback>
              </mc:AlternateContent>
            </w:r>
            <w:r>
              <w:rPr>
                <w:rFonts w:hint="eastAsia"/>
                <w:sz w:val="21"/>
                <w:szCs w:val="21"/>
                <w:u w:val="none"/>
              </w:rPr>
              <w:t>水性树脂</w:t>
            </w:r>
          </w:p>
        </w:tc>
        <w:tc>
          <w:tcPr>
            <w:tcW w:w="1234"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23972.6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394" w:type="pct"/>
            <w:tcBorders>
              <w:tl2br w:val="nil"/>
              <w:tr2bl w:val="nil"/>
            </w:tcBorders>
            <w:vAlign w:val="center"/>
          </w:tcPr>
          <w:p>
            <w:pPr>
              <w:widowControl/>
              <w:spacing w:line="240" w:lineRule="auto"/>
              <w:ind w:firstLine="0" w:firstLineChars="0"/>
              <w:jc w:val="center"/>
              <w:rPr>
                <w:rFonts w:hint="eastAsia" w:eastAsia="宋体"/>
                <w:sz w:val="21"/>
                <w:szCs w:val="21"/>
                <w:u w:val="none"/>
                <w:lang w:val="en-US" w:eastAsia="zh-CN"/>
              </w:rPr>
            </w:pPr>
            <w:r>
              <w:rPr>
                <w:rFonts w:hint="eastAsia"/>
                <w:sz w:val="21"/>
                <w:szCs w:val="21"/>
                <w:u w:val="none"/>
                <w:lang w:val="en-US" w:eastAsia="zh-CN"/>
              </w:rPr>
              <w:t>2</w:t>
            </w:r>
          </w:p>
        </w:tc>
        <w:tc>
          <w:tcPr>
            <w:tcW w:w="1530"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甲基丙烯酸甲酯</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5342.47</w:t>
            </w:r>
          </w:p>
        </w:tc>
        <w:tc>
          <w:tcPr>
            <w:tcW w:w="3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2</w:t>
            </w:r>
          </w:p>
        </w:tc>
        <w:tc>
          <w:tcPr>
            <w:tcW w:w="81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非甲烷总烃</w:t>
            </w:r>
          </w:p>
        </w:tc>
        <w:tc>
          <w:tcPr>
            <w:tcW w:w="1234" w:type="pct"/>
            <w:tcBorders>
              <w:tl2br w:val="nil"/>
              <w:tr2bl w:val="nil"/>
            </w:tcBorders>
            <w:vAlign w:val="center"/>
          </w:tcPr>
          <w:p>
            <w:pPr>
              <w:widowControl/>
              <w:spacing w:line="240" w:lineRule="auto"/>
              <w:ind w:firstLine="0" w:firstLineChars="0"/>
              <w:jc w:val="center"/>
              <w:rPr>
                <w:rFonts w:hint="eastAsia" w:eastAsia="宋体"/>
                <w:sz w:val="21"/>
                <w:szCs w:val="21"/>
                <w:u w:val="none"/>
                <w:lang w:eastAsia="zh-CN"/>
              </w:rPr>
            </w:pPr>
            <w:r>
              <w:rPr>
                <w:rFonts w:hint="eastAsia"/>
                <w:sz w:val="21"/>
                <w:szCs w:val="21"/>
                <w:u w:val="none"/>
              </w:rPr>
              <w:t>14.4</w:t>
            </w:r>
            <w:r>
              <w:rPr>
                <w:rFonts w:hint="eastAsia"/>
                <w:sz w:val="21"/>
                <w:szCs w:val="21"/>
                <w:u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94" w:type="pct"/>
            <w:tcBorders>
              <w:tl2br w:val="nil"/>
              <w:tr2bl w:val="nil"/>
            </w:tcBorders>
            <w:vAlign w:val="center"/>
          </w:tcPr>
          <w:p>
            <w:pPr>
              <w:widowControl/>
              <w:spacing w:line="240" w:lineRule="auto"/>
              <w:ind w:firstLine="0" w:firstLineChars="0"/>
              <w:jc w:val="center"/>
              <w:rPr>
                <w:rFonts w:hint="eastAsia" w:eastAsia="宋体"/>
                <w:sz w:val="21"/>
                <w:szCs w:val="21"/>
                <w:u w:val="none"/>
                <w:lang w:val="en-US" w:eastAsia="zh-CN"/>
              </w:rPr>
            </w:pPr>
            <w:r>
              <w:rPr>
                <w:rFonts w:hint="eastAsia"/>
                <w:sz w:val="21"/>
                <w:szCs w:val="21"/>
                <w:u w:val="none"/>
                <w:lang w:val="en-US" w:eastAsia="zh-CN"/>
              </w:rPr>
              <w:t>3</w:t>
            </w:r>
          </w:p>
        </w:tc>
        <w:tc>
          <w:tcPr>
            <w:tcW w:w="1530"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丙烯酸丁酯</w:t>
            </w:r>
          </w:p>
        </w:tc>
        <w:tc>
          <w:tcPr>
            <w:tcW w:w="712"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lang w:val="en-US" w:eastAsia="zh-CN"/>
              </w:rPr>
              <w:t>5342.47</w:t>
            </w:r>
          </w:p>
        </w:tc>
        <w:tc>
          <w:tcPr>
            <w:tcW w:w="30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3</w:t>
            </w:r>
          </w:p>
        </w:tc>
        <w:tc>
          <w:tcPr>
            <w:tcW w:w="819"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lang w:eastAsia="zh-CN"/>
              </w:rPr>
              <w:t>滤渣</w:t>
            </w:r>
            <w:r>
              <w:rPr>
                <w:rFonts w:hint="eastAsia"/>
                <w:sz w:val="21"/>
                <w:szCs w:val="21"/>
                <w:u w:val="none"/>
              </w:rPr>
              <w:t>S8</w:t>
            </w:r>
          </w:p>
        </w:tc>
        <w:tc>
          <w:tcPr>
            <w:tcW w:w="1234"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47.95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394" w:type="pct"/>
            <w:tcBorders>
              <w:tl2br w:val="nil"/>
              <w:tr2bl w:val="nil"/>
            </w:tcBorders>
            <w:vAlign w:val="center"/>
          </w:tcPr>
          <w:p>
            <w:pPr>
              <w:widowControl/>
              <w:spacing w:line="240" w:lineRule="auto"/>
              <w:ind w:firstLine="0" w:firstLineChars="0"/>
              <w:jc w:val="center"/>
              <w:rPr>
                <w:rFonts w:hint="eastAsia" w:eastAsia="宋体"/>
                <w:sz w:val="21"/>
                <w:szCs w:val="21"/>
                <w:u w:val="none"/>
                <w:lang w:val="en-US" w:eastAsia="zh-CN"/>
              </w:rPr>
            </w:pPr>
            <w:r>
              <w:rPr>
                <w:rFonts w:hint="eastAsia"/>
                <w:sz w:val="21"/>
                <w:szCs w:val="21"/>
                <w:u w:val="none"/>
                <w:lang w:val="en-US" w:eastAsia="zh-CN"/>
              </w:rPr>
              <w:t>4</w:t>
            </w:r>
          </w:p>
        </w:tc>
        <w:tc>
          <w:tcPr>
            <w:tcW w:w="1530" w:type="pct"/>
            <w:tcBorders>
              <w:tl2br w:val="nil"/>
              <w:tr2bl w:val="nil"/>
            </w:tcBorders>
            <w:vAlign w:val="center"/>
          </w:tcPr>
          <w:p>
            <w:pPr>
              <w:spacing w:line="240" w:lineRule="auto"/>
              <w:ind w:firstLine="0" w:firstLineChars="0"/>
              <w:jc w:val="center"/>
              <w:rPr>
                <w:sz w:val="21"/>
                <w:szCs w:val="21"/>
                <w:u w:val="none"/>
              </w:rPr>
            </w:pPr>
            <w:r>
              <w:rPr>
                <w:rFonts w:cs="Times New Roman"/>
                <w:kern w:val="21"/>
                <w:sz w:val="21"/>
                <w:szCs w:val="21"/>
                <w:u w:val="none"/>
              </w:rPr>
              <w:t>OP-10</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246.58</w:t>
            </w:r>
          </w:p>
        </w:tc>
        <w:tc>
          <w:tcPr>
            <w:tcW w:w="309" w:type="pct"/>
            <w:tcBorders>
              <w:tl2br w:val="nil"/>
              <w:tr2bl w:val="nil"/>
            </w:tcBorders>
            <w:vAlign w:val="center"/>
          </w:tcPr>
          <w:p>
            <w:pPr>
              <w:widowControl/>
              <w:spacing w:line="240" w:lineRule="auto"/>
              <w:ind w:firstLine="0" w:firstLineChars="0"/>
              <w:jc w:val="center"/>
              <w:rPr>
                <w:sz w:val="21"/>
                <w:szCs w:val="21"/>
                <w:u w:val="none"/>
              </w:rPr>
            </w:pPr>
          </w:p>
        </w:tc>
        <w:tc>
          <w:tcPr>
            <w:tcW w:w="819" w:type="pct"/>
            <w:tcBorders>
              <w:tl2br w:val="nil"/>
              <w:tr2bl w:val="nil"/>
            </w:tcBorders>
            <w:vAlign w:val="center"/>
          </w:tcPr>
          <w:p>
            <w:pPr>
              <w:widowControl/>
              <w:spacing w:line="240" w:lineRule="auto"/>
              <w:ind w:firstLine="0" w:firstLineChars="0"/>
              <w:jc w:val="center"/>
              <w:rPr>
                <w:sz w:val="21"/>
                <w:szCs w:val="21"/>
                <w:u w:val="none"/>
              </w:rPr>
            </w:pPr>
          </w:p>
        </w:tc>
        <w:tc>
          <w:tcPr>
            <w:tcW w:w="1234"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394" w:type="pct"/>
            <w:tcBorders>
              <w:tl2br w:val="nil"/>
              <w:tr2bl w:val="nil"/>
            </w:tcBorders>
            <w:vAlign w:val="center"/>
          </w:tcPr>
          <w:p>
            <w:pPr>
              <w:widowControl/>
              <w:spacing w:line="240" w:lineRule="auto"/>
              <w:ind w:firstLine="0" w:firstLineChars="0"/>
              <w:jc w:val="center"/>
              <w:rPr>
                <w:rFonts w:hint="eastAsia" w:eastAsia="宋体"/>
                <w:sz w:val="21"/>
                <w:szCs w:val="21"/>
                <w:u w:val="none"/>
                <w:lang w:val="en-US" w:eastAsia="zh-CN"/>
              </w:rPr>
            </w:pPr>
            <w:r>
              <w:rPr>
                <w:rFonts w:hint="eastAsia"/>
                <w:sz w:val="21"/>
                <w:szCs w:val="21"/>
                <w:u w:val="none"/>
                <w:lang w:val="en-US" w:eastAsia="zh-CN"/>
              </w:rPr>
              <w:t>5</w:t>
            </w:r>
          </w:p>
        </w:tc>
        <w:tc>
          <w:tcPr>
            <w:tcW w:w="1530" w:type="pct"/>
            <w:tcBorders>
              <w:tl2br w:val="nil"/>
              <w:tr2bl w:val="nil"/>
            </w:tcBorders>
            <w:vAlign w:val="center"/>
          </w:tcPr>
          <w:p>
            <w:pPr>
              <w:spacing w:line="240" w:lineRule="auto"/>
              <w:ind w:firstLine="0" w:firstLineChars="0"/>
              <w:jc w:val="center"/>
              <w:rPr>
                <w:rFonts w:cs="Times New Roman"/>
                <w:kern w:val="21"/>
                <w:sz w:val="21"/>
                <w:szCs w:val="21"/>
                <w:u w:val="none"/>
              </w:rPr>
            </w:pPr>
            <w:r>
              <w:rPr>
                <w:rFonts w:cs="Times New Roman"/>
                <w:kern w:val="21"/>
                <w:sz w:val="21"/>
                <w:szCs w:val="21"/>
                <w:u w:val="none"/>
              </w:rPr>
              <w:t>过硫酸铵</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27.40</w:t>
            </w:r>
          </w:p>
        </w:tc>
        <w:tc>
          <w:tcPr>
            <w:tcW w:w="309" w:type="pct"/>
            <w:tcBorders>
              <w:tl2br w:val="nil"/>
              <w:tr2bl w:val="nil"/>
            </w:tcBorders>
            <w:vAlign w:val="center"/>
          </w:tcPr>
          <w:p>
            <w:pPr>
              <w:widowControl/>
              <w:spacing w:line="240" w:lineRule="auto"/>
              <w:ind w:firstLine="0" w:firstLineChars="0"/>
              <w:jc w:val="center"/>
              <w:rPr>
                <w:sz w:val="21"/>
                <w:szCs w:val="21"/>
                <w:u w:val="none"/>
              </w:rPr>
            </w:pPr>
          </w:p>
        </w:tc>
        <w:tc>
          <w:tcPr>
            <w:tcW w:w="819" w:type="pct"/>
            <w:tcBorders>
              <w:tl2br w:val="nil"/>
              <w:tr2bl w:val="nil"/>
            </w:tcBorders>
            <w:vAlign w:val="center"/>
          </w:tcPr>
          <w:p>
            <w:pPr>
              <w:widowControl/>
              <w:spacing w:line="240" w:lineRule="auto"/>
              <w:ind w:firstLine="0" w:firstLineChars="0"/>
              <w:jc w:val="center"/>
              <w:rPr>
                <w:sz w:val="21"/>
                <w:szCs w:val="21"/>
                <w:u w:val="none"/>
              </w:rPr>
            </w:pPr>
          </w:p>
        </w:tc>
        <w:tc>
          <w:tcPr>
            <w:tcW w:w="1234"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 w:hRule="atLeast"/>
          <w:jc w:val="center"/>
        </w:trPr>
        <w:tc>
          <w:tcPr>
            <w:tcW w:w="394" w:type="pct"/>
            <w:tcBorders>
              <w:tl2br w:val="nil"/>
              <w:tr2bl w:val="nil"/>
            </w:tcBorders>
            <w:vAlign w:val="center"/>
          </w:tcPr>
          <w:p>
            <w:pPr>
              <w:widowControl/>
              <w:spacing w:line="240" w:lineRule="auto"/>
              <w:ind w:firstLine="0" w:firstLineChars="0"/>
              <w:jc w:val="center"/>
              <w:rPr>
                <w:rFonts w:hint="eastAsia" w:eastAsia="宋体"/>
                <w:sz w:val="21"/>
                <w:szCs w:val="21"/>
                <w:u w:val="none"/>
                <w:lang w:val="en-US" w:eastAsia="zh-CN"/>
              </w:rPr>
            </w:pPr>
            <w:r>
              <w:rPr>
                <w:rFonts w:hint="eastAsia"/>
                <w:sz w:val="21"/>
                <w:szCs w:val="21"/>
                <w:u w:val="none"/>
                <w:lang w:val="en-US" w:eastAsia="zh-CN"/>
              </w:rPr>
              <w:t>6</w:t>
            </w:r>
          </w:p>
        </w:tc>
        <w:tc>
          <w:tcPr>
            <w:tcW w:w="1530" w:type="pct"/>
            <w:tcBorders>
              <w:tl2br w:val="nil"/>
              <w:tr2bl w:val="nil"/>
            </w:tcBorders>
            <w:vAlign w:val="center"/>
          </w:tcPr>
          <w:p>
            <w:pPr>
              <w:spacing w:line="240" w:lineRule="auto"/>
              <w:ind w:firstLine="0" w:firstLineChars="0"/>
              <w:jc w:val="center"/>
              <w:rPr>
                <w:rFonts w:cs="Times New Roman"/>
                <w:kern w:val="21"/>
                <w:sz w:val="21"/>
                <w:szCs w:val="21"/>
                <w:u w:val="none"/>
              </w:rPr>
            </w:pPr>
            <w:r>
              <w:rPr>
                <w:rFonts w:cs="Times New Roman"/>
                <w:kern w:val="21"/>
                <w:sz w:val="21"/>
                <w:szCs w:val="21"/>
                <w:u w:val="none"/>
              </w:rPr>
              <w:t>去离子水</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12493.86</w:t>
            </w:r>
          </w:p>
        </w:tc>
        <w:tc>
          <w:tcPr>
            <w:tcW w:w="309" w:type="pct"/>
            <w:tcBorders>
              <w:tl2br w:val="nil"/>
              <w:tr2bl w:val="nil"/>
            </w:tcBorders>
            <w:vAlign w:val="center"/>
          </w:tcPr>
          <w:p>
            <w:pPr>
              <w:widowControl/>
              <w:spacing w:line="240" w:lineRule="auto"/>
              <w:ind w:firstLine="0" w:firstLineChars="0"/>
              <w:jc w:val="center"/>
              <w:rPr>
                <w:sz w:val="21"/>
                <w:szCs w:val="21"/>
                <w:u w:val="none"/>
              </w:rPr>
            </w:pPr>
          </w:p>
        </w:tc>
        <w:tc>
          <w:tcPr>
            <w:tcW w:w="819" w:type="pct"/>
            <w:tcBorders>
              <w:tl2br w:val="nil"/>
              <w:tr2bl w:val="nil"/>
            </w:tcBorders>
            <w:vAlign w:val="center"/>
          </w:tcPr>
          <w:p>
            <w:pPr>
              <w:widowControl/>
              <w:spacing w:line="240" w:lineRule="auto"/>
              <w:ind w:firstLine="0" w:firstLineChars="0"/>
              <w:jc w:val="center"/>
              <w:rPr>
                <w:sz w:val="21"/>
                <w:szCs w:val="21"/>
                <w:u w:val="none"/>
              </w:rPr>
            </w:pPr>
          </w:p>
        </w:tc>
        <w:tc>
          <w:tcPr>
            <w:tcW w:w="1234" w:type="pct"/>
            <w:tcBorders>
              <w:tl2br w:val="nil"/>
              <w:tr2bl w:val="nil"/>
            </w:tcBorders>
            <w:vAlign w:val="center"/>
          </w:tcPr>
          <w:p>
            <w:pPr>
              <w:widowControl/>
              <w:spacing w:line="240" w:lineRule="auto"/>
              <w:ind w:firstLine="0" w:firstLineChars="0"/>
              <w:jc w:val="center"/>
              <w:rPr>
                <w:sz w:val="21"/>
                <w:szCs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25" w:type="pct"/>
            <w:gridSpan w:val="2"/>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合计</w:t>
            </w:r>
          </w:p>
        </w:tc>
        <w:tc>
          <w:tcPr>
            <w:tcW w:w="712" w:type="pct"/>
            <w:tcBorders>
              <w:tl2br w:val="nil"/>
              <w:tr2bl w:val="nil"/>
            </w:tcBorders>
            <w:vAlign w:val="center"/>
          </w:tcPr>
          <w:p>
            <w:pPr>
              <w:widowControl/>
              <w:spacing w:line="240" w:lineRule="auto"/>
              <w:ind w:firstLine="0" w:firstLineChars="0"/>
              <w:jc w:val="center"/>
              <w:rPr>
                <w:rFonts w:hint="default" w:eastAsia="宋体"/>
                <w:sz w:val="21"/>
                <w:szCs w:val="21"/>
                <w:u w:val="none"/>
                <w:lang w:val="en-US" w:eastAsia="zh-CN"/>
              </w:rPr>
            </w:pPr>
            <w:r>
              <w:rPr>
                <w:rFonts w:hint="eastAsia"/>
                <w:sz w:val="21"/>
                <w:szCs w:val="21"/>
                <w:u w:val="none"/>
                <w:lang w:val="en-US" w:eastAsia="zh-CN"/>
              </w:rPr>
              <w:t>24034.97</w:t>
            </w:r>
          </w:p>
        </w:tc>
        <w:tc>
          <w:tcPr>
            <w:tcW w:w="1128" w:type="pct"/>
            <w:gridSpan w:val="2"/>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rPr>
              <w:t>合计</w:t>
            </w:r>
          </w:p>
        </w:tc>
        <w:tc>
          <w:tcPr>
            <w:tcW w:w="1234" w:type="pct"/>
            <w:tcBorders>
              <w:tl2br w:val="nil"/>
              <w:tr2bl w:val="nil"/>
            </w:tcBorders>
            <w:vAlign w:val="center"/>
          </w:tcPr>
          <w:p>
            <w:pPr>
              <w:widowControl/>
              <w:spacing w:line="240" w:lineRule="auto"/>
              <w:ind w:firstLine="0" w:firstLineChars="0"/>
              <w:jc w:val="center"/>
              <w:rPr>
                <w:sz w:val="21"/>
                <w:szCs w:val="21"/>
                <w:u w:val="none"/>
              </w:rPr>
            </w:pPr>
            <w:r>
              <w:rPr>
                <w:rFonts w:hint="eastAsia"/>
                <w:sz w:val="21"/>
                <w:szCs w:val="21"/>
                <w:u w:val="none"/>
                <w:lang w:val="en-US" w:eastAsia="zh-CN"/>
              </w:rPr>
              <w:t>24034.97</w:t>
            </w:r>
          </w:p>
        </w:tc>
      </w:tr>
    </w:tbl>
    <w:p>
      <w:pPr>
        <w:pStyle w:val="24"/>
        <w:spacing w:line="360" w:lineRule="auto"/>
        <w:ind w:firstLine="0" w:firstLineChars="0"/>
        <w:jc w:val="center"/>
        <w:rPr>
          <w:rFonts w:ascii="Times New Roman" w:cs="Times New Roman"/>
          <w:color w:val="000000" w:themeColor="text1"/>
          <w:sz w:val="24"/>
          <w14:textFill>
            <w14:solidFill>
              <w14:schemeClr w14:val="tx1"/>
            </w14:solidFill>
          </w14:textFill>
        </w:rPr>
      </w:pPr>
      <w:r>
        <w:drawing>
          <wp:inline distT="0" distB="0" distL="114300" distR="114300">
            <wp:extent cx="5732145" cy="2508250"/>
            <wp:effectExtent l="0" t="0" r="1905" b="6350"/>
            <wp:docPr id="12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4"/>
                    <pic:cNvPicPr>
                      <a:picLocks noChangeAspect="1"/>
                    </pic:cNvPicPr>
                  </pic:nvPicPr>
                  <pic:blipFill>
                    <a:blip r:embed="rId61"/>
                    <a:stretch>
                      <a:fillRect/>
                    </a:stretch>
                  </pic:blipFill>
                  <pic:spPr>
                    <a:xfrm>
                      <a:off x="0" y="0"/>
                      <a:ext cx="5732145" cy="2508250"/>
                    </a:xfrm>
                    <a:prstGeom prst="rect">
                      <a:avLst/>
                    </a:prstGeom>
                    <a:noFill/>
                    <a:ln>
                      <a:noFill/>
                    </a:ln>
                  </pic:spPr>
                </pic:pic>
              </a:graphicData>
            </a:graphic>
          </wp:inline>
        </w:drawing>
      </w:r>
    </w:p>
    <w:p>
      <w:pPr>
        <w:pStyle w:val="24"/>
        <w:ind w:firstLine="482"/>
        <w:jc w:val="center"/>
        <w:rPr>
          <w:rFonts w:ascii="Times New Roman" w:cs="Times New Roman"/>
          <w:color w:val="000000" w:themeColor="text1"/>
          <w:sz w:val="24"/>
          <w14:textFill>
            <w14:solidFill>
              <w14:schemeClr w14:val="tx1"/>
            </w14:solidFill>
          </w14:textFill>
        </w:rPr>
      </w:pPr>
      <w:r>
        <w:rPr>
          <w:rFonts w:ascii="Times New Roman" w:cs="Times New Roman"/>
          <w:b/>
          <w:bCs/>
          <w:sz w:val="24"/>
        </w:rPr>
        <w:t>图4.2-14  水性树脂</w:t>
      </w:r>
      <w:r>
        <w:rPr>
          <w:rFonts w:ascii="Times New Roman" w:cs="Times New Roman"/>
          <w:b/>
          <w:bCs/>
          <w:color w:val="000000"/>
          <w:kern w:val="0"/>
          <w:sz w:val="24"/>
          <w:lang w:bidi="ar"/>
        </w:rPr>
        <w:t>生产物料平衡</w:t>
      </w:r>
      <w:r>
        <w:rPr>
          <w:rFonts w:ascii="Times New Roman" w:cs="Times New Roman"/>
          <w:b/>
          <w:bCs/>
          <w:sz w:val="24"/>
        </w:rPr>
        <w:t>图</w:t>
      </w:r>
    </w:p>
    <w:p>
      <w:pPr>
        <w:pStyle w:val="7"/>
        <w:ind w:firstLine="562"/>
      </w:pPr>
      <w:r>
        <w:rPr>
          <w:rFonts w:hint="eastAsia"/>
        </w:rPr>
        <w:t>4.2</w:t>
      </w:r>
      <w:r>
        <w:t>.</w:t>
      </w:r>
      <w:r>
        <w:rPr>
          <w:rFonts w:hint="eastAsia"/>
        </w:rPr>
        <w:t>8</w:t>
      </w:r>
      <w:r>
        <w:t xml:space="preserve"> </w:t>
      </w:r>
      <w:r>
        <w:rPr>
          <w:rFonts w:hint="eastAsia"/>
        </w:rPr>
        <w:t>产污环节汇总</w:t>
      </w:r>
    </w:p>
    <w:p>
      <w:pPr>
        <w:pStyle w:val="25"/>
        <w:widowControl/>
        <w:spacing w:beforeAutospacing="0" w:afterAutospacing="0"/>
        <w:ind w:firstLine="480"/>
      </w:pPr>
      <w:r>
        <w:rPr>
          <w:rFonts w:hint="eastAsia"/>
        </w:rPr>
        <w:t>根据项目工程分析，</w:t>
      </w:r>
      <w:r>
        <w:rPr>
          <w:rFonts w:hint="eastAsia"/>
          <w:lang w:eastAsia="zh-CN"/>
        </w:rPr>
        <w:t>项目废气主要是工艺废气、食堂油烟和污水处理站恶臭气体；项目废水主要是纯水制备废水、设备清洗水、地面清洗水、喷淋塔废水、冷却循环水和生活污水；固废主要是生产过程中产生残渣、包装废物、废气处理产生的固废以及生活垃圾，设备维修产生的废机油等，</w:t>
      </w:r>
      <w:r>
        <w:rPr>
          <w:rFonts w:hint="eastAsia"/>
        </w:rPr>
        <w:t>本项目污染物产生情况汇总后见表4.2-9。</w:t>
      </w:r>
    </w:p>
    <w:p>
      <w:pPr>
        <w:widowControl/>
        <w:ind w:firstLine="482"/>
        <w:jc w:val="center"/>
        <w:rPr>
          <w:b/>
          <w:bCs/>
          <w:color w:val="000000"/>
          <w:lang w:bidi="ar"/>
        </w:rPr>
      </w:pPr>
      <w:r>
        <w:rPr>
          <w:rFonts w:hint="eastAsia"/>
          <w:b/>
          <w:bCs/>
          <w:color w:val="000000"/>
          <w:lang w:bidi="ar"/>
        </w:rPr>
        <w:t>表4.2-9  本产污环节汇总表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421"/>
        <w:gridCol w:w="921"/>
        <w:gridCol w:w="3383"/>
        <w:gridCol w:w="2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Align w:val="center"/>
          </w:tcPr>
          <w:p>
            <w:pPr>
              <w:spacing w:line="240" w:lineRule="auto"/>
              <w:ind w:firstLine="0" w:firstLineChars="0"/>
              <w:jc w:val="center"/>
              <w:rPr>
                <w:sz w:val="21"/>
                <w:szCs w:val="21"/>
              </w:rPr>
            </w:pPr>
            <w:r>
              <w:rPr>
                <w:rFonts w:hint="eastAsia"/>
                <w:sz w:val="21"/>
                <w:szCs w:val="21"/>
              </w:rPr>
              <w:t>类别</w:t>
            </w:r>
          </w:p>
        </w:tc>
        <w:tc>
          <w:tcPr>
            <w:tcW w:w="1260" w:type="pct"/>
            <w:gridSpan w:val="2"/>
            <w:vAlign w:val="center"/>
          </w:tcPr>
          <w:p>
            <w:pPr>
              <w:spacing w:line="240" w:lineRule="auto"/>
              <w:ind w:firstLine="0" w:firstLineChars="0"/>
              <w:jc w:val="center"/>
              <w:rPr>
                <w:sz w:val="21"/>
                <w:szCs w:val="21"/>
              </w:rPr>
            </w:pPr>
            <w:r>
              <w:rPr>
                <w:rFonts w:hint="eastAsia"/>
                <w:sz w:val="21"/>
                <w:szCs w:val="21"/>
              </w:rPr>
              <w:t>产污环节</w:t>
            </w:r>
          </w:p>
        </w:tc>
        <w:tc>
          <w:tcPr>
            <w:tcW w:w="1821" w:type="pct"/>
            <w:vAlign w:val="center"/>
          </w:tcPr>
          <w:p>
            <w:pPr>
              <w:spacing w:line="240" w:lineRule="auto"/>
              <w:ind w:firstLine="0" w:firstLineChars="0"/>
              <w:jc w:val="center"/>
              <w:rPr>
                <w:sz w:val="21"/>
                <w:szCs w:val="21"/>
              </w:rPr>
            </w:pPr>
            <w:r>
              <w:rPr>
                <w:rFonts w:hint="eastAsia"/>
                <w:sz w:val="21"/>
                <w:szCs w:val="21"/>
              </w:rPr>
              <w:t>主要污染物</w:t>
            </w:r>
          </w:p>
        </w:tc>
        <w:tc>
          <w:tcPr>
            <w:tcW w:w="1386" w:type="pct"/>
            <w:vAlign w:val="center"/>
          </w:tcPr>
          <w:p>
            <w:pPr>
              <w:spacing w:line="240" w:lineRule="auto"/>
              <w:ind w:firstLine="0" w:firstLineChars="0"/>
              <w:jc w:val="center"/>
              <w:rPr>
                <w:sz w:val="21"/>
                <w:szCs w:val="21"/>
              </w:rPr>
            </w:pPr>
            <w:r>
              <w:rPr>
                <w:rFonts w:hint="eastAsia"/>
                <w:color w:val="000000" w:themeColor="text1"/>
                <w:sz w:val="21"/>
                <w:szCs w:val="21"/>
                <w14:textFill>
                  <w14:solidFill>
                    <w14:schemeClr w14:val="tx1"/>
                  </w14:solidFill>
                </w14:textFill>
              </w:rPr>
              <w:t>排放规律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restart"/>
            <w:vAlign w:val="center"/>
          </w:tcPr>
          <w:p>
            <w:pPr>
              <w:spacing w:line="240" w:lineRule="auto"/>
              <w:ind w:firstLine="0" w:firstLineChars="0"/>
              <w:jc w:val="center"/>
              <w:rPr>
                <w:sz w:val="21"/>
                <w:szCs w:val="21"/>
              </w:rPr>
            </w:pPr>
            <w:r>
              <w:rPr>
                <w:rFonts w:hint="eastAsia"/>
                <w:sz w:val="21"/>
                <w:szCs w:val="21"/>
              </w:rPr>
              <w:t>废水</w:t>
            </w:r>
          </w:p>
        </w:tc>
        <w:tc>
          <w:tcPr>
            <w:tcW w:w="1260" w:type="pct"/>
            <w:gridSpan w:val="2"/>
            <w:vAlign w:val="center"/>
          </w:tcPr>
          <w:p>
            <w:pPr>
              <w:widowControl/>
              <w:spacing w:line="240" w:lineRule="auto"/>
              <w:ind w:firstLine="0" w:firstLineChars="0"/>
              <w:jc w:val="center"/>
              <w:rPr>
                <w:sz w:val="21"/>
                <w:szCs w:val="21"/>
              </w:rPr>
            </w:pPr>
            <w:r>
              <w:rPr>
                <w:rFonts w:hint="eastAsia"/>
                <w:sz w:val="21"/>
                <w:szCs w:val="21"/>
              </w:rPr>
              <w:t>冷却循环水</w:t>
            </w:r>
          </w:p>
        </w:tc>
        <w:tc>
          <w:tcPr>
            <w:tcW w:w="1821" w:type="pct"/>
            <w:vAlign w:val="center"/>
          </w:tcPr>
          <w:p>
            <w:pPr>
              <w:spacing w:line="240" w:lineRule="auto"/>
              <w:ind w:firstLine="0" w:firstLineChars="0"/>
              <w:jc w:val="center"/>
              <w:rPr>
                <w:sz w:val="21"/>
                <w:szCs w:val="21"/>
              </w:rPr>
            </w:pPr>
            <w:r>
              <w:rPr>
                <w:rFonts w:cs="Times New Roman"/>
                <w:sz w:val="21"/>
                <w:szCs w:val="21"/>
              </w:rPr>
              <w:t>COD</w:t>
            </w:r>
            <w:r>
              <w:rPr>
                <w:rFonts w:hint="eastAsia" w:cs="Times New Roman"/>
                <w:sz w:val="21"/>
                <w:szCs w:val="21"/>
              </w:rPr>
              <w:t>、</w:t>
            </w:r>
            <w:r>
              <w:rPr>
                <w:rFonts w:cs="Times New Roman"/>
                <w:sz w:val="21"/>
                <w:szCs w:val="21"/>
              </w:rPr>
              <w:t>SS</w:t>
            </w:r>
            <w:r>
              <w:rPr>
                <w:rFonts w:hint="eastAsia" w:cs="Times New Roman"/>
                <w:sz w:val="21"/>
                <w:szCs w:val="21"/>
              </w:rPr>
              <w:t>、</w:t>
            </w:r>
            <w:r>
              <w:rPr>
                <w:rFonts w:cs="Times New Roman"/>
                <w:sz w:val="21"/>
                <w:szCs w:val="21"/>
              </w:rPr>
              <w:t>NH</w:t>
            </w:r>
            <w:r>
              <w:rPr>
                <w:rFonts w:cs="Times New Roman"/>
                <w:sz w:val="21"/>
                <w:szCs w:val="21"/>
                <w:vertAlign w:val="subscript"/>
              </w:rPr>
              <w:t>3</w:t>
            </w:r>
            <w:r>
              <w:rPr>
                <w:rFonts w:cs="Times New Roman"/>
                <w:sz w:val="21"/>
                <w:szCs w:val="21"/>
              </w:rPr>
              <w:t>-N</w:t>
            </w:r>
            <w:r>
              <w:rPr>
                <w:rFonts w:hint="eastAsia" w:cs="Times New Roman"/>
                <w:sz w:val="21"/>
                <w:szCs w:val="21"/>
              </w:rPr>
              <w:t>、总磷、总氮</w:t>
            </w:r>
          </w:p>
        </w:tc>
        <w:tc>
          <w:tcPr>
            <w:tcW w:w="1386" w:type="pct"/>
            <w:vMerge w:val="restart"/>
            <w:vAlign w:val="center"/>
          </w:tcPr>
          <w:p>
            <w:pPr>
              <w:spacing w:line="240" w:lineRule="auto"/>
              <w:ind w:firstLine="0" w:firstLineChars="0"/>
              <w:jc w:val="center"/>
              <w:rPr>
                <w:sz w:val="21"/>
                <w:szCs w:val="21"/>
              </w:rPr>
            </w:pPr>
            <w:r>
              <w:rPr>
                <w:rFonts w:hint="eastAsia"/>
                <w:sz w:val="21"/>
                <w:szCs w:val="21"/>
                <w:lang w:eastAsia="zh-CN"/>
              </w:rPr>
              <w:t>食堂废水经隔油池处理后与</w:t>
            </w:r>
            <w:r>
              <w:rPr>
                <w:sz w:val="21"/>
                <w:szCs w:val="21"/>
              </w:rPr>
              <w:t>生活污水</w:t>
            </w:r>
            <w:r>
              <w:rPr>
                <w:rFonts w:hint="eastAsia"/>
                <w:sz w:val="21"/>
                <w:szCs w:val="21"/>
              </w:rPr>
              <w:t>一起进入化粪池处理</w:t>
            </w:r>
            <w:r>
              <w:rPr>
                <w:rFonts w:hint="eastAsia"/>
                <w:sz w:val="21"/>
                <w:szCs w:val="21"/>
                <w:lang w:eastAsia="zh-CN"/>
              </w:rPr>
              <w:t>，处理后与</w:t>
            </w:r>
            <w:r>
              <w:rPr>
                <w:rFonts w:hint="eastAsia"/>
                <w:sz w:val="21"/>
                <w:szCs w:val="21"/>
              </w:rPr>
              <w:t>生产废水、喷淋塔废水和冷却循环水</w:t>
            </w:r>
            <w:r>
              <w:rPr>
                <w:sz w:val="21"/>
                <w:szCs w:val="21"/>
              </w:rPr>
              <w:t>进入新建污水站进行处理</w:t>
            </w:r>
            <w:r>
              <w:rPr>
                <w:rFonts w:hint="eastAsia"/>
                <w:sz w:val="21"/>
                <w:szCs w:val="21"/>
              </w:rPr>
              <w:t>，处理达标后进入市政管网排入平顶山第三污水处理厂深度处理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widowControl/>
              <w:spacing w:line="240" w:lineRule="auto"/>
              <w:ind w:firstLine="0" w:firstLineChars="0"/>
              <w:jc w:val="center"/>
              <w:rPr>
                <w:sz w:val="21"/>
                <w:szCs w:val="21"/>
              </w:rPr>
            </w:pPr>
            <w:r>
              <w:rPr>
                <w:rFonts w:hint="eastAsia"/>
                <w:sz w:val="21"/>
                <w:szCs w:val="21"/>
              </w:rPr>
              <w:t>纯水制备废水</w:t>
            </w:r>
          </w:p>
        </w:tc>
        <w:tc>
          <w:tcPr>
            <w:tcW w:w="1821" w:type="pct"/>
            <w:vAlign w:val="center"/>
          </w:tcPr>
          <w:p>
            <w:pPr>
              <w:spacing w:line="240" w:lineRule="auto"/>
              <w:ind w:firstLine="0" w:firstLineChars="0"/>
              <w:jc w:val="center"/>
              <w:rPr>
                <w:rFonts w:cs="Times New Roman"/>
                <w:sz w:val="21"/>
                <w:szCs w:val="21"/>
              </w:rPr>
            </w:pPr>
            <w:r>
              <w:rPr>
                <w:rFonts w:cs="Times New Roman"/>
                <w:sz w:val="21"/>
                <w:szCs w:val="21"/>
              </w:rPr>
              <w:t>COD</w:t>
            </w:r>
            <w:r>
              <w:rPr>
                <w:rFonts w:hint="eastAsia" w:cs="Times New Roman"/>
                <w:sz w:val="21"/>
                <w:szCs w:val="21"/>
              </w:rPr>
              <w:t>、</w:t>
            </w:r>
            <w:r>
              <w:rPr>
                <w:rFonts w:cs="Times New Roman"/>
                <w:sz w:val="21"/>
                <w:szCs w:val="21"/>
              </w:rPr>
              <w:t>SS</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widowControl/>
              <w:spacing w:line="240" w:lineRule="auto"/>
              <w:ind w:firstLine="0" w:firstLineChars="0"/>
              <w:jc w:val="center"/>
              <w:rPr>
                <w:sz w:val="21"/>
                <w:szCs w:val="21"/>
              </w:rPr>
            </w:pPr>
            <w:r>
              <w:rPr>
                <w:rFonts w:hint="eastAsia"/>
                <w:sz w:val="21"/>
                <w:szCs w:val="21"/>
                <w:lang w:eastAsia="zh-CN"/>
              </w:rPr>
              <w:t>设备清洗水</w:t>
            </w:r>
          </w:p>
        </w:tc>
        <w:tc>
          <w:tcPr>
            <w:tcW w:w="1821" w:type="pct"/>
            <w:vAlign w:val="center"/>
          </w:tcPr>
          <w:p>
            <w:pPr>
              <w:spacing w:line="240" w:lineRule="auto"/>
              <w:ind w:firstLine="0" w:firstLineChars="0"/>
              <w:jc w:val="center"/>
              <w:rPr>
                <w:rFonts w:cs="Times New Roman"/>
                <w:sz w:val="21"/>
                <w:szCs w:val="21"/>
              </w:rPr>
            </w:pPr>
            <w:r>
              <w:rPr>
                <w:rFonts w:cs="Times New Roman"/>
                <w:sz w:val="21"/>
                <w:szCs w:val="21"/>
              </w:rPr>
              <w:t>COD</w:t>
            </w:r>
            <w:r>
              <w:rPr>
                <w:rFonts w:hint="eastAsia" w:cs="Times New Roman"/>
                <w:sz w:val="21"/>
                <w:szCs w:val="21"/>
              </w:rPr>
              <w:t>、</w:t>
            </w:r>
            <w:r>
              <w:rPr>
                <w:rFonts w:cs="Times New Roman"/>
                <w:sz w:val="21"/>
                <w:szCs w:val="21"/>
              </w:rPr>
              <w:t>BOD</w:t>
            </w:r>
            <w:r>
              <w:rPr>
                <w:rFonts w:cs="Times New Roman"/>
                <w:sz w:val="21"/>
                <w:szCs w:val="21"/>
                <w:vertAlign w:val="subscript"/>
              </w:rPr>
              <w:t>5</w:t>
            </w:r>
            <w:r>
              <w:rPr>
                <w:rFonts w:hint="eastAsia" w:cs="Times New Roman"/>
                <w:sz w:val="21"/>
                <w:szCs w:val="21"/>
              </w:rPr>
              <w:t>、</w:t>
            </w:r>
            <w:r>
              <w:rPr>
                <w:rFonts w:cs="Times New Roman"/>
                <w:sz w:val="21"/>
                <w:szCs w:val="21"/>
              </w:rPr>
              <w:t>SS</w:t>
            </w:r>
            <w:r>
              <w:rPr>
                <w:rFonts w:hint="eastAsia" w:cs="Times New Roman"/>
                <w:sz w:val="21"/>
                <w:szCs w:val="21"/>
              </w:rPr>
              <w:t>、</w:t>
            </w:r>
            <w:r>
              <w:rPr>
                <w:rFonts w:cs="Times New Roman"/>
                <w:sz w:val="21"/>
                <w:szCs w:val="21"/>
              </w:rPr>
              <w:t>NH</w:t>
            </w:r>
            <w:r>
              <w:rPr>
                <w:rFonts w:cs="Times New Roman"/>
                <w:sz w:val="21"/>
                <w:szCs w:val="21"/>
                <w:vertAlign w:val="subscript"/>
              </w:rPr>
              <w:t>3</w:t>
            </w:r>
            <w:r>
              <w:rPr>
                <w:rFonts w:cs="Times New Roman"/>
                <w:sz w:val="21"/>
                <w:szCs w:val="21"/>
              </w:rPr>
              <w:t>-N</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widowControl/>
              <w:spacing w:line="240" w:lineRule="auto"/>
              <w:ind w:firstLine="0" w:firstLineChars="0"/>
              <w:jc w:val="center"/>
              <w:rPr>
                <w:sz w:val="21"/>
                <w:szCs w:val="21"/>
              </w:rPr>
            </w:pPr>
            <w:r>
              <w:rPr>
                <w:rFonts w:hint="eastAsia"/>
                <w:sz w:val="21"/>
                <w:szCs w:val="21"/>
                <w:lang w:eastAsia="zh-CN"/>
              </w:rPr>
              <w:t>地面清洗水</w:t>
            </w:r>
          </w:p>
        </w:tc>
        <w:tc>
          <w:tcPr>
            <w:tcW w:w="1821" w:type="pct"/>
            <w:vAlign w:val="center"/>
          </w:tcPr>
          <w:p>
            <w:pPr>
              <w:spacing w:line="240" w:lineRule="auto"/>
              <w:ind w:firstLine="0" w:firstLineChars="0"/>
              <w:jc w:val="center"/>
              <w:rPr>
                <w:rFonts w:cs="Times New Roman"/>
                <w:sz w:val="21"/>
                <w:szCs w:val="21"/>
              </w:rPr>
            </w:pPr>
            <w:r>
              <w:rPr>
                <w:rFonts w:cs="Times New Roman"/>
                <w:sz w:val="21"/>
                <w:szCs w:val="21"/>
              </w:rPr>
              <w:t>COD</w:t>
            </w:r>
            <w:r>
              <w:rPr>
                <w:rFonts w:hint="eastAsia" w:cs="Times New Roman"/>
                <w:sz w:val="21"/>
                <w:szCs w:val="21"/>
              </w:rPr>
              <w:t>、</w:t>
            </w:r>
            <w:r>
              <w:rPr>
                <w:rFonts w:cs="Times New Roman"/>
                <w:sz w:val="21"/>
                <w:szCs w:val="21"/>
              </w:rPr>
              <w:t>SS</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widowControl/>
              <w:spacing w:line="240" w:lineRule="auto"/>
              <w:ind w:firstLine="0" w:firstLineChars="0"/>
              <w:jc w:val="center"/>
              <w:rPr>
                <w:rFonts w:hint="eastAsia"/>
                <w:sz w:val="21"/>
                <w:szCs w:val="21"/>
              </w:rPr>
            </w:pPr>
            <w:r>
              <w:rPr>
                <w:rFonts w:hint="eastAsia"/>
                <w:sz w:val="21"/>
                <w:szCs w:val="21"/>
              </w:rPr>
              <w:t>喷淋塔废水</w:t>
            </w:r>
          </w:p>
        </w:tc>
        <w:tc>
          <w:tcPr>
            <w:tcW w:w="1821" w:type="pct"/>
            <w:vAlign w:val="center"/>
          </w:tcPr>
          <w:p>
            <w:pPr>
              <w:spacing w:line="240" w:lineRule="auto"/>
              <w:ind w:firstLine="0" w:firstLineChars="0"/>
              <w:jc w:val="center"/>
              <w:rPr>
                <w:rFonts w:cs="Times New Roman"/>
                <w:sz w:val="21"/>
                <w:szCs w:val="21"/>
              </w:rPr>
            </w:pPr>
            <w:r>
              <w:rPr>
                <w:rFonts w:cs="Times New Roman"/>
                <w:sz w:val="21"/>
                <w:szCs w:val="21"/>
              </w:rPr>
              <w:t>COD</w:t>
            </w:r>
            <w:r>
              <w:rPr>
                <w:rFonts w:hint="eastAsia" w:cs="Times New Roman"/>
                <w:sz w:val="21"/>
                <w:szCs w:val="21"/>
              </w:rPr>
              <w:t>、</w:t>
            </w:r>
            <w:r>
              <w:rPr>
                <w:rFonts w:cs="Times New Roman"/>
                <w:sz w:val="21"/>
                <w:szCs w:val="21"/>
              </w:rPr>
              <w:t>SS</w:t>
            </w:r>
            <w:r>
              <w:rPr>
                <w:rFonts w:hint="eastAsia" w:cs="Times New Roman"/>
                <w:sz w:val="21"/>
                <w:szCs w:val="21"/>
              </w:rPr>
              <w:t>、</w:t>
            </w:r>
            <w:r>
              <w:rPr>
                <w:rFonts w:cs="Times New Roman"/>
                <w:sz w:val="21"/>
                <w:szCs w:val="21"/>
              </w:rPr>
              <w:t>NH</w:t>
            </w:r>
            <w:r>
              <w:rPr>
                <w:rFonts w:cs="Times New Roman"/>
                <w:sz w:val="21"/>
                <w:szCs w:val="21"/>
                <w:vertAlign w:val="subscript"/>
              </w:rPr>
              <w:t>3</w:t>
            </w:r>
            <w:r>
              <w:rPr>
                <w:rFonts w:cs="Times New Roman"/>
                <w:sz w:val="21"/>
                <w:szCs w:val="21"/>
              </w:rPr>
              <w:t>-N</w:t>
            </w:r>
            <w:r>
              <w:rPr>
                <w:rFonts w:hint="eastAsia" w:cs="Times New Roman"/>
                <w:sz w:val="21"/>
                <w:szCs w:val="21"/>
              </w:rPr>
              <w:t>、总磷、总氮</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widowControl/>
              <w:spacing w:line="240" w:lineRule="auto"/>
              <w:ind w:firstLine="0" w:firstLineChars="0"/>
              <w:jc w:val="center"/>
              <w:rPr>
                <w:rFonts w:hint="eastAsia"/>
                <w:sz w:val="21"/>
                <w:szCs w:val="21"/>
              </w:rPr>
            </w:pPr>
            <w:r>
              <w:rPr>
                <w:rFonts w:hint="eastAsia"/>
                <w:sz w:val="21"/>
                <w:szCs w:val="21"/>
              </w:rPr>
              <w:t>生活废水</w:t>
            </w:r>
          </w:p>
        </w:tc>
        <w:tc>
          <w:tcPr>
            <w:tcW w:w="1821" w:type="pct"/>
            <w:vAlign w:val="center"/>
          </w:tcPr>
          <w:p>
            <w:pPr>
              <w:spacing w:line="240" w:lineRule="auto"/>
              <w:ind w:firstLine="0" w:firstLineChars="0"/>
              <w:jc w:val="center"/>
              <w:rPr>
                <w:rFonts w:cs="Times New Roman"/>
                <w:sz w:val="21"/>
                <w:szCs w:val="21"/>
              </w:rPr>
            </w:pPr>
            <w:r>
              <w:rPr>
                <w:rFonts w:cs="Times New Roman"/>
                <w:sz w:val="21"/>
                <w:szCs w:val="21"/>
              </w:rPr>
              <w:t>COD</w:t>
            </w:r>
            <w:r>
              <w:rPr>
                <w:rFonts w:hint="eastAsia" w:cs="Times New Roman"/>
                <w:sz w:val="21"/>
                <w:szCs w:val="21"/>
              </w:rPr>
              <w:t>、</w:t>
            </w:r>
            <w:r>
              <w:rPr>
                <w:rFonts w:cs="Times New Roman"/>
                <w:sz w:val="21"/>
                <w:szCs w:val="21"/>
              </w:rPr>
              <w:t>BOD</w:t>
            </w:r>
            <w:r>
              <w:rPr>
                <w:rFonts w:cs="Times New Roman"/>
                <w:sz w:val="21"/>
                <w:szCs w:val="21"/>
                <w:vertAlign w:val="subscript"/>
              </w:rPr>
              <w:t>5</w:t>
            </w:r>
            <w:r>
              <w:rPr>
                <w:rFonts w:hint="eastAsia" w:cs="Times New Roman"/>
                <w:sz w:val="21"/>
                <w:szCs w:val="21"/>
              </w:rPr>
              <w:t>、</w:t>
            </w:r>
            <w:r>
              <w:rPr>
                <w:rFonts w:cs="Times New Roman"/>
                <w:sz w:val="21"/>
                <w:szCs w:val="21"/>
              </w:rPr>
              <w:t>SS</w:t>
            </w:r>
            <w:r>
              <w:rPr>
                <w:rFonts w:hint="eastAsia" w:cs="Times New Roman"/>
                <w:sz w:val="21"/>
                <w:szCs w:val="21"/>
              </w:rPr>
              <w:t>、</w:t>
            </w:r>
            <w:r>
              <w:rPr>
                <w:rFonts w:cs="Times New Roman"/>
                <w:sz w:val="21"/>
                <w:szCs w:val="21"/>
              </w:rPr>
              <w:t>NH</w:t>
            </w:r>
            <w:r>
              <w:rPr>
                <w:rFonts w:cs="Times New Roman"/>
                <w:sz w:val="21"/>
                <w:szCs w:val="21"/>
                <w:vertAlign w:val="subscript"/>
              </w:rPr>
              <w:t>3</w:t>
            </w:r>
            <w:r>
              <w:rPr>
                <w:rFonts w:cs="Times New Roman"/>
                <w:sz w:val="21"/>
                <w:szCs w:val="21"/>
              </w:rPr>
              <w:t>-N</w:t>
            </w:r>
            <w:r>
              <w:rPr>
                <w:rFonts w:hint="eastAsia" w:cs="Times New Roman"/>
                <w:sz w:val="21"/>
                <w:szCs w:val="21"/>
              </w:rPr>
              <w:t>、总磷、总氮、动植物油</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restart"/>
            <w:vAlign w:val="center"/>
          </w:tcPr>
          <w:p>
            <w:pPr>
              <w:spacing w:line="240" w:lineRule="auto"/>
              <w:ind w:firstLine="0" w:firstLineChars="0"/>
              <w:jc w:val="center"/>
              <w:rPr>
                <w:sz w:val="21"/>
                <w:szCs w:val="21"/>
              </w:rPr>
            </w:pPr>
            <w:r>
              <w:rPr>
                <w:rFonts w:hint="eastAsia"/>
                <w:sz w:val="21"/>
                <w:szCs w:val="21"/>
              </w:rPr>
              <w:t>废气</w:t>
            </w:r>
          </w:p>
        </w:tc>
        <w:tc>
          <w:tcPr>
            <w:tcW w:w="764" w:type="pct"/>
            <w:vMerge w:val="restart"/>
            <w:vAlign w:val="center"/>
          </w:tcPr>
          <w:p>
            <w:pPr>
              <w:spacing w:line="240" w:lineRule="auto"/>
              <w:ind w:firstLine="0" w:firstLineChars="0"/>
              <w:jc w:val="center"/>
              <w:rPr>
                <w:sz w:val="21"/>
                <w:szCs w:val="21"/>
                <w:u w:val="single"/>
              </w:rPr>
            </w:pPr>
            <w:r>
              <w:rPr>
                <w:rFonts w:hint="eastAsia"/>
                <w:color w:val="000000" w:themeColor="text1"/>
                <w:sz w:val="21"/>
                <w:szCs w:val="21"/>
                <w:u w:val="single"/>
                <w14:textFill>
                  <w14:solidFill>
                    <w14:schemeClr w14:val="tx1"/>
                  </w14:solidFill>
                </w14:textFill>
              </w:rPr>
              <w:t>硅PU生产线</w:t>
            </w: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G1</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颗粒物</w:t>
            </w:r>
          </w:p>
        </w:tc>
        <w:tc>
          <w:tcPr>
            <w:tcW w:w="1386" w:type="pct"/>
            <w:vMerge w:val="restart"/>
            <w:vAlign w:val="center"/>
          </w:tcPr>
          <w:p>
            <w:pPr>
              <w:spacing w:line="240" w:lineRule="auto"/>
              <w:ind w:firstLine="0" w:firstLineChars="0"/>
              <w:jc w:val="center"/>
              <w:rPr>
                <w:sz w:val="21"/>
                <w:szCs w:val="21"/>
              </w:rPr>
            </w:pPr>
            <w:r>
              <w:rPr>
                <w:rFonts w:hint="eastAsia"/>
                <w:sz w:val="21"/>
                <w:szCs w:val="21"/>
                <w:u w:val="single"/>
              </w:rPr>
              <w:t>袋式除尘器+</w:t>
            </w:r>
            <w:r>
              <w:rPr>
                <w:rFonts w:hint="eastAsia"/>
                <w:sz w:val="21"/>
                <w:szCs w:val="21"/>
                <w:u w:val="single"/>
                <w:lang w:val="en-US" w:eastAsia="zh-CN"/>
              </w:rPr>
              <w:t>活性炭吸附箱+RCO废气处理工艺</w:t>
            </w:r>
            <w:r>
              <w:rPr>
                <w:rFonts w:hint="eastAsia"/>
                <w:sz w:val="21"/>
                <w:szCs w:val="21"/>
                <w:u w:val="single"/>
              </w:rPr>
              <w:t>+15m排气筒高空排放DA001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G2</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restart"/>
            <w:vAlign w:val="center"/>
          </w:tcPr>
          <w:p>
            <w:pPr>
              <w:spacing w:line="240" w:lineRule="auto"/>
              <w:ind w:firstLine="0" w:firstLineChars="0"/>
              <w:jc w:val="center"/>
              <w:rPr>
                <w:sz w:val="21"/>
                <w:szCs w:val="21"/>
                <w:u w:val="single"/>
              </w:rPr>
            </w:pPr>
            <w:r>
              <w:rPr>
                <w:rFonts w:hint="eastAsia"/>
                <w:sz w:val="21"/>
                <w:szCs w:val="21"/>
                <w:u w:val="single"/>
              </w:rPr>
              <w:t>EPDM颗粒生产线</w:t>
            </w: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G3</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颗粒物</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G4</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非甲烷总烃、颗粒物</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G5</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G6</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非甲烷总烃、硫化氢</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G7</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颗粒物</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restart"/>
            <w:vAlign w:val="center"/>
          </w:tcPr>
          <w:p>
            <w:pPr>
              <w:spacing w:line="240" w:lineRule="auto"/>
              <w:ind w:firstLine="0" w:firstLineChars="0"/>
              <w:jc w:val="center"/>
              <w:rPr>
                <w:sz w:val="21"/>
                <w:szCs w:val="21"/>
                <w:u w:val="single"/>
              </w:rPr>
            </w:pPr>
            <w:r>
              <w:rPr>
                <w:rFonts w:hint="eastAsia"/>
                <w:sz w:val="21"/>
                <w:szCs w:val="21"/>
                <w:u w:val="single"/>
              </w:rPr>
              <w:t>人造草坪生产线</w:t>
            </w: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G8</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restart"/>
            <w:vAlign w:val="center"/>
          </w:tcPr>
          <w:p>
            <w:pPr>
              <w:pStyle w:val="25"/>
              <w:widowControl/>
              <w:spacing w:beforeAutospacing="0" w:afterAutospacing="0" w:line="240" w:lineRule="auto"/>
              <w:ind w:firstLine="0" w:firstLineChars="0"/>
              <w:jc w:val="center"/>
              <w:rPr>
                <w:sz w:val="21"/>
                <w:szCs w:val="21"/>
              </w:rPr>
            </w:pPr>
            <w:r>
              <w:rPr>
                <w:rFonts w:hint="eastAsia"/>
                <w:sz w:val="21"/>
                <w:szCs w:val="21"/>
              </w:rPr>
              <w:t>水喷淋洗涤塔+干式分离器+活性炭吸附箱+RCO废气处理工艺+15m排气筒高空排放DA002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G9</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非甲烷总烃、颗粒物</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G10</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restart"/>
            <w:vAlign w:val="center"/>
          </w:tcPr>
          <w:p>
            <w:pPr>
              <w:spacing w:line="240" w:lineRule="auto"/>
              <w:ind w:firstLine="0" w:firstLineChars="0"/>
              <w:jc w:val="center"/>
              <w:rPr>
                <w:sz w:val="21"/>
                <w:szCs w:val="21"/>
                <w:u w:val="single"/>
              </w:rPr>
            </w:pPr>
            <w:r>
              <w:rPr>
                <w:rFonts w:hint="eastAsia"/>
                <w:sz w:val="21"/>
                <w:szCs w:val="21"/>
                <w:u w:val="single"/>
              </w:rPr>
              <mc:AlternateContent>
                <mc:Choice Requires="wps">
                  <w:drawing>
                    <wp:anchor distT="0" distB="0" distL="114300" distR="114300" simplePos="0" relativeHeight="251684864" behindDoc="0" locked="0" layoutInCell="1" allowOverlap="1">
                      <wp:simplePos x="0" y="0"/>
                      <wp:positionH relativeFrom="column">
                        <wp:posOffset>641985</wp:posOffset>
                      </wp:positionH>
                      <wp:positionV relativeFrom="paragraph">
                        <wp:posOffset>253365</wp:posOffset>
                      </wp:positionV>
                      <wp:extent cx="371475" cy="0"/>
                      <wp:effectExtent l="0" t="0" r="0" b="0"/>
                      <wp:wrapNone/>
                      <wp:docPr id="64" name="直接箭头连接符 64"/>
                      <wp:cNvGraphicFramePr/>
                      <a:graphic xmlns:a="http://schemas.openxmlformats.org/drawingml/2006/main">
                        <a:graphicData uri="http://schemas.microsoft.com/office/word/2010/wordprocessingShape">
                          <wps:wsp>
                            <wps:cNvCnPr/>
                            <wps:spPr>
                              <a:xfrm>
                                <a:off x="0" y="0"/>
                                <a:ext cx="371475" cy="0"/>
                              </a:xfrm>
                              <a:prstGeom prst="straightConnector1">
                                <a:avLst/>
                              </a:prstGeom>
                              <a:ln>
                                <a:noFill/>
                              </a:ln>
                              <a:effectLst/>
                            </wps:spPr>
                            <wps:bodyPr/>
                          </wps:wsp>
                        </a:graphicData>
                      </a:graphic>
                    </wp:anchor>
                  </w:drawing>
                </mc:Choice>
                <mc:Fallback>
                  <w:pict>
                    <v:shape id="_x0000_s1026" o:spid="_x0000_s1026" o:spt="32" type="#_x0000_t32" style="position:absolute;left:0pt;margin-left:50.55pt;margin-top:19.95pt;height:0pt;width:29.25pt;z-index:251684864;mso-width-relative:page;mso-height-relative:page;" filled="f" stroked="f" coordsize="21600,21600" o:gfxdata="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XCGyNUA&#10;AAAJAQAADwAAAAAAAAABACAAAAAiAAAAZHJzL2Rvd25yZXYueG1sUEsBAhQAFAAAAAgAh07iQF/W&#10;oAewAQAARgMAAA4AAAAAAAAAAQAgAAAAJAEAAGRycy9lMm9Eb2MueG1sUEsFBgAAAAAGAAYAWQEA&#10;AEYFAAAAAA==&#10;">
                      <v:fill on="f" focussize="0,0"/>
                      <v:stroke on="f"/>
                      <v:imagedata o:title=""/>
                      <o:lock v:ext="edit" aspectratio="f"/>
                    </v:shape>
                  </w:pict>
                </mc:Fallback>
              </mc:AlternateContent>
            </w:r>
            <w:r>
              <w:rPr>
                <w:rFonts w:hint="eastAsia"/>
                <w:sz w:val="21"/>
                <w:szCs w:val="21"/>
                <w:u w:val="single"/>
              </w:rPr>
              <w:t>单组份胶水生产线</w:t>
            </w: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G11</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G12</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G13</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restart"/>
            <w:vAlign w:val="center"/>
          </w:tcPr>
          <w:p>
            <w:pPr>
              <w:spacing w:line="240" w:lineRule="auto"/>
              <w:ind w:firstLine="0" w:firstLineChars="0"/>
              <w:jc w:val="center"/>
              <w:rPr>
                <w:sz w:val="21"/>
                <w:szCs w:val="21"/>
                <w:u w:val="single"/>
              </w:rPr>
            </w:pPr>
            <w:r>
              <w:rPr>
                <w:rFonts w:hint="eastAsia"/>
                <w:sz w:val="21"/>
                <w:szCs w:val="21"/>
                <w:u w:val="single"/>
              </w:rPr>
              <w:t>双组份胶水生产线</w:t>
            </w: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G14</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颗粒物、非甲烷总烃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sz w:val="21"/>
                <w:szCs w:val="21"/>
                <w:u w:val="single"/>
              </w:rPr>
            </w:pPr>
            <w:r>
              <w:rPr>
                <w:rFonts w:hint="eastAsia"/>
                <w:sz w:val="21"/>
                <w:szCs w:val="21"/>
                <w:u w:val="single"/>
              </w:rPr>
              <w:t>G15</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rFonts w:hint="eastAsia" w:eastAsia="宋体"/>
                <w:sz w:val="21"/>
                <w:szCs w:val="21"/>
                <w:u w:val="single"/>
                <w:lang w:eastAsia="zh-CN"/>
              </w:rPr>
            </w:pPr>
            <w:r>
              <w:rPr>
                <w:rFonts w:hint="eastAsia"/>
                <w:sz w:val="21"/>
                <w:szCs w:val="21"/>
                <w:u w:val="single"/>
              </w:rPr>
              <w:t>G1</w:t>
            </w:r>
            <w:r>
              <w:rPr>
                <w:rFonts w:hint="eastAsia"/>
                <w:sz w:val="21"/>
                <w:szCs w:val="21"/>
                <w:u w:val="single"/>
                <w:lang w:val="en-US" w:eastAsia="zh-CN"/>
              </w:rPr>
              <w:t>6</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restart"/>
            <w:vAlign w:val="center"/>
          </w:tcPr>
          <w:p>
            <w:pPr>
              <w:spacing w:line="240" w:lineRule="auto"/>
              <w:ind w:firstLine="0" w:firstLineChars="0"/>
              <w:jc w:val="center"/>
              <w:rPr>
                <w:sz w:val="21"/>
                <w:szCs w:val="21"/>
                <w:u w:val="single"/>
              </w:rPr>
            </w:pPr>
            <w:r>
              <w:rPr>
                <w:rFonts w:hint="eastAsia"/>
                <w:sz w:val="21"/>
                <w:szCs w:val="21"/>
                <w:u w:val="single"/>
              </w:rPr>
              <w:t>专用面漆生产线</w:t>
            </w:r>
          </w:p>
        </w:tc>
        <w:tc>
          <w:tcPr>
            <w:tcW w:w="495" w:type="pct"/>
            <w:vAlign w:val="center"/>
          </w:tcPr>
          <w:p>
            <w:pPr>
              <w:spacing w:line="240" w:lineRule="auto"/>
              <w:ind w:firstLine="0" w:firstLineChars="0"/>
              <w:jc w:val="center"/>
              <w:rPr>
                <w:rFonts w:hint="default" w:eastAsia="宋体"/>
                <w:sz w:val="21"/>
                <w:szCs w:val="21"/>
                <w:u w:val="single"/>
                <w:lang w:val="en-US" w:eastAsia="zh-CN"/>
              </w:rPr>
            </w:pPr>
            <w:r>
              <w:rPr>
                <w:rFonts w:hint="eastAsia"/>
                <w:sz w:val="21"/>
                <w:szCs w:val="21"/>
                <w:u w:val="single"/>
              </w:rPr>
              <w:t>G</w:t>
            </w:r>
            <w:r>
              <w:rPr>
                <w:rFonts w:hint="eastAsia"/>
                <w:sz w:val="21"/>
                <w:szCs w:val="21"/>
                <w:u w:val="single"/>
                <w:lang w:val="en-US" w:eastAsia="zh-CN"/>
              </w:rPr>
              <w:t>17</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颗粒物、非甲烷总烃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rFonts w:hint="default" w:eastAsia="宋体"/>
                <w:sz w:val="21"/>
                <w:szCs w:val="21"/>
                <w:u w:val="single"/>
                <w:lang w:val="en-US" w:eastAsia="zh-CN"/>
              </w:rPr>
            </w:pPr>
            <w:r>
              <w:rPr>
                <w:rFonts w:hint="eastAsia"/>
                <w:sz w:val="21"/>
                <w:szCs w:val="21"/>
                <w:u w:val="single"/>
              </w:rPr>
              <w:t>G</w:t>
            </w:r>
            <w:r>
              <w:rPr>
                <w:rFonts w:hint="eastAsia"/>
                <w:sz w:val="21"/>
                <w:szCs w:val="21"/>
                <w:u w:val="single"/>
                <w:lang w:val="en-US" w:eastAsia="zh-CN"/>
              </w:rPr>
              <w:t>18</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rFonts w:hint="default" w:eastAsia="宋体"/>
                <w:sz w:val="21"/>
                <w:szCs w:val="21"/>
                <w:u w:val="single"/>
                <w:lang w:val="en-US" w:eastAsia="zh-CN"/>
              </w:rPr>
            </w:pPr>
            <w:r>
              <w:rPr>
                <w:rFonts w:hint="eastAsia"/>
                <w:sz w:val="21"/>
                <w:szCs w:val="21"/>
                <w:u w:val="single"/>
              </w:rPr>
              <w:t>G</w:t>
            </w:r>
            <w:r>
              <w:rPr>
                <w:rFonts w:hint="eastAsia"/>
                <w:sz w:val="21"/>
                <w:szCs w:val="21"/>
                <w:u w:val="single"/>
                <w:lang w:val="en-US" w:eastAsia="zh-CN"/>
              </w:rPr>
              <w:t>19</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restart"/>
            <w:vAlign w:val="center"/>
          </w:tcPr>
          <w:p>
            <w:pPr>
              <w:spacing w:line="240" w:lineRule="auto"/>
              <w:ind w:firstLine="0" w:firstLineChars="0"/>
              <w:jc w:val="center"/>
              <w:rPr>
                <w:sz w:val="21"/>
                <w:szCs w:val="21"/>
                <w:u w:val="single"/>
              </w:rPr>
            </w:pPr>
            <w:r>
              <w:rPr>
                <w:rFonts w:hint="eastAsia"/>
                <w:sz w:val="21"/>
                <w:szCs w:val="21"/>
                <w:u w:val="single"/>
              </w:rPr>
              <w:t>水性树脂生产线</w:t>
            </w:r>
          </w:p>
        </w:tc>
        <w:tc>
          <w:tcPr>
            <w:tcW w:w="495" w:type="pct"/>
            <w:vAlign w:val="center"/>
          </w:tcPr>
          <w:p>
            <w:pPr>
              <w:spacing w:line="240" w:lineRule="auto"/>
              <w:ind w:firstLine="0" w:firstLineChars="0"/>
              <w:jc w:val="center"/>
              <w:rPr>
                <w:rFonts w:hint="eastAsia" w:eastAsia="宋体"/>
                <w:sz w:val="21"/>
                <w:szCs w:val="21"/>
                <w:u w:val="single"/>
                <w:lang w:eastAsia="zh-CN"/>
              </w:rPr>
            </w:pPr>
            <w:r>
              <w:rPr>
                <w:rFonts w:hint="eastAsia"/>
                <w:sz w:val="21"/>
                <w:szCs w:val="21"/>
                <w:u w:val="single"/>
              </w:rPr>
              <w:t>G2</w:t>
            </w:r>
            <w:r>
              <w:rPr>
                <w:rFonts w:hint="eastAsia"/>
                <w:sz w:val="21"/>
                <w:szCs w:val="21"/>
                <w:u w:val="single"/>
                <w:lang w:val="en-US" w:eastAsia="zh-CN"/>
              </w:rPr>
              <w:t>0</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rFonts w:hint="eastAsia" w:eastAsia="宋体"/>
                <w:sz w:val="21"/>
                <w:szCs w:val="21"/>
                <w:u w:val="single"/>
                <w:lang w:eastAsia="zh-CN"/>
              </w:rPr>
            </w:pPr>
            <w:r>
              <w:rPr>
                <w:rFonts w:hint="eastAsia"/>
                <w:sz w:val="21"/>
                <w:szCs w:val="21"/>
                <w:u w:val="single"/>
              </w:rPr>
              <w:t>G2</w:t>
            </w:r>
            <w:r>
              <w:rPr>
                <w:rFonts w:hint="eastAsia"/>
                <w:sz w:val="21"/>
                <w:szCs w:val="21"/>
                <w:u w:val="single"/>
                <w:lang w:val="en-US" w:eastAsia="zh-CN"/>
              </w:rPr>
              <w:t>1</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rFonts w:hint="eastAsia" w:eastAsia="宋体"/>
                <w:sz w:val="21"/>
                <w:szCs w:val="21"/>
                <w:u w:val="single"/>
                <w:lang w:eastAsia="zh-CN"/>
              </w:rPr>
            </w:pPr>
            <w:r>
              <w:rPr>
                <w:rFonts w:hint="eastAsia"/>
                <w:sz w:val="21"/>
                <w:szCs w:val="21"/>
                <w:u w:val="single"/>
              </w:rPr>
              <w:t>G2</w:t>
            </w:r>
            <w:r>
              <w:rPr>
                <w:rFonts w:hint="eastAsia"/>
                <w:sz w:val="21"/>
                <w:szCs w:val="21"/>
                <w:u w:val="single"/>
                <w:lang w:val="en-US" w:eastAsia="zh-CN"/>
              </w:rPr>
              <w:t>2</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764" w:type="pct"/>
            <w:vMerge w:val="continue"/>
            <w:vAlign w:val="center"/>
          </w:tcPr>
          <w:p>
            <w:pPr>
              <w:spacing w:line="240" w:lineRule="auto"/>
              <w:ind w:firstLine="0" w:firstLineChars="0"/>
              <w:jc w:val="center"/>
              <w:rPr>
                <w:sz w:val="21"/>
                <w:szCs w:val="21"/>
                <w:u w:val="single"/>
              </w:rPr>
            </w:pPr>
          </w:p>
        </w:tc>
        <w:tc>
          <w:tcPr>
            <w:tcW w:w="495" w:type="pct"/>
            <w:vAlign w:val="center"/>
          </w:tcPr>
          <w:p>
            <w:pPr>
              <w:spacing w:line="240" w:lineRule="auto"/>
              <w:ind w:firstLine="0" w:firstLineChars="0"/>
              <w:jc w:val="center"/>
              <w:rPr>
                <w:rFonts w:hint="eastAsia" w:eastAsia="宋体"/>
                <w:sz w:val="21"/>
                <w:szCs w:val="21"/>
                <w:u w:val="single"/>
                <w:lang w:eastAsia="zh-CN"/>
              </w:rPr>
            </w:pPr>
            <w:r>
              <w:rPr>
                <w:rFonts w:hint="eastAsia"/>
                <w:sz w:val="21"/>
                <w:szCs w:val="21"/>
                <w:u w:val="single"/>
              </w:rPr>
              <w:t>G2</w:t>
            </w:r>
            <w:r>
              <w:rPr>
                <w:rFonts w:hint="eastAsia"/>
                <w:sz w:val="21"/>
                <w:szCs w:val="21"/>
                <w:u w:val="single"/>
                <w:lang w:val="en-US" w:eastAsia="zh-CN"/>
              </w:rPr>
              <w:t>3</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非甲烷总烃</w:t>
            </w:r>
          </w:p>
        </w:tc>
        <w:tc>
          <w:tcPr>
            <w:tcW w:w="1386" w:type="pct"/>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spacing w:line="240" w:lineRule="auto"/>
              <w:ind w:firstLine="0" w:firstLineChars="0"/>
              <w:jc w:val="center"/>
              <w:rPr>
                <w:sz w:val="21"/>
                <w:szCs w:val="21"/>
              </w:rPr>
            </w:pPr>
            <w:r>
              <w:rPr>
                <w:rFonts w:hint="eastAsia"/>
                <w:sz w:val="21"/>
                <w:szCs w:val="21"/>
              </w:rPr>
              <w:t>食堂油烟</w:t>
            </w:r>
          </w:p>
        </w:tc>
        <w:tc>
          <w:tcPr>
            <w:tcW w:w="1821" w:type="pct"/>
            <w:vAlign w:val="center"/>
          </w:tcPr>
          <w:p>
            <w:pPr>
              <w:spacing w:line="240" w:lineRule="auto"/>
              <w:ind w:firstLine="0" w:firstLineChars="0"/>
              <w:jc w:val="center"/>
              <w:rPr>
                <w:sz w:val="21"/>
                <w:szCs w:val="21"/>
              </w:rPr>
            </w:pPr>
            <w:r>
              <w:rPr>
                <w:rFonts w:hint="eastAsia"/>
                <w:sz w:val="21"/>
                <w:szCs w:val="21"/>
              </w:rPr>
              <w:t>油烟</w:t>
            </w:r>
          </w:p>
        </w:tc>
        <w:tc>
          <w:tcPr>
            <w:tcW w:w="1386" w:type="pct"/>
            <w:vAlign w:val="center"/>
          </w:tcPr>
          <w:p>
            <w:pPr>
              <w:spacing w:line="240" w:lineRule="auto"/>
              <w:ind w:firstLine="0" w:firstLineChars="0"/>
              <w:jc w:val="center"/>
              <w:rPr>
                <w:sz w:val="21"/>
                <w:szCs w:val="21"/>
              </w:rPr>
            </w:pPr>
            <w:r>
              <w:rPr>
                <w:rFonts w:hint="eastAsia"/>
                <w:sz w:val="21"/>
                <w:szCs w:val="21"/>
              </w:rPr>
              <w:t>油烟净化器+专用烟道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spacing w:line="240" w:lineRule="auto"/>
              <w:ind w:firstLine="0" w:firstLineChars="0"/>
              <w:jc w:val="center"/>
              <w:rPr>
                <w:rFonts w:hint="eastAsia" w:eastAsia="宋体"/>
                <w:sz w:val="21"/>
                <w:szCs w:val="21"/>
                <w:lang w:eastAsia="zh-CN"/>
              </w:rPr>
            </w:pPr>
            <w:r>
              <w:rPr>
                <w:rFonts w:hint="eastAsia"/>
                <w:sz w:val="21"/>
                <w:szCs w:val="21"/>
                <w:lang w:eastAsia="zh-CN"/>
              </w:rPr>
              <w:t>污水处理站废气</w:t>
            </w:r>
          </w:p>
        </w:tc>
        <w:tc>
          <w:tcPr>
            <w:tcW w:w="1821" w:type="pct"/>
            <w:vAlign w:val="center"/>
          </w:tcPr>
          <w:p>
            <w:pPr>
              <w:spacing w:line="240" w:lineRule="auto"/>
              <w:ind w:firstLine="0" w:firstLineChars="0"/>
              <w:jc w:val="center"/>
              <w:rPr>
                <w:rFonts w:hint="eastAsia" w:eastAsia="宋体"/>
                <w:sz w:val="21"/>
                <w:szCs w:val="21"/>
                <w:lang w:eastAsia="zh-CN"/>
              </w:rPr>
            </w:pPr>
            <w:r>
              <w:rPr>
                <w:rFonts w:hint="eastAsia"/>
                <w:sz w:val="21"/>
                <w:szCs w:val="21"/>
                <w:lang w:eastAsia="zh-CN"/>
              </w:rPr>
              <w:t>硫化氢、氨</w:t>
            </w:r>
          </w:p>
        </w:tc>
        <w:tc>
          <w:tcPr>
            <w:tcW w:w="1386" w:type="pct"/>
            <w:vAlign w:val="center"/>
          </w:tcPr>
          <w:p>
            <w:pPr>
              <w:spacing w:line="240" w:lineRule="auto"/>
              <w:ind w:firstLine="0" w:firstLineChars="0"/>
              <w:jc w:val="center"/>
              <w:rPr>
                <w:rFonts w:hint="default" w:eastAsia="宋体"/>
                <w:sz w:val="21"/>
                <w:szCs w:val="21"/>
                <w:lang w:val="en-US" w:eastAsia="zh-CN"/>
              </w:rPr>
            </w:pPr>
            <w:r>
              <w:rPr>
                <w:rFonts w:hint="eastAsia"/>
                <w:sz w:val="21"/>
                <w:szCs w:val="21"/>
                <w:lang w:eastAsia="zh-CN"/>
              </w:rPr>
              <w:t>密闭</w:t>
            </w:r>
            <w:r>
              <w:rPr>
                <w:rFonts w:hint="eastAsia"/>
                <w:sz w:val="21"/>
                <w:szCs w:val="21"/>
                <w:lang w:val="en-US" w:eastAsia="zh-CN"/>
              </w:rPr>
              <w:t>+二级活性炭吸附+15m高排气筒高空排放DA003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Align w:val="center"/>
          </w:tcPr>
          <w:p>
            <w:pPr>
              <w:spacing w:line="240" w:lineRule="auto"/>
              <w:ind w:firstLine="0" w:firstLineChars="0"/>
              <w:jc w:val="center"/>
              <w:rPr>
                <w:sz w:val="21"/>
                <w:szCs w:val="21"/>
              </w:rPr>
            </w:pPr>
            <w:r>
              <w:rPr>
                <w:rFonts w:hint="eastAsia"/>
                <w:sz w:val="21"/>
                <w:szCs w:val="21"/>
              </w:rPr>
              <w:t>噪声</w:t>
            </w:r>
          </w:p>
        </w:tc>
        <w:tc>
          <w:tcPr>
            <w:tcW w:w="1260" w:type="pct"/>
            <w:gridSpan w:val="2"/>
            <w:vAlign w:val="center"/>
          </w:tcPr>
          <w:p>
            <w:pPr>
              <w:spacing w:line="240" w:lineRule="auto"/>
              <w:ind w:firstLine="0" w:firstLineChars="0"/>
              <w:jc w:val="center"/>
              <w:rPr>
                <w:sz w:val="21"/>
                <w:szCs w:val="21"/>
              </w:rPr>
            </w:pPr>
            <w:r>
              <w:rPr>
                <w:rFonts w:hint="eastAsia"/>
                <w:sz w:val="21"/>
                <w:szCs w:val="21"/>
              </w:rPr>
              <w:t>生产</w:t>
            </w:r>
          </w:p>
        </w:tc>
        <w:tc>
          <w:tcPr>
            <w:tcW w:w="1821" w:type="pct"/>
            <w:vAlign w:val="center"/>
          </w:tcPr>
          <w:p>
            <w:pPr>
              <w:spacing w:line="240" w:lineRule="auto"/>
              <w:ind w:firstLine="0" w:firstLineChars="0"/>
              <w:jc w:val="center"/>
              <w:rPr>
                <w:sz w:val="21"/>
                <w:szCs w:val="21"/>
              </w:rPr>
            </w:pPr>
            <w:r>
              <w:rPr>
                <w:rFonts w:hint="eastAsia"/>
                <w:sz w:val="21"/>
                <w:szCs w:val="21"/>
              </w:rPr>
              <w:t>高噪设备运行</w:t>
            </w:r>
          </w:p>
        </w:tc>
        <w:tc>
          <w:tcPr>
            <w:tcW w:w="1386" w:type="pct"/>
            <w:vAlign w:val="center"/>
          </w:tcPr>
          <w:p>
            <w:pPr>
              <w:spacing w:line="240" w:lineRule="auto"/>
              <w:ind w:firstLine="0" w:firstLineChars="0"/>
              <w:jc w:val="center"/>
              <w:rPr>
                <w:sz w:val="21"/>
                <w:szCs w:val="21"/>
              </w:rPr>
            </w:pPr>
            <w:r>
              <w:rPr>
                <w:rFonts w:hint="eastAsia"/>
                <w:sz w:val="21"/>
                <w:szCs w:val="21"/>
              </w:rPr>
              <w:t>连续排放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restart"/>
            <w:vAlign w:val="center"/>
          </w:tcPr>
          <w:p>
            <w:pPr>
              <w:spacing w:line="240" w:lineRule="auto"/>
              <w:ind w:firstLine="0" w:firstLineChars="0"/>
              <w:jc w:val="center"/>
              <w:rPr>
                <w:sz w:val="21"/>
                <w:szCs w:val="21"/>
              </w:rPr>
            </w:pPr>
            <w:r>
              <w:rPr>
                <w:rFonts w:hint="eastAsia"/>
                <w:sz w:val="21"/>
                <w:szCs w:val="21"/>
              </w:rPr>
              <w:t>固体</w:t>
            </w:r>
          </w:p>
          <w:p>
            <w:pPr>
              <w:spacing w:line="240" w:lineRule="auto"/>
              <w:ind w:firstLine="0" w:firstLineChars="0"/>
              <w:jc w:val="center"/>
              <w:rPr>
                <w:sz w:val="21"/>
                <w:szCs w:val="21"/>
              </w:rPr>
            </w:pPr>
            <w:r>
              <w:rPr>
                <w:rFonts w:hint="eastAsia"/>
                <w:sz w:val="21"/>
                <w:szCs w:val="21"/>
              </w:rPr>
              <w:t>废物</w:t>
            </w:r>
          </w:p>
        </w:tc>
        <w:tc>
          <w:tcPr>
            <w:tcW w:w="1260" w:type="pct"/>
            <w:gridSpan w:val="2"/>
            <w:vAlign w:val="center"/>
          </w:tcPr>
          <w:p>
            <w:pPr>
              <w:spacing w:line="240" w:lineRule="auto"/>
              <w:ind w:firstLine="0" w:firstLineChars="0"/>
              <w:jc w:val="center"/>
              <w:rPr>
                <w:sz w:val="21"/>
                <w:szCs w:val="21"/>
              </w:rPr>
            </w:pPr>
            <w:r>
              <w:rPr>
                <w:rFonts w:hint="eastAsia" w:cs="Times New Roman"/>
                <w:sz w:val="21"/>
                <w:szCs w:val="21"/>
              </w:rPr>
              <w:t>职工生活、食堂</w:t>
            </w:r>
          </w:p>
        </w:tc>
        <w:tc>
          <w:tcPr>
            <w:tcW w:w="1821" w:type="pct"/>
            <w:vAlign w:val="center"/>
          </w:tcPr>
          <w:p>
            <w:pPr>
              <w:spacing w:line="240" w:lineRule="auto"/>
              <w:ind w:firstLine="0" w:firstLineChars="0"/>
              <w:jc w:val="center"/>
              <w:rPr>
                <w:sz w:val="21"/>
                <w:szCs w:val="21"/>
              </w:rPr>
            </w:pPr>
            <w:r>
              <w:rPr>
                <w:rFonts w:hint="eastAsia" w:cs="Times New Roman"/>
                <w:sz w:val="21"/>
                <w:szCs w:val="21"/>
              </w:rPr>
              <w:t>生活、餐厨垃圾</w:t>
            </w:r>
          </w:p>
        </w:tc>
        <w:tc>
          <w:tcPr>
            <w:tcW w:w="1386" w:type="pct"/>
            <w:vAlign w:val="center"/>
          </w:tcPr>
          <w:p>
            <w:pPr>
              <w:widowControl/>
              <w:spacing w:line="240" w:lineRule="auto"/>
              <w:ind w:firstLine="0" w:firstLineChars="0"/>
              <w:jc w:val="center"/>
              <w:rPr>
                <w:color w:val="C00000"/>
                <w:sz w:val="21"/>
                <w:szCs w:val="21"/>
              </w:rPr>
            </w:pPr>
            <w:r>
              <w:rPr>
                <w:rFonts w:hint="eastAsia" w:cs="Times New Roman"/>
                <w:sz w:val="21"/>
                <w:szCs w:val="21"/>
              </w:rPr>
              <w:t>定期</w:t>
            </w:r>
            <w:r>
              <w:rPr>
                <w:rFonts w:hint="eastAsia" w:cs="Times New Roman"/>
                <w:color w:val="000000" w:themeColor="text1"/>
                <w:sz w:val="21"/>
                <w:szCs w:val="21"/>
                <w14:textFill>
                  <w14:solidFill>
                    <w14:schemeClr w14:val="tx1"/>
                  </w14:solidFill>
                </w14:textFill>
              </w:rPr>
              <w:t>由环卫部门清运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spacing w:line="240" w:lineRule="auto"/>
              <w:ind w:firstLine="0" w:firstLineChars="0"/>
              <w:jc w:val="center"/>
              <w:rPr>
                <w:sz w:val="21"/>
                <w:szCs w:val="21"/>
                <w:u w:val="single"/>
              </w:rPr>
            </w:pPr>
            <w:r>
              <w:rPr>
                <w:rFonts w:hint="eastAsia" w:cs="Times New Roman"/>
                <w:sz w:val="21"/>
                <w:szCs w:val="21"/>
                <w:u w:val="single"/>
              </w:rPr>
              <w:t>原料包装</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lang w:eastAsia="zh-CN"/>
              </w:rPr>
              <w:t>一般</w:t>
            </w:r>
            <w:r>
              <w:rPr>
                <w:rFonts w:hint="eastAsia"/>
                <w:sz w:val="21"/>
                <w:szCs w:val="21"/>
                <w:u w:val="single"/>
              </w:rPr>
              <w:t>废原料包装</w:t>
            </w:r>
          </w:p>
        </w:tc>
        <w:tc>
          <w:tcPr>
            <w:tcW w:w="1386" w:type="pct"/>
            <w:vMerge w:val="restart"/>
            <w:vAlign w:val="center"/>
          </w:tcPr>
          <w:p>
            <w:pPr>
              <w:spacing w:line="240" w:lineRule="auto"/>
              <w:ind w:firstLine="0" w:firstLineChars="0"/>
              <w:jc w:val="center"/>
              <w:rPr>
                <w:color w:val="000000" w:themeColor="text1"/>
                <w:sz w:val="21"/>
                <w:szCs w:val="21"/>
                <w:u w:val="single"/>
                <w14:textFill>
                  <w14:solidFill>
                    <w14:schemeClr w14:val="tx1"/>
                  </w14:solidFill>
                </w14:textFill>
              </w:rPr>
            </w:pPr>
            <w:r>
              <w:rPr>
                <w:rFonts w:hint="eastAsia"/>
                <w:color w:val="000000" w:themeColor="text1"/>
                <w:sz w:val="21"/>
                <w:szCs w:val="21"/>
                <w:u w:val="single"/>
                <w14:textFill>
                  <w14:solidFill>
                    <w14:schemeClr w14:val="tx1"/>
                  </w14:solidFill>
                </w14:textFill>
              </w:rPr>
              <w:t>定期外售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lang w:eastAsia="zh-CN"/>
              </w:rPr>
              <w:t>生产工序</w:t>
            </w:r>
          </w:p>
        </w:tc>
        <w:tc>
          <w:tcPr>
            <w:tcW w:w="1821" w:type="pct"/>
            <w:vAlign w:val="center"/>
          </w:tcPr>
          <w:p>
            <w:pPr>
              <w:spacing w:line="240" w:lineRule="auto"/>
              <w:ind w:firstLine="0" w:firstLineChars="0"/>
              <w:jc w:val="center"/>
              <w:rPr>
                <w:rFonts w:hint="eastAsia"/>
                <w:sz w:val="21"/>
                <w:szCs w:val="21"/>
                <w:u w:val="single"/>
                <w:lang w:eastAsia="zh-CN"/>
              </w:rPr>
            </w:pPr>
            <w:r>
              <w:rPr>
                <w:rFonts w:hint="eastAsia"/>
                <w:sz w:val="21"/>
                <w:szCs w:val="21"/>
                <w:u w:val="single"/>
                <w:lang w:eastAsia="zh-CN"/>
              </w:rPr>
              <w:t>废弃边角料</w:t>
            </w:r>
          </w:p>
        </w:tc>
        <w:tc>
          <w:tcPr>
            <w:tcW w:w="1386" w:type="pct"/>
            <w:vMerge w:val="continue"/>
            <w:vAlign w:val="center"/>
          </w:tcPr>
          <w:p>
            <w:pPr>
              <w:spacing w:line="240" w:lineRule="auto"/>
              <w:ind w:firstLine="0" w:firstLineChars="0"/>
              <w:jc w:val="center"/>
              <w:rPr>
                <w:rFonts w:hint="eastAsia"/>
                <w:color w:val="000000" w:themeColor="text1"/>
                <w:sz w:val="21"/>
                <w:szCs w:val="21"/>
                <w:u w:val="singl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spacing w:line="240" w:lineRule="auto"/>
              <w:ind w:firstLine="0" w:firstLineChars="0"/>
              <w:jc w:val="center"/>
              <w:rPr>
                <w:sz w:val="21"/>
                <w:szCs w:val="21"/>
                <w:u w:val="single"/>
              </w:rPr>
            </w:pPr>
            <w:r>
              <w:rPr>
                <w:rFonts w:hint="eastAsia"/>
                <w:sz w:val="21"/>
                <w:szCs w:val="21"/>
                <w:u w:val="single"/>
              </w:rPr>
              <w:t>废气处理</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除尘器卸灰</w:t>
            </w:r>
          </w:p>
        </w:tc>
        <w:tc>
          <w:tcPr>
            <w:tcW w:w="1386" w:type="pct"/>
            <w:vMerge w:val="restar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rPr>
              <w:t>定期</w:t>
            </w:r>
            <w:r>
              <w:rPr>
                <w:rFonts w:hint="eastAsia" w:cs="Times New Roman"/>
                <w:color w:val="000000" w:themeColor="text1"/>
                <w:sz w:val="21"/>
                <w:szCs w:val="21"/>
                <w:u w:val="single"/>
                <w14:textFill>
                  <w14:solidFill>
                    <w14:schemeClr w14:val="tx1"/>
                  </w14:solidFill>
                </w14:textFill>
              </w:rPr>
              <w:t>由环卫部门清运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spacing w:line="240" w:lineRule="auto"/>
              <w:ind w:firstLine="0" w:firstLineChars="0"/>
              <w:jc w:val="center"/>
              <w:rPr>
                <w:sz w:val="21"/>
                <w:szCs w:val="21"/>
                <w:u w:val="single"/>
              </w:rPr>
            </w:pPr>
            <w:r>
              <w:rPr>
                <w:rFonts w:hint="eastAsia"/>
                <w:sz w:val="21"/>
                <w:szCs w:val="21"/>
                <w:u w:val="single"/>
              </w:rPr>
              <w:t>污水处理清污</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清洗污泥废渣</w:t>
            </w:r>
          </w:p>
        </w:tc>
        <w:tc>
          <w:tcPr>
            <w:tcW w:w="1386" w:type="pct"/>
            <w:vMerge w:val="restart"/>
            <w:vAlign w:val="center"/>
          </w:tcPr>
          <w:p>
            <w:pPr>
              <w:spacing w:line="240" w:lineRule="auto"/>
              <w:ind w:firstLine="0" w:firstLineChars="0"/>
              <w:jc w:val="center"/>
              <w:rPr>
                <w:sz w:val="21"/>
                <w:szCs w:val="21"/>
                <w:u w:val="single"/>
              </w:rPr>
            </w:pPr>
            <w:r>
              <w:rPr>
                <w:rFonts w:hint="eastAsia"/>
                <w:sz w:val="21"/>
                <w:szCs w:val="21"/>
                <w:u w:val="single"/>
              </w:rPr>
              <w:t>危废暂存间暂存后交由有危废处理资质单位处理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Merge w:val="restart"/>
            <w:vAlign w:val="center"/>
          </w:tcPr>
          <w:p>
            <w:pPr>
              <w:spacing w:line="240" w:lineRule="auto"/>
              <w:ind w:firstLine="0" w:firstLineChars="0"/>
              <w:jc w:val="center"/>
              <w:rPr>
                <w:sz w:val="21"/>
                <w:szCs w:val="21"/>
                <w:u w:val="single"/>
              </w:rPr>
            </w:pPr>
            <w:r>
              <w:rPr>
                <w:rFonts w:hint="eastAsia"/>
                <w:sz w:val="21"/>
                <w:szCs w:val="21"/>
                <w:u w:val="single"/>
              </w:rPr>
              <w:t>废气处理</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废活性炭</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Merge w:val="continue"/>
            <w:vAlign w:val="center"/>
          </w:tcPr>
          <w:p>
            <w:pPr>
              <w:spacing w:line="240" w:lineRule="auto"/>
              <w:ind w:firstLine="0" w:firstLineChars="0"/>
              <w:jc w:val="center"/>
              <w:rPr>
                <w:sz w:val="21"/>
                <w:szCs w:val="21"/>
                <w:u w:val="single"/>
              </w:rPr>
            </w:pPr>
          </w:p>
        </w:tc>
        <w:tc>
          <w:tcPr>
            <w:tcW w:w="1821" w:type="pct"/>
            <w:vAlign w:val="center"/>
          </w:tcPr>
          <w:p>
            <w:pPr>
              <w:spacing w:line="240" w:lineRule="auto"/>
              <w:ind w:firstLine="0" w:firstLineChars="0"/>
              <w:jc w:val="center"/>
              <w:rPr>
                <w:rFonts w:hint="eastAsia" w:eastAsia="宋体"/>
                <w:sz w:val="21"/>
                <w:szCs w:val="21"/>
                <w:u w:val="single"/>
                <w:lang w:eastAsia="zh-CN"/>
              </w:rPr>
            </w:pPr>
            <w:r>
              <w:rPr>
                <w:rFonts w:hint="eastAsia"/>
                <w:sz w:val="21"/>
                <w:szCs w:val="21"/>
                <w:u w:val="single"/>
                <w:lang w:eastAsia="zh-CN"/>
              </w:rPr>
              <w:t>喷淋塔沉渣</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Merge w:val="continue"/>
            <w:vAlign w:val="center"/>
          </w:tcPr>
          <w:p>
            <w:pPr>
              <w:spacing w:line="240" w:lineRule="auto"/>
              <w:ind w:firstLine="0" w:firstLineChars="0"/>
              <w:jc w:val="center"/>
              <w:rPr>
                <w:sz w:val="21"/>
                <w:szCs w:val="21"/>
                <w:u w:val="single"/>
              </w:rPr>
            </w:pPr>
          </w:p>
        </w:tc>
        <w:tc>
          <w:tcPr>
            <w:tcW w:w="1821" w:type="pct"/>
            <w:vAlign w:val="center"/>
          </w:tcPr>
          <w:p>
            <w:pPr>
              <w:spacing w:line="240" w:lineRule="auto"/>
              <w:ind w:firstLine="0" w:firstLineChars="0"/>
              <w:jc w:val="center"/>
              <w:rPr>
                <w:rFonts w:hint="eastAsia"/>
                <w:sz w:val="21"/>
                <w:szCs w:val="21"/>
                <w:u w:val="single"/>
                <w:lang w:eastAsia="zh-CN"/>
              </w:rPr>
            </w:pPr>
            <w:r>
              <w:rPr>
                <w:rFonts w:hint="eastAsia"/>
                <w:sz w:val="21"/>
                <w:szCs w:val="21"/>
                <w:u w:val="single"/>
              </w:rPr>
              <w:t>废催化剂</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spacing w:line="240" w:lineRule="auto"/>
              <w:ind w:firstLine="0" w:firstLineChars="0"/>
              <w:jc w:val="center"/>
              <w:rPr>
                <w:sz w:val="21"/>
                <w:szCs w:val="21"/>
                <w:u w:val="single"/>
              </w:rPr>
            </w:pPr>
            <w:r>
              <w:rPr>
                <w:rFonts w:hint="eastAsia"/>
                <w:sz w:val="21"/>
                <w:szCs w:val="21"/>
                <w:u w:val="single"/>
              </w:rPr>
              <w:t>生产工序</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过滤残渣</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spacing w:line="240" w:lineRule="auto"/>
              <w:ind w:firstLine="0" w:firstLineChars="0"/>
              <w:jc w:val="center"/>
              <w:rPr>
                <w:sz w:val="21"/>
                <w:szCs w:val="21"/>
                <w:u w:val="single"/>
              </w:rPr>
            </w:pPr>
            <w:r>
              <w:rPr>
                <w:rFonts w:hint="eastAsia"/>
                <w:sz w:val="21"/>
                <w:szCs w:val="21"/>
                <w:u w:val="single"/>
              </w:rPr>
              <w:t>原料包装</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废胶桶、铁桶</w:t>
            </w:r>
          </w:p>
        </w:tc>
        <w:tc>
          <w:tcPr>
            <w:tcW w:w="1386"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531" w:type="pct"/>
            <w:vMerge w:val="continue"/>
            <w:vAlign w:val="center"/>
          </w:tcPr>
          <w:p>
            <w:pPr>
              <w:spacing w:line="240" w:lineRule="auto"/>
              <w:ind w:firstLine="0" w:firstLineChars="0"/>
              <w:jc w:val="center"/>
              <w:rPr>
                <w:sz w:val="21"/>
                <w:szCs w:val="21"/>
              </w:rPr>
            </w:pPr>
          </w:p>
        </w:tc>
        <w:tc>
          <w:tcPr>
            <w:tcW w:w="1260" w:type="pct"/>
            <w:gridSpan w:val="2"/>
            <w:vAlign w:val="center"/>
          </w:tcPr>
          <w:p>
            <w:pPr>
              <w:spacing w:line="240" w:lineRule="auto"/>
              <w:ind w:firstLine="0" w:firstLineChars="0"/>
              <w:jc w:val="center"/>
              <w:rPr>
                <w:sz w:val="21"/>
                <w:szCs w:val="21"/>
                <w:u w:val="single"/>
              </w:rPr>
            </w:pPr>
            <w:r>
              <w:rPr>
                <w:rFonts w:hint="eastAsia"/>
                <w:sz w:val="21"/>
                <w:szCs w:val="21"/>
                <w:u w:val="single"/>
              </w:rPr>
              <w:t>机械设备维修</w:t>
            </w:r>
          </w:p>
        </w:tc>
        <w:tc>
          <w:tcPr>
            <w:tcW w:w="1821" w:type="pct"/>
            <w:vAlign w:val="center"/>
          </w:tcPr>
          <w:p>
            <w:pPr>
              <w:spacing w:line="240" w:lineRule="auto"/>
              <w:ind w:firstLine="0" w:firstLineChars="0"/>
              <w:jc w:val="center"/>
              <w:rPr>
                <w:sz w:val="21"/>
                <w:szCs w:val="21"/>
                <w:u w:val="single"/>
              </w:rPr>
            </w:pPr>
            <w:r>
              <w:rPr>
                <w:rFonts w:hint="eastAsia"/>
                <w:sz w:val="21"/>
                <w:szCs w:val="21"/>
                <w:u w:val="single"/>
              </w:rPr>
              <w:t>废机油</w:t>
            </w:r>
          </w:p>
        </w:tc>
        <w:tc>
          <w:tcPr>
            <w:tcW w:w="1386" w:type="pct"/>
            <w:vMerge w:val="continue"/>
            <w:vAlign w:val="center"/>
          </w:tcPr>
          <w:p>
            <w:pPr>
              <w:spacing w:line="240" w:lineRule="auto"/>
              <w:ind w:firstLine="0" w:firstLineChars="0"/>
              <w:jc w:val="center"/>
              <w:rPr>
                <w:sz w:val="21"/>
                <w:szCs w:val="21"/>
              </w:rPr>
            </w:pPr>
          </w:p>
        </w:tc>
      </w:tr>
    </w:tbl>
    <w:p>
      <w:pPr>
        <w:pStyle w:val="6"/>
        <w:ind w:firstLine="0" w:firstLineChars="0"/>
        <w:rPr>
          <w:lang w:val="en-US"/>
        </w:rPr>
      </w:pPr>
      <w:bookmarkStart w:id="74" w:name="_Toc17374"/>
      <w:bookmarkStart w:id="75" w:name="_Toc1995"/>
      <w:r>
        <w:rPr>
          <w:rFonts w:hint="eastAsia"/>
          <w:lang w:val="en-US"/>
        </w:rPr>
        <w:t>4.3 污染物源强分析</w:t>
      </w:r>
      <w:bookmarkEnd w:id="74"/>
      <w:bookmarkEnd w:id="75"/>
    </w:p>
    <w:p>
      <w:pPr>
        <w:pStyle w:val="7"/>
        <w:ind w:firstLine="562"/>
      </w:pPr>
      <w:r>
        <w:rPr>
          <w:rFonts w:hint="eastAsia"/>
        </w:rPr>
        <w:t>4.3.1 水污染源强核算</w:t>
      </w:r>
    </w:p>
    <w:p>
      <w:pPr>
        <w:widowControl/>
        <w:ind w:firstLine="480"/>
        <w:jc w:val="both"/>
      </w:pPr>
      <w:r>
        <w:rPr>
          <w:rFonts w:hint="eastAsia"/>
          <w:color w:val="000000" w:themeColor="text1"/>
          <w14:textFill>
            <w14:solidFill>
              <w14:schemeClr w14:val="tx1"/>
            </w14:solidFill>
          </w14:textFill>
        </w:rPr>
        <w:t>本项目运营期产生的废水包括设备清洗废水、车间清洗废水、水喷淋废水、循环冷却水排水、纯水制备浓水、纯水制备反冲洗废水、初期雨水</w:t>
      </w:r>
      <w:r>
        <w:t>以及员工生活污水。</w:t>
      </w:r>
    </w:p>
    <w:p>
      <w:pPr>
        <w:widowControl/>
        <w:ind w:firstLine="480"/>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①清洗废水</w:t>
      </w:r>
    </w:p>
    <w:p>
      <w:pPr>
        <w:pStyle w:val="25"/>
        <w:widowControl/>
        <w:spacing w:beforeAutospacing="0" w:afterAutospacing="0"/>
        <w:ind w:firstLine="480"/>
        <w:jc w:val="both"/>
        <w:rPr>
          <w:rFonts w:hint="eastAsia" w:eastAsia="宋体"/>
          <w:u w:val="single"/>
          <w:lang w:eastAsia="zh-CN"/>
        </w:rPr>
      </w:pPr>
      <w:r>
        <w:rPr>
          <w:rFonts w:hint="eastAsia"/>
          <w:u w:val="single"/>
        </w:rPr>
        <w:t>本项目树脂及功能材料生产设备按产品类别实行专釜专用，生产产品连续生产不进行换洗。正常情况下不做清洗，只有在进行设备检修或设备改造时对反应釜、管道进行清洗，清洗时会产生设备清洗废水，主要污染物是CODcr、</w:t>
      </w:r>
      <w:r>
        <w:rPr>
          <w:rFonts w:hint="eastAsia"/>
          <w:u w:val="single"/>
          <w:lang w:eastAsia="zh-CN"/>
        </w:rPr>
        <w:t>BOD</w:t>
      </w:r>
      <w:r>
        <w:rPr>
          <w:rFonts w:hint="eastAsia"/>
          <w:u w:val="single"/>
          <w:vertAlign w:val="subscript"/>
          <w:lang w:eastAsia="zh-CN"/>
        </w:rPr>
        <w:t>5</w:t>
      </w:r>
      <w:r>
        <w:rPr>
          <w:rFonts w:hint="eastAsia"/>
          <w:u w:val="single"/>
        </w:rPr>
        <w:t>等。</w:t>
      </w:r>
      <w:r>
        <w:rPr>
          <w:rFonts w:hint="eastAsia"/>
          <w:u w:val="single"/>
          <w:lang w:eastAsia="zh-CN"/>
        </w:rPr>
        <w:t>根据企业提供的设备设计资料</w:t>
      </w:r>
      <w:r>
        <w:rPr>
          <w:rFonts w:hint="eastAsia"/>
          <w:u w:val="single"/>
        </w:rPr>
        <w:t>，反应釜每年清洗为2次/单釜*a，项目年投入反应釜量为32个，</w:t>
      </w:r>
      <w:r>
        <w:rPr>
          <w:rFonts w:hint="eastAsia"/>
          <w:u w:val="single"/>
          <w:lang w:eastAsia="zh-CN"/>
        </w:rPr>
        <w:t>单釜容积均为</w:t>
      </w:r>
      <w:r>
        <w:rPr>
          <w:rFonts w:hint="eastAsia"/>
          <w:u w:val="single"/>
          <w:lang w:val="en-US" w:eastAsia="zh-CN"/>
        </w:rPr>
        <w:t>5000L，</w:t>
      </w:r>
      <w:r>
        <w:rPr>
          <w:rFonts w:hint="eastAsia"/>
          <w:u w:val="single"/>
        </w:rPr>
        <w:t>清洗用水量约为3.5L/次，由此核算项目年设备清洗水用量为0.224t/a。</w:t>
      </w:r>
      <w:r>
        <w:rPr>
          <w:rFonts w:hint="eastAsia"/>
          <w:u w:val="single"/>
          <w:lang w:eastAsia="zh-CN"/>
        </w:rPr>
        <w:t>该部分废水为低浓度有机废水，参考《石油化学工业污染物排放标准》编制说明和同类项目设备清洗废水中COD产生浓度为7</w:t>
      </w:r>
      <w:r>
        <w:rPr>
          <w:rFonts w:hint="eastAsia"/>
          <w:u w:val="single"/>
          <w:lang w:val="en-US" w:eastAsia="zh-CN"/>
        </w:rPr>
        <w:t>50</w:t>
      </w:r>
      <w:r>
        <w:rPr>
          <w:rFonts w:hint="eastAsia"/>
          <w:u w:val="single"/>
          <w:lang w:eastAsia="zh-CN"/>
        </w:rPr>
        <w:t>mg/L；BOD</w:t>
      </w:r>
      <w:r>
        <w:rPr>
          <w:rFonts w:hint="eastAsia"/>
          <w:u w:val="single"/>
          <w:vertAlign w:val="subscript"/>
          <w:lang w:eastAsia="zh-CN"/>
        </w:rPr>
        <w:t>5</w:t>
      </w:r>
      <w:r>
        <w:rPr>
          <w:rFonts w:hint="eastAsia"/>
          <w:u w:val="single"/>
          <w:lang w:eastAsia="zh-CN"/>
        </w:rPr>
        <w:t>产生浓度为6</w:t>
      </w:r>
      <w:r>
        <w:rPr>
          <w:rFonts w:hint="eastAsia"/>
          <w:u w:val="single"/>
          <w:lang w:val="en-US" w:eastAsia="zh-CN"/>
        </w:rPr>
        <w:t>50</w:t>
      </w:r>
      <w:r>
        <w:rPr>
          <w:rFonts w:hint="eastAsia"/>
          <w:u w:val="single"/>
          <w:lang w:eastAsia="zh-CN"/>
        </w:rPr>
        <w:t>mg/L。</w:t>
      </w:r>
    </w:p>
    <w:p>
      <w:pPr>
        <w:pStyle w:val="25"/>
        <w:widowControl/>
        <w:spacing w:beforeAutospacing="0" w:afterAutospacing="0"/>
        <w:ind w:firstLine="480"/>
        <w:jc w:val="both"/>
        <w:rPr>
          <w:u w:val="single"/>
        </w:rPr>
      </w:pPr>
      <w:r>
        <w:rPr>
          <w:rFonts w:hint="eastAsia"/>
          <w:u w:val="single"/>
        </w:rPr>
        <w:t>项目在运营过程中需要定期对车间地坪进行冲洗，根据相关类比资料，车间冲洗水用量约为2L/m</w:t>
      </w:r>
      <w:r>
        <w:rPr>
          <w:rFonts w:hint="eastAsia"/>
          <w:u w:val="single"/>
          <w:vertAlign w:val="superscript"/>
        </w:rPr>
        <w:t>2</w:t>
      </w:r>
      <w:r>
        <w:rPr>
          <w:rFonts w:hint="eastAsia"/>
          <w:u w:val="single"/>
        </w:rPr>
        <w:t>，项目生产车间总面积为11673.94m</w:t>
      </w:r>
      <w:r>
        <w:rPr>
          <w:rFonts w:hint="eastAsia"/>
          <w:u w:val="single"/>
          <w:vertAlign w:val="superscript"/>
        </w:rPr>
        <w:t>2</w:t>
      </w:r>
      <w:r>
        <w:rPr>
          <w:rFonts w:hint="eastAsia"/>
          <w:u w:val="single"/>
        </w:rPr>
        <w:t>，参考</w:t>
      </w:r>
      <w:r>
        <w:rPr>
          <w:rFonts w:hint="eastAsia"/>
          <w:color w:val="000000" w:themeColor="text1"/>
          <w:u w:val="single"/>
          <w14:textFill>
            <w14:solidFill>
              <w14:schemeClr w14:val="tx1"/>
            </w14:solidFill>
          </w14:textFill>
        </w:rPr>
        <w:t>《河南钰健人造草坪有限公司年产150万平方米人造草坪及年产3500吨</w:t>
      </w:r>
      <w:r>
        <w:rPr>
          <w:rFonts w:hint="eastAsia"/>
          <w:color w:val="000000" w:themeColor="text1"/>
          <w:u w:val="single"/>
          <w:lang w:eastAsia="zh-CN"/>
          <w14:textFill>
            <w14:solidFill>
              <w14:schemeClr w14:val="tx1"/>
            </w14:solidFill>
          </w14:textFill>
        </w:rPr>
        <w:t>EPDM颗粒</w:t>
      </w:r>
      <w:r>
        <w:rPr>
          <w:rFonts w:hint="eastAsia"/>
          <w:color w:val="000000" w:themeColor="text1"/>
          <w:u w:val="single"/>
          <w14:textFill>
            <w14:solidFill>
              <w14:schemeClr w14:val="tx1"/>
            </w14:solidFill>
          </w14:textFill>
        </w:rPr>
        <w:t>项目》（叶环审</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2021</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28号）实际生产经验，</w:t>
      </w:r>
      <w:r>
        <w:rPr>
          <w:rFonts w:hint="eastAsia"/>
          <w:u w:val="single"/>
        </w:rPr>
        <w:t>每年按冲洗100次计，则车间冲洗新鲜水消耗量约为2334.788m</w:t>
      </w:r>
      <w:r>
        <w:rPr>
          <w:rFonts w:hint="eastAsia"/>
          <w:u w:val="single"/>
          <w:vertAlign w:val="superscript"/>
        </w:rPr>
        <w:t>3</w:t>
      </w:r>
      <w:r>
        <w:rPr>
          <w:rFonts w:hint="eastAsia"/>
          <w:u w:val="single"/>
        </w:rPr>
        <w:t>/a。</w:t>
      </w:r>
      <w:r>
        <w:rPr>
          <w:rFonts w:hint="eastAsia"/>
          <w:color w:val="000000"/>
          <w:u w:val="single"/>
          <w:lang w:bidi="ar"/>
        </w:rPr>
        <w:t>清洗水按照90%量排放，</w:t>
      </w:r>
      <w:r>
        <w:rPr>
          <w:u w:val="single"/>
        </w:rPr>
        <w:t>则清洗废水产生量为</w:t>
      </w:r>
      <w:r>
        <w:rPr>
          <w:rFonts w:hint="eastAsia"/>
          <w:u w:val="single"/>
        </w:rPr>
        <w:t>2101.</w:t>
      </w:r>
      <w:r>
        <w:rPr>
          <w:rFonts w:hint="eastAsia"/>
          <w:u w:val="single"/>
          <w:lang w:val="en-US" w:eastAsia="zh-CN"/>
        </w:rPr>
        <w:t>3092</w:t>
      </w:r>
      <w:r>
        <w:rPr>
          <w:u w:val="single"/>
        </w:rPr>
        <w:t>m²/a。清洗后废水进入厂内污水处理站预处理。</w:t>
      </w:r>
      <w:r>
        <w:rPr>
          <w:rFonts w:hint="eastAsia"/>
          <w:u w:val="single"/>
        </w:rPr>
        <w:t>冲洗废水中污染物主要为COD、BOD</w:t>
      </w:r>
      <w:r>
        <w:rPr>
          <w:rFonts w:hint="eastAsia"/>
          <w:u w:val="single"/>
          <w:vertAlign w:val="subscript"/>
        </w:rPr>
        <w:t>5</w:t>
      </w:r>
      <w:r>
        <w:rPr>
          <w:rFonts w:hint="eastAsia"/>
          <w:u w:val="single"/>
        </w:rPr>
        <w:t>、SS、NH</w:t>
      </w:r>
      <w:r>
        <w:rPr>
          <w:rFonts w:hint="eastAsia"/>
          <w:u w:val="single"/>
          <w:vertAlign w:val="subscript"/>
        </w:rPr>
        <w:t>3</w:t>
      </w:r>
      <w:r>
        <w:rPr>
          <w:rFonts w:hint="eastAsia"/>
          <w:u w:val="single"/>
        </w:rPr>
        <w:t>-N等，根据企业提供设计资料，并参考《石油化学工业污染物排放标准》编制说明和同类项目，冲洗废水中各污染物浓度为COD：500mg/L，BOD</w:t>
      </w:r>
      <w:r>
        <w:rPr>
          <w:rFonts w:hint="eastAsia"/>
          <w:u w:val="single"/>
          <w:vertAlign w:val="subscript"/>
        </w:rPr>
        <w:t>5</w:t>
      </w:r>
      <w:r>
        <w:rPr>
          <w:rFonts w:hint="eastAsia"/>
          <w:u w:val="single"/>
        </w:rPr>
        <w:t>：200mg/L，SS：400mg/L，NH</w:t>
      </w:r>
      <w:r>
        <w:rPr>
          <w:rFonts w:hint="eastAsia"/>
          <w:u w:val="single"/>
          <w:vertAlign w:val="subscript"/>
        </w:rPr>
        <w:t>3</w:t>
      </w:r>
      <w:r>
        <w:rPr>
          <w:rFonts w:hint="eastAsia"/>
          <w:u w:val="single"/>
        </w:rPr>
        <w:t>-N：50mg/L、TN:50mg/L</w:t>
      </w:r>
      <w:r>
        <w:rPr>
          <w:u w:val="single"/>
        </w:rPr>
        <w:t>。</w:t>
      </w:r>
    </w:p>
    <w:p>
      <w:pPr>
        <w:pStyle w:val="25"/>
        <w:widowControl/>
        <w:spacing w:beforeAutospacing="0" w:afterAutospacing="0"/>
        <w:ind w:firstLine="480"/>
        <w:jc w:val="both"/>
      </w:pPr>
      <w:r>
        <w:rPr>
          <w:rFonts w:hint="eastAsia" w:ascii="宋体" w:hAnsi="宋体" w:cs="宋体"/>
        </w:rPr>
        <w:t>②</w:t>
      </w:r>
      <w:r>
        <w:rPr>
          <w:rFonts w:hint="eastAsia"/>
        </w:rPr>
        <w:t>水喷淋用水：生产车间的投料粉尘和工艺废气需要经过</w:t>
      </w:r>
      <w:r>
        <w:rPr>
          <w:rFonts w:hint="eastAsia"/>
          <w:lang w:eastAsia="zh-CN"/>
        </w:rPr>
        <w:t>“</w:t>
      </w:r>
      <w:r>
        <w:rPr>
          <w:rFonts w:hint="eastAsia"/>
        </w:rPr>
        <w:t>水喷淋洗涤塔+干式过滤器+活性炭吸附+RCO</w:t>
      </w:r>
      <w:r>
        <w:rPr>
          <w:rFonts w:hint="eastAsia"/>
          <w:lang w:eastAsia="zh-CN"/>
        </w:rPr>
        <w:t>”</w:t>
      </w:r>
      <w:r>
        <w:rPr>
          <w:rFonts w:hint="eastAsia"/>
        </w:rPr>
        <w:t>处理。根据建设单位提供的设计资料，喷淋塔水箱的总储水量约1.5m</w:t>
      </w:r>
      <w:r>
        <w:rPr>
          <w:rFonts w:hint="eastAsia"/>
          <w:vertAlign w:val="superscript"/>
        </w:rPr>
        <w:t>3</w:t>
      </w:r>
      <w:r>
        <w:rPr>
          <w:rFonts w:hint="eastAsia"/>
        </w:rPr>
        <w:t>，每1~4周更换一次喷淋液，本次计算取10d更换一次喷淋液。本项目生产时间约为300d，则需要更换30次，即喷淋塔年用水量为45m</w:t>
      </w:r>
      <w:r>
        <w:rPr>
          <w:rFonts w:hint="eastAsia"/>
          <w:vertAlign w:val="superscript"/>
        </w:rPr>
        <w:t>3</w:t>
      </w:r>
      <w:r>
        <w:rPr>
          <w:rFonts w:hint="eastAsia"/>
        </w:rPr>
        <w:t>，则生产车间的废气喷淋用水总量为45m</w:t>
      </w:r>
      <w:r>
        <w:rPr>
          <w:rFonts w:hint="eastAsia"/>
          <w:vertAlign w:val="superscript"/>
        </w:rPr>
        <w:t>3</w:t>
      </w:r>
      <w:r>
        <w:rPr>
          <w:rFonts w:hint="eastAsia"/>
        </w:rPr>
        <w:t>/a（0.15m</w:t>
      </w:r>
      <w:r>
        <w:rPr>
          <w:rFonts w:hint="eastAsia"/>
          <w:vertAlign w:val="superscript"/>
        </w:rPr>
        <w:t>3</w:t>
      </w:r>
      <w:r>
        <w:rPr>
          <w:rFonts w:hint="eastAsia"/>
        </w:rPr>
        <w:t>/d）。</w:t>
      </w:r>
      <w:r>
        <w:rPr>
          <w:color w:val="000000"/>
          <w:lang w:bidi="ar"/>
        </w:rPr>
        <w:t>废水排放系数取0.9，故废水产生量约</w:t>
      </w:r>
      <w:r>
        <w:rPr>
          <w:rFonts w:hint="eastAsia"/>
          <w:color w:val="000000"/>
          <w:lang w:bidi="ar"/>
        </w:rPr>
        <w:t>40.5</w:t>
      </w:r>
      <w:r>
        <w:rPr>
          <w:rFonts w:hint="eastAsia"/>
        </w:rPr>
        <w:t>m</w:t>
      </w:r>
      <w:r>
        <w:rPr>
          <w:rFonts w:hint="eastAsia"/>
          <w:vertAlign w:val="superscript"/>
        </w:rPr>
        <w:t>3</w:t>
      </w:r>
      <w:r>
        <w:rPr>
          <w:rFonts w:hint="eastAsia"/>
        </w:rPr>
        <w:t>/a</w:t>
      </w:r>
      <w:r>
        <w:rPr>
          <w:color w:val="000000"/>
          <w:lang w:bidi="ar"/>
        </w:rPr>
        <w:t>（</w:t>
      </w:r>
      <w:r>
        <w:rPr>
          <w:rFonts w:hint="eastAsia"/>
          <w:color w:val="000000"/>
          <w:lang w:bidi="ar"/>
        </w:rPr>
        <w:t>0.135</w:t>
      </w:r>
      <w:r>
        <w:rPr>
          <w:rFonts w:hint="eastAsia"/>
        </w:rPr>
        <w:t>m</w:t>
      </w:r>
      <w:r>
        <w:rPr>
          <w:rFonts w:hint="eastAsia"/>
          <w:vertAlign w:val="superscript"/>
        </w:rPr>
        <w:t>3</w:t>
      </w:r>
      <w:r>
        <w:rPr>
          <w:rFonts w:hint="eastAsia"/>
        </w:rPr>
        <w:t>/d</w:t>
      </w:r>
      <w:r>
        <w:rPr>
          <w:color w:val="000000"/>
          <w:lang w:bidi="ar"/>
        </w:rPr>
        <w:t>）。该废水含少量溶解的二元醇及其它杂质，COD</w:t>
      </w:r>
      <w:r>
        <w:rPr>
          <w:rFonts w:hint="eastAsia"/>
          <w:color w:val="000000"/>
          <w:vertAlign w:val="subscript"/>
          <w:lang w:bidi="ar"/>
        </w:rPr>
        <w:t>Cr</w:t>
      </w:r>
      <w:r>
        <w:rPr>
          <w:color w:val="000000"/>
          <w:lang w:bidi="ar"/>
        </w:rPr>
        <w:t>浓度为1250mg/L，BOD</w:t>
      </w:r>
      <w:r>
        <w:rPr>
          <w:rFonts w:hint="eastAsia"/>
          <w:color w:val="000000"/>
          <w:vertAlign w:val="subscript"/>
          <w:lang w:bidi="ar"/>
        </w:rPr>
        <w:t>5</w:t>
      </w:r>
      <w:r>
        <w:rPr>
          <w:color w:val="000000"/>
          <w:lang w:bidi="ar"/>
        </w:rPr>
        <w:t>浓度为600mg/L，pH值为8~9。</w:t>
      </w:r>
    </w:p>
    <w:p>
      <w:pPr>
        <w:widowControl/>
        <w:ind w:firstLine="480"/>
        <w:jc w:val="left"/>
        <w:rPr>
          <w:color w:val="000000"/>
          <w:lang w:bidi="ar"/>
        </w:rPr>
      </w:pPr>
      <w:r>
        <w:rPr>
          <w:rFonts w:hint="eastAsia" w:ascii="宋体" w:hAnsi="宋体" w:cs="宋体"/>
        </w:rPr>
        <w:t>③</w:t>
      </w:r>
      <w:r>
        <w:t>循环冷却</w:t>
      </w:r>
      <w:r>
        <w:rPr>
          <w:rFonts w:hint="eastAsia"/>
        </w:rPr>
        <w:t>水排水</w:t>
      </w:r>
    </w:p>
    <w:p>
      <w:pPr>
        <w:pStyle w:val="25"/>
        <w:widowControl/>
        <w:spacing w:beforeAutospacing="0" w:afterAutospacing="0"/>
        <w:ind w:firstLine="480"/>
        <w:jc w:val="both"/>
        <w:rPr>
          <w:color w:val="000000"/>
          <w:lang w:bidi="zh-CN"/>
        </w:rPr>
      </w:pPr>
      <w:r>
        <w:rPr>
          <w:rFonts w:hint="eastAsia"/>
        </w:rPr>
        <w:t>人造草坪</w:t>
      </w:r>
      <w:r>
        <w:rPr>
          <w:rFonts w:hint="eastAsia"/>
          <w:color w:val="000000"/>
          <w:lang w:bidi="zh-CN"/>
        </w:rPr>
        <w:t>生产过程中需通过间接冷却水进行控温，</w:t>
      </w:r>
      <w:r>
        <w:rPr>
          <w:color w:val="000000"/>
          <w:lang w:bidi="zh-CN"/>
        </w:rPr>
        <w:t>项目拟在建设</w:t>
      </w:r>
      <w:r>
        <w:rPr>
          <w:rFonts w:hint="eastAsia"/>
          <w:color w:val="000000"/>
          <w:lang w:val="en-US" w:bidi="zh-CN"/>
        </w:rPr>
        <w:t>2</w:t>
      </w:r>
      <w:r>
        <w:rPr>
          <w:color w:val="000000"/>
          <w:lang w:bidi="zh-CN"/>
        </w:rPr>
        <w:t>个</w:t>
      </w:r>
      <w:r>
        <w:rPr>
          <w:rFonts w:hint="eastAsia"/>
          <w:color w:val="000000"/>
          <w:lang w:bidi="zh-CN"/>
        </w:rPr>
        <w:t>不锈钢材质</w:t>
      </w:r>
      <w:r>
        <w:rPr>
          <w:color w:val="000000"/>
          <w:lang w:bidi="zh-CN"/>
        </w:rPr>
        <w:t>循环水池（有效容积均为长4.17*宽1.17*高2.05m约等于10m</w:t>
      </w:r>
      <w:r>
        <w:rPr>
          <w:color w:val="000000"/>
          <w:vertAlign w:val="superscript"/>
          <w:lang w:bidi="zh-CN"/>
        </w:rPr>
        <w:t>3</w:t>
      </w:r>
      <w:r>
        <w:rPr>
          <w:color w:val="000000"/>
          <w:lang w:bidi="zh-CN"/>
        </w:rPr>
        <w:t>，装水量10m</w:t>
      </w:r>
      <w:r>
        <w:rPr>
          <w:color w:val="000000"/>
          <w:vertAlign w:val="superscript"/>
          <w:lang w:bidi="zh-CN"/>
        </w:rPr>
        <w:t>3</w:t>
      </w:r>
      <w:r>
        <w:rPr>
          <w:color w:val="000000"/>
          <w:lang w:bidi="zh-CN"/>
        </w:rPr>
        <w:t>）</w:t>
      </w:r>
      <w:r>
        <w:rPr>
          <w:rFonts w:hint="eastAsia"/>
          <w:color w:val="000000"/>
          <w:lang w:bidi="zh-CN"/>
        </w:rPr>
        <w:t>，冷却水循环使用，但循环过程部分冷却水将由于风吹和蒸发会有损失，同时因冷却水不断地升温、降温，有机物、盐分会逐渐积累，导致水质不能满足要求，水质趋于恶化，为保证冷却水水质和冷却效果，循环过程中需定时排放少量冷却水，</w:t>
      </w:r>
      <w:r>
        <w:rPr>
          <w:color w:val="000000"/>
          <w:lang w:bidi="zh-CN"/>
        </w:rPr>
        <w:t>循环水用于挤出工序后对产品冷却，每天补充新鲜用水量约</w:t>
      </w:r>
      <w:r>
        <w:rPr>
          <w:rFonts w:hint="eastAsia"/>
          <w:color w:val="000000"/>
          <w:lang w:bidi="zh-CN"/>
        </w:rPr>
        <w:t>2</w:t>
      </w:r>
      <w:r>
        <w:rPr>
          <w:color w:val="000000"/>
          <w:lang w:bidi="zh-CN"/>
        </w:rPr>
        <w:t>t/d（</w:t>
      </w:r>
      <w:r>
        <w:rPr>
          <w:rFonts w:hint="eastAsia"/>
          <w:color w:val="000000"/>
          <w:lang w:bidi="zh-CN"/>
        </w:rPr>
        <w:t>6</w:t>
      </w:r>
      <w:r>
        <w:rPr>
          <w:color w:val="000000"/>
          <w:lang w:bidi="zh-CN"/>
        </w:rPr>
        <w:t>00t/a）</w:t>
      </w:r>
      <w:r>
        <w:rPr>
          <w:rFonts w:hint="eastAsia"/>
          <w:color w:val="000000"/>
          <w:lang w:bidi="zh-CN"/>
        </w:rPr>
        <w:t>。</w:t>
      </w:r>
    </w:p>
    <w:p>
      <w:pPr>
        <w:pStyle w:val="25"/>
        <w:widowControl/>
        <w:spacing w:beforeAutospacing="0" w:afterAutospacing="0"/>
        <w:ind w:firstLine="480"/>
        <w:rPr>
          <w:u w:val="single"/>
        </w:rPr>
      </w:pPr>
      <w:r>
        <w:rPr>
          <w:u w:val="single"/>
        </w:rPr>
        <w:t>本项目设置1</w:t>
      </w:r>
      <w:r>
        <w:rPr>
          <w:rFonts w:hint="eastAsia"/>
          <w:u w:val="single"/>
        </w:rPr>
        <w:t>0</w:t>
      </w:r>
      <w:r>
        <w:rPr>
          <w:u w:val="single"/>
        </w:rPr>
        <w:t>0m</w:t>
      </w:r>
      <w:r>
        <w:rPr>
          <w:rFonts w:hint="eastAsia"/>
          <w:u w:val="single"/>
          <w:vertAlign w:val="superscript"/>
        </w:rPr>
        <w:t>3</w:t>
      </w:r>
      <w:r>
        <w:rPr>
          <w:u w:val="single"/>
        </w:rPr>
        <w:t>/h的冷却循环水系统1套，</w:t>
      </w:r>
      <w:r>
        <w:rPr>
          <w:rFonts w:hint="eastAsia"/>
          <w:u w:val="single"/>
          <w:lang w:eastAsia="zh-CN"/>
        </w:rPr>
        <w:t>设置冷却水池</w:t>
      </w:r>
      <w:r>
        <w:rPr>
          <w:rFonts w:hint="eastAsia"/>
          <w:u w:val="single"/>
          <w:lang w:val="en-US" w:eastAsia="zh-CN"/>
        </w:rPr>
        <w:t>100</w:t>
      </w:r>
      <w:r>
        <w:rPr>
          <w:rFonts w:hint="eastAsia"/>
          <w:color w:val="000000"/>
          <w:u w:val="single"/>
          <w:lang w:val="en-US" w:eastAsia="zh-CN" w:bidi="ar"/>
        </w:rPr>
        <w:t>m</w:t>
      </w:r>
      <w:r>
        <w:rPr>
          <w:rFonts w:hint="eastAsia"/>
          <w:u w:val="single"/>
          <w:vertAlign w:val="superscript"/>
          <w:lang w:val="en-US" w:eastAsia="zh-CN"/>
        </w:rPr>
        <w:t>3</w:t>
      </w:r>
      <w:r>
        <w:rPr>
          <w:rFonts w:hint="eastAsia"/>
          <w:u w:val="single"/>
          <w:lang w:val="en-US" w:eastAsia="zh-CN"/>
        </w:rPr>
        <w:t>，</w:t>
      </w:r>
      <w:r>
        <w:rPr>
          <w:u w:val="single"/>
        </w:rPr>
        <w:t>回水温度37℃，出水温度32℃，供</w:t>
      </w:r>
      <w:r>
        <w:rPr>
          <w:rFonts w:hint="eastAsia"/>
          <w:u w:val="single"/>
        </w:rPr>
        <w:t>生产</w:t>
      </w:r>
      <w:r>
        <w:rPr>
          <w:u w:val="single"/>
        </w:rPr>
        <w:t>车间设备使用。循环冷却水运行过程中会有部分水以蒸发、飞溅等形式损耗掉，损失量约为循环水量的1‰，约为</w:t>
      </w:r>
      <w:r>
        <w:rPr>
          <w:rFonts w:hint="eastAsia"/>
          <w:u w:val="single"/>
        </w:rPr>
        <w:t>2.4</w:t>
      </w:r>
      <w:r>
        <w:rPr>
          <w:u w:val="single"/>
        </w:rPr>
        <w:t>m</w:t>
      </w:r>
      <w:r>
        <w:rPr>
          <w:rFonts w:hint="eastAsia"/>
          <w:u w:val="single"/>
          <w:vertAlign w:val="superscript"/>
        </w:rPr>
        <w:t>3</w:t>
      </w:r>
      <w:r>
        <w:rPr>
          <w:u w:val="single"/>
        </w:rPr>
        <w:t>/d（</w:t>
      </w:r>
      <w:r>
        <w:rPr>
          <w:rFonts w:hint="eastAsia"/>
          <w:u w:val="single"/>
        </w:rPr>
        <w:t>720</w:t>
      </w:r>
      <w:r>
        <w:rPr>
          <w:u w:val="single"/>
        </w:rPr>
        <w:t>m³/a）。</w:t>
      </w:r>
    </w:p>
    <w:p>
      <w:pPr>
        <w:widowControl/>
        <w:ind w:firstLine="480"/>
        <w:jc w:val="left"/>
        <w:rPr>
          <w:color w:val="000000"/>
          <w:u w:val="single"/>
          <w:lang w:bidi="ar"/>
        </w:rPr>
      </w:pPr>
      <w:r>
        <w:rPr>
          <w:rFonts w:hint="eastAsia"/>
          <w:color w:val="000000"/>
          <w:u w:val="single"/>
          <w:lang w:eastAsia="zh-CN" w:bidi="ar"/>
        </w:rPr>
        <w:t>项目共设置三个循环冷却水池，人造草坪车间单个</w:t>
      </w:r>
      <w:r>
        <w:rPr>
          <w:rFonts w:hint="eastAsia"/>
          <w:color w:val="000000"/>
          <w:u w:val="single"/>
          <w:lang w:val="en-US" w:eastAsia="zh-CN" w:bidi="ar"/>
        </w:rPr>
        <w:t>10m</w:t>
      </w:r>
      <w:r>
        <w:rPr>
          <w:rFonts w:hint="eastAsia"/>
          <w:color w:val="000000"/>
          <w:u w:val="single"/>
          <w:vertAlign w:val="superscript"/>
          <w:lang w:val="en-US" w:eastAsia="zh-CN" w:bidi="ar"/>
        </w:rPr>
        <w:t>3</w:t>
      </w:r>
      <w:r>
        <w:rPr>
          <w:rFonts w:hint="eastAsia"/>
          <w:color w:val="000000"/>
          <w:u w:val="single"/>
          <w:lang w:val="en-US" w:eastAsia="zh-CN" w:bidi="ar"/>
        </w:rPr>
        <w:t>，合计20m</w:t>
      </w:r>
      <w:r>
        <w:rPr>
          <w:rFonts w:hint="eastAsia"/>
          <w:color w:val="000000"/>
          <w:u w:val="single"/>
          <w:vertAlign w:val="superscript"/>
          <w:lang w:val="en-US" w:eastAsia="zh-CN" w:bidi="ar"/>
        </w:rPr>
        <w:t>3</w:t>
      </w:r>
      <w:r>
        <w:rPr>
          <w:rFonts w:hint="eastAsia"/>
          <w:color w:val="000000"/>
          <w:u w:val="single"/>
          <w:lang w:val="en-US" w:eastAsia="zh-CN" w:bidi="ar"/>
        </w:rPr>
        <w:t>，厂区共用循环水池100m</w:t>
      </w:r>
      <w:r>
        <w:rPr>
          <w:rFonts w:hint="eastAsia"/>
          <w:color w:val="000000"/>
          <w:u w:val="single"/>
          <w:vertAlign w:val="superscript"/>
          <w:lang w:val="en-US" w:eastAsia="zh-CN" w:bidi="ar"/>
        </w:rPr>
        <w:t>3</w:t>
      </w:r>
      <w:r>
        <w:rPr>
          <w:rFonts w:hint="eastAsia"/>
          <w:color w:val="000000"/>
          <w:u w:val="single"/>
          <w:vertAlign w:val="baseline"/>
          <w:lang w:val="en-US" w:eastAsia="zh-CN" w:bidi="ar"/>
        </w:rPr>
        <w:t>，项目全厂循环冷却水池设计</w:t>
      </w:r>
      <w:r>
        <w:rPr>
          <w:rFonts w:hint="eastAsia"/>
          <w:color w:val="000000"/>
          <w:u w:val="single"/>
          <w:lang w:val="en-US" w:eastAsia="zh-CN" w:bidi="ar"/>
        </w:rPr>
        <w:t>100m</w:t>
      </w:r>
      <w:r>
        <w:rPr>
          <w:rFonts w:hint="eastAsia"/>
          <w:color w:val="000000"/>
          <w:u w:val="single"/>
          <w:vertAlign w:val="superscript"/>
          <w:lang w:val="en-US" w:eastAsia="zh-CN" w:bidi="ar"/>
        </w:rPr>
        <w:t>3</w:t>
      </w:r>
      <w:r>
        <w:rPr>
          <w:rFonts w:hint="eastAsia"/>
          <w:color w:val="000000"/>
          <w:u w:val="single"/>
          <w:vertAlign w:val="baseline"/>
          <w:lang w:val="en-US" w:eastAsia="zh-CN" w:bidi="ar"/>
        </w:rPr>
        <w:t>，</w:t>
      </w:r>
      <w:r>
        <w:rPr>
          <w:rFonts w:hint="eastAsia"/>
          <w:color w:val="000000"/>
          <w:u w:val="single"/>
          <w:lang w:bidi="ar"/>
        </w:rPr>
        <w:t>循环冷却水用久后会累积一定量杂质，故循环冷却水需定期排放，每三个月检修排放一次，约为480</w:t>
      </w:r>
      <w:r>
        <w:rPr>
          <w:u w:val="single"/>
        </w:rPr>
        <w:t>m³/a</w:t>
      </w:r>
      <w:r>
        <w:rPr>
          <w:rFonts w:hint="eastAsia"/>
          <w:color w:val="000000"/>
          <w:u w:val="single"/>
          <w:lang w:bidi="ar"/>
        </w:rPr>
        <w:t>（16</w:t>
      </w:r>
      <w:r>
        <w:rPr>
          <w:u w:val="single"/>
        </w:rPr>
        <w:t>m³/</w:t>
      </w:r>
      <w:r>
        <w:rPr>
          <w:rFonts w:hint="eastAsia"/>
          <w:u w:val="single"/>
        </w:rPr>
        <w:t>d</w:t>
      </w:r>
      <w:r>
        <w:rPr>
          <w:rFonts w:hint="eastAsia"/>
          <w:color w:val="000000"/>
          <w:u w:val="single"/>
          <w:lang w:bidi="ar"/>
        </w:rPr>
        <w:t>），该冷却水为清净下水，杂质导致SS含量较高，主要污染物浓度为COD：50mg/L，SS：</w:t>
      </w:r>
      <w:r>
        <w:rPr>
          <w:rFonts w:hint="eastAsia"/>
          <w:color w:val="000000"/>
          <w:u w:val="single"/>
          <w:lang w:val="en-US" w:eastAsia="zh-CN" w:bidi="ar"/>
        </w:rPr>
        <w:t>12</w:t>
      </w:r>
      <w:r>
        <w:rPr>
          <w:rFonts w:hint="eastAsia"/>
          <w:color w:val="000000"/>
          <w:u w:val="single"/>
          <w:lang w:bidi="ar"/>
        </w:rPr>
        <w:t>0mg/L进入厂区污水处理站预处理。</w:t>
      </w:r>
    </w:p>
    <w:p>
      <w:pPr>
        <w:widowControl/>
        <w:ind w:firstLine="480"/>
        <w:jc w:val="left"/>
        <w:rPr>
          <w:color w:val="000000"/>
          <w:lang w:bidi="ar"/>
        </w:rPr>
      </w:pPr>
      <w:r>
        <w:rPr>
          <w:rFonts w:hint="eastAsia" w:ascii="宋体" w:hAnsi="宋体" w:cs="宋体"/>
        </w:rPr>
        <w:t>④纯水制备浓水、反冲洗水</w:t>
      </w:r>
    </w:p>
    <w:p>
      <w:pPr>
        <w:pStyle w:val="25"/>
        <w:widowControl/>
        <w:spacing w:beforeAutospacing="0" w:afterAutospacing="0"/>
        <w:ind w:firstLine="480"/>
        <w:jc w:val="both"/>
      </w:pPr>
      <w:r>
        <w:rPr>
          <w:rFonts w:hint="eastAsia"/>
        </w:rPr>
        <w:t>本项目设置一套纯水制备系统，出水效率为70%，项目使用纯水量为</w:t>
      </w:r>
      <w:r>
        <w:rPr>
          <w:rFonts w:hint="eastAsia"/>
          <w:lang w:val="en-US" w:eastAsia="zh-CN"/>
        </w:rPr>
        <w:t>2820.3</w:t>
      </w:r>
      <w:r>
        <w:t>m³/a</w:t>
      </w:r>
      <w:r>
        <w:rPr>
          <w:rFonts w:hint="eastAsia"/>
        </w:rPr>
        <w:t>，则纯水制备浓水为</w:t>
      </w:r>
      <w:r>
        <w:rPr>
          <w:rFonts w:hint="eastAsia"/>
          <w:lang w:val="en-US" w:eastAsia="zh-CN"/>
        </w:rPr>
        <w:t>1208.7</w:t>
      </w:r>
      <w:r>
        <w:t>m³/a</w:t>
      </w:r>
      <w:r>
        <w:rPr>
          <w:rFonts w:hint="eastAsia"/>
        </w:rPr>
        <w:t>，</w:t>
      </w:r>
      <w:r>
        <w:t>纯水系统工作过程中需要定期进行反冲洗，反冲洗废水中含有较多的悬浮物和杂质。根据建设单位提供设计资料，纯水系统平均每5天约反冲洗2次（按年生产时间300天计，即120次/a），每次反冲洗用水量约为4.5m</w:t>
      </w:r>
      <w:r>
        <w:rPr>
          <w:rFonts w:hint="eastAsia"/>
          <w:vertAlign w:val="superscript"/>
        </w:rPr>
        <w:t>3</w:t>
      </w:r>
      <w:r>
        <w:t>，则反冲洗用水量为540m</w:t>
      </w:r>
      <w:r>
        <w:rPr>
          <w:rFonts w:hint="eastAsia"/>
          <w:vertAlign w:val="superscript"/>
        </w:rPr>
        <w:t>3</w:t>
      </w:r>
      <w:r>
        <w:t>/a</w:t>
      </w:r>
      <w:r>
        <w:rPr>
          <w:rFonts w:hint="eastAsia"/>
        </w:rPr>
        <w:t>，</w:t>
      </w:r>
      <w:r>
        <w:t>即18m</w:t>
      </w:r>
      <w:r>
        <w:rPr>
          <w:vertAlign w:val="superscript"/>
        </w:rPr>
        <w:t>3</w:t>
      </w:r>
      <w:r>
        <w:rPr>
          <w:rFonts w:hint="eastAsia"/>
        </w:rPr>
        <w:t>/</w:t>
      </w:r>
      <w:r>
        <w:t>d</w:t>
      </w:r>
      <w:r>
        <w:rPr>
          <w:rFonts w:hint="eastAsia"/>
        </w:rPr>
        <w:t>。</w:t>
      </w:r>
      <w:r>
        <w:rPr>
          <w:rFonts w:hint="eastAsia"/>
          <w:lang w:eastAsia="zh-CN"/>
        </w:rPr>
        <w:t>参考行业经验，</w:t>
      </w:r>
      <w:r>
        <w:rPr>
          <w:rFonts w:hint="eastAsia"/>
        </w:rPr>
        <w:t>主要污染物浓度为COD：50mg/L，SS：50mg/L，通过厂区总排放口排入集聚区处理厂集中处理。</w:t>
      </w:r>
    </w:p>
    <w:p>
      <w:pPr>
        <w:widowControl/>
        <w:ind w:firstLine="480"/>
        <w:jc w:val="left"/>
        <w:rPr>
          <w:color w:val="000000"/>
          <w:lang w:bidi="ar"/>
        </w:rPr>
      </w:pPr>
      <w:r>
        <w:rPr>
          <w:rFonts w:hint="eastAsia"/>
          <w:color w:val="000000"/>
          <w:lang w:bidi="ar"/>
        </w:rPr>
        <w:t>⑤初期雨水</w:t>
      </w:r>
    </w:p>
    <w:p>
      <w:pPr>
        <w:widowControl/>
        <w:ind w:firstLine="480"/>
        <w:jc w:val="left"/>
      </w:pPr>
      <w:r>
        <w:rPr>
          <w:rFonts w:hint="eastAsia" w:ascii="宋体" w:hAnsi="宋体" w:cs="宋体"/>
          <w:color w:val="000000"/>
          <w:kern w:val="0"/>
          <w:lang w:bidi="ar"/>
        </w:rPr>
        <w:t>按照环评手册推荐的暴雨强度及雨水流量计算公式计算：</w:t>
      </w:r>
    </w:p>
    <w:p>
      <w:pPr>
        <w:widowControl/>
        <w:ind w:firstLine="480"/>
        <w:jc w:val="left"/>
      </w:pPr>
      <w:r>
        <w:rPr>
          <w:rFonts w:cs="Times New Roman"/>
          <w:color w:val="000000"/>
          <w:kern w:val="0"/>
          <w:lang w:bidi="ar"/>
        </w:rPr>
        <w:t>Q=q×Ψ×F</w:t>
      </w:r>
    </w:p>
    <w:p>
      <w:pPr>
        <w:widowControl/>
        <w:ind w:firstLine="480"/>
        <w:jc w:val="left"/>
      </w:pPr>
      <w:r>
        <w:rPr>
          <w:rFonts w:hint="eastAsia" w:ascii="宋体" w:hAnsi="宋体" w:cs="宋体"/>
          <w:color w:val="000000"/>
          <w:kern w:val="0"/>
          <w:lang w:bidi="ar"/>
        </w:rPr>
        <w:t>其中：</w:t>
      </w:r>
      <w:r>
        <w:rPr>
          <w:rFonts w:cs="Times New Roman"/>
          <w:color w:val="000000"/>
          <w:kern w:val="0"/>
          <w:lang w:bidi="ar"/>
        </w:rPr>
        <w:t>Q——</w:t>
      </w:r>
      <w:r>
        <w:rPr>
          <w:rFonts w:hint="eastAsia" w:ascii="宋体" w:hAnsi="宋体" w:cs="宋体"/>
          <w:color w:val="000000"/>
          <w:kern w:val="0"/>
          <w:lang w:bidi="ar"/>
        </w:rPr>
        <w:t>雨水设计流量（</w:t>
      </w:r>
      <w:r>
        <w:rPr>
          <w:rFonts w:cs="Times New Roman"/>
          <w:color w:val="000000"/>
          <w:kern w:val="0"/>
          <w:lang w:bidi="ar"/>
        </w:rPr>
        <w:t>L/s</w:t>
      </w:r>
      <w:r>
        <w:rPr>
          <w:rFonts w:hint="eastAsia" w:ascii="宋体" w:hAnsi="宋体" w:cs="宋体"/>
          <w:color w:val="000000"/>
          <w:kern w:val="0"/>
          <w:lang w:bidi="ar"/>
        </w:rPr>
        <w:t>）；</w:t>
      </w:r>
    </w:p>
    <w:p>
      <w:pPr>
        <w:widowControl/>
        <w:ind w:firstLine="480"/>
        <w:jc w:val="left"/>
      </w:pPr>
      <w:r>
        <w:rPr>
          <w:rFonts w:cs="Times New Roman"/>
          <w:color w:val="000000"/>
          <w:kern w:val="0"/>
          <w:lang w:bidi="ar"/>
        </w:rPr>
        <w:t>Ψ——</w:t>
      </w:r>
      <w:r>
        <w:rPr>
          <w:rFonts w:hint="eastAsia" w:ascii="宋体" w:hAnsi="宋体" w:cs="宋体"/>
          <w:color w:val="000000"/>
          <w:kern w:val="0"/>
          <w:lang w:bidi="ar"/>
        </w:rPr>
        <w:t>径流系数，取</w:t>
      </w:r>
      <w:r>
        <w:rPr>
          <w:rFonts w:cs="Times New Roman"/>
          <w:color w:val="000000"/>
          <w:kern w:val="0"/>
          <w:lang w:bidi="ar"/>
        </w:rPr>
        <w:t>Ψ=0.9</w:t>
      </w:r>
      <w:r>
        <w:rPr>
          <w:rFonts w:hint="eastAsia" w:ascii="宋体" w:hAnsi="宋体" w:cs="宋体"/>
          <w:color w:val="000000"/>
          <w:kern w:val="0"/>
          <w:lang w:bidi="ar"/>
        </w:rPr>
        <w:t>；</w:t>
      </w:r>
    </w:p>
    <w:p>
      <w:pPr>
        <w:widowControl/>
        <w:ind w:firstLine="480"/>
        <w:jc w:val="left"/>
      </w:pPr>
      <w:r>
        <w:rPr>
          <w:rFonts w:cs="Times New Roman"/>
          <w:color w:val="000000"/>
          <w:kern w:val="0"/>
          <w:lang w:bidi="ar"/>
        </w:rPr>
        <w:t>F——</w:t>
      </w:r>
      <w:r>
        <w:rPr>
          <w:rFonts w:hint="eastAsia" w:ascii="宋体" w:hAnsi="宋体" w:cs="宋体"/>
          <w:color w:val="000000"/>
          <w:kern w:val="0"/>
          <w:lang w:bidi="ar"/>
        </w:rPr>
        <w:t>汇水面积（</w:t>
      </w:r>
      <w:r>
        <w:rPr>
          <w:rFonts w:cs="Times New Roman"/>
          <w:color w:val="000000"/>
          <w:kern w:val="0"/>
          <w:lang w:bidi="ar"/>
        </w:rPr>
        <w:t>hm</w:t>
      </w:r>
      <w:r>
        <w:rPr>
          <w:rFonts w:hint="eastAsia" w:cs="Times New Roman"/>
          <w:color w:val="000000"/>
          <w:kern w:val="0"/>
          <w:vertAlign w:val="superscript"/>
          <w:lang w:bidi="ar"/>
        </w:rPr>
        <w:t>2</w:t>
      </w:r>
      <w:r>
        <w:rPr>
          <w:rFonts w:hint="eastAsia" w:ascii="宋体" w:hAnsi="宋体" w:cs="宋体"/>
          <w:color w:val="000000"/>
          <w:kern w:val="0"/>
          <w:lang w:bidi="ar"/>
        </w:rPr>
        <w:t>），本项目约</w:t>
      </w:r>
      <w:r>
        <w:rPr>
          <w:rFonts w:cs="Times New Roman"/>
          <w:color w:val="000000"/>
          <w:kern w:val="0"/>
          <w:lang w:bidi="ar"/>
        </w:rPr>
        <w:t>0.</w:t>
      </w:r>
      <w:r>
        <w:rPr>
          <w:rFonts w:hint="eastAsia" w:cs="Times New Roman"/>
          <w:color w:val="000000"/>
          <w:kern w:val="0"/>
          <w:lang w:bidi="ar"/>
        </w:rPr>
        <w:t>6</w:t>
      </w:r>
      <w:r>
        <w:rPr>
          <w:rFonts w:cs="Times New Roman"/>
          <w:color w:val="000000"/>
          <w:kern w:val="0"/>
          <w:lang w:bidi="ar"/>
        </w:rPr>
        <w:t>2hm</w:t>
      </w:r>
      <w:r>
        <w:rPr>
          <w:rFonts w:hint="eastAsia" w:cs="Times New Roman"/>
          <w:color w:val="000000"/>
          <w:kern w:val="0"/>
          <w:vertAlign w:val="superscript"/>
          <w:lang w:bidi="ar"/>
        </w:rPr>
        <w:t>2</w:t>
      </w:r>
      <w:r>
        <w:rPr>
          <w:rFonts w:hint="eastAsia" w:ascii="宋体" w:hAnsi="宋体" w:cs="宋体"/>
          <w:color w:val="000000"/>
          <w:kern w:val="0"/>
          <w:lang w:bidi="ar"/>
        </w:rPr>
        <w:t>；</w:t>
      </w:r>
    </w:p>
    <w:p>
      <w:pPr>
        <w:widowControl/>
        <w:ind w:firstLine="480"/>
        <w:jc w:val="left"/>
      </w:pPr>
      <w:r>
        <w:rPr>
          <w:rFonts w:cs="Times New Roman"/>
          <w:color w:val="000000"/>
          <w:kern w:val="0"/>
          <w:lang w:bidi="ar"/>
        </w:rPr>
        <w:t>q——</w:t>
      </w:r>
      <w:r>
        <w:rPr>
          <w:rFonts w:hint="eastAsia" w:ascii="宋体" w:hAnsi="宋体" w:cs="宋体"/>
          <w:color w:val="000000"/>
          <w:kern w:val="0"/>
          <w:lang w:bidi="ar"/>
        </w:rPr>
        <w:t>暴雨量，</w:t>
      </w:r>
      <w:r>
        <w:rPr>
          <w:rFonts w:cs="Times New Roman"/>
          <w:color w:val="000000"/>
          <w:kern w:val="0"/>
          <w:lang w:bidi="ar"/>
        </w:rPr>
        <w:t>L/s·hm</w:t>
      </w:r>
      <w:r>
        <w:rPr>
          <w:rFonts w:hint="eastAsia" w:cs="Times New Roman"/>
          <w:color w:val="000000"/>
          <w:kern w:val="0"/>
          <w:vertAlign w:val="superscript"/>
          <w:lang w:bidi="ar"/>
        </w:rPr>
        <w:t>2</w:t>
      </w:r>
      <w:r>
        <w:rPr>
          <w:rFonts w:hint="eastAsia" w:ascii="宋体" w:hAnsi="宋体" w:cs="宋体"/>
          <w:color w:val="000000"/>
          <w:kern w:val="0"/>
          <w:lang w:bidi="ar"/>
        </w:rPr>
        <w:t>；</w:t>
      </w:r>
    </w:p>
    <w:p>
      <w:pPr>
        <w:widowControl/>
        <w:ind w:firstLine="480"/>
        <w:jc w:val="both"/>
        <w:rPr>
          <w:rFonts w:cs="Times New Roman"/>
          <w:color w:val="000000"/>
          <w:kern w:val="0"/>
          <w:lang w:bidi="ar"/>
        </w:rPr>
      </w:pPr>
      <w:r>
        <w:rPr>
          <w:rFonts w:hint="eastAsia" w:ascii="宋体" w:hAnsi="宋体" w:cs="宋体"/>
          <w:color w:val="000000"/>
          <w:kern w:val="0"/>
          <w:lang w:bidi="ar"/>
        </w:rPr>
        <w:t>经</w:t>
      </w:r>
      <w:r>
        <w:rPr>
          <w:rFonts w:hint="eastAsia" w:ascii="宋体" w:hAnsi="宋体" w:cs="宋体"/>
          <w:color w:val="000000"/>
          <w:kern w:val="0"/>
          <w:lang w:eastAsia="zh-CN" w:bidi="ar"/>
        </w:rPr>
        <w:t>调查区域气候气象资料</w:t>
      </w:r>
      <w:r>
        <w:rPr>
          <w:rFonts w:hint="eastAsia" w:ascii="宋体" w:hAnsi="宋体" w:cs="宋体"/>
          <w:color w:val="000000"/>
          <w:kern w:val="0"/>
          <w:lang w:bidi="ar"/>
        </w:rPr>
        <w:t>，厂区所在区域最大暴雨强度为</w:t>
      </w:r>
      <w:r>
        <w:rPr>
          <w:rFonts w:cs="Times New Roman"/>
          <w:color w:val="000000"/>
          <w:kern w:val="0"/>
          <w:lang w:bidi="ar"/>
        </w:rPr>
        <w:t>290L/s·hm</w:t>
      </w:r>
      <w:r>
        <w:rPr>
          <w:rFonts w:hint="eastAsia" w:cs="Times New Roman"/>
          <w:color w:val="000000"/>
          <w:kern w:val="0"/>
          <w:vertAlign w:val="superscript"/>
          <w:lang w:bidi="ar"/>
        </w:rPr>
        <w:t>2</w:t>
      </w:r>
      <w:r>
        <w:rPr>
          <w:rFonts w:hint="eastAsia" w:ascii="宋体" w:hAnsi="宋体" w:cs="宋体"/>
          <w:color w:val="000000"/>
          <w:kern w:val="0"/>
          <w:lang w:bidi="ar"/>
        </w:rPr>
        <w:t>，雨水流量为</w:t>
      </w:r>
      <w:r>
        <w:rPr>
          <w:rFonts w:cs="Times New Roman"/>
          <w:color w:val="000000"/>
          <w:kern w:val="0"/>
          <w:lang w:bidi="ar"/>
        </w:rPr>
        <w:t>52.2L/s</w:t>
      </w:r>
      <w:r>
        <w:rPr>
          <w:rFonts w:hint="eastAsia" w:ascii="宋体" w:hAnsi="宋体" w:cs="宋体"/>
          <w:color w:val="000000"/>
          <w:kern w:val="0"/>
          <w:lang w:bidi="ar"/>
        </w:rPr>
        <w:t>，</w:t>
      </w:r>
      <w:r>
        <w:rPr>
          <w:rFonts w:hint="eastAsia" w:ascii="宋体" w:hAnsi="宋体" w:cs="宋体"/>
          <w:color w:val="000000"/>
          <w:kern w:val="0"/>
          <w:lang w:eastAsia="zh-CN" w:bidi="ar"/>
        </w:rPr>
        <w:t>根据公式计算说明</w:t>
      </w:r>
      <w:r>
        <w:rPr>
          <w:rFonts w:hint="eastAsia" w:ascii="宋体" w:hAnsi="宋体" w:cs="宋体"/>
          <w:color w:val="000000"/>
          <w:kern w:val="0"/>
          <w:lang w:bidi="ar"/>
        </w:rPr>
        <w:t>初期雨水产生量采用最大暴雨的前</w:t>
      </w:r>
      <w:r>
        <w:rPr>
          <w:rFonts w:cs="Times New Roman"/>
          <w:color w:val="000000"/>
          <w:kern w:val="0"/>
          <w:lang w:bidi="ar"/>
        </w:rPr>
        <w:t>15</w:t>
      </w:r>
      <w:r>
        <w:rPr>
          <w:rFonts w:hint="eastAsia" w:ascii="宋体" w:hAnsi="宋体" w:cs="宋体"/>
          <w:color w:val="000000"/>
          <w:kern w:val="0"/>
          <w:lang w:bidi="ar"/>
        </w:rPr>
        <w:t>分钟雨量，项目生产线均位于封闭的厂房内，初期雨水仅收集罐区雨水、运输车辆经过区域雨水、可能产生跑冒滴漏的管道附近雨水面积，区域总</w:t>
      </w:r>
      <w:r>
        <w:rPr>
          <w:rFonts w:cs="Times New Roman"/>
          <w:color w:val="000000"/>
          <w:kern w:val="0"/>
          <w:lang w:bidi="ar"/>
        </w:rPr>
        <w:t>面积0.62hm</w:t>
      </w:r>
      <w:r>
        <w:rPr>
          <w:rFonts w:cs="Times New Roman"/>
          <w:color w:val="000000"/>
          <w:kern w:val="0"/>
          <w:vertAlign w:val="superscript"/>
          <w:lang w:bidi="ar"/>
        </w:rPr>
        <w:t>2</w:t>
      </w:r>
      <w:r>
        <w:rPr>
          <w:rFonts w:cs="Times New Roman"/>
          <w:color w:val="000000"/>
          <w:kern w:val="0"/>
          <w:lang w:bidi="ar"/>
        </w:rPr>
        <w:t>，</w:t>
      </w:r>
      <w:r>
        <w:rPr>
          <w:rFonts w:hint="eastAsia" w:ascii="宋体" w:hAnsi="宋体" w:cs="宋体"/>
          <w:color w:val="000000"/>
          <w:kern w:val="0"/>
          <w:lang w:bidi="ar"/>
        </w:rPr>
        <w:t>径流系数按</w:t>
      </w:r>
      <w:r>
        <w:rPr>
          <w:rFonts w:cs="Times New Roman"/>
          <w:color w:val="000000"/>
          <w:kern w:val="0"/>
          <w:lang w:bidi="ar"/>
        </w:rPr>
        <w:t>0.9</w:t>
      </w:r>
      <w:r>
        <w:rPr>
          <w:rFonts w:hint="eastAsia" w:ascii="宋体" w:hAnsi="宋体" w:cs="宋体"/>
          <w:color w:val="000000"/>
          <w:kern w:val="0"/>
          <w:lang w:bidi="ar"/>
        </w:rPr>
        <w:t>计，则项目初期雨水量为</w:t>
      </w:r>
      <w:r>
        <w:rPr>
          <w:rFonts w:hint="eastAsia" w:cs="Times New Roman"/>
          <w:color w:val="000000"/>
          <w:kern w:val="0"/>
          <w:lang w:bidi="ar"/>
        </w:rPr>
        <w:t>161.82</w:t>
      </w:r>
      <w:r>
        <w:rPr>
          <w:rFonts w:cs="Times New Roman"/>
          <w:color w:val="000000"/>
          <w:kern w:val="0"/>
          <w:lang w:bidi="ar"/>
        </w:rPr>
        <w:t>m</w:t>
      </w:r>
      <w:r>
        <w:rPr>
          <w:rFonts w:hint="eastAsia" w:cs="Times New Roman"/>
          <w:color w:val="000000"/>
          <w:kern w:val="0"/>
          <w:vertAlign w:val="superscript"/>
          <w:lang w:bidi="ar"/>
        </w:rPr>
        <w:t>3</w:t>
      </w:r>
      <w:r>
        <w:rPr>
          <w:rFonts w:cs="Times New Roman"/>
          <w:color w:val="000000"/>
          <w:kern w:val="0"/>
          <w:lang w:bidi="ar"/>
        </w:rPr>
        <w:t>/</w:t>
      </w:r>
      <w:r>
        <w:rPr>
          <w:rFonts w:hint="eastAsia" w:ascii="宋体" w:hAnsi="宋体" w:cs="宋体"/>
          <w:color w:val="000000"/>
          <w:kern w:val="0"/>
          <w:lang w:bidi="ar"/>
        </w:rPr>
        <w:t>次。项目拟初期雨水池</w:t>
      </w:r>
      <w:r>
        <w:rPr>
          <w:rFonts w:cs="Times New Roman"/>
          <w:color w:val="000000"/>
          <w:kern w:val="0"/>
          <w:lang w:bidi="ar"/>
        </w:rPr>
        <w:t>1</w:t>
      </w:r>
      <w:r>
        <w:rPr>
          <w:rFonts w:hint="eastAsia" w:ascii="宋体" w:hAnsi="宋体" w:cs="宋体"/>
          <w:color w:val="000000"/>
          <w:kern w:val="0"/>
          <w:lang w:bidi="ar"/>
        </w:rPr>
        <w:t>座，容积</w:t>
      </w:r>
      <w:r>
        <w:rPr>
          <w:rFonts w:hint="eastAsia" w:cs="Times New Roman"/>
          <w:color w:val="000000"/>
          <w:kern w:val="0"/>
          <w:lang w:val="en-US" w:eastAsia="zh-CN" w:bidi="ar"/>
        </w:rPr>
        <w:t>3</w:t>
      </w:r>
      <w:r>
        <w:rPr>
          <w:rFonts w:cs="Times New Roman"/>
          <w:color w:val="000000"/>
          <w:kern w:val="0"/>
          <w:lang w:bidi="ar"/>
        </w:rPr>
        <w:t>00m</w:t>
      </w:r>
      <w:r>
        <w:rPr>
          <w:rFonts w:hint="eastAsia" w:cs="Times New Roman"/>
          <w:color w:val="000000"/>
          <w:kern w:val="0"/>
          <w:vertAlign w:val="superscript"/>
          <w:lang w:bidi="ar"/>
        </w:rPr>
        <w:t>3</w:t>
      </w:r>
      <w:r>
        <w:rPr>
          <w:rFonts w:hint="eastAsia" w:cs="Times New Roman"/>
          <w:color w:val="000000"/>
          <w:kern w:val="0"/>
          <w:lang w:bidi="ar"/>
        </w:rPr>
        <w:t>。排入初期雨水收集池后提升至污水处理站处理后达标排放。项目厂区初期雨水由于具有不确定性，不计入废水总量。</w:t>
      </w:r>
    </w:p>
    <w:p>
      <w:pPr>
        <w:widowControl/>
        <w:ind w:firstLine="480"/>
        <w:jc w:val="left"/>
        <w:rPr>
          <w:color w:val="000000"/>
          <w:lang w:bidi="ar"/>
        </w:rPr>
      </w:pPr>
      <w:r>
        <w:rPr>
          <w:rFonts w:hint="eastAsia" w:ascii="宋体" w:hAnsi="宋体" w:cs="宋体"/>
          <w:color w:val="000000"/>
          <w:lang w:bidi="ar"/>
        </w:rPr>
        <w:t>⑥职工生活用水排水</w:t>
      </w:r>
    </w:p>
    <w:p>
      <w:pPr>
        <w:pStyle w:val="39"/>
        <w:autoSpaceDE w:val="0"/>
        <w:ind w:firstLine="480"/>
        <w:jc w:val="both"/>
        <w:rPr>
          <w:rFonts w:ascii="Times New Roman" w:hAnsi="Times New Roman" w:cs="Times New Roman"/>
          <w:color w:val="000000"/>
          <w:u w:val="single"/>
          <w:lang w:val="en-US"/>
        </w:rPr>
      </w:pPr>
      <w:r>
        <w:rPr>
          <w:rFonts w:ascii="Times New Roman" w:hAnsi="Times New Roman" w:cs="Times New Roman"/>
          <w:color w:val="000000"/>
          <w:u w:val="single"/>
          <w:lang w:val="en-US"/>
        </w:rPr>
        <w:t>本项目劳动定员</w:t>
      </w:r>
      <w:r>
        <w:rPr>
          <w:rFonts w:hint="eastAsia" w:ascii="Times New Roman" w:hAnsi="Times New Roman" w:cs="Times New Roman"/>
          <w:color w:val="000000"/>
          <w:u w:val="single"/>
          <w:lang w:val="en-US"/>
        </w:rPr>
        <w:t>100</w:t>
      </w:r>
      <w:r>
        <w:rPr>
          <w:rFonts w:ascii="Times New Roman" w:hAnsi="Times New Roman" w:cs="Times New Roman"/>
          <w:color w:val="000000"/>
          <w:u w:val="single"/>
          <w:lang w:val="en-US"/>
        </w:rPr>
        <w:t>人，厂区内提供食宿。参照《建筑给水排水设计标准》（GB50015-2019）生活用水定额平均为90~120L/人·天，本项目员工用水定额按100L/人·天计，则本项目员工生活用水量为</w:t>
      </w:r>
      <w:r>
        <w:rPr>
          <w:rFonts w:hint="eastAsia" w:ascii="Times New Roman" w:hAnsi="Times New Roman" w:cs="Times New Roman"/>
          <w:color w:val="000000"/>
          <w:u w:val="single"/>
          <w:lang w:val="en-US"/>
        </w:rPr>
        <w:t>3000</w:t>
      </w:r>
      <w:r>
        <w:rPr>
          <w:rFonts w:ascii="Times New Roman" w:hAnsi="Times New Roman" w:cs="Times New Roman"/>
          <w:color w:val="000000"/>
          <w:u w:val="single"/>
          <w:lang w:val="en-US"/>
        </w:rPr>
        <w:t>m</w:t>
      </w:r>
      <w:r>
        <w:rPr>
          <w:rFonts w:ascii="Times New Roman" w:hAnsi="Times New Roman" w:cs="Times New Roman"/>
          <w:color w:val="000000"/>
          <w:u w:val="single"/>
          <w:vertAlign w:val="superscript"/>
          <w:lang w:val="en-US"/>
        </w:rPr>
        <w:t>3</w:t>
      </w:r>
      <w:r>
        <w:rPr>
          <w:rFonts w:ascii="Times New Roman" w:hAnsi="Times New Roman" w:cs="Times New Roman"/>
          <w:color w:val="000000"/>
          <w:u w:val="single"/>
          <w:lang w:val="en-US"/>
        </w:rPr>
        <w:t>/a</w:t>
      </w:r>
      <w:r>
        <w:rPr>
          <w:rFonts w:hint="eastAsia" w:ascii="Times New Roman" w:hAnsi="Times New Roman" w:cs="Times New Roman"/>
          <w:color w:val="000000"/>
          <w:u w:val="single"/>
          <w:lang w:val="en-US"/>
        </w:rPr>
        <w:t>（10</w:t>
      </w:r>
      <w:r>
        <w:rPr>
          <w:rFonts w:ascii="Times New Roman" w:hAnsi="Times New Roman" w:cs="Times New Roman"/>
          <w:color w:val="000000"/>
          <w:u w:val="single"/>
          <w:lang w:val="en-US"/>
        </w:rPr>
        <w:t>m</w:t>
      </w:r>
      <w:r>
        <w:rPr>
          <w:rFonts w:ascii="Times New Roman" w:hAnsi="Times New Roman" w:cs="Times New Roman"/>
          <w:color w:val="000000"/>
          <w:u w:val="single"/>
          <w:vertAlign w:val="superscript"/>
          <w:lang w:val="en-US"/>
        </w:rPr>
        <w:t>3</w:t>
      </w:r>
      <w:r>
        <w:rPr>
          <w:rFonts w:ascii="Times New Roman" w:hAnsi="Times New Roman" w:cs="Times New Roman"/>
          <w:color w:val="000000"/>
          <w:u w:val="single"/>
          <w:lang w:val="en-US"/>
        </w:rPr>
        <w:t>/d</w:t>
      </w:r>
      <w:r>
        <w:rPr>
          <w:rFonts w:hint="eastAsia" w:ascii="Times New Roman" w:hAnsi="Times New Roman" w:cs="Times New Roman"/>
          <w:color w:val="000000"/>
          <w:u w:val="single"/>
          <w:lang w:val="en-US"/>
        </w:rPr>
        <w:t>）</w:t>
      </w:r>
      <w:r>
        <w:rPr>
          <w:rFonts w:ascii="Times New Roman" w:hAnsi="Times New Roman" w:cs="Times New Roman"/>
          <w:color w:val="000000"/>
          <w:u w:val="single"/>
          <w:lang w:val="en-US"/>
        </w:rPr>
        <w:t>。</w:t>
      </w:r>
      <w:r>
        <w:rPr>
          <w:rFonts w:hint="eastAsia" w:ascii="Times New Roman" w:hAnsi="Times New Roman" w:cs="Times New Roman"/>
          <w:color w:val="000000"/>
          <w:u w:val="single"/>
          <w:lang w:val="en-US"/>
        </w:rPr>
        <w:t>排水量按照80%计，则污水产生量约为8m</w:t>
      </w:r>
      <w:r>
        <w:rPr>
          <w:rFonts w:hint="eastAsia" w:ascii="Times New Roman" w:hAnsi="Times New Roman" w:cs="Times New Roman"/>
          <w:color w:val="000000"/>
          <w:u w:val="single"/>
          <w:vertAlign w:val="superscript"/>
          <w:lang w:val="en-US"/>
        </w:rPr>
        <w:t>3</w:t>
      </w:r>
      <w:r>
        <w:rPr>
          <w:rFonts w:hint="eastAsia" w:ascii="Times New Roman" w:hAnsi="Times New Roman" w:cs="Times New Roman"/>
          <w:color w:val="000000"/>
          <w:u w:val="single"/>
          <w:lang w:val="en-US"/>
        </w:rPr>
        <w:t>/d（2400</w:t>
      </w:r>
      <w:r>
        <w:rPr>
          <w:rFonts w:ascii="Times New Roman" w:hAnsi="Times New Roman" w:cs="Times New Roman"/>
          <w:color w:val="000000"/>
          <w:u w:val="single"/>
          <w:lang w:val="en-US"/>
        </w:rPr>
        <w:t>m</w:t>
      </w:r>
      <w:r>
        <w:rPr>
          <w:rFonts w:ascii="Times New Roman" w:hAnsi="Times New Roman" w:cs="Times New Roman"/>
          <w:color w:val="000000"/>
          <w:u w:val="single"/>
          <w:vertAlign w:val="superscript"/>
          <w:lang w:val="en-US"/>
        </w:rPr>
        <w:t>3</w:t>
      </w:r>
      <w:r>
        <w:rPr>
          <w:rFonts w:ascii="Times New Roman" w:hAnsi="Times New Roman" w:cs="Times New Roman"/>
          <w:color w:val="000000"/>
          <w:u w:val="single"/>
          <w:lang w:val="en-US"/>
        </w:rPr>
        <w:t>/a</w:t>
      </w:r>
      <w:r>
        <w:rPr>
          <w:rFonts w:hint="eastAsia" w:ascii="Times New Roman" w:hAnsi="Times New Roman" w:cs="Times New Roman"/>
          <w:color w:val="000000"/>
          <w:u w:val="single"/>
          <w:lang w:val="en-US"/>
        </w:rPr>
        <w:t>），</w:t>
      </w:r>
      <w:r>
        <w:rPr>
          <w:rFonts w:hint="eastAsia" w:ascii="Times New Roman" w:hAnsi="Times New Roman" w:cs="Times New Roman"/>
          <w:color w:val="000000"/>
          <w:u w:val="single"/>
          <w:lang w:val="en-US" w:eastAsia="zh-CN"/>
        </w:rPr>
        <w:t>生活污水参考《给排水设计手册》第五册“城镇排水”典型生活污水水质标准，</w:t>
      </w:r>
      <w:r>
        <w:rPr>
          <w:rFonts w:hint="eastAsia" w:ascii="Times New Roman" w:hAnsi="Times New Roman" w:cs="Times New Roman"/>
          <w:color w:val="000000"/>
          <w:u w:val="single"/>
          <w:lang w:val="en-US"/>
        </w:rPr>
        <w:t>各项污染物浓度为COD300mg/L、氨氮30mg/L、SS200mg/L。项目厨房含油污水经隔油池处理、其他普通生活污水经</w:t>
      </w:r>
      <w:r>
        <w:rPr>
          <w:rFonts w:hint="eastAsia" w:ascii="Times New Roman" w:hAnsi="Times New Roman" w:cs="Times New Roman"/>
          <w:color w:val="000000"/>
          <w:u w:val="single"/>
          <w:lang w:val="en-US" w:eastAsia="zh-CN"/>
        </w:rPr>
        <w:t>100m</w:t>
      </w:r>
      <w:r>
        <w:rPr>
          <w:rFonts w:hint="eastAsia" w:ascii="Times New Roman" w:hAnsi="Times New Roman" w:cs="Times New Roman"/>
          <w:color w:val="000000"/>
          <w:u w:val="single"/>
          <w:vertAlign w:val="superscript"/>
          <w:lang w:val="en-US" w:eastAsia="zh-CN"/>
        </w:rPr>
        <w:t>3</w:t>
      </w:r>
      <w:r>
        <w:rPr>
          <w:rFonts w:hint="eastAsia" w:ascii="Times New Roman" w:hAnsi="Times New Roman" w:cs="Times New Roman"/>
          <w:color w:val="000000"/>
          <w:u w:val="single"/>
          <w:lang w:val="en-US"/>
        </w:rPr>
        <w:t>三级化粪池预处理后排入污水站与生产废水一同经污水站处理，然后经市政污水管网引至平顶山第三污水处理厂。</w:t>
      </w:r>
    </w:p>
    <w:p>
      <w:pPr>
        <w:pStyle w:val="39"/>
        <w:autoSpaceDE w:val="0"/>
        <w:ind w:firstLine="0" w:firstLineChars="0"/>
        <w:rPr>
          <w:rFonts w:ascii="Times New Roman" w:hAnsi="Times New Roman" w:cs="Times New Roman"/>
          <w:color w:val="000000"/>
          <w:lang w:val="en-US"/>
        </w:rPr>
      </w:pPr>
      <w:r>
        <w:drawing>
          <wp:inline distT="0" distB="0" distL="114300" distR="114300">
            <wp:extent cx="5756275" cy="5797550"/>
            <wp:effectExtent l="0" t="0" r="15875" b="12700"/>
            <wp:docPr id="6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9"/>
                    <pic:cNvPicPr>
                      <a:picLocks noChangeAspect="1"/>
                    </pic:cNvPicPr>
                  </pic:nvPicPr>
                  <pic:blipFill>
                    <a:blip r:embed="rId62"/>
                    <a:stretch>
                      <a:fillRect/>
                    </a:stretch>
                  </pic:blipFill>
                  <pic:spPr>
                    <a:xfrm>
                      <a:off x="0" y="0"/>
                      <a:ext cx="5756275" cy="5797550"/>
                    </a:xfrm>
                    <a:prstGeom prst="rect">
                      <a:avLst/>
                    </a:prstGeom>
                    <a:noFill/>
                    <a:ln>
                      <a:noFill/>
                    </a:ln>
                  </pic:spPr>
                </pic:pic>
              </a:graphicData>
            </a:graphic>
          </wp:inline>
        </w:drawing>
      </w:r>
    </w:p>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eastAsia="宋体" w:cs="Times New Roman"/>
          <w:b/>
          <w:bCs/>
          <w:lang w:val="en-US" w:eastAsia="zh-CN"/>
        </w:rPr>
      </w:pPr>
      <w:r>
        <w:rPr>
          <w:rFonts w:hint="eastAsia" w:cs="Times New Roman"/>
          <w:b/>
          <w:bCs/>
          <w:lang w:eastAsia="zh-CN"/>
        </w:rPr>
        <w:t>图</w:t>
      </w:r>
      <w:r>
        <w:rPr>
          <w:rFonts w:hint="eastAsia" w:cs="Times New Roman"/>
          <w:b/>
          <w:bCs/>
          <w:lang w:val="en-US" w:eastAsia="zh-CN"/>
        </w:rPr>
        <w:t>4.3-1  建设项目全厂水平衡图（t/a）</w:t>
      </w:r>
    </w:p>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cs="Times New Roman"/>
          <w:b/>
          <w:bCs/>
        </w:rPr>
      </w:pPr>
    </w:p>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cs="Times New Roman"/>
          <w:b/>
          <w:bCs/>
        </w:rPr>
      </w:pPr>
    </w:p>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cs="Times New Roman"/>
          <w:b/>
          <w:bCs/>
        </w:rPr>
      </w:pPr>
    </w:p>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cs="Times New Roman"/>
          <w:b/>
          <w:bCs/>
        </w:rPr>
      </w:pPr>
    </w:p>
    <w:p>
      <w:pPr>
        <w:pStyle w:val="2"/>
        <w:rPr>
          <w:rFonts w:hint="eastAsia" w:cs="Times New Roman"/>
          <w:b/>
          <w:bCs/>
        </w:rPr>
      </w:pPr>
    </w:p>
    <w:p>
      <w:pPr>
        <w:pStyle w:val="4"/>
        <w:rPr>
          <w:rFonts w:hint="eastAsia"/>
        </w:rPr>
      </w:pPr>
    </w:p>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cs="Times New Roman"/>
          <w:b/>
          <w:bCs/>
        </w:rPr>
      </w:pPr>
      <w:r>
        <w:rPr>
          <w:rFonts w:hint="eastAsia" w:cs="Times New Roman"/>
          <w:b/>
          <w:bCs/>
        </w:rPr>
        <w:t>表4.3-1  项目废水产生及排放情况</w:t>
      </w:r>
    </w:p>
    <w:tbl>
      <w:tblPr>
        <w:tblStyle w:val="2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2"/>
        <w:gridCol w:w="1391"/>
        <w:gridCol w:w="1454"/>
        <w:gridCol w:w="1447"/>
        <w:gridCol w:w="1103"/>
        <w:gridCol w:w="25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restart"/>
            <w:vAlign w:val="center"/>
          </w:tcPr>
          <w:p>
            <w:pPr>
              <w:spacing w:line="240" w:lineRule="auto"/>
              <w:ind w:firstLine="0" w:firstLineChars="0"/>
              <w:jc w:val="center"/>
              <w:rPr>
                <w:sz w:val="21"/>
                <w:szCs w:val="21"/>
              </w:rPr>
            </w:pPr>
            <w:r>
              <w:rPr>
                <w:sz w:val="21"/>
                <w:szCs w:val="21"/>
              </w:rPr>
              <w:t>产物环节</w:t>
            </w:r>
          </w:p>
        </w:tc>
        <w:tc>
          <w:tcPr>
            <w:tcW w:w="749" w:type="pct"/>
            <w:vMerge w:val="restart"/>
            <w:vAlign w:val="center"/>
          </w:tcPr>
          <w:p>
            <w:pPr>
              <w:spacing w:line="240" w:lineRule="auto"/>
              <w:ind w:firstLine="0" w:firstLineChars="0"/>
              <w:jc w:val="center"/>
              <w:rPr>
                <w:sz w:val="21"/>
                <w:szCs w:val="21"/>
              </w:rPr>
            </w:pPr>
            <w:r>
              <w:rPr>
                <w:sz w:val="21"/>
                <w:szCs w:val="21"/>
              </w:rPr>
              <w:t>废水量</w:t>
            </w:r>
            <w:r>
              <w:rPr>
                <w:bCs/>
                <w:sz w:val="21"/>
                <w:szCs w:val="21"/>
              </w:rPr>
              <w:t>m</w:t>
            </w:r>
            <w:r>
              <w:rPr>
                <w:bCs/>
                <w:sz w:val="21"/>
                <w:szCs w:val="21"/>
                <w:vertAlign w:val="superscript"/>
              </w:rPr>
              <w:t>3</w:t>
            </w:r>
            <w:r>
              <w:rPr>
                <w:bCs/>
                <w:sz w:val="21"/>
                <w:szCs w:val="21"/>
              </w:rPr>
              <w:t>/a</w:t>
            </w:r>
          </w:p>
        </w:tc>
        <w:tc>
          <w:tcPr>
            <w:tcW w:w="783" w:type="pct"/>
            <w:vMerge w:val="restart"/>
            <w:vAlign w:val="center"/>
          </w:tcPr>
          <w:p>
            <w:pPr>
              <w:spacing w:line="240" w:lineRule="auto"/>
              <w:ind w:firstLine="0" w:firstLineChars="0"/>
              <w:jc w:val="center"/>
              <w:rPr>
                <w:sz w:val="21"/>
                <w:szCs w:val="21"/>
              </w:rPr>
            </w:pPr>
            <w:r>
              <w:rPr>
                <w:sz w:val="21"/>
                <w:szCs w:val="21"/>
              </w:rPr>
              <w:t>污染物名称</w:t>
            </w:r>
          </w:p>
        </w:tc>
        <w:tc>
          <w:tcPr>
            <w:tcW w:w="1373" w:type="pct"/>
            <w:gridSpan w:val="2"/>
            <w:vAlign w:val="center"/>
          </w:tcPr>
          <w:p>
            <w:pPr>
              <w:spacing w:line="240" w:lineRule="auto"/>
              <w:ind w:firstLine="0" w:firstLineChars="0"/>
              <w:jc w:val="center"/>
              <w:rPr>
                <w:sz w:val="21"/>
                <w:szCs w:val="21"/>
              </w:rPr>
            </w:pPr>
            <w:r>
              <w:rPr>
                <w:sz w:val="21"/>
                <w:szCs w:val="21"/>
              </w:rPr>
              <w:t>处理前污染物情况</w:t>
            </w:r>
          </w:p>
        </w:tc>
        <w:tc>
          <w:tcPr>
            <w:tcW w:w="1375" w:type="pct"/>
            <w:vMerge w:val="restart"/>
            <w:vAlign w:val="center"/>
          </w:tcPr>
          <w:p>
            <w:pPr>
              <w:spacing w:line="240" w:lineRule="auto"/>
              <w:ind w:firstLine="0" w:firstLineChars="0"/>
              <w:jc w:val="center"/>
              <w:rPr>
                <w:sz w:val="21"/>
                <w:szCs w:val="21"/>
              </w:rPr>
            </w:pPr>
            <w:r>
              <w:rPr>
                <w:rFonts w:hint="eastAsia"/>
                <w:sz w:val="21"/>
                <w:szCs w:val="21"/>
                <w:lang w:eastAsia="zh-CN"/>
              </w:rPr>
              <w:t>排放去向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widowControl/>
              <w:spacing w:line="240" w:lineRule="auto"/>
              <w:ind w:firstLine="0" w:firstLineChars="0"/>
              <w:jc w:val="center"/>
              <w:rPr>
                <w:sz w:val="21"/>
                <w:szCs w:val="21"/>
              </w:rPr>
            </w:pPr>
          </w:p>
        </w:tc>
        <w:tc>
          <w:tcPr>
            <w:tcW w:w="783" w:type="pct"/>
            <w:vMerge w:val="continue"/>
            <w:vAlign w:val="center"/>
          </w:tcPr>
          <w:p>
            <w:pPr>
              <w:widowControl/>
              <w:spacing w:line="240" w:lineRule="auto"/>
              <w:ind w:firstLine="0" w:firstLineChars="0"/>
              <w:jc w:val="center"/>
              <w:rPr>
                <w:sz w:val="21"/>
                <w:szCs w:val="21"/>
              </w:rPr>
            </w:pPr>
          </w:p>
        </w:tc>
        <w:tc>
          <w:tcPr>
            <w:tcW w:w="779" w:type="pct"/>
            <w:vAlign w:val="center"/>
          </w:tcPr>
          <w:p>
            <w:pPr>
              <w:spacing w:line="240" w:lineRule="auto"/>
              <w:ind w:firstLine="0" w:firstLineChars="0"/>
              <w:jc w:val="center"/>
              <w:rPr>
                <w:sz w:val="21"/>
                <w:szCs w:val="21"/>
              </w:rPr>
            </w:pPr>
            <w:r>
              <w:rPr>
                <w:sz w:val="21"/>
                <w:szCs w:val="21"/>
              </w:rPr>
              <w:t>产生浓度（mg/L）</w:t>
            </w:r>
          </w:p>
        </w:tc>
        <w:tc>
          <w:tcPr>
            <w:tcW w:w="594" w:type="pct"/>
            <w:vAlign w:val="center"/>
          </w:tcPr>
          <w:p>
            <w:pPr>
              <w:widowControl/>
              <w:spacing w:line="240" w:lineRule="auto"/>
              <w:ind w:firstLine="0" w:firstLineChars="0"/>
              <w:jc w:val="center"/>
              <w:rPr>
                <w:sz w:val="21"/>
                <w:szCs w:val="21"/>
              </w:rPr>
            </w:pPr>
            <w:r>
              <w:rPr>
                <w:sz w:val="21"/>
                <w:szCs w:val="21"/>
              </w:rPr>
              <w:t>产生量（t/a）</w:t>
            </w:r>
          </w:p>
        </w:tc>
        <w:tc>
          <w:tcPr>
            <w:tcW w:w="1375" w:type="pct"/>
            <w:vMerge w:val="continue"/>
            <w:vAlign w:val="center"/>
          </w:tcPr>
          <w:p>
            <w:pPr>
              <w:widowControl/>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restart"/>
            <w:vAlign w:val="center"/>
          </w:tcPr>
          <w:p>
            <w:pPr>
              <w:spacing w:line="240" w:lineRule="auto"/>
              <w:ind w:firstLine="0" w:firstLineChars="0"/>
              <w:jc w:val="center"/>
              <w:rPr>
                <w:sz w:val="21"/>
                <w:szCs w:val="21"/>
              </w:rPr>
            </w:pPr>
            <w:r>
              <w:rPr>
                <w:rFonts w:hint="eastAsia"/>
                <w:sz w:val="21"/>
                <w:szCs w:val="21"/>
              </w:rPr>
              <w:t>生活</w:t>
            </w:r>
            <w:r>
              <w:rPr>
                <w:sz w:val="21"/>
                <w:szCs w:val="21"/>
              </w:rPr>
              <w:t>废水</w:t>
            </w:r>
          </w:p>
        </w:tc>
        <w:tc>
          <w:tcPr>
            <w:tcW w:w="749" w:type="pct"/>
            <w:vMerge w:val="restart"/>
            <w:vAlign w:val="center"/>
          </w:tcPr>
          <w:p>
            <w:pPr>
              <w:spacing w:line="240" w:lineRule="auto"/>
              <w:ind w:firstLine="0" w:firstLineChars="0"/>
              <w:jc w:val="center"/>
              <w:rPr>
                <w:sz w:val="21"/>
                <w:szCs w:val="21"/>
              </w:rPr>
            </w:pPr>
            <w:r>
              <w:rPr>
                <w:rFonts w:hint="eastAsia"/>
                <w:sz w:val="21"/>
                <w:szCs w:val="21"/>
              </w:rPr>
              <w:t>2400</w:t>
            </w:r>
          </w:p>
        </w:tc>
        <w:tc>
          <w:tcPr>
            <w:tcW w:w="783" w:type="pct"/>
            <w:vAlign w:val="center"/>
          </w:tcPr>
          <w:p>
            <w:pPr>
              <w:pStyle w:val="38"/>
              <w:rPr>
                <w:rFonts w:hint="default"/>
                <w:color w:val="auto"/>
              </w:rPr>
            </w:pPr>
            <w:r>
              <w:rPr>
                <w:rFonts w:hint="default"/>
              </w:rPr>
              <w:t>COD</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300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0.7200</w:t>
            </w:r>
          </w:p>
        </w:tc>
        <w:tc>
          <w:tcPr>
            <w:tcW w:w="1375" w:type="pct"/>
            <w:vMerge w:val="restart"/>
            <w:vAlign w:val="center"/>
          </w:tcPr>
          <w:p>
            <w:pPr>
              <w:spacing w:line="240" w:lineRule="auto"/>
              <w:ind w:firstLine="0" w:firstLineChars="0"/>
              <w:jc w:val="center"/>
              <w:rPr>
                <w:rFonts w:hint="eastAsia"/>
                <w:sz w:val="21"/>
                <w:szCs w:val="21"/>
              </w:rPr>
            </w:pPr>
            <w:r>
              <w:rPr>
                <w:rFonts w:hint="eastAsia"/>
                <w:sz w:val="21"/>
                <w:szCs w:val="21"/>
              </w:rPr>
              <w:t>普通生活污水经隔油池、三级化粪池预处理后排入污水站与生产废水一同经污水站处理，然后经市政污水管网引至平顶山第三污水处理厂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widowControl/>
              <w:spacing w:line="240" w:lineRule="auto"/>
              <w:ind w:firstLine="0" w:firstLineChars="0"/>
              <w:jc w:val="center"/>
              <w:rPr>
                <w:sz w:val="21"/>
                <w:szCs w:val="21"/>
              </w:rPr>
            </w:pPr>
          </w:p>
        </w:tc>
        <w:tc>
          <w:tcPr>
            <w:tcW w:w="783" w:type="pct"/>
            <w:vAlign w:val="center"/>
          </w:tcPr>
          <w:p>
            <w:pPr>
              <w:pStyle w:val="38"/>
              <w:rPr>
                <w:rFonts w:hint="default"/>
                <w:color w:val="auto"/>
              </w:rPr>
            </w:pPr>
            <w:r>
              <w:rPr>
                <w:rFonts w:hint="default"/>
              </w:rPr>
              <w:t>SS</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200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0.4800</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widowControl/>
              <w:spacing w:line="240" w:lineRule="auto"/>
              <w:ind w:firstLine="0" w:firstLineChars="0"/>
              <w:jc w:val="center"/>
              <w:rPr>
                <w:sz w:val="21"/>
                <w:szCs w:val="21"/>
              </w:rPr>
            </w:pPr>
          </w:p>
        </w:tc>
        <w:tc>
          <w:tcPr>
            <w:tcW w:w="783" w:type="pct"/>
            <w:vAlign w:val="center"/>
          </w:tcPr>
          <w:p>
            <w:pPr>
              <w:pStyle w:val="38"/>
              <w:rPr>
                <w:rFonts w:hint="default"/>
                <w:color w:val="auto"/>
              </w:rPr>
            </w:pPr>
            <w:r>
              <w:rPr>
                <w:rFonts w:hint="default"/>
              </w:rPr>
              <w:t>NH</w:t>
            </w:r>
            <w:r>
              <w:rPr>
                <w:rFonts w:hint="default"/>
                <w:vertAlign w:val="subscript"/>
              </w:rPr>
              <w:t>3</w:t>
            </w:r>
            <w:r>
              <w:rPr>
                <w:rFonts w:hint="default"/>
              </w:rPr>
              <w:t>-N</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30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0.0720</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widowControl/>
              <w:spacing w:line="240" w:lineRule="auto"/>
              <w:ind w:firstLine="0" w:firstLineChars="0"/>
              <w:jc w:val="center"/>
              <w:rPr>
                <w:sz w:val="21"/>
                <w:szCs w:val="21"/>
              </w:rPr>
            </w:pPr>
          </w:p>
        </w:tc>
        <w:tc>
          <w:tcPr>
            <w:tcW w:w="783" w:type="pct"/>
            <w:vAlign w:val="center"/>
          </w:tcPr>
          <w:p>
            <w:pPr>
              <w:pStyle w:val="38"/>
              <w:rPr>
                <w:rFonts w:hint="default" w:eastAsia="宋体"/>
                <w:lang w:val="en-US" w:eastAsia="zh-CN"/>
              </w:rPr>
            </w:pPr>
            <w:r>
              <w:rPr>
                <w:rFonts w:hint="eastAsia"/>
                <w:lang w:val="en-US" w:eastAsia="zh-CN"/>
              </w:rPr>
              <w:t>TP</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30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0.0720</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widowControl/>
              <w:spacing w:line="240" w:lineRule="auto"/>
              <w:ind w:firstLine="0" w:firstLineChars="0"/>
              <w:jc w:val="center"/>
              <w:rPr>
                <w:sz w:val="21"/>
                <w:szCs w:val="21"/>
              </w:rPr>
            </w:pPr>
          </w:p>
        </w:tc>
        <w:tc>
          <w:tcPr>
            <w:tcW w:w="783" w:type="pct"/>
            <w:vAlign w:val="center"/>
          </w:tcPr>
          <w:p>
            <w:pPr>
              <w:pStyle w:val="38"/>
              <w:rPr>
                <w:rFonts w:hint="default"/>
                <w:color w:val="auto"/>
              </w:rPr>
            </w:pPr>
            <w:r>
              <w:rPr>
                <w:rFonts w:hint="default"/>
              </w:rPr>
              <w:t>BOD</w:t>
            </w:r>
            <w:r>
              <w:rPr>
                <w:rFonts w:hint="default"/>
                <w:vertAlign w:val="subscript"/>
              </w:rPr>
              <w:t>5</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80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0.1920</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widowControl/>
              <w:spacing w:line="240" w:lineRule="auto"/>
              <w:ind w:firstLine="0" w:firstLineChars="0"/>
              <w:jc w:val="center"/>
              <w:rPr>
                <w:sz w:val="21"/>
                <w:szCs w:val="21"/>
              </w:rPr>
            </w:pPr>
          </w:p>
        </w:tc>
        <w:tc>
          <w:tcPr>
            <w:tcW w:w="783" w:type="pct"/>
            <w:vAlign w:val="center"/>
          </w:tcPr>
          <w:p>
            <w:pPr>
              <w:pStyle w:val="38"/>
              <w:rPr>
                <w:rFonts w:hint="default"/>
              </w:rPr>
            </w:pPr>
            <w:r>
              <w:t>动植物油</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100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0.2400</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restart"/>
            <w:vAlign w:val="center"/>
          </w:tcPr>
          <w:p>
            <w:pPr>
              <w:widowControl/>
              <w:spacing w:line="240" w:lineRule="auto"/>
              <w:ind w:firstLine="0" w:firstLineChars="0"/>
              <w:jc w:val="center"/>
              <w:rPr>
                <w:sz w:val="21"/>
                <w:szCs w:val="21"/>
              </w:rPr>
            </w:pPr>
            <w:r>
              <w:rPr>
                <w:rFonts w:hint="eastAsia"/>
                <w:sz w:val="21"/>
                <w:szCs w:val="21"/>
              </w:rPr>
              <w:t>水喷淋废水</w:t>
            </w:r>
          </w:p>
        </w:tc>
        <w:tc>
          <w:tcPr>
            <w:tcW w:w="749" w:type="pct"/>
            <w:vMerge w:val="restart"/>
            <w:vAlign w:val="center"/>
          </w:tcPr>
          <w:p>
            <w:pPr>
              <w:pStyle w:val="38"/>
              <w:rPr>
                <w:rFonts w:hint="default"/>
                <w:color w:val="auto"/>
              </w:rPr>
            </w:pPr>
            <w:r>
              <w:rPr>
                <w:color w:val="auto"/>
              </w:rPr>
              <w:t>40.5</w:t>
            </w:r>
          </w:p>
        </w:tc>
        <w:tc>
          <w:tcPr>
            <w:tcW w:w="783" w:type="pct"/>
            <w:vAlign w:val="center"/>
          </w:tcPr>
          <w:p>
            <w:pPr>
              <w:spacing w:line="240" w:lineRule="auto"/>
              <w:ind w:firstLine="0" w:firstLineChars="0"/>
              <w:jc w:val="center"/>
              <w:rPr>
                <w:sz w:val="21"/>
                <w:szCs w:val="21"/>
              </w:rPr>
            </w:pPr>
            <w:r>
              <w:rPr>
                <w:sz w:val="21"/>
                <w:szCs w:val="21"/>
              </w:rPr>
              <w:t>COD</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1250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0.0506</w:t>
            </w:r>
          </w:p>
        </w:tc>
        <w:tc>
          <w:tcPr>
            <w:tcW w:w="1375" w:type="pct"/>
            <w:vMerge w:val="restart"/>
            <w:vAlign w:val="center"/>
          </w:tcPr>
          <w:p>
            <w:pPr>
              <w:spacing w:line="240" w:lineRule="auto"/>
              <w:ind w:firstLine="0" w:firstLineChars="0"/>
              <w:jc w:val="center"/>
              <w:rPr>
                <w:rFonts w:hint="eastAsia" w:eastAsia="宋体"/>
                <w:sz w:val="21"/>
                <w:szCs w:val="21"/>
                <w:lang w:eastAsia="zh-CN"/>
              </w:rPr>
            </w:pPr>
            <w:r>
              <w:rPr>
                <w:rFonts w:hint="eastAsia"/>
                <w:sz w:val="21"/>
                <w:szCs w:val="21"/>
                <w:lang w:val="en-US" w:eastAsia="zh-CN"/>
              </w:rPr>
              <w:t>进入</w:t>
            </w:r>
            <w:r>
              <w:rPr>
                <w:rFonts w:hint="eastAsia"/>
                <w:sz w:val="21"/>
                <w:szCs w:val="21"/>
              </w:rPr>
              <w:t>污水站处理，然后经市政污水管网引至平顶山第三污水处理厂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pStyle w:val="38"/>
              <w:rPr>
                <w:rFonts w:hint="default"/>
                <w:color w:val="auto"/>
              </w:rPr>
            </w:pPr>
          </w:p>
        </w:tc>
        <w:tc>
          <w:tcPr>
            <w:tcW w:w="783" w:type="pct"/>
            <w:vAlign w:val="center"/>
          </w:tcPr>
          <w:p>
            <w:pPr>
              <w:spacing w:line="240" w:lineRule="auto"/>
              <w:ind w:firstLine="0" w:firstLineChars="0"/>
              <w:jc w:val="center"/>
              <w:rPr>
                <w:sz w:val="21"/>
                <w:szCs w:val="21"/>
              </w:rPr>
            </w:pPr>
            <w:r>
              <w:rPr>
                <w:rFonts w:hint="eastAsia"/>
                <w:sz w:val="21"/>
                <w:szCs w:val="21"/>
              </w:rPr>
              <w:t>BOD</w:t>
            </w:r>
            <w:r>
              <w:rPr>
                <w:rFonts w:hint="eastAsia"/>
                <w:sz w:val="21"/>
                <w:szCs w:val="21"/>
                <w:vertAlign w:val="subscript"/>
              </w:rPr>
              <w:t>5</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600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0.0243</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restart"/>
            <w:vAlign w:val="center"/>
          </w:tcPr>
          <w:p>
            <w:pPr>
              <w:widowControl/>
              <w:spacing w:line="240" w:lineRule="auto"/>
              <w:ind w:firstLine="0" w:firstLineChars="0"/>
              <w:jc w:val="center"/>
              <w:rPr>
                <w:sz w:val="21"/>
                <w:szCs w:val="21"/>
              </w:rPr>
            </w:pPr>
            <w:r>
              <w:rPr>
                <w:sz w:val="21"/>
                <w:szCs w:val="21"/>
              </w:rPr>
              <w:t>循环冷却</w:t>
            </w:r>
            <w:r>
              <w:rPr>
                <w:rFonts w:hint="eastAsia"/>
                <w:sz w:val="21"/>
                <w:szCs w:val="21"/>
              </w:rPr>
              <w:t>水排水</w:t>
            </w:r>
          </w:p>
        </w:tc>
        <w:tc>
          <w:tcPr>
            <w:tcW w:w="749" w:type="pct"/>
            <w:vMerge w:val="restart"/>
            <w:vAlign w:val="center"/>
          </w:tcPr>
          <w:p>
            <w:pPr>
              <w:pStyle w:val="38"/>
              <w:rPr>
                <w:rFonts w:hint="default"/>
                <w:color w:val="auto"/>
              </w:rPr>
            </w:pPr>
            <w:r>
              <w:rPr>
                <w:color w:val="auto"/>
              </w:rPr>
              <w:t>480</w:t>
            </w:r>
          </w:p>
        </w:tc>
        <w:tc>
          <w:tcPr>
            <w:tcW w:w="783" w:type="pct"/>
            <w:vAlign w:val="center"/>
          </w:tcPr>
          <w:p>
            <w:pPr>
              <w:pStyle w:val="38"/>
              <w:rPr>
                <w:rFonts w:hint="default"/>
                <w:color w:val="auto"/>
              </w:rPr>
            </w:pPr>
            <w:r>
              <w:rPr>
                <w:rFonts w:hint="default"/>
              </w:rPr>
              <w:t>COD</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50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0.0240</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pStyle w:val="38"/>
              <w:rPr>
                <w:rFonts w:hint="default"/>
                <w:color w:val="auto"/>
              </w:rPr>
            </w:pPr>
          </w:p>
        </w:tc>
        <w:tc>
          <w:tcPr>
            <w:tcW w:w="783" w:type="pct"/>
            <w:vAlign w:val="center"/>
          </w:tcPr>
          <w:p>
            <w:pPr>
              <w:pStyle w:val="38"/>
              <w:rPr>
                <w:rFonts w:hint="default"/>
                <w:color w:val="auto"/>
              </w:rPr>
            </w:pPr>
            <w:r>
              <w:rPr>
                <w:rFonts w:hint="default"/>
              </w:rPr>
              <w:t>SS</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120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0.0576</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restart"/>
            <w:vAlign w:val="center"/>
          </w:tcPr>
          <w:p>
            <w:pPr>
              <w:widowControl/>
              <w:spacing w:line="240" w:lineRule="auto"/>
              <w:ind w:firstLine="0" w:firstLineChars="0"/>
              <w:jc w:val="center"/>
              <w:rPr>
                <w:rFonts w:hint="eastAsia" w:eastAsia="宋体"/>
                <w:sz w:val="21"/>
                <w:szCs w:val="21"/>
                <w:lang w:eastAsia="zh-CN"/>
              </w:rPr>
            </w:pPr>
            <w:r>
              <w:rPr>
                <w:rFonts w:hint="eastAsia"/>
                <w:sz w:val="21"/>
                <w:szCs w:val="21"/>
              </w:rPr>
              <w:t>地面清洗</w:t>
            </w:r>
            <w:r>
              <w:rPr>
                <w:rFonts w:hint="eastAsia"/>
                <w:sz w:val="21"/>
                <w:szCs w:val="21"/>
                <w:lang w:eastAsia="zh-CN"/>
              </w:rPr>
              <w:t>废水</w:t>
            </w:r>
          </w:p>
        </w:tc>
        <w:tc>
          <w:tcPr>
            <w:tcW w:w="749" w:type="pct"/>
            <w:vMerge w:val="restart"/>
            <w:vAlign w:val="center"/>
          </w:tcPr>
          <w:p>
            <w:pPr>
              <w:pStyle w:val="38"/>
              <w:rPr>
                <w:rFonts w:hint="default" w:eastAsia="宋体"/>
                <w:color w:val="auto"/>
                <w:lang w:val="en-US" w:eastAsia="zh-CN"/>
              </w:rPr>
            </w:pPr>
            <w:r>
              <w:rPr>
                <w:rFonts w:hint="default"/>
                <w:color w:val="auto"/>
              </w:rPr>
              <w:t>2101.</w:t>
            </w:r>
            <w:r>
              <w:rPr>
                <w:rFonts w:hint="eastAsia"/>
                <w:color w:val="auto"/>
                <w:lang w:val="en-US" w:eastAsia="zh-CN"/>
              </w:rPr>
              <w:t>3092</w:t>
            </w:r>
          </w:p>
        </w:tc>
        <w:tc>
          <w:tcPr>
            <w:tcW w:w="783" w:type="pct"/>
            <w:vAlign w:val="center"/>
          </w:tcPr>
          <w:p>
            <w:pPr>
              <w:pStyle w:val="38"/>
              <w:rPr>
                <w:rFonts w:hint="default"/>
                <w:color w:val="auto"/>
              </w:rPr>
            </w:pPr>
            <w:r>
              <w:rPr>
                <w:rFonts w:hint="default"/>
              </w:rPr>
              <w:t>COD</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500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1.0507</w:t>
            </w:r>
          </w:p>
        </w:tc>
        <w:tc>
          <w:tcPr>
            <w:tcW w:w="1375"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pStyle w:val="38"/>
              <w:rPr>
                <w:rFonts w:hint="default"/>
                <w:color w:val="auto"/>
              </w:rPr>
            </w:pPr>
          </w:p>
        </w:tc>
        <w:tc>
          <w:tcPr>
            <w:tcW w:w="783" w:type="pct"/>
            <w:vAlign w:val="center"/>
          </w:tcPr>
          <w:p>
            <w:pPr>
              <w:pStyle w:val="38"/>
              <w:rPr>
                <w:rFonts w:hint="default"/>
                <w:color w:val="auto"/>
              </w:rPr>
            </w:pPr>
            <w:r>
              <w:rPr>
                <w:rFonts w:hint="default"/>
              </w:rPr>
              <w:t>SS</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400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0.8405</w:t>
            </w:r>
          </w:p>
        </w:tc>
        <w:tc>
          <w:tcPr>
            <w:tcW w:w="1375"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pStyle w:val="38"/>
              <w:rPr>
                <w:rFonts w:hint="default"/>
                <w:color w:val="auto"/>
              </w:rPr>
            </w:pPr>
          </w:p>
        </w:tc>
        <w:tc>
          <w:tcPr>
            <w:tcW w:w="783" w:type="pct"/>
            <w:vAlign w:val="center"/>
          </w:tcPr>
          <w:p>
            <w:pPr>
              <w:pStyle w:val="38"/>
              <w:rPr>
                <w:rFonts w:hint="default"/>
                <w:color w:val="auto"/>
              </w:rPr>
            </w:pPr>
            <w:r>
              <w:rPr>
                <w:color w:val="auto"/>
              </w:rPr>
              <w:t>NH</w:t>
            </w:r>
            <w:r>
              <w:rPr>
                <w:color w:val="auto"/>
                <w:vertAlign w:val="subscript"/>
              </w:rPr>
              <w:t>3</w:t>
            </w:r>
            <w:r>
              <w:rPr>
                <w:color w:val="auto"/>
              </w:rPr>
              <w:t>-N</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50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0.1051</w:t>
            </w:r>
          </w:p>
        </w:tc>
        <w:tc>
          <w:tcPr>
            <w:tcW w:w="1375"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pStyle w:val="38"/>
              <w:rPr>
                <w:rFonts w:hint="default"/>
                <w:color w:val="auto"/>
              </w:rPr>
            </w:pPr>
          </w:p>
        </w:tc>
        <w:tc>
          <w:tcPr>
            <w:tcW w:w="783" w:type="pct"/>
            <w:vAlign w:val="center"/>
          </w:tcPr>
          <w:p>
            <w:pPr>
              <w:pStyle w:val="38"/>
              <w:rPr>
                <w:rFonts w:hint="default"/>
                <w:color w:val="auto"/>
              </w:rPr>
            </w:pPr>
            <w:r>
              <w:t>BOD</w:t>
            </w:r>
            <w:r>
              <w:rPr>
                <w:vertAlign w:val="subscript"/>
              </w:rPr>
              <w:t>5</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200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0.4203</w:t>
            </w:r>
          </w:p>
        </w:tc>
        <w:tc>
          <w:tcPr>
            <w:tcW w:w="1375"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pStyle w:val="38"/>
              <w:rPr>
                <w:rFonts w:hint="default"/>
                <w:color w:val="auto"/>
              </w:rPr>
            </w:pPr>
          </w:p>
        </w:tc>
        <w:tc>
          <w:tcPr>
            <w:tcW w:w="783" w:type="pct"/>
            <w:vAlign w:val="center"/>
          </w:tcPr>
          <w:p>
            <w:pPr>
              <w:pStyle w:val="38"/>
              <w:rPr>
                <w:rFonts w:hint="default" w:eastAsia="宋体"/>
                <w:lang w:val="en-US" w:eastAsia="zh-CN"/>
              </w:rPr>
            </w:pPr>
            <w:r>
              <w:rPr>
                <w:rFonts w:hint="eastAsia"/>
                <w:lang w:val="en-US" w:eastAsia="zh-CN"/>
              </w:rPr>
              <w:t>TN</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50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0.1051</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restart"/>
            <w:vAlign w:val="center"/>
          </w:tcPr>
          <w:p>
            <w:pPr>
              <w:widowControl/>
              <w:spacing w:line="240" w:lineRule="auto"/>
              <w:ind w:firstLine="0" w:firstLineChars="0"/>
              <w:jc w:val="center"/>
              <w:rPr>
                <w:rFonts w:hint="eastAsia" w:eastAsia="宋体"/>
                <w:sz w:val="21"/>
                <w:szCs w:val="21"/>
                <w:lang w:eastAsia="zh-CN"/>
              </w:rPr>
            </w:pPr>
            <w:r>
              <w:rPr>
                <w:rFonts w:hint="eastAsia"/>
                <w:sz w:val="21"/>
                <w:szCs w:val="21"/>
                <w:lang w:eastAsia="zh-CN"/>
              </w:rPr>
              <w:t>设备清洗废水</w:t>
            </w:r>
          </w:p>
        </w:tc>
        <w:tc>
          <w:tcPr>
            <w:tcW w:w="749" w:type="pct"/>
            <w:vMerge w:val="restart"/>
            <w:vAlign w:val="center"/>
          </w:tcPr>
          <w:p>
            <w:pPr>
              <w:pStyle w:val="38"/>
              <w:rPr>
                <w:rFonts w:hint="default" w:eastAsia="宋体"/>
                <w:color w:val="auto"/>
                <w:lang w:val="en-US" w:eastAsia="zh-CN"/>
              </w:rPr>
            </w:pPr>
            <w:r>
              <w:rPr>
                <w:rFonts w:hint="eastAsia"/>
                <w:color w:val="auto"/>
                <w:lang w:val="en-US" w:eastAsia="zh-CN"/>
              </w:rPr>
              <w:t>0.2016</w:t>
            </w:r>
          </w:p>
        </w:tc>
        <w:tc>
          <w:tcPr>
            <w:tcW w:w="783" w:type="pct"/>
            <w:vAlign w:val="center"/>
          </w:tcPr>
          <w:p>
            <w:pPr>
              <w:pStyle w:val="38"/>
            </w:pPr>
            <w:r>
              <w:rPr>
                <w:rFonts w:hint="default"/>
              </w:rPr>
              <w:t>COD</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750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0.0002</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pStyle w:val="38"/>
              <w:rPr>
                <w:rFonts w:hint="default"/>
                <w:color w:val="auto"/>
              </w:rPr>
            </w:pPr>
          </w:p>
        </w:tc>
        <w:tc>
          <w:tcPr>
            <w:tcW w:w="783" w:type="pct"/>
            <w:vAlign w:val="center"/>
          </w:tcPr>
          <w:p>
            <w:pPr>
              <w:pStyle w:val="38"/>
            </w:pPr>
            <w:r>
              <w:t>BOD</w:t>
            </w:r>
            <w:r>
              <w:rPr>
                <w:vertAlign w:val="subscript"/>
              </w:rPr>
              <w:t>5</w:t>
            </w:r>
          </w:p>
        </w:tc>
        <w:tc>
          <w:tcPr>
            <w:tcW w:w="779" w:type="pct"/>
            <w:vAlign w:val="center"/>
          </w:tcPr>
          <w:p>
            <w:pPr>
              <w:spacing w:line="240" w:lineRule="auto"/>
              <w:ind w:firstLine="0" w:firstLineChars="0"/>
              <w:jc w:val="center"/>
              <w:rPr>
                <w:rFonts w:hint="default"/>
                <w:sz w:val="21"/>
                <w:szCs w:val="21"/>
                <w:lang w:val="en-US" w:eastAsia="zh-CN"/>
              </w:rPr>
            </w:pPr>
            <w:r>
              <w:rPr>
                <w:rFonts w:hint="eastAsia"/>
                <w:sz w:val="21"/>
                <w:szCs w:val="21"/>
                <w:lang w:val="en-US" w:eastAsia="zh-CN"/>
              </w:rPr>
              <w:t>650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0.0001</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restart"/>
            <w:vAlign w:val="center"/>
          </w:tcPr>
          <w:p>
            <w:pPr>
              <w:spacing w:line="240" w:lineRule="auto"/>
              <w:ind w:firstLine="0" w:firstLineChars="0"/>
              <w:jc w:val="center"/>
              <w:rPr>
                <w:sz w:val="21"/>
                <w:szCs w:val="21"/>
              </w:rPr>
            </w:pPr>
            <w:r>
              <w:rPr>
                <w:rFonts w:hint="eastAsia"/>
                <w:sz w:val="21"/>
                <w:szCs w:val="21"/>
              </w:rPr>
              <w:t>纯水制备浓水及反冲洗水</w:t>
            </w:r>
          </w:p>
        </w:tc>
        <w:tc>
          <w:tcPr>
            <w:tcW w:w="749" w:type="pct"/>
            <w:vMerge w:val="restart"/>
            <w:vAlign w:val="center"/>
          </w:tcPr>
          <w:p>
            <w:pPr>
              <w:spacing w:line="240" w:lineRule="auto"/>
              <w:ind w:firstLine="0" w:firstLineChars="0"/>
              <w:jc w:val="center"/>
              <w:rPr>
                <w:rFonts w:hint="default"/>
                <w:color w:val="auto"/>
              </w:rPr>
            </w:pPr>
            <w:r>
              <w:rPr>
                <w:rFonts w:hint="eastAsia"/>
                <w:sz w:val="21"/>
                <w:szCs w:val="21"/>
                <w:lang w:val="en-US" w:eastAsia="zh-CN"/>
              </w:rPr>
              <w:t>1748.7</w:t>
            </w:r>
          </w:p>
        </w:tc>
        <w:tc>
          <w:tcPr>
            <w:tcW w:w="783" w:type="pct"/>
            <w:vAlign w:val="center"/>
          </w:tcPr>
          <w:p>
            <w:pPr>
              <w:spacing w:line="240" w:lineRule="auto"/>
              <w:ind w:firstLine="0" w:firstLineChars="0"/>
              <w:jc w:val="center"/>
            </w:pPr>
            <w:r>
              <w:rPr>
                <w:sz w:val="21"/>
                <w:szCs w:val="21"/>
              </w:rPr>
              <w:t>COD</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50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0.0874</w:t>
            </w:r>
          </w:p>
        </w:tc>
        <w:tc>
          <w:tcPr>
            <w:tcW w:w="1375" w:type="pct"/>
            <w:vMerge w:val="continue"/>
            <w:vAlign w:val="center"/>
          </w:tcPr>
          <w:p>
            <w:pPr>
              <w:spacing w:line="240" w:lineRule="auto"/>
              <w:ind w:firstLine="0" w:firstLineChars="0"/>
              <w:jc w:val="center"/>
              <w:rPr>
                <w:rFonts w:hint="eastAsia" w:eastAsia="宋体"/>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widowControl/>
              <w:spacing w:line="240" w:lineRule="auto"/>
              <w:ind w:firstLine="0" w:firstLineChars="0"/>
              <w:jc w:val="center"/>
              <w:rPr>
                <w:rFonts w:hint="default"/>
                <w:color w:val="auto"/>
              </w:rPr>
            </w:pPr>
          </w:p>
        </w:tc>
        <w:tc>
          <w:tcPr>
            <w:tcW w:w="783" w:type="pct"/>
            <w:vAlign w:val="center"/>
          </w:tcPr>
          <w:p>
            <w:pPr>
              <w:spacing w:line="240" w:lineRule="auto"/>
              <w:ind w:firstLine="0" w:firstLineChars="0"/>
              <w:jc w:val="center"/>
            </w:pPr>
            <w:r>
              <w:rPr>
                <w:sz w:val="21"/>
                <w:szCs w:val="21"/>
              </w:rPr>
              <w:t>SS</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25</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0.0437</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widowControl/>
              <w:spacing w:line="240" w:lineRule="auto"/>
              <w:ind w:firstLine="0" w:firstLineChars="0"/>
              <w:jc w:val="center"/>
              <w:rPr>
                <w:rFonts w:hint="default"/>
                <w:color w:val="auto"/>
              </w:rPr>
            </w:pPr>
          </w:p>
        </w:tc>
        <w:tc>
          <w:tcPr>
            <w:tcW w:w="783" w:type="pct"/>
            <w:vAlign w:val="center"/>
          </w:tcPr>
          <w:p>
            <w:pPr>
              <w:spacing w:line="240" w:lineRule="auto"/>
              <w:ind w:firstLine="0" w:firstLineChars="0"/>
              <w:jc w:val="center"/>
            </w:pPr>
            <w:r>
              <w:rPr>
                <w:sz w:val="21"/>
                <w:szCs w:val="21"/>
              </w:rPr>
              <w:t>NH</w:t>
            </w:r>
            <w:r>
              <w:rPr>
                <w:sz w:val="21"/>
                <w:szCs w:val="21"/>
                <w:vertAlign w:val="subscript"/>
              </w:rPr>
              <w:t>3</w:t>
            </w:r>
            <w:r>
              <w:rPr>
                <w:sz w:val="21"/>
                <w:szCs w:val="21"/>
              </w:rPr>
              <w:t>-N</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10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0.0175</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widowControl/>
              <w:spacing w:line="240" w:lineRule="auto"/>
              <w:ind w:firstLine="0" w:firstLineChars="0"/>
              <w:jc w:val="center"/>
              <w:rPr>
                <w:rFonts w:hint="default"/>
                <w:color w:val="auto"/>
              </w:rPr>
            </w:pPr>
          </w:p>
        </w:tc>
        <w:tc>
          <w:tcPr>
            <w:tcW w:w="783" w:type="pct"/>
            <w:vAlign w:val="center"/>
          </w:tcPr>
          <w:p>
            <w:pPr>
              <w:spacing w:line="240" w:lineRule="auto"/>
              <w:ind w:firstLine="0" w:firstLineChars="0"/>
              <w:jc w:val="center"/>
            </w:pPr>
            <w:r>
              <w:rPr>
                <w:sz w:val="21"/>
                <w:szCs w:val="21"/>
              </w:rPr>
              <w:t>BOD</w:t>
            </w:r>
            <w:r>
              <w:rPr>
                <w:sz w:val="21"/>
                <w:szCs w:val="21"/>
                <w:vertAlign w:val="subscript"/>
              </w:rPr>
              <w:t>5</w:t>
            </w:r>
          </w:p>
        </w:tc>
        <w:tc>
          <w:tcPr>
            <w:tcW w:w="779"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50</w:t>
            </w:r>
          </w:p>
        </w:tc>
        <w:tc>
          <w:tcPr>
            <w:tcW w:w="594" w:type="pct"/>
            <w:vAlign w:val="center"/>
          </w:tcPr>
          <w:p>
            <w:pPr>
              <w:spacing w:line="240" w:lineRule="auto"/>
              <w:ind w:firstLine="0" w:firstLineChars="0"/>
              <w:jc w:val="center"/>
              <w:rPr>
                <w:rFonts w:hint="eastAsia"/>
                <w:sz w:val="21"/>
                <w:szCs w:val="21"/>
                <w:lang w:val="en-US" w:eastAsia="zh-CN"/>
              </w:rPr>
            </w:pPr>
            <w:r>
              <w:rPr>
                <w:rFonts w:hint="eastAsia"/>
                <w:sz w:val="21"/>
                <w:szCs w:val="21"/>
                <w:lang w:val="en-US" w:eastAsia="zh-CN"/>
              </w:rPr>
              <w:t>0.0874</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restart"/>
            <w:vAlign w:val="center"/>
          </w:tcPr>
          <w:p>
            <w:pPr>
              <w:widowControl/>
              <w:spacing w:line="240" w:lineRule="auto"/>
              <w:ind w:firstLine="0" w:firstLineChars="0"/>
              <w:jc w:val="center"/>
              <w:rPr>
                <w:rFonts w:hint="eastAsia" w:eastAsia="宋体"/>
                <w:sz w:val="21"/>
                <w:szCs w:val="21"/>
                <w:u w:val="single"/>
                <w:lang w:val="en-US" w:eastAsia="zh-CN"/>
              </w:rPr>
            </w:pPr>
            <w:r>
              <w:rPr>
                <w:rFonts w:hint="eastAsia"/>
                <w:sz w:val="21"/>
                <w:szCs w:val="21"/>
                <w:u w:val="single"/>
                <w:lang w:val="en-US" w:eastAsia="zh-CN"/>
              </w:rPr>
              <w:t>蒸汽冷凝水</w:t>
            </w:r>
          </w:p>
        </w:tc>
        <w:tc>
          <w:tcPr>
            <w:tcW w:w="749" w:type="pct"/>
            <w:vMerge w:val="restart"/>
            <w:vAlign w:val="center"/>
          </w:tcPr>
          <w:p>
            <w:pPr>
              <w:pStyle w:val="38"/>
              <w:rPr>
                <w:rFonts w:hint="default" w:eastAsia="宋体"/>
                <w:color w:val="auto"/>
                <w:u w:val="single"/>
                <w:lang w:val="en-US" w:eastAsia="zh-CN"/>
              </w:rPr>
            </w:pPr>
            <w:r>
              <w:rPr>
                <w:rFonts w:hint="eastAsia"/>
                <w:color w:val="auto"/>
                <w:u w:val="single"/>
                <w:lang w:val="en-US" w:eastAsia="zh-CN"/>
              </w:rPr>
              <w:t>5139.34</w:t>
            </w:r>
          </w:p>
        </w:tc>
        <w:tc>
          <w:tcPr>
            <w:tcW w:w="783" w:type="pct"/>
            <w:vAlign w:val="center"/>
          </w:tcPr>
          <w:p>
            <w:pPr>
              <w:pStyle w:val="38"/>
              <w:ind w:firstLine="0" w:firstLineChars="0"/>
              <w:rPr>
                <w:u w:val="single"/>
              </w:rPr>
            </w:pPr>
            <w:r>
              <w:rPr>
                <w:rFonts w:hint="default"/>
                <w:u w:val="single"/>
              </w:rPr>
              <w:t>COD</w:t>
            </w:r>
          </w:p>
        </w:tc>
        <w:tc>
          <w:tcPr>
            <w:tcW w:w="779" w:type="pct"/>
            <w:vAlign w:val="center"/>
          </w:tcPr>
          <w:p>
            <w:pPr>
              <w:spacing w:line="240" w:lineRule="auto"/>
              <w:ind w:firstLine="0" w:firstLineChars="0"/>
              <w:jc w:val="center"/>
              <w:rPr>
                <w:rFonts w:hint="eastAsia"/>
                <w:sz w:val="21"/>
                <w:szCs w:val="21"/>
                <w:u w:val="single"/>
                <w:lang w:val="en-US" w:eastAsia="zh-CN"/>
              </w:rPr>
            </w:pPr>
            <w:r>
              <w:rPr>
                <w:rFonts w:hint="eastAsia"/>
                <w:sz w:val="21"/>
                <w:szCs w:val="21"/>
                <w:u w:val="single"/>
                <w:lang w:val="en-US" w:eastAsia="zh-CN"/>
              </w:rPr>
              <w:t>50</w:t>
            </w:r>
          </w:p>
        </w:tc>
        <w:tc>
          <w:tcPr>
            <w:tcW w:w="594" w:type="pct"/>
            <w:vAlign w:val="center"/>
          </w:tcPr>
          <w:p>
            <w:pPr>
              <w:spacing w:line="240" w:lineRule="auto"/>
              <w:ind w:firstLine="0" w:firstLineChars="0"/>
              <w:jc w:val="center"/>
              <w:rPr>
                <w:rFonts w:hint="default"/>
                <w:sz w:val="21"/>
                <w:szCs w:val="21"/>
                <w:u w:val="single"/>
                <w:lang w:val="en-US" w:eastAsia="zh-CN"/>
              </w:rPr>
            </w:pPr>
            <w:r>
              <w:rPr>
                <w:rFonts w:hint="eastAsia"/>
                <w:sz w:val="21"/>
                <w:szCs w:val="21"/>
                <w:u w:val="single"/>
                <w:lang w:val="en-US" w:eastAsia="zh-CN"/>
              </w:rPr>
              <w:t>0.257</w:t>
            </w:r>
          </w:p>
        </w:tc>
        <w:tc>
          <w:tcPr>
            <w:tcW w:w="1375" w:type="pct"/>
            <w:vMerge w:val="continue"/>
            <w:vAlign w:val="center"/>
          </w:tcPr>
          <w:p>
            <w:pPr>
              <w:spacing w:line="240" w:lineRule="auto"/>
              <w:ind w:firstLine="0" w:firstLineChars="0"/>
              <w:jc w:val="center"/>
              <w:rPr>
                <w:rFonts w:hint="eastAsia" w:eastAsia="宋体"/>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u w:val="single"/>
              </w:rPr>
            </w:pPr>
          </w:p>
        </w:tc>
        <w:tc>
          <w:tcPr>
            <w:tcW w:w="749" w:type="pct"/>
            <w:vMerge w:val="continue"/>
            <w:vAlign w:val="center"/>
          </w:tcPr>
          <w:p>
            <w:pPr>
              <w:pStyle w:val="38"/>
              <w:rPr>
                <w:rFonts w:hint="default"/>
                <w:color w:val="auto"/>
                <w:u w:val="single"/>
              </w:rPr>
            </w:pPr>
          </w:p>
        </w:tc>
        <w:tc>
          <w:tcPr>
            <w:tcW w:w="783" w:type="pct"/>
            <w:vAlign w:val="center"/>
          </w:tcPr>
          <w:p>
            <w:pPr>
              <w:pStyle w:val="38"/>
              <w:ind w:firstLine="0" w:firstLineChars="0"/>
              <w:rPr>
                <w:u w:val="single"/>
              </w:rPr>
            </w:pPr>
            <w:r>
              <w:rPr>
                <w:rFonts w:hint="default"/>
                <w:u w:val="single"/>
              </w:rPr>
              <w:t>SS</w:t>
            </w:r>
          </w:p>
        </w:tc>
        <w:tc>
          <w:tcPr>
            <w:tcW w:w="779" w:type="pct"/>
            <w:vAlign w:val="center"/>
          </w:tcPr>
          <w:p>
            <w:pPr>
              <w:spacing w:line="240" w:lineRule="auto"/>
              <w:ind w:firstLine="0" w:firstLineChars="0"/>
              <w:jc w:val="center"/>
              <w:rPr>
                <w:rFonts w:hint="eastAsia"/>
                <w:sz w:val="21"/>
                <w:szCs w:val="21"/>
                <w:u w:val="single"/>
                <w:lang w:val="en-US" w:eastAsia="zh-CN"/>
              </w:rPr>
            </w:pPr>
            <w:r>
              <w:rPr>
                <w:rFonts w:hint="eastAsia"/>
                <w:sz w:val="21"/>
                <w:szCs w:val="21"/>
                <w:u w:val="single"/>
                <w:lang w:val="en-US" w:eastAsia="zh-CN"/>
              </w:rPr>
              <w:t>50</w:t>
            </w:r>
          </w:p>
        </w:tc>
        <w:tc>
          <w:tcPr>
            <w:tcW w:w="594" w:type="pct"/>
            <w:vAlign w:val="center"/>
          </w:tcPr>
          <w:p>
            <w:pPr>
              <w:spacing w:line="240" w:lineRule="auto"/>
              <w:ind w:firstLine="0" w:firstLineChars="0"/>
              <w:jc w:val="center"/>
              <w:rPr>
                <w:rFonts w:hint="eastAsia"/>
                <w:sz w:val="21"/>
                <w:szCs w:val="21"/>
                <w:u w:val="single"/>
                <w:lang w:val="en-US" w:eastAsia="zh-CN"/>
              </w:rPr>
            </w:pPr>
            <w:r>
              <w:rPr>
                <w:rFonts w:hint="eastAsia"/>
                <w:sz w:val="21"/>
                <w:szCs w:val="21"/>
                <w:u w:val="single"/>
                <w:lang w:val="en-US" w:eastAsia="zh-CN"/>
              </w:rPr>
              <w:t>0.257</w:t>
            </w:r>
          </w:p>
        </w:tc>
        <w:tc>
          <w:tcPr>
            <w:tcW w:w="1375" w:type="pct"/>
            <w:vMerge w:val="continue"/>
            <w:vAlign w:val="center"/>
          </w:tcPr>
          <w:p>
            <w:pPr>
              <w:spacing w:line="240" w:lineRule="auto"/>
              <w:ind w:firstLine="0" w:firstLineChars="0"/>
              <w:jc w:val="center"/>
              <w:rPr>
                <w:rFonts w:hint="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717" w:type="pct"/>
            <w:vMerge w:val="restart"/>
            <w:vAlign w:val="center"/>
          </w:tcPr>
          <w:p>
            <w:pPr>
              <w:widowControl/>
              <w:spacing w:line="240" w:lineRule="auto"/>
              <w:ind w:firstLine="0" w:firstLineChars="0"/>
              <w:jc w:val="center"/>
              <w:rPr>
                <w:sz w:val="21"/>
                <w:szCs w:val="21"/>
              </w:rPr>
            </w:pPr>
            <w:r>
              <w:rPr>
                <w:rFonts w:hint="eastAsia"/>
                <w:sz w:val="21"/>
                <w:szCs w:val="21"/>
              </w:rPr>
              <w:t>初期雨水</w:t>
            </w:r>
          </w:p>
        </w:tc>
        <w:tc>
          <w:tcPr>
            <w:tcW w:w="749" w:type="pct"/>
            <w:vMerge w:val="restart"/>
            <w:vAlign w:val="center"/>
          </w:tcPr>
          <w:p>
            <w:pPr>
              <w:pStyle w:val="38"/>
              <w:rPr>
                <w:rFonts w:hint="default"/>
                <w:color w:val="auto"/>
              </w:rPr>
            </w:pPr>
            <w:r>
              <w:rPr>
                <w:color w:val="auto"/>
              </w:rPr>
              <w:t>/</w:t>
            </w:r>
          </w:p>
        </w:tc>
        <w:tc>
          <w:tcPr>
            <w:tcW w:w="783" w:type="pct"/>
            <w:vAlign w:val="center"/>
          </w:tcPr>
          <w:p>
            <w:pPr>
              <w:pStyle w:val="38"/>
              <w:rPr>
                <w:rFonts w:hint="default"/>
              </w:rPr>
            </w:pPr>
            <w:r>
              <w:rPr>
                <w:rFonts w:hint="default"/>
              </w:rPr>
              <w:t>COD</w:t>
            </w:r>
          </w:p>
        </w:tc>
        <w:tc>
          <w:tcPr>
            <w:tcW w:w="779" w:type="pct"/>
            <w:vAlign w:val="center"/>
          </w:tcPr>
          <w:p>
            <w:pPr>
              <w:pStyle w:val="38"/>
              <w:rPr>
                <w:rFonts w:hint="default"/>
              </w:rPr>
            </w:pPr>
            <w:r>
              <w:t>80</w:t>
            </w:r>
          </w:p>
        </w:tc>
        <w:tc>
          <w:tcPr>
            <w:tcW w:w="594" w:type="pct"/>
            <w:vAlign w:val="center"/>
          </w:tcPr>
          <w:p>
            <w:pPr>
              <w:spacing w:line="240" w:lineRule="auto"/>
              <w:ind w:firstLine="0" w:firstLineChars="0"/>
              <w:jc w:val="center"/>
              <w:rPr>
                <w:sz w:val="21"/>
                <w:szCs w:val="21"/>
              </w:rPr>
            </w:pPr>
            <w:r>
              <w:rPr>
                <w:rFonts w:hint="eastAsia"/>
                <w:sz w:val="21"/>
                <w:szCs w:val="21"/>
              </w:rPr>
              <w:t>/</w:t>
            </w:r>
          </w:p>
        </w:tc>
        <w:tc>
          <w:tcPr>
            <w:tcW w:w="1375" w:type="pct"/>
            <w:vMerge w:val="restart"/>
            <w:vAlign w:val="center"/>
          </w:tcPr>
          <w:p>
            <w:pPr>
              <w:widowControl/>
              <w:spacing w:line="240" w:lineRule="auto"/>
              <w:ind w:firstLine="0" w:firstLineChars="0"/>
              <w:jc w:val="center"/>
              <w:rPr>
                <w:rFonts w:hint="eastAsia"/>
                <w:sz w:val="21"/>
                <w:szCs w:val="21"/>
              </w:rPr>
            </w:pPr>
            <w:r>
              <w:rPr>
                <w:rFonts w:hint="eastAsia"/>
                <w:sz w:val="21"/>
                <w:szCs w:val="21"/>
                <w:lang w:val="en-US" w:eastAsia="zh-CN"/>
              </w:rPr>
              <w:t>初期雨水经雨水收集池收集后，分批次进入厂区污水站污水调节池用水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717" w:type="pct"/>
            <w:vMerge w:val="continue"/>
            <w:vAlign w:val="center"/>
          </w:tcPr>
          <w:p>
            <w:pPr>
              <w:widowControl/>
              <w:spacing w:line="240" w:lineRule="auto"/>
              <w:ind w:firstLine="0" w:firstLineChars="0"/>
              <w:jc w:val="center"/>
              <w:rPr>
                <w:sz w:val="21"/>
                <w:szCs w:val="21"/>
              </w:rPr>
            </w:pPr>
          </w:p>
        </w:tc>
        <w:tc>
          <w:tcPr>
            <w:tcW w:w="749" w:type="pct"/>
            <w:vMerge w:val="continue"/>
            <w:vAlign w:val="center"/>
          </w:tcPr>
          <w:p>
            <w:pPr>
              <w:pStyle w:val="38"/>
              <w:rPr>
                <w:rFonts w:hint="default"/>
                <w:color w:val="auto"/>
              </w:rPr>
            </w:pPr>
          </w:p>
        </w:tc>
        <w:tc>
          <w:tcPr>
            <w:tcW w:w="783" w:type="pct"/>
            <w:vAlign w:val="center"/>
          </w:tcPr>
          <w:p>
            <w:pPr>
              <w:pStyle w:val="38"/>
              <w:rPr>
                <w:rFonts w:hint="default"/>
              </w:rPr>
            </w:pPr>
            <w:r>
              <w:rPr>
                <w:rFonts w:hint="default"/>
              </w:rPr>
              <w:t>SS</w:t>
            </w:r>
          </w:p>
        </w:tc>
        <w:tc>
          <w:tcPr>
            <w:tcW w:w="779" w:type="pct"/>
            <w:vAlign w:val="center"/>
          </w:tcPr>
          <w:p>
            <w:pPr>
              <w:pStyle w:val="38"/>
              <w:rPr>
                <w:rFonts w:hint="default"/>
              </w:rPr>
            </w:pPr>
            <w:r>
              <w:t>50</w:t>
            </w:r>
          </w:p>
        </w:tc>
        <w:tc>
          <w:tcPr>
            <w:tcW w:w="594" w:type="pct"/>
            <w:vAlign w:val="center"/>
          </w:tcPr>
          <w:p>
            <w:pPr>
              <w:spacing w:line="240" w:lineRule="auto"/>
              <w:ind w:firstLine="0" w:firstLineChars="0"/>
              <w:jc w:val="center"/>
              <w:rPr>
                <w:sz w:val="21"/>
                <w:szCs w:val="21"/>
              </w:rPr>
            </w:pPr>
            <w:r>
              <w:rPr>
                <w:rFonts w:hint="eastAsia"/>
                <w:sz w:val="21"/>
                <w:szCs w:val="21"/>
              </w:rPr>
              <w:t>/</w:t>
            </w:r>
          </w:p>
        </w:tc>
        <w:tc>
          <w:tcPr>
            <w:tcW w:w="1375" w:type="pct"/>
            <w:vMerge w:val="continue"/>
            <w:vAlign w:val="center"/>
          </w:tcPr>
          <w:p>
            <w:pPr>
              <w:spacing w:line="240" w:lineRule="auto"/>
              <w:ind w:firstLine="0" w:firstLineChars="0"/>
              <w:jc w:val="center"/>
              <w:rPr>
                <w:rFonts w:hint="eastAsia"/>
                <w:sz w:val="21"/>
                <w:szCs w:val="21"/>
              </w:rPr>
            </w:pPr>
          </w:p>
        </w:tc>
      </w:tr>
    </w:tbl>
    <w:p>
      <w:pPr>
        <w:pStyle w:val="7"/>
        <w:ind w:firstLine="562"/>
      </w:pPr>
      <w:r>
        <w:rPr>
          <w:rFonts w:hint="eastAsia"/>
        </w:rPr>
        <w:t>4.3.2 废气污染源强核算</w:t>
      </w:r>
    </w:p>
    <w:p>
      <w:pPr>
        <w:widowControl/>
        <w:ind w:firstLine="480"/>
        <w:rPr>
          <w:b/>
          <w:bCs/>
          <w:color w:val="000000"/>
          <w:lang w:bidi="ar"/>
        </w:rPr>
      </w:pPr>
      <w:r>
        <w:rPr>
          <w:rFonts w:hint="eastAsia"/>
          <w:color w:val="000000"/>
          <w:lang w:bidi="ar"/>
        </w:rPr>
        <w:t>本项目运营期废气主要上料粉尘、破碎粉尘、工艺有机废气、餐饮油烟等，各个废气产生及处理情况</w:t>
      </w:r>
    </w:p>
    <w:p>
      <w:pPr>
        <w:pStyle w:val="25"/>
        <w:widowControl/>
        <w:spacing w:beforeAutospacing="0" w:afterAutospacing="0"/>
        <w:ind w:firstLine="480"/>
        <w:jc w:val="both"/>
        <w:rPr>
          <w:u w:val="single"/>
        </w:rPr>
      </w:pPr>
      <w:r>
        <w:rPr>
          <w:rFonts w:hint="eastAsia"/>
          <w:u w:val="single"/>
        </w:rPr>
        <w:t>（1）硅PU生产线废气（G1、G2）</w:t>
      </w:r>
    </w:p>
    <w:p>
      <w:pPr>
        <w:widowControl/>
        <w:ind w:firstLine="482"/>
        <w:rPr>
          <w:rFonts w:cs="Times New Roman"/>
          <w:color w:val="000000"/>
          <w:kern w:val="0"/>
          <w:u w:val="single"/>
          <w:lang w:bidi="ar"/>
        </w:rPr>
      </w:pPr>
      <w:r>
        <w:rPr>
          <w:rFonts w:cs="Times New Roman"/>
          <w:b/>
          <w:bCs/>
          <w:color w:val="000000"/>
          <w:kern w:val="0"/>
          <w:u w:val="single"/>
          <w:lang w:bidi="ar"/>
        </w:rPr>
        <w:t>投料粉尘</w:t>
      </w:r>
      <w:r>
        <w:rPr>
          <w:rFonts w:hint="eastAsia" w:cs="Times New Roman"/>
          <w:b/>
          <w:bCs/>
          <w:color w:val="000000"/>
          <w:kern w:val="0"/>
          <w:u w:val="single"/>
          <w:lang w:bidi="ar"/>
        </w:rPr>
        <w:t>G1</w:t>
      </w:r>
      <w:r>
        <w:rPr>
          <w:rFonts w:cs="Times New Roman"/>
          <w:color w:val="000000"/>
          <w:kern w:val="0"/>
          <w:u w:val="single"/>
          <w:lang w:bidi="ar"/>
        </w:rPr>
        <w:t>：</w:t>
      </w:r>
      <w:r>
        <w:rPr>
          <w:rFonts w:hint="eastAsia" w:cs="Times New Roman"/>
          <w:color w:val="000000"/>
          <w:kern w:val="0"/>
          <w:u w:val="single"/>
          <w:lang w:val="en-US" w:eastAsia="zh-CN" w:bidi="ar"/>
        </w:rPr>
        <w:t>本项目主要固体原料为石英粉、滑石粉等，与水泥粒径相似，故投料粉尘参考《逸散性工业粉尘控制技术》（</w:t>
      </w:r>
      <w:r>
        <w:rPr>
          <w:rFonts w:hint="default" w:cs="Times New Roman"/>
          <w:color w:val="000000"/>
          <w:kern w:val="0"/>
          <w:u w:val="single"/>
          <w:lang w:val="en-US" w:eastAsia="zh-CN" w:bidi="ar"/>
        </w:rPr>
        <w:t>J.A.</w:t>
      </w:r>
      <w:r>
        <w:rPr>
          <w:rFonts w:hint="eastAsia" w:cs="Times New Roman"/>
          <w:color w:val="000000"/>
          <w:kern w:val="0"/>
          <w:u w:val="single"/>
          <w:lang w:val="en-US" w:eastAsia="zh-CN" w:bidi="ar"/>
        </w:rPr>
        <w:t>奥里蒙、</w:t>
      </w:r>
      <w:r>
        <w:rPr>
          <w:rFonts w:hint="default" w:cs="Times New Roman"/>
          <w:color w:val="000000"/>
          <w:kern w:val="0"/>
          <w:u w:val="single"/>
          <w:lang w:val="en-US" w:eastAsia="zh-CN" w:bidi="ar"/>
        </w:rPr>
        <w:t>G.A.</w:t>
      </w:r>
      <w:r>
        <w:rPr>
          <w:rFonts w:hint="eastAsia" w:cs="Times New Roman"/>
          <w:color w:val="000000"/>
          <w:kern w:val="0"/>
          <w:u w:val="single"/>
          <w:lang w:val="en-US" w:eastAsia="zh-CN" w:bidi="ar"/>
        </w:rPr>
        <w:t>久兹等编著）中细微物料投料粉尘产生系数，产生系数为0.00015~0.02kg/t（装料），本项目投料过程中粉尘产生源强取0.02kg/t（装料）</w:t>
      </w:r>
      <w:r>
        <w:rPr>
          <w:rFonts w:cs="Times New Roman"/>
          <w:color w:val="000000"/>
          <w:kern w:val="0"/>
          <w:u w:val="single"/>
          <w:lang w:bidi="ar"/>
        </w:rPr>
        <w:t>，项目</w:t>
      </w:r>
      <w:r>
        <w:rPr>
          <w:rFonts w:hint="eastAsia" w:cs="Times New Roman"/>
          <w:color w:val="000000"/>
          <w:kern w:val="0"/>
          <w:u w:val="single"/>
          <w:lang w:eastAsia="zh-CN" w:bidi="ar"/>
        </w:rPr>
        <w:t>硅</w:t>
      </w:r>
      <w:r>
        <w:rPr>
          <w:rFonts w:hint="eastAsia" w:cs="Times New Roman"/>
          <w:color w:val="000000"/>
          <w:kern w:val="0"/>
          <w:u w:val="single"/>
          <w:lang w:val="en-US" w:eastAsia="zh-CN" w:bidi="ar"/>
        </w:rPr>
        <w:t>PU产品</w:t>
      </w:r>
      <w:r>
        <w:rPr>
          <w:rFonts w:cs="Times New Roman"/>
          <w:color w:val="000000"/>
          <w:kern w:val="0"/>
          <w:u w:val="single"/>
          <w:lang w:bidi="ar"/>
        </w:rPr>
        <w:t>粉状物料</w:t>
      </w:r>
      <w:r>
        <w:rPr>
          <w:rFonts w:hint="eastAsia" w:cs="Times New Roman"/>
          <w:color w:val="000000"/>
          <w:kern w:val="0"/>
          <w:u w:val="single"/>
          <w:lang w:eastAsia="zh-CN" w:bidi="ar"/>
        </w:rPr>
        <w:t>滑石粉、高岭土</w:t>
      </w:r>
      <w:r>
        <w:rPr>
          <w:rFonts w:cs="Times New Roman"/>
          <w:color w:val="000000"/>
          <w:kern w:val="0"/>
          <w:u w:val="single"/>
          <w:lang w:bidi="ar"/>
        </w:rPr>
        <w:t>用量为</w:t>
      </w:r>
      <w:r>
        <w:rPr>
          <w:rFonts w:hint="eastAsia" w:cs="Times New Roman"/>
          <w:color w:val="000000"/>
          <w:kern w:val="0"/>
          <w:u w:val="single"/>
          <w:lang w:val="en-US" w:eastAsia="zh-CN" w:bidi="ar"/>
        </w:rPr>
        <w:t>5118.9</w:t>
      </w:r>
      <w:r>
        <w:rPr>
          <w:rFonts w:cs="Times New Roman"/>
          <w:color w:val="000000"/>
          <w:kern w:val="0"/>
          <w:u w:val="single"/>
          <w:lang w:bidi="ar"/>
        </w:rPr>
        <w:t>t/a，则粉尘产生量约为</w:t>
      </w:r>
      <w:r>
        <w:rPr>
          <w:rFonts w:hint="eastAsia" w:cs="Times New Roman"/>
          <w:color w:val="000000"/>
          <w:kern w:val="0"/>
          <w:u w:val="single"/>
          <w:lang w:val="en-US" w:eastAsia="zh-CN" w:bidi="ar"/>
        </w:rPr>
        <w:t>0.102</w:t>
      </w:r>
      <w:r>
        <w:rPr>
          <w:rFonts w:cs="Times New Roman"/>
          <w:color w:val="000000"/>
          <w:kern w:val="0"/>
          <w:u w:val="single"/>
          <w:lang w:bidi="ar"/>
        </w:rPr>
        <w:t>t/a。</w:t>
      </w:r>
    </w:p>
    <w:p>
      <w:pPr>
        <w:widowControl/>
        <w:ind w:firstLine="482"/>
        <w:rPr>
          <w:rFonts w:cs="Times New Roman"/>
          <w:u w:val="single"/>
        </w:rPr>
      </w:pPr>
      <w:r>
        <w:rPr>
          <w:rFonts w:cs="Times New Roman"/>
          <w:b/>
          <w:bCs/>
          <w:color w:val="000000"/>
          <w:kern w:val="0"/>
          <w:u w:val="single"/>
          <w:lang w:bidi="ar"/>
        </w:rPr>
        <w:t>有机废气</w:t>
      </w:r>
      <w:r>
        <w:rPr>
          <w:rFonts w:hint="eastAsia" w:cs="Times New Roman"/>
          <w:b/>
          <w:bCs/>
          <w:color w:val="000000"/>
          <w:kern w:val="0"/>
          <w:u w:val="single"/>
          <w:lang w:bidi="ar"/>
        </w:rPr>
        <w:t>G2</w:t>
      </w:r>
      <w:r>
        <w:rPr>
          <w:rFonts w:cs="Times New Roman"/>
          <w:color w:val="000000"/>
          <w:kern w:val="0"/>
          <w:u w:val="single"/>
          <w:lang w:bidi="ar"/>
        </w:rPr>
        <w:t>：反应釜在投料口、卸料口及排气口存在少量有机废气排放；参照《排放源统计调查产排污核算方法和系数手册》</w:t>
      </w:r>
      <w:r>
        <w:rPr>
          <w:rFonts w:hint="eastAsia" w:cs="Times New Roman"/>
          <w:color w:val="000000"/>
          <w:kern w:val="0"/>
          <w:u w:val="single"/>
          <w:lang w:eastAsia="zh-CN" w:bidi="ar"/>
        </w:rPr>
        <w:t>“2916 运动场地用塑胶制造行业系数”</w:t>
      </w:r>
      <w:r>
        <w:rPr>
          <w:rFonts w:cs="Times New Roman"/>
          <w:color w:val="000000"/>
          <w:kern w:val="0"/>
          <w:u w:val="single"/>
          <w:lang w:bidi="ar"/>
        </w:rPr>
        <w:t>生产VOCs产生系数（3.27kg/t</w:t>
      </w:r>
      <w:r>
        <w:rPr>
          <w:rFonts w:hint="eastAsia" w:cs="Times New Roman"/>
          <w:color w:val="000000"/>
          <w:kern w:val="0"/>
          <w:u w:val="single"/>
          <w:lang w:val="en-US" w:eastAsia="zh-CN" w:bidi="ar"/>
        </w:rPr>
        <w:t>-原料</w:t>
      </w:r>
      <w:r>
        <w:rPr>
          <w:rFonts w:cs="Times New Roman"/>
          <w:color w:val="000000"/>
          <w:kern w:val="0"/>
          <w:u w:val="single"/>
          <w:lang w:bidi="ar"/>
        </w:rPr>
        <w:t>），本项目硅PU</w:t>
      </w:r>
      <w:r>
        <w:rPr>
          <w:rFonts w:hint="eastAsia" w:cs="Times New Roman"/>
          <w:color w:val="000000"/>
          <w:kern w:val="0"/>
          <w:u w:val="single"/>
          <w:lang w:eastAsia="zh-CN" w:bidi="ar"/>
        </w:rPr>
        <w:t>使用有机原料为聚醚、</w:t>
      </w:r>
      <w:r>
        <w:rPr>
          <w:rFonts w:hint="eastAsia" w:cs="Times New Roman"/>
          <w:color w:val="000000"/>
          <w:kern w:val="0"/>
          <w:u w:val="single"/>
          <w:lang w:val="en-US" w:eastAsia="zh-CN" w:bidi="ar"/>
        </w:rPr>
        <w:t>DMC和MDI50</w:t>
      </w:r>
      <w:r>
        <w:rPr>
          <w:rFonts w:cs="Times New Roman"/>
          <w:color w:val="000000"/>
          <w:kern w:val="0"/>
          <w:u w:val="single"/>
          <w:lang w:bidi="ar"/>
        </w:rPr>
        <w:t>，</w:t>
      </w:r>
      <w:r>
        <w:rPr>
          <w:rFonts w:hint="eastAsia" w:cs="Times New Roman"/>
          <w:color w:val="000000"/>
          <w:kern w:val="0"/>
          <w:u w:val="single"/>
          <w:lang w:eastAsia="zh-CN" w:bidi="ar"/>
        </w:rPr>
        <w:t>其合计用量为</w:t>
      </w:r>
      <w:r>
        <w:rPr>
          <w:rFonts w:hint="eastAsia" w:cs="Times New Roman"/>
          <w:color w:val="000000"/>
          <w:kern w:val="0"/>
          <w:u w:val="single"/>
          <w:lang w:val="en-US" w:eastAsia="zh-CN" w:bidi="ar"/>
        </w:rPr>
        <w:t>2819.77</w:t>
      </w:r>
      <w:r>
        <w:rPr>
          <w:rFonts w:cs="Times New Roman"/>
          <w:color w:val="000000"/>
          <w:kern w:val="0"/>
          <w:u w:val="single"/>
          <w:lang w:bidi="ar"/>
        </w:rPr>
        <w:t>t/a</w:t>
      </w:r>
      <w:r>
        <w:rPr>
          <w:rFonts w:hint="eastAsia" w:cs="Times New Roman"/>
          <w:color w:val="000000"/>
          <w:kern w:val="0"/>
          <w:u w:val="single"/>
          <w:lang w:eastAsia="zh-CN" w:bidi="ar"/>
        </w:rPr>
        <w:t>，</w:t>
      </w:r>
      <w:r>
        <w:rPr>
          <w:rFonts w:cs="Times New Roman"/>
          <w:color w:val="000000"/>
          <w:kern w:val="0"/>
          <w:u w:val="single"/>
          <w:lang w:bidi="ar"/>
        </w:rPr>
        <w:t>则非甲烷总烃产生量为</w:t>
      </w:r>
      <w:r>
        <w:rPr>
          <w:rFonts w:hint="eastAsia" w:cs="Times New Roman"/>
          <w:color w:val="000000"/>
          <w:kern w:val="0"/>
          <w:u w:val="single"/>
          <w:lang w:val="en-US" w:eastAsia="zh-CN" w:bidi="ar"/>
        </w:rPr>
        <w:t>9.22</w:t>
      </w:r>
      <w:r>
        <w:rPr>
          <w:rFonts w:cs="Times New Roman"/>
          <w:color w:val="000000"/>
          <w:kern w:val="0"/>
          <w:u w:val="single"/>
          <w:lang w:bidi="ar"/>
        </w:rPr>
        <w:t>t/a。</w:t>
      </w:r>
    </w:p>
    <w:p>
      <w:pPr>
        <w:widowControl/>
        <w:ind w:firstLine="480"/>
        <w:rPr>
          <w:color w:val="000000" w:themeColor="text1"/>
          <w14:textFill>
            <w14:solidFill>
              <w14:schemeClr w14:val="tx1"/>
            </w14:solidFill>
          </w14:textFill>
        </w:rPr>
      </w:pPr>
      <w:r>
        <w:rPr>
          <w:rFonts w:hint="eastAsia"/>
        </w:rPr>
        <w:t>（2）EPDM颗粒生产线废气（G3、G4、G5、G6、G7）</w:t>
      </w:r>
    </w:p>
    <w:p>
      <w:pPr>
        <w:widowControl/>
        <w:ind w:firstLine="480"/>
        <w:rPr>
          <w:rFonts w:hint="default" w:eastAsia="宋体"/>
          <w:b/>
          <w:bCs/>
          <w:color w:val="000000" w:themeColor="text1"/>
          <w:u w:val="single"/>
          <w:lang w:val="en-US" w:eastAsia="zh-CN"/>
          <w14:textFill>
            <w14:solidFill>
              <w14:schemeClr w14:val="tx1"/>
            </w14:solidFill>
          </w14:textFill>
        </w:rPr>
      </w:pPr>
      <w:r>
        <w:rPr>
          <w:rFonts w:hint="eastAsia"/>
          <w:b/>
          <w:bCs/>
          <w:u w:val="single"/>
        </w:rPr>
        <w:t>G3</w:t>
      </w:r>
      <w:r>
        <w:rPr>
          <w:rFonts w:hint="eastAsia"/>
          <w:b/>
          <w:bCs/>
          <w:color w:val="000000" w:themeColor="text1"/>
          <w:u w:val="single"/>
          <w14:textFill>
            <w14:solidFill>
              <w14:schemeClr w14:val="tx1"/>
            </w14:solidFill>
          </w14:textFill>
        </w:rPr>
        <w:t>投料粉尘</w:t>
      </w:r>
      <w:r>
        <w:rPr>
          <w:rFonts w:hint="eastAsia"/>
          <w:b/>
          <w:bCs/>
          <w:color w:val="000000" w:themeColor="text1"/>
          <w:u w:val="single"/>
          <w:lang w:eastAsia="zh-CN"/>
          <w14:textFill>
            <w14:solidFill>
              <w14:schemeClr w14:val="tx1"/>
            </w14:solidFill>
          </w14:textFill>
        </w:rPr>
        <w:t>、</w:t>
      </w:r>
      <w:r>
        <w:rPr>
          <w:rFonts w:hint="eastAsia"/>
          <w:b/>
          <w:bCs/>
          <w:color w:val="000000" w:themeColor="text1"/>
          <w:u w:val="single"/>
          <w:lang w:val="en-US" w:eastAsia="zh-CN"/>
          <w14:textFill>
            <w14:solidFill>
              <w14:schemeClr w14:val="tx1"/>
            </w14:solidFill>
          </w14:textFill>
        </w:rPr>
        <w:t>G7粉碎粉尘、G4混合密炼粉尘</w:t>
      </w:r>
    </w:p>
    <w:p>
      <w:pPr>
        <w:widowControl/>
        <w:ind w:firstLine="480"/>
        <w:rPr>
          <w:rFonts w:hint="eastAsia"/>
          <w:color w:val="000000" w:themeColor="text1"/>
          <w:u w:val="single"/>
          <w:lang w:eastAsia="zh-CN"/>
          <w14:textFill>
            <w14:solidFill>
              <w14:schemeClr w14:val="tx1"/>
            </w14:solidFill>
          </w14:textFill>
        </w:rPr>
      </w:pPr>
      <w:r>
        <w:rPr>
          <w:color w:val="000000" w:themeColor="text1"/>
          <w:u w:val="single"/>
          <w14:textFill>
            <w14:solidFill>
              <w14:schemeClr w14:val="tx1"/>
            </w14:solidFill>
          </w14:textFill>
        </w:rPr>
        <w:t>项目粉状物料在投料时，</w:t>
      </w:r>
      <w:r>
        <w:rPr>
          <w:rFonts w:hint="eastAsia"/>
          <w:color w:val="000000" w:themeColor="text1"/>
          <w:u w:val="single"/>
          <w:lang w:eastAsia="zh-CN"/>
          <w14:textFill>
            <w14:solidFill>
              <w14:schemeClr w14:val="tx1"/>
            </w14:solidFill>
          </w14:textFill>
        </w:rPr>
        <w:t>密炼机钙粉</w:t>
      </w:r>
      <w:r>
        <w:rPr>
          <w:color w:val="000000" w:themeColor="text1"/>
          <w:u w:val="single"/>
          <w14:textFill>
            <w14:solidFill>
              <w14:schemeClr w14:val="tx1"/>
            </w14:solidFill>
          </w14:textFill>
        </w:rPr>
        <w:t>投料口会产生少量的粉尘</w:t>
      </w:r>
      <w:r>
        <w:rPr>
          <w:rFonts w:hint="eastAsia"/>
          <w:color w:val="000000" w:themeColor="text1"/>
          <w:u w:val="single"/>
          <w:lang w:val="en-US" w:eastAsia="zh-CN"/>
          <w14:textFill>
            <w14:solidFill>
              <w14:schemeClr w14:val="tx1"/>
            </w14:solidFill>
          </w14:textFill>
        </w:rPr>
        <w:t>G3</w:t>
      </w:r>
      <w:r>
        <w:rPr>
          <w:color w:val="000000" w:themeColor="text1"/>
          <w:u w:val="single"/>
          <w14:textFill>
            <w14:solidFill>
              <w14:schemeClr w14:val="tx1"/>
            </w14:solidFill>
          </w14:textFill>
        </w:rPr>
        <w:t>；</w:t>
      </w:r>
      <w:r>
        <w:rPr>
          <w:rFonts w:hint="eastAsia"/>
          <w:color w:val="000000" w:themeColor="text1"/>
          <w:u w:val="single"/>
          <w:lang w:eastAsia="zh-CN"/>
          <w14:textFill>
            <w14:solidFill>
              <w14:schemeClr w14:val="tx1"/>
            </w14:solidFill>
          </w14:textFill>
        </w:rPr>
        <w:t>密炼机混料过程会产生有搅拌粉尘</w:t>
      </w:r>
      <w:r>
        <w:rPr>
          <w:rFonts w:hint="eastAsia"/>
          <w:color w:val="000000" w:themeColor="text1"/>
          <w:u w:val="single"/>
          <w:lang w:val="en-US" w:eastAsia="zh-CN"/>
          <w14:textFill>
            <w14:solidFill>
              <w14:schemeClr w14:val="tx1"/>
            </w14:solidFill>
          </w14:textFill>
        </w:rPr>
        <w:t>G4，</w:t>
      </w:r>
      <w:r>
        <w:rPr>
          <w:rFonts w:hint="eastAsia"/>
          <w:color w:val="000000" w:themeColor="text1"/>
          <w:u w:val="single"/>
          <w:lang w:eastAsia="zh-CN"/>
          <w14:textFill>
            <w14:solidFill>
              <w14:schemeClr w14:val="tx1"/>
            </w14:solidFill>
          </w14:textFill>
        </w:rPr>
        <w:t>粉碎过程会产生粉碎粉尘</w:t>
      </w:r>
      <w:r>
        <w:rPr>
          <w:rFonts w:hint="eastAsia"/>
          <w:color w:val="000000" w:themeColor="text1"/>
          <w:u w:val="single"/>
          <w:lang w:val="en-US" w:eastAsia="zh-CN"/>
          <w14:textFill>
            <w14:solidFill>
              <w14:schemeClr w14:val="tx1"/>
            </w14:solidFill>
          </w14:textFill>
        </w:rPr>
        <w:t>G7</w:t>
      </w:r>
      <w:r>
        <w:rPr>
          <w:rFonts w:hint="eastAsia"/>
          <w:color w:val="000000" w:themeColor="text1"/>
          <w:u w:val="single"/>
          <w:lang w:eastAsia="zh-CN"/>
          <w14:textFill>
            <w14:solidFill>
              <w14:schemeClr w14:val="tx1"/>
            </w14:solidFill>
          </w14:textFill>
        </w:rPr>
        <w:t>，</w:t>
      </w:r>
      <w:r>
        <w:rPr>
          <w:color w:val="000000" w:themeColor="text1"/>
          <w:u w:val="single"/>
          <w14:textFill>
            <w14:solidFill>
              <w14:schemeClr w14:val="tx1"/>
            </w14:solidFill>
          </w14:textFill>
        </w:rPr>
        <w:t>类比同行业，</w:t>
      </w:r>
      <w:r>
        <w:rPr>
          <w:rFonts w:hint="eastAsia"/>
          <w:color w:val="000000" w:themeColor="text1"/>
          <w:u w:val="single"/>
          <w14:textFill>
            <w14:solidFill>
              <w14:schemeClr w14:val="tx1"/>
            </w14:solidFill>
          </w14:textFill>
        </w:rPr>
        <w:t>参考《</w:t>
      </w:r>
      <w:r>
        <w:rPr>
          <w:rFonts w:hint="eastAsia"/>
          <w:color w:val="000000" w:themeColor="text1"/>
          <w:u w:val="single"/>
          <w:lang w:eastAsia="zh-CN"/>
          <w14:textFill>
            <w14:solidFill>
              <w14:schemeClr w14:val="tx1"/>
            </w14:solidFill>
          </w14:textFill>
        </w:rPr>
        <w:t>河南钰健人造草坪有限公司年产150万平方米人造草坪及年产3500吨EPDM缓冲颗粒项目</w:t>
      </w:r>
      <w:r>
        <w:rPr>
          <w:rFonts w:hint="eastAsia"/>
          <w:color w:val="000000" w:themeColor="text1"/>
          <w:u w:val="single"/>
          <w14:textFill>
            <w14:solidFill>
              <w14:schemeClr w14:val="tx1"/>
            </w14:solidFill>
          </w14:textFill>
        </w:rPr>
        <w:t>竣工环境保护验收监测报告》（</w:t>
      </w:r>
      <w:r>
        <w:rPr>
          <w:rFonts w:hint="eastAsia"/>
          <w:color w:val="000000" w:themeColor="text1"/>
          <w:u w:val="single"/>
          <w:lang w:eastAsia="zh-CN"/>
          <w14:textFill>
            <w14:solidFill>
              <w14:schemeClr w14:val="tx1"/>
            </w14:solidFill>
          </w14:textFill>
        </w:rPr>
        <w:t>环评文件审批文号：</w:t>
      </w:r>
      <w:r>
        <w:rPr>
          <w:rFonts w:hint="eastAsia"/>
          <w:color w:val="000000" w:themeColor="text1"/>
          <w:u w:val="single"/>
          <w14:textFill>
            <w14:solidFill>
              <w14:schemeClr w14:val="tx1"/>
            </w14:solidFill>
          </w14:textFill>
        </w:rPr>
        <w:t>叶环审</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2021</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28号）</w:t>
      </w:r>
      <w:r>
        <w:rPr>
          <w:rFonts w:hint="eastAsia"/>
          <w:color w:val="000000" w:themeColor="text1"/>
          <w:u w:val="single"/>
          <w:lang w:eastAsia="zh-CN"/>
          <w14:textFill>
            <w14:solidFill>
              <w14:schemeClr w14:val="tx1"/>
            </w14:solidFill>
          </w14:textFill>
        </w:rPr>
        <w:t>，其生产工艺与本项目一致。</w:t>
      </w:r>
    </w:p>
    <w:p>
      <w:pPr>
        <w:widowControl/>
        <w:ind w:firstLine="480"/>
        <w:rPr>
          <w:color w:val="000000" w:themeColor="text1"/>
          <w:u w:val="single"/>
          <w14:textFill>
            <w14:solidFill>
              <w14:schemeClr w14:val="tx1"/>
            </w14:solidFill>
          </w14:textFill>
        </w:rPr>
      </w:pPr>
      <w:r>
        <w:rPr>
          <w:rFonts w:hint="eastAsia"/>
          <w:color w:val="000000" w:themeColor="text1"/>
          <w:u w:val="single"/>
          <w:lang w:eastAsia="zh-CN"/>
          <w14:textFill>
            <w14:solidFill>
              <w14:schemeClr w14:val="tx1"/>
            </w14:solidFill>
          </w14:textFill>
        </w:rPr>
        <w:t>河南钰健人造草坪有限公司年产150万平方米人造草坪及年产3500吨EPDM缓冲颗粒项目</w:t>
      </w:r>
      <w:r>
        <w:rPr>
          <w:rFonts w:hint="eastAsia"/>
          <w:color w:val="000000" w:themeColor="text1"/>
          <w:u w:val="single"/>
          <w:lang w:val="en-US" w:eastAsia="zh-CN"/>
          <w14:textFill>
            <w14:solidFill>
              <w14:schemeClr w14:val="tx1"/>
            </w14:solidFill>
          </w14:textFill>
        </w:rPr>
        <w:t>EPDM生产线污染防治设施与本项目一致，</w:t>
      </w:r>
      <w:r>
        <w:rPr>
          <w:rFonts w:hint="eastAsia"/>
          <w:u w:val="single"/>
          <w:lang w:val="en-US" w:eastAsia="zh-CN"/>
        </w:rPr>
        <w:t>粉尘废气集中收集由脉冲袋式除尘器处理排放。</w:t>
      </w:r>
      <w:r>
        <w:rPr>
          <w:rFonts w:hint="eastAsia"/>
          <w:color w:val="000000" w:themeColor="text1"/>
          <w:u w:val="single"/>
          <w:lang w:eastAsia="zh-CN"/>
          <w14:textFill>
            <w14:solidFill>
              <w14:schemeClr w14:val="tx1"/>
            </w14:solidFill>
          </w14:textFill>
        </w:rPr>
        <w:t>根据验收期间工况日用矿粉、色粉、三元乙丙橡胶原料合计</w:t>
      </w:r>
      <w:r>
        <w:rPr>
          <w:rFonts w:hint="eastAsia"/>
          <w:color w:val="000000" w:themeColor="text1"/>
          <w:u w:val="single"/>
          <w:lang w:val="en-US" w:eastAsia="zh-CN"/>
          <w14:textFill>
            <w14:solidFill>
              <w14:schemeClr w14:val="tx1"/>
            </w14:solidFill>
          </w14:textFill>
        </w:rPr>
        <w:t>9.552t，工况期间袋式除尘器进口颗粒物速率为0.479kg/h，</w:t>
      </w:r>
      <w:r>
        <w:rPr>
          <w:color w:val="000000" w:themeColor="text1"/>
          <w:u w:val="single"/>
          <w14:textFill>
            <w14:solidFill>
              <w14:schemeClr w14:val="tx1"/>
            </w14:solidFill>
          </w14:textFill>
        </w:rPr>
        <w:t>粉尘产生量约为0.</w:t>
      </w:r>
      <w:r>
        <w:rPr>
          <w:rFonts w:hint="eastAsia"/>
          <w:color w:val="000000" w:themeColor="text1"/>
          <w:u w:val="single"/>
          <w:lang w:val="en-US" w:eastAsia="zh-CN"/>
          <w14:textFill>
            <w14:solidFill>
              <w14:schemeClr w14:val="tx1"/>
            </w14:solidFill>
          </w14:textFill>
        </w:rPr>
        <w:t>401</w:t>
      </w:r>
      <w:r>
        <w:rPr>
          <w:color w:val="000000" w:themeColor="text1"/>
          <w:u w:val="single"/>
          <w14:textFill>
            <w14:solidFill>
              <w14:schemeClr w14:val="tx1"/>
            </w14:solidFill>
          </w14:textFill>
        </w:rPr>
        <w:t>‰物料，</w:t>
      </w:r>
      <w:r>
        <w:rPr>
          <w:rFonts w:hint="eastAsia"/>
          <w:color w:val="000000" w:themeColor="text1"/>
          <w:u w:val="single"/>
          <w:lang w:eastAsia="zh-CN"/>
          <w14:textFill>
            <w14:solidFill>
              <w14:schemeClr w14:val="tx1"/>
            </w14:solidFill>
          </w14:textFill>
        </w:rPr>
        <w:t>本</w:t>
      </w:r>
      <w:r>
        <w:rPr>
          <w:color w:val="000000" w:themeColor="text1"/>
          <w:u w:val="single"/>
          <w14:textFill>
            <w14:solidFill>
              <w14:schemeClr w14:val="tx1"/>
            </w14:solidFill>
          </w14:textFill>
        </w:rPr>
        <w:t>项目物料用量为</w:t>
      </w:r>
      <w:r>
        <w:rPr>
          <w:rFonts w:hint="eastAsia"/>
          <w:color w:val="000000" w:themeColor="text1"/>
          <w:u w:val="single"/>
          <w:lang w:val="en-US" w:eastAsia="zh-CN"/>
          <w14:textFill>
            <w14:solidFill>
              <w14:schemeClr w14:val="tx1"/>
            </w14:solidFill>
          </w14:textFill>
        </w:rPr>
        <w:t>2916.67</w:t>
      </w:r>
      <w:r>
        <w:rPr>
          <w:color w:val="000000" w:themeColor="text1"/>
          <w:u w:val="single"/>
          <w14:textFill>
            <w14:solidFill>
              <w14:schemeClr w14:val="tx1"/>
            </w14:solidFill>
          </w14:textFill>
        </w:rPr>
        <w:t>t/a，则粉尘产生量约为</w:t>
      </w:r>
      <w:r>
        <w:rPr>
          <w:rFonts w:hint="eastAsia"/>
          <w:color w:val="000000" w:themeColor="text1"/>
          <w:u w:val="single"/>
          <w:lang w:val="en-US" w:eastAsia="zh-CN"/>
          <w14:textFill>
            <w14:solidFill>
              <w14:schemeClr w14:val="tx1"/>
            </w14:solidFill>
          </w14:textFill>
        </w:rPr>
        <w:t>1.170</w:t>
      </w:r>
      <w:r>
        <w:rPr>
          <w:color w:val="000000" w:themeColor="text1"/>
          <w:u w:val="single"/>
          <w14:textFill>
            <w14:solidFill>
              <w14:schemeClr w14:val="tx1"/>
            </w14:solidFill>
          </w14:textFill>
        </w:rPr>
        <w:t>t/a。</w:t>
      </w:r>
    </w:p>
    <w:p>
      <w:pPr>
        <w:pStyle w:val="27"/>
        <w:spacing w:after="0"/>
        <w:ind w:left="0" w:leftChars="0" w:firstLine="480"/>
        <w:rPr>
          <w:b/>
          <w:bCs/>
          <w:color w:val="000000" w:themeColor="text1"/>
          <w:u w:val="single"/>
          <w14:textFill>
            <w14:solidFill>
              <w14:schemeClr w14:val="tx1"/>
            </w14:solidFill>
          </w14:textFill>
        </w:rPr>
      </w:pPr>
      <w:r>
        <w:rPr>
          <w:rFonts w:hint="eastAsia"/>
          <w:b/>
          <w:bCs/>
          <w:u w:val="single"/>
        </w:rPr>
        <w:t>G4密炼废气、G5</w:t>
      </w:r>
      <w:r>
        <w:rPr>
          <w:rFonts w:hint="eastAsia"/>
          <w:b/>
          <w:bCs/>
          <w:u w:val="single"/>
          <w:lang w:eastAsia="zh-CN"/>
        </w:rPr>
        <w:t>挤出</w:t>
      </w:r>
      <w:r>
        <w:rPr>
          <w:rFonts w:hint="eastAsia"/>
          <w:b/>
          <w:bCs/>
          <w:u w:val="single"/>
        </w:rPr>
        <w:t>废气、G6硫化废气</w:t>
      </w:r>
    </w:p>
    <w:p>
      <w:pPr>
        <w:widowControl/>
        <w:ind w:firstLine="480"/>
        <w:rPr>
          <w:rFonts w:hint="eastAsia"/>
          <w:u w:val="single"/>
        </w:rPr>
      </w:pPr>
      <w:r>
        <w:rPr>
          <w:color w:val="000000" w:themeColor="text1"/>
          <w:u w:val="single"/>
          <w14:textFill>
            <w14:solidFill>
              <w14:schemeClr w14:val="tx1"/>
            </w14:solidFill>
          </w14:textFill>
        </w:rPr>
        <w:t>项目</w:t>
      </w:r>
      <w:r>
        <w:rPr>
          <w:rFonts w:hint="eastAsia"/>
          <w:color w:val="000000" w:themeColor="text1"/>
          <w:u w:val="single"/>
          <w:lang w:eastAsia="zh-CN"/>
          <w14:textFill>
            <w14:solidFill>
              <w14:schemeClr w14:val="tx1"/>
            </w14:solidFill>
          </w14:textFill>
        </w:rPr>
        <w:t>密炼</w:t>
      </w:r>
      <w:r>
        <w:rPr>
          <w:color w:val="000000" w:themeColor="text1"/>
          <w:u w:val="single"/>
          <w14:textFill>
            <w14:solidFill>
              <w14:schemeClr w14:val="tx1"/>
            </w14:solidFill>
          </w14:textFill>
        </w:rPr>
        <w:t>时，</w:t>
      </w:r>
      <w:r>
        <w:rPr>
          <w:rFonts w:hint="eastAsia"/>
          <w:color w:val="000000" w:themeColor="text1"/>
          <w:u w:val="single"/>
          <w:lang w:eastAsia="zh-CN"/>
          <w14:textFill>
            <w14:solidFill>
              <w14:schemeClr w14:val="tx1"/>
            </w14:solidFill>
          </w14:textFill>
        </w:rPr>
        <w:t>密炼机内高温白矿油等</w:t>
      </w:r>
      <w:r>
        <w:rPr>
          <w:color w:val="000000" w:themeColor="text1"/>
          <w:u w:val="single"/>
          <w14:textFill>
            <w14:solidFill>
              <w14:schemeClr w14:val="tx1"/>
            </w14:solidFill>
          </w14:textFill>
        </w:rPr>
        <w:t>会</w:t>
      </w:r>
      <w:r>
        <w:rPr>
          <w:rFonts w:hint="eastAsia"/>
          <w:color w:val="000000" w:themeColor="text1"/>
          <w:u w:val="single"/>
          <w:lang w:eastAsia="zh-CN"/>
          <w14:textFill>
            <w14:solidFill>
              <w14:schemeClr w14:val="tx1"/>
            </w14:solidFill>
          </w14:textFill>
        </w:rPr>
        <w:t>挥发</w:t>
      </w:r>
      <w:r>
        <w:rPr>
          <w:color w:val="000000" w:themeColor="text1"/>
          <w:u w:val="single"/>
          <w14:textFill>
            <w14:solidFill>
              <w14:schemeClr w14:val="tx1"/>
            </w14:solidFill>
          </w14:textFill>
        </w:rPr>
        <w:t>产生</w:t>
      </w:r>
      <w:r>
        <w:rPr>
          <w:rFonts w:hint="eastAsia"/>
          <w:color w:val="000000" w:themeColor="text1"/>
          <w:u w:val="single"/>
          <w:lang w:eastAsia="zh-CN"/>
          <w14:textFill>
            <w14:solidFill>
              <w14:schemeClr w14:val="tx1"/>
            </w14:solidFill>
          </w14:textFill>
        </w:rPr>
        <w:t>有机废气</w:t>
      </w:r>
      <w:r>
        <w:rPr>
          <w:rFonts w:hint="eastAsia"/>
          <w:color w:val="000000" w:themeColor="text1"/>
          <w:u w:val="single"/>
          <w:lang w:val="en-US" w:eastAsia="zh-CN"/>
          <w14:textFill>
            <w14:solidFill>
              <w14:schemeClr w14:val="tx1"/>
            </w14:solidFill>
          </w14:textFill>
        </w:rPr>
        <w:t>G4</w:t>
      </w:r>
      <w:r>
        <w:rPr>
          <w:color w:val="000000" w:themeColor="text1"/>
          <w:u w:val="single"/>
          <w14:textFill>
            <w14:solidFill>
              <w14:schemeClr w14:val="tx1"/>
            </w14:solidFill>
          </w14:textFill>
        </w:rPr>
        <w:t>；</w:t>
      </w:r>
      <w:r>
        <w:rPr>
          <w:rFonts w:hint="eastAsia"/>
          <w:color w:val="000000" w:themeColor="text1"/>
          <w:u w:val="single"/>
          <w:lang w:eastAsia="zh-CN"/>
          <w14:textFill>
            <w14:solidFill>
              <w14:schemeClr w14:val="tx1"/>
            </w14:solidFill>
          </w14:textFill>
        </w:rPr>
        <w:t>挤出机挤出过程会产生有机废气</w:t>
      </w:r>
      <w:r>
        <w:rPr>
          <w:rFonts w:hint="eastAsia"/>
          <w:color w:val="000000" w:themeColor="text1"/>
          <w:u w:val="single"/>
          <w:lang w:val="en-US" w:eastAsia="zh-CN"/>
          <w14:textFill>
            <w14:solidFill>
              <w14:schemeClr w14:val="tx1"/>
            </w14:solidFill>
          </w14:textFill>
        </w:rPr>
        <w:t>G5，硫化</w:t>
      </w:r>
      <w:r>
        <w:rPr>
          <w:rFonts w:hint="eastAsia"/>
          <w:color w:val="000000" w:themeColor="text1"/>
          <w:u w:val="single"/>
          <w:lang w:eastAsia="zh-CN"/>
          <w14:textFill>
            <w14:solidFill>
              <w14:schemeClr w14:val="tx1"/>
            </w14:solidFill>
          </w14:textFill>
        </w:rPr>
        <w:t>过程会产生硫化废气</w:t>
      </w:r>
      <w:r>
        <w:rPr>
          <w:rFonts w:hint="eastAsia"/>
          <w:color w:val="000000" w:themeColor="text1"/>
          <w:u w:val="single"/>
          <w:lang w:val="en-US" w:eastAsia="zh-CN"/>
          <w14:textFill>
            <w14:solidFill>
              <w14:schemeClr w14:val="tx1"/>
            </w14:solidFill>
          </w14:textFill>
        </w:rPr>
        <w:t>G6</w:t>
      </w:r>
      <w:r>
        <w:rPr>
          <w:rFonts w:hint="eastAsia"/>
          <w:color w:val="000000" w:themeColor="text1"/>
          <w:u w:val="single"/>
          <w:lang w:eastAsia="zh-CN"/>
          <w14:textFill>
            <w14:solidFill>
              <w14:schemeClr w14:val="tx1"/>
            </w14:solidFill>
          </w14:textFill>
        </w:rPr>
        <w:t>，参考</w:t>
      </w:r>
      <w:r>
        <w:rPr>
          <w:rFonts w:hint="eastAsia"/>
          <w:color w:val="000000" w:themeColor="text1"/>
          <w:u w:val="single"/>
          <w14:textFill>
            <w14:solidFill>
              <w14:schemeClr w14:val="tx1"/>
            </w14:solidFill>
          </w14:textFill>
        </w:rPr>
        <w:t>《</w:t>
      </w:r>
      <w:r>
        <w:rPr>
          <w:rFonts w:hint="eastAsia"/>
          <w:color w:val="000000" w:themeColor="text1"/>
          <w:u w:val="single"/>
          <w:lang w:eastAsia="zh-CN"/>
          <w14:textFill>
            <w14:solidFill>
              <w14:schemeClr w14:val="tx1"/>
            </w14:solidFill>
          </w14:textFill>
        </w:rPr>
        <w:t>河南钰健人造草坪有限公司年产150万平方米人造草坪及年产3500吨EPDM缓冲颗粒项目</w:t>
      </w:r>
      <w:r>
        <w:rPr>
          <w:rFonts w:hint="eastAsia"/>
          <w:color w:val="000000" w:themeColor="text1"/>
          <w:u w:val="single"/>
          <w14:textFill>
            <w14:solidFill>
              <w14:schemeClr w14:val="tx1"/>
            </w14:solidFill>
          </w14:textFill>
        </w:rPr>
        <w:t>竣工环境保护验收监测报告》（</w:t>
      </w:r>
      <w:r>
        <w:rPr>
          <w:rFonts w:hint="eastAsia"/>
          <w:color w:val="000000" w:themeColor="text1"/>
          <w:u w:val="single"/>
          <w:lang w:eastAsia="zh-CN"/>
          <w14:textFill>
            <w14:solidFill>
              <w14:schemeClr w14:val="tx1"/>
            </w14:solidFill>
          </w14:textFill>
        </w:rPr>
        <w:t>环评文件审批文号：</w:t>
      </w:r>
      <w:r>
        <w:rPr>
          <w:rFonts w:hint="eastAsia"/>
          <w:color w:val="000000" w:themeColor="text1"/>
          <w:u w:val="single"/>
          <w14:textFill>
            <w14:solidFill>
              <w14:schemeClr w14:val="tx1"/>
            </w14:solidFill>
          </w14:textFill>
        </w:rPr>
        <w:t>叶环审</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2021</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28号）</w:t>
      </w:r>
      <w:r>
        <w:rPr>
          <w:rFonts w:hint="eastAsia"/>
          <w:color w:val="000000" w:themeColor="text1"/>
          <w:u w:val="single"/>
          <w:lang w:eastAsia="zh-CN"/>
          <w14:textFill>
            <w14:solidFill>
              <w14:schemeClr w14:val="tx1"/>
            </w14:solidFill>
          </w14:textFill>
        </w:rPr>
        <w:t>，其生产工艺与本项目一致</w:t>
      </w:r>
      <w:r>
        <w:rPr>
          <w:rFonts w:hint="eastAsia"/>
          <w:u w:val="single"/>
        </w:rPr>
        <w:t>。</w:t>
      </w:r>
    </w:p>
    <w:p>
      <w:pPr>
        <w:widowControl/>
        <w:ind w:firstLine="480"/>
        <w:rPr>
          <w:u w:val="single"/>
        </w:rPr>
      </w:pPr>
      <w:r>
        <w:rPr>
          <w:rFonts w:hint="eastAsia"/>
          <w:u w:val="single"/>
          <w:lang w:eastAsia="zh-CN"/>
        </w:rPr>
        <w:t>根据验收期间工况日用白矿油、色粉、三元乙丙橡胶原料合计</w:t>
      </w:r>
      <w:r>
        <w:rPr>
          <w:rFonts w:hint="eastAsia"/>
          <w:u w:val="single"/>
          <w:lang w:val="en-US" w:eastAsia="zh-CN"/>
        </w:rPr>
        <w:t>1.91t</w:t>
      </w:r>
      <w:r>
        <w:rPr>
          <w:rFonts w:hint="eastAsia"/>
          <w:u w:val="single"/>
        </w:rPr>
        <w:t>，</w:t>
      </w:r>
      <w:r>
        <w:rPr>
          <w:rFonts w:hint="eastAsia"/>
          <w:u w:val="single"/>
          <w:lang w:val="en-US" w:eastAsia="zh-CN"/>
        </w:rPr>
        <w:t>工况期间污染防治设施进口非甲烷总烃速率为0.383kg/h，</w:t>
      </w:r>
      <w:r>
        <w:rPr>
          <w:rFonts w:hint="eastAsia"/>
          <w:u w:val="single"/>
          <w:lang w:eastAsia="zh-CN"/>
        </w:rPr>
        <w:t>有机废气</w:t>
      </w:r>
      <w:r>
        <w:rPr>
          <w:rFonts w:hint="eastAsia"/>
          <w:u w:val="single"/>
        </w:rPr>
        <w:t>产生量约为</w:t>
      </w:r>
      <w:r>
        <w:rPr>
          <w:rFonts w:hint="eastAsia"/>
          <w:u w:val="single"/>
          <w:lang w:val="en-US" w:eastAsia="zh-CN"/>
        </w:rPr>
        <w:t>0.16%</w:t>
      </w:r>
      <w:r>
        <w:rPr>
          <w:rFonts w:hint="eastAsia"/>
          <w:u w:val="single"/>
        </w:rPr>
        <w:t>物料，</w:t>
      </w:r>
      <w:r>
        <w:rPr>
          <w:rFonts w:hint="eastAsia"/>
          <w:u w:val="single"/>
          <w:lang w:eastAsia="zh-CN"/>
        </w:rPr>
        <w:t>本</w:t>
      </w:r>
      <w:r>
        <w:rPr>
          <w:rFonts w:hint="eastAsia"/>
          <w:u w:val="single"/>
        </w:rPr>
        <w:t>项目</w:t>
      </w:r>
      <w:r>
        <w:rPr>
          <w:rFonts w:hint="eastAsia"/>
          <w:u w:val="single"/>
          <w:lang w:eastAsia="zh-CN"/>
        </w:rPr>
        <w:t>三种</w:t>
      </w:r>
      <w:r>
        <w:rPr>
          <w:rFonts w:hint="eastAsia"/>
          <w:u w:val="single"/>
        </w:rPr>
        <w:t>物料用量为</w:t>
      </w:r>
      <w:r>
        <w:rPr>
          <w:rFonts w:hint="eastAsia"/>
          <w:u w:val="single"/>
          <w:lang w:val="en-US" w:eastAsia="zh-CN"/>
        </w:rPr>
        <w:t>567.07</w:t>
      </w:r>
      <w:r>
        <w:rPr>
          <w:rFonts w:hint="eastAsia"/>
          <w:u w:val="single"/>
        </w:rPr>
        <w:t>t/a，则</w:t>
      </w:r>
      <w:r>
        <w:rPr>
          <w:rFonts w:hint="eastAsia"/>
          <w:u w:val="single"/>
          <w:lang w:eastAsia="zh-CN"/>
        </w:rPr>
        <w:t>有机废气产生</w:t>
      </w:r>
      <w:r>
        <w:rPr>
          <w:rFonts w:hint="eastAsia"/>
          <w:u w:val="single"/>
        </w:rPr>
        <w:t>量约为</w:t>
      </w:r>
      <w:r>
        <w:rPr>
          <w:rFonts w:hint="eastAsia"/>
          <w:u w:val="single"/>
          <w:lang w:val="en-US" w:eastAsia="zh-CN"/>
        </w:rPr>
        <w:t>0.907</w:t>
      </w:r>
      <w:r>
        <w:rPr>
          <w:rFonts w:hint="eastAsia"/>
          <w:u w:val="single"/>
        </w:rPr>
        <w:t>t/a。</w:t>
      </w:r>
    </w:p>
    <w:p>
      <w:pPr>
        <w:widowControl/>
        <w:ind w:firstLine="480"/>
        <w:rPr>
          <w:rFonts w:hint="eastAsia"/>
          <w:u w:val="single"/>
        </w:rPr>
      </w:pPr>
      <w:r>
        <w:rPr>
          <w:rFonts w:cs="Times New Roman"/>
          <w:u w:val="single"/>
        </w:rPr>
        <w:t>本项目硫化工序</w:t>
      </w:r>
      <w:r>
        <w:rPr>
          <w:rFonts w:hint="eastAsia" w:cs="Times New Roman"/>
          <w:u w:val="single"/>
        </w:rPr>
        <w:t>由于</w:t>
      </w:r>
      <w:r>
        <w:rPr>
          <w:rFonts w:cs="Times New Roman"/>
          <w:u w:val="single"/>
        </w:rPr>
        <w:t>橡胶与</w:t>
      </w:r>
      <w:r>
        <w:rPr>
          <w:rFonts w:hint="eastAsia" w:cs="Times New Roman"/>
          <w:u w:val="single"/>
          <w:lang w:eastAsia="zh-CN"/>
        </w:rPr>
        <w:t>促进剂</w:t>
      </w:r>
      <w:r>
        <w:rPr>
          <w:rFonts w:cs="Times New Roman"/>
          <w:u w:val="single"/>
        </w:rPr>
        <w:t>在加温，加压条件下发生复杂反应产生的气体产物，主要确定为</w:t>
      </w:r>
      <w:r>
        <w:rPr>
          <w:rFonts w:hint="eastAsia" w:cs="Times New Roman"/>
          <w:u w:val="single"/>
        </w:rPr>
        <w:t>非甲烷总烃、</w:t>
      </w:r>
      <w:r>
        <w:rPr>
          <w:rFonts w:cs="Times New Roman"/>
          <w:u w:val="single"/>
        </w:rPr>
        <w:t>H</w:t>
      </w:r>
      <w:r>
        <w:rPr>
          <w:rFonts w:cs="Times New Roman"/>
          <w:u w:val="single"/>
          <w:vertAlign w:val="subscript"/>
        </w:rPr>
        <w:t>2</w:t>
      </w:r>
      <w:r>
        <w:rPr>
          <w:rFonts w:cs="Times New Roman"/>
          <w:u w:val="single"/>
        </w:rPr>
        <w:t>S气体</w:t>
      </w:r>
      <w:r>
        <w:rPr>
          <w:rFonts w:hint="eastAsia" w:cs="Times New Roman"/>
          <w:u w:val="single"/>
        </w:rPr>
        <w:t>和</w:t>
      </w:r>
      <w:r>
        <w:rPr>
          <w:rFonts w:hint="eastAsia" w:cs="Times New Roman"/>
          <w:u w:val="single"/>
          <w:lang w:eastAsia="zh-CN"/>
        </w:rPr>
        <w:t>恶臭浓度</w:t>
      </w:r>
      <w:r>
        <w:rPr>
          <w:rFonts w:cs="Times New Roman"/>
          <w:u w:val="single"/>
        </w:rPr>
        <w:t>。</w:t>
      </w:r>
      <w:r>
        <w:rPr>
          <w:rFonts w:hint="eastAsia"/>
          <w:color w:val="000000" w:themeColor="text1"/>
          <w:u w:val="single"/>
          <w:lang w:eastAsia="zh-CN"/>
          <w14:textFill>
            <w14:solidFill>
              <w14:schemeClr w14:val="tx1"/>
            </w14:solidFill>
          </w14:textFill>
        </w:rPr>
        <w:t>参考</w:t>
      </w:r>
      <w:r>
        <w:rPr>
          <w:rFonts w:hint="eastAsia"/>
          <w:color w:val="000000" w:themeColor="text1"/>
          <w:u w:val="single"/>
          <w14:textFill>
            <w14:solidFill>
              <w14:schemeClr w14:val="tx1"/>
            </w14:solidFill>
          </w14:textFill>
        </w:rPr>
        <w:t>《</w:t>
      </w:r>
      <w:r>
        <w:rPr>
          <w:rFonts w:hint="eastAsia"/>
          <w:color w:val="000000" w:themeColor="text1"/>
          <w:u w:val="single"/>
          <w:lang w:eastAsia="zh-CN"/>
          <w14:textFill>
            <w14:solidFill>
              <w14:schemeClr w14:val="tx1"/>
            </w14:solidFill>
          </w14:textFill>
        </w:rPr>
        <w:t>河南钰健人造草坪有限公司年产150万平方米人造草坪及年产3500吨EPDM缓冲颗粒项目</w:t>
      </w:r>
      <w:r>
        <w:rPr>
          <w:rFonts w:hint="eastAsia"/>
          <w:color w:val="000000" w:themeColor="text1"/>
          <w:u w:val="single"/>
          <w14:textFill>
            <w14:solidFill>
              <w14:schemeClr w14:val="tx1"/>
            </w14:solidFill>
          </w14:textFill>
        </w:rPr>
        <w:t>竣工环境保护验收监测报告》（</w:t>
      </w:r>
      <w:r>
        <w:rPr>
          <w:rFonts w:hint="eastAsia"/>
          <w:color w:val="000000" w:themeColor="text1"/>
          <w:u w:val="single"/>
          <w:lang w:eastAsia="zh-CN"/>
          <w14:textFill>
            <w14:solidFill>
              <w14:schemeClr w14:val="tx1"/>
            </w14:solidFill>
          </w14:textFill>
        </w:rPr>
        <w:t>环评文件审批文号：</w:t>
      </w:r>
      <w:r>
        <w:rPr>
          <w:rFonts w:hint="eastAsia"/>
          <w:color w:val="000000" w:themeColor="text1"/>
          <w:u w:val="single"/>
          <w14:textFill>
            <w14:solidFill>
              <w14:schemeClr w14:val="tx1"/>
            </w14:solidFill>
          </w14:textFill>
        </w:rPr>
        <w:t>叶环审</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2021</w:t>
      </w:r>
      <w:r>
        <w:rPr>
          <w:rFonts w:hint="eastAsia" w:ascii="宋体" w:hAnsi="宋体" w:cs="宋体"/>
          <w:color w:val="000000" w:themeColor="text1"/>
          <w:u w:val="single"/>
          <w14:textFill>
            <w14:solidFill>
              <w14:schemeClr w14:val="tx1"/>
            </w14:solidFill>
          </w14:textFill>
        </w:rPr>
        <w:t>〕</w:t>
      </w:r>
      <w:r>
        <w:rPr>
          <w:rFonts w:hint="eastAsia"/>
          <w:color w:val="000000" w:themeColor="text1"/>
          <w:u w:val="single"/>
          <w14:textFill>
            <w14:solidFill>
              <w14:schemeClr w14:val="tx1"/>
            </w14:solidFill>
          </w14:textFill>
        </w:rPr>
        <w:t>28号）</w:t>
      </w:r>
      <w:r>
        <w:rPr>
          <w:rFonts w:hint="eastAsia"/>
          <w:color w:val="000000" w:themeColor="text1"/>
          <w:u w:val="single"/>
          <w:lang w:eastAsia="zh-CN"/>
          <w14:textFill>
            <w14:solidFill>
              <w14:schemeClr w14:val="tx1"/>
            </w14:solidFill>
          </w14:textFill>
        </w:rPr>
        <w:t>，其生产工艺与本项目一致</w:t>
      </w:r>
      <w:r>
        <w:rPr>
          <w:rFonts w:hint="eastAsia"/>
          <w:u w:val="single"/>
        </w:rPr>
        <w:t>。</w:t>
      </w:r>
    </w:p>
    <w:p>
      <w:pPr>
        <w:widowControl/>
        <w:ind w:firstLine="480"/>
        <w:rPr>
          <w:u w:val="single"/>
        </w:rPr>
      </w:pPr>
      <w:r>
        <w:rPr>
          <w:rFonts w:hint="eastAsia"/>
          <w:u w:val="single"/>
          <w:lang w:eastAsia="zh-CN"/>
        </w:rPr>
        <w:t>根据验收期间工况日用白硫磺原料</w:t>
      </w:r>
      <w:r>
        <w:rPr>
          <w:rFonts w:hint="eastAsia"/>
          <w:u w:val="single"/>
          <w:lang w:val="en-US" w:eastAsia="zh-CN"/>
        </w:rPr>
        <w:t>0.091t</w:t>
      </w:r>
      <w:r>
        <w:rPr>
          <w:rFonts w:hint="eastAsia"/>
          <w:u w:val="single"/>
        </w:rPr>
        <w:t>，</w:t>
      </w:r>
      <w:r>
        <w:rPr>
          <w:rFonts w:hint="eastAsia"/>
          <w:u w:val="single"/>
          <w:lang w:val="en-US" w:eastAsia="zh-CN"/>
        </w:rPr>
        <w:t>工况期间污染防治设施进口硫化氢速率为0.0160kg/h，硫化氢</w:t>
      </w:r>
      <w:r>
        <w:rPr>
          <w:rFonts w:hint="eastAsia"/>
          <w:u w:val="single"/>
        </w:rPr>
        <w:t>产生量约为</w:t>
      </w:r>
      <w:r>
        <w:rPr>
          <w:rFonts w:hint="eastAsia"/>
          <w:u w:val="single"/>
          <w:lang w:val="en-US" w:eastAsia="zh-CN"/>
        </w:rPr>
        <w:t>0.14%</w:t>
      </w:r>
      <w:r>
        <w:rPr>
          <w:rFonts w:hint="eastAsia"/>
          <w:u w:val="single"/>
        </w:rPr>
        <w:t>物料</w:t>
      </w:r>
      <w:r>
        <w:rPr>
          <w:rFonts w:hint="eastAsia"/>
          <w:u w:val="single"/>
          <w:lang w:val="en-US" w:eastAsia="zh-CN"/>
        </w:rPr>
        <w:t>，</w:t>
      </w:r>
      <w:r>
        <w:rPr>
          <w:rFonts w:hint="eastAsia"/>
          <w:u w:val="single"/>
          <w:lang w:eastAsia="zh-CN"/>
        </w:rPr>
        <w:t>本</w:t>
      </w:r>
      <w:r>
        <w:rPr>
          <w:rFonts w:hint="eastAsia"/>
          <w:u w:val="single"/>
        </w:rPr>
        <w:t>项目</w:t>
      </w:r>
      <w:r>
        <w:rPr>
          <w:rFonts w:hint="eastAsia"/>
          <w:u w:val="single"/>
          <w:lang w:eastAsia="zh-CN"/>
        </w:rPr>
        <w:t>硫磺</w:t>
      </w:r>
      <w:r>
        <w:rPr>
          <w:rFonts w:hint="eastAsia"/>
          <w:u w:val="single"/>
        </w:rPr>
        <w:t>用量为</w:t>
      </w:r>
      <w:r>
        <w:rPr>
          <w:rFonts w:hint="eastAsia"/>
          <w:u w:val="single"/>
          <w:lang w:val="en-US" w:eastAsia="zh-CN"/>
        </w:rPr>
        <w:t>7.58</w:t>
      </w:r>
      <w:r>
        <w:rPr>
          <w:rFonts w:hint="eastAsia"/>
          <w:u w:val="single"/>
        </w:rPr>
        <w:t>t/a，则</w:t>
      </w:r>
      <w:r>
        <w:rPr>
          <w:rFonts w:hint="eastAsia"/>
          <w:u w:val="single"/>
          <w:lang w:val="en-US" w:eastAsia="zh-CN"/>
        </w:rPr>
        <w:t>硫化氢</w:t>
      </w:r>
      <w:r>
        <w:rPr>
          <w:rFonts w:hint="eastAsia"/>
          <w:u w:val="single"/>
        </w:rPr>
        <w:t>产生量约为</w:t>
      </w:r>
      <w:r>
        <w:rPr>
          <w:rFonts w:hint="eastAsia"/>
          <w:u w:val="single"/>
          <w:lang w:val="en-US" w:eastAsia="zh-CN"/>
        </w:rPr>
        <w:t>0.0106</w:t>
      </w:r>
      <w:r>
        <w:rPr>
          <w:rFonts w:hint="eastAsia"/>
          <w:u w:val="single"/>
        </w:rPr>
        <w:t>t/a。</w:t>
      </w:r>
    </w:p>
    <w:p>
      <w:pPr>
        <w:widowControl/>
        <w:ind w:firstLine="480"/>
        <w:rPr>
          <w:color w:val="000000" w:themeColor="text1"/>
          <w14:textFill>
            <w14:solidFill>
              <w14:schemeClr w14:val="tx1"/>
            </w14:solidFill>
          </w14:textFill>
        </w:rPr>
      </w:pPr>
      <w:r>
        <w:rPr>
          <w:rFonts w:hint="eastAsia"/>
        </w:rPr>
        <w:t>（3）人造草坪生产线废气（G8、G9、G10）</w:t>
      </w:r>
    </w:p>
    <w:p>
      <w:pPr>
        <w:pStyle w:val="27"/>
        <w:spacing w:after="0"/>
        <w:ind w:left="0" w:leftChars="0" w:firstLine="480"/>
        <w:rPr>
          <w:b/>
          <w:bCs/>
          <w:u w:val="single"/>
        </w:rPr>
      </w:pPr>
      <w:r>
        <w:rPr>
          <w:rFonts w:hint="eastAsia"/>
          <w:b/>
          <w:bCs/>
          <w:u w:val="single"/>
        </w:rPr>
        <w:t>G8挤出</w:t>
      </w:r>
    </w:p>
    <w:p>
      <w:pPr>
        <w:ind w:firstLine="480"/>
        <w:rPr>
          <w:u w:val="single"/>
        </w:rPr>
      </w:pPr>
      <w:r>
        <w:rPr>
          <w:u w:val="single"/>
        </w:rPr>
        <w:t>本项目生产人造草坪原料使用线性低密度聚乙烯，在加热挤出过程会有有机废气（以非甲烷总烃计）产生，参考第二次全国污染源普查工业污染源产排污系数手册《292 塑料制品行业系数手册（初稿）》中</w:t>
      </w:r>
      <w:r>
        <w:rPr>
          <w:rFonts w:hint="eastAsia"/>
          <w:u w:val="single"/>
          <w:lang w:eastAsia="zh-CN"/>
        </w:rPr>
        <w:t>“</w:t>
      </w:r>
      <w:r>
        <w:rPr>
          <w:u w:val="single"/>
        </w:rPr>
        <w:t>2928 人造草坪制造行业</w:t>
      </w:r>
      <w:r>
        <w:rPr>
          <w:rFonts w:hint="eastAsia"/>
          <w:u w:val="single"/>
          <w:lang w:eastAsia="zh-CN"/>
        </w:rPr>
        <w:t>”</w:t>
      </w:r>
      <w:r>
        <w:rPr>
          <w:u w:val="single"/>
        </w:rPr>
        <w:t>中</w:t>
      </w:r>
      <w:r>
        <w:rPr>
          <w:rFonts w:hint="eastAsia"/>
          <w:u w:val="single"/>
          <w:lang w:eastAsia="zh-CN"/>
        </w:rPr>
        <w:t>“</w:t>
      </w:r>
      <w:r>
        <w:rPr>
          <w:u w:val="single"/>
        </w:rPr>
        <w:t>配料、混合、挤出/注塑</w:t>
      </w:r>
      <w:r>
        <w:rPr>
          <w:rFonts w:hint="eastAsia"/>
          <w:u w:val="single"/>
          <w:lang w:eastAsia="zh-CN"/>
        </w:rPr>
        <w:t>”</w:t>
      </w:r>
      <w:r>
        <w:rPr>
          <w:u w:val="single"/>
        </w:rPr>
        <w:t>挥发性有机物产污系数为2.70kg/吨-原料，本项目塑料原料使用量为</w:t>
      </w:r>
      <w:r>
        <w:rPr>
          <w:rFonts w:hint="eastAsia"/>
          <w:u w:val="single"/>
        </w:rPr>
        <w:t>1000</w:t>
      </w:r>
      <w:r>
        <w:rPr>
          <w:u w:val="single"/>
        </w:rPr>
        <w:t>t/a，则本项目挤出过程产生非甲烷总烃量为</w:t>
      </w:r>
      <w:r>
        <w:rPr>
          <w:rFonts w:hint="eastAsia"/>
          <w:u w:val="single"/>
        </w:rPr>
        <w:t>2.7</w:t>
      </w:r>
      <w:r>
        <w:rPr>
          <w:u w:val="single"/>
        </w:rPr>
        <w:t>t/a</w:t>
      </w:r>
      <w:r>
        <w:rPr>
          <w:rFonts w:hint="eastAsia"/>
          <w:u w:val="single"/>
        </w:rPr>
        <w:t>。</w:t>
      </w:r>
    </w:p>
    <w:p>
      <w:pPr>
        <w:widowControl/>
        <w:ind w:firstLine="480"/>
        <w:rPr>
          <w:b/>
          <w:bCs/>
          <w:color w:val="000000" w:themeColor="text1"/>
          <w:u w:val="single"/>
          <w14:textFill>
            <w14:solidFill>
              <w14:schemeClr w14:val="tx1"/>
            </w14:solidFill>
          </w14:textFill>
        </w:rPr>
      </w:pPr>
      <w:r>
        <w:rPr>
          <w:rFonts w:cs="Times New Roman"/>
          <w:b/>
          <w:bCs/>
          <w:color w:val="000000"/>
          <w:kern w:val="0"/>
          <w:u w:val="single"/>
          <w:lang w:bidi="ar"/>
        </w:rPr>
        <w:t>G</w:t>
      </w:r>
      <w:r>
        <w:rPr>
          <w:rFonts w:hint="eastAsia" w:cs="Times New Roman"/>
          <w:b/>
          <w:bCs/>
          <w:color w:val="000000"/>
          <w:kern w:val="0"/>
          <w:u w:val="single"/>
          <w:lang w:bidi="ar"/>
        </w:rPr>
        <w:t>9、</w:t>
      </w:r>
      <w:r>
        <w:rPr>
          <w:rFonts w:cs="Times New Roman"/>
          <w:b/>
          <w:bCs/>
          <w:color w:val="000000"/>
          <w:kern w:val="0"/>
          <w:u w:val="single"/>
          <w:lang w:bidi="ar"/>
        </w:rPr>
        <w:t>G</w:t>
      </w:r>
      <w:r>
        <w:rPr>
          <w:rFonts w:hint="eastAsia" w:cs="Times New Roman"/>
          <w:b/>
          <w:bCs/>
          <w:color w:val="000000"/>
          <w:kern w:val="0"/>
          <w:u w:val="single"/>
          <w:lang w:bidi="ar"/>
        </w:rPr>
        <w:t>10</w:t>
      </w:r>
      <w:r>
        <w:rPr>
          <w:rFonts w:hint="eastAsia" w:ascii="宋体" w:hAnsi="宋体" w:cs="宋体"/>
          <w:b/>
          <w:bCs/>
          <w:color w:val="000000"/>
          <w:kern w:val="0"/>
          <w:u w:val="single"/>
          <w:lang w:bidi="ar"/>
        </w:rPr>
        <w:t>涂胶及烘干</w:t>
      </w:r>
    </w:p>
    <w:p>
      <w:pPr>
        <w:widowControl/>
        <w:ind w:firstLine="480"/>
        <w:rPr>
          <w:color w:val="000000" w:themeColor="text1"/>
          <w:u w:val="single"/>
          <w14:textFill>
            <w14:solidFill>
              <w14:schemeClr w14:val="tx1"/>
            </w14:solidFill>
          </w14:textFill>
        </w:rPr>
      </w:pPr>
      <w:r>
        <w:rPr>
          <w:color w:val="000000" w:themeColor="text1"/>
          <w:u w:val="single"/>
          <w14:textFill>
            <w14:solidFill>
              <w14:schemeClr w14:val="tx1"/>
            </w14:solidFill>
          </w14:textFill>
        </w:rPr>
        <w:t>本项目背胶及烘干工序会产生有机废气，背胶工序所用胶水为丁苯乳胶，参考第二次全国污染源普查工业污染源产排污系数手册《292塑料制品行业系数手册（初稿）》中243工艺美术及礼仪用品制造行业系数手册-2437地毯、挂毯制造行业中背胶/胶黏工序，本项目使用天然乳胶（本项目为丁苯乳胶）的产物系数为0.928千克/吨原材料，本项目丁苯乳胶用量为</w:t>
      </w:r>
      <w:r>
        <w:rPr>
          <w:rFonts w:hint="eastAsia"/>
          <w:color w:val="000000" w:themeColor="text1"/>
          <w:u w:val="single"/>
          <w:lang w:val="en-US" w:eastAsia="zh-CN"/>
          <w14:textFill>
            <w14:solidFill>
              <w14:schemeClr w14:val="tx1"/>
            </w14:solidFill>
          </w14:textFill>
        </w:rPr>
        <w:t>564.59t/a</w:t>
      </w:r>
      <w:r>
        <w:rPr>
          <w:color w:val="000000" w:themeColor="text1"/>
          <w:u w:val="single"/>
          <w14:textFill>
            <w14:solidFill>
              <w14:schemeClr w14:val="tx1"/>
            </w14:solidFill>
          </w14:textFill>
        </w:rPr>
        <w:t>，则本项目废气产生量为</w:t>
      </w:r>
      <w:r>
        <w:rPr>
          <w:rFonts w:hint="eastAsia"/>
          <w:color w:val="000000" w:themeColor="text1"/>
          <w:u w:val="single"/>
          <w:lang w:val="en-US" w:eastAsia="zh-CN"/>
          <w14:textFill>
            <w14:solidFill>
              <w14:schemeClr w14:val="tx1"/>
            </w14:solidFill>
          </w14:textFill>
        </w:rPr>
        <w:t>0.524</w:t>
      </w:r>
      <w:r>
        <w:rPr>
          <w:color w:val="000000" w:themeColor="text1"/>
          <w:u w:val="single"/>
          <w14:textFill>
            <w14:solidFill>
              <w14:schemeClr w14:val="tx1"/>
            </w14:solidFill>
          </w14:textFill>
        </w:rPr>
        <w:t>t/a</w:t>
      </w:r>
      <w:r>
        <w:rPr>
          <w:rFonts w:hint="eastAsia"/>
          <w:color w:val="000000" w:themeColor="text1"/>
          <w:u w:val="single"/>
          <w14:textFill>
            <w14:solidFill>
              <w14:schemeClr w14:val="tx1"/>
            </w14:solidFill>
          </w14:textFill>
        </w:rPr>
        <w:t>。</w:t>
      </w:r>
    </w:p>
    <w:p>
      <w:pPr>
        <w:widowControl/>
        <w:ind w:firstLine="480"/>
        <w:rPr>
          <w:color w:val="000000" w:themeColor="text1"/>
          <w:u w:val="single"/>
          <w14:textFill>
            <w14:solidFill>
              <w14:schemeClr w14:val="tx1"/>
            </w14:solidFill>
          </w14:textFill>
        </w:rPr>
      </w:pPr>
      <w:r>
        <w:rPr>
          <w:color w:val="000000" w:themeColor="text1"/>
          <w:u w:val="single"/>
          <w14:textFill>
            <w14:solidFill>
              <w14:schemeClr w14:val="tx1"/>
            </w14:solidFill>
          </w14:textFill>
        </w:rPr>
        <w:t>项目</w:t>
      </w:r>
      <w:r>
        <w:rPr>
          <w:rFonts w:hint="eastAsia"/>
          <w:color w:val="000000" w:themeColor="text1"/>
          <w:u w:val="single"/>
          <w:lang w:eastAsia="zh-CN"/>
          <w14:textFill>
            <w14:solidFill>
              <w14:schemeClr w14:val="tx1"/>
            </w14:solidFill>
          </w14:textFill>
        </w:rPr>
        <w:t>钙粉</w:t>
      </w:r>
      <w:r>
        <w:rPr>
          <w:color w:val="000000" w:themeColor="text1"/>
          <w:u w:val="single"/>
          <w14:textFill>
            <w14:solidFill>
              <w14:schemeClr w14:val="tx1"/>
            </w14:solidFill>
          </w14:textFill>
        </w:rPr>
        <w:t>物料在投料时，反应釜投料口会产生少量的粉尘</w:t>
      </w:r>
      <w:r>
        <w:rPr>
          <w:rFonts w:hint="eastAsia"/>
          <w:color w:val="000000" w:themeColor="text1"/>
          <w:u w:val="single"/>
          <w:lang w:eastAsia="zh-CN"/>
          <w14:textFill>
            <w14:solidFill>
              <w14:schemeClr w14:val="tx1"/>
            </w14:solidFill>
          </w14:textFill>
        </w:rPr>
        <w:t>，钙粉</w:t>
      </w:r>
      <w:r>
        <w:rPr>
          <w:rFonts w:hint="eastAsia"/>
          <w:color w:val="000000" w:themeColor="text1"/>
          <w:u w:val="single"/>
          <w:lang w:val="en-US" w:eastAsia="zh-CN"/>
          <w14:textFill>
            <w14:solidFill>
              <w14:schemeClr w14:val="tx1"/>
            </w14:solidFill>
          </w14:textFill>
        </w:rPr>
        <w:t>与水泥粒径相似，故投料粉尘参考《逸散性工业粉尘控制技术》（</w:t>
      </w:r>
      <w:r>
        <w:rPr>
          <w:rFonts w:hint="default"/>
          <w:color w:val="000000" w:themeColor="text1"/>
          <w:u w:val="single"/>
          <w:lang w:val="en-US" w:eastAsia="zh-CN"/>
          <w14:textFill>
            <w14:solidFill>
              <w14:schemeClr w14:val="tx1"/>
            </w14:solidFill>
          </w14:textFill>
        </w:rPr>
        <w:t>J.A.</w:t>
      </w:r>
      <w:r>
        <w:rPr>
          <w:rFonts w:hint="eastAsia"/>
          <w:color w:val="000000" w:themeColor="text1"/>
          <w:u w:val="single"/>
          <w:lang w:val="en-US" w:eastAsia="zh-CN"/>
          <w14:textFill>
            <w14:solidFill>
              <w14:schemeClr w14:val="tx1"/>
            </w14:solidFill>
          </w14:textFill>
        </w:rPr>
        <w:t>奥里蒙、</w:t>
      </w:r>
      <w:r>
        <w:rPr>
          <w:rFonts w:hint="default"/>
          <w:color w:val="000000" w:themeColor="text1"/>
          <w:u w:val="single"/>
          <w:lang w:val="en-US" w:eastAsia="zh-CN"/>
          <w14:textFill>
            <w14:solidFill>
              <w14:schemeClr w14:val="tx1"/>
            </w14:solidFill>
          </w14:textFill>
        </w:rPr>
        <w:t>G.A.</w:t>
      </w:r>
      <w:r>
        <w:rPr>
          <w:rFonts w:hint="eastAsia"/>
          <w:color w:val="000000" w:themeColor="text1"/>
          <w:u w:val="single"/>
          <w:lang w:val="en-US" w:eastAsia="zh-CN"/>
          <w14:textFill>
            <w14:solidFill>
              <w14:schemeClr w14:val="tx1"/>
            </w14:solidFill>
          </w14:textFill>
        </w:rPr>
        <w:t>久兹等编著）中细微物料投料粉尘产生系数，产生系数为0.00015~0.02kg/t（装料），本项目投料过程中粉尘产生源强取0.02kg/t（装料）</w:t>
      </w:r>
      <w:r>
        <w:rPr>
          <w:color w:val="000000" w:themeColor="text1"/>
          <w:u w:val="single"/>
          <w14:textFill>
            <w14:solidFill>
              <w14:schemeClr w14:val="tx1"/>
            </w14:solidFill>
          </w14:textFill>
        </w:rPr>
        <w:t>，项目</w:t>
      </w:r>
      <w:r>
        <w:rPr>
          <w:rFonts w:hint="eastAsia"/>
          <w:color w:val="000000" w:themeColor="text1"/>
          <w:u w:val="single"/>
          <w:lang w:eastAsia="zh-CN"/>
          <w14:textFill>
            <w14:solidFill>
              <w14:schemeClr w14:val="tx1"/>
            </w14:solidFill>
          </w14:textFill>
        </w:rPr>
        <w:t>人造草坪生产线</w:t>
      </w:r>
      <w:r>
        <w:rPr>
          <w:color w:val="000000" w:themeColor="text1"/>
          <w:u w:val="single"/>
          <w14:textFill>
            <w14:solidFill>
              <w14:schemeClr w14:val="tx1"/>
            </w14:solidFill>
          </w14:textFill>
        </w:rPr>
        <w:t>粉状物料</w:t>
      </w:r>
      <w:r>
        <w:rPr>
          <w:rFonts w:hint="eastAsia"/>
          <w:color w:val="000000" w:themeColor="text1"/>
          <w:u w:val="single"/>
          <w:lang w:eastAsia="zh-CN"/>
          <w14:textFill>
            <w14:solidFill>
              <w14:schemeClr w14:val="tx1"/>
            </w14:solidFill>
          </w14:textFill>
        </w:rPr>
        <w:t>钙粉</w:t>
      </w:r>
      <w:r>
        <w:rPr>
          <w:color w:val="000000" w:themeColor="text1"/>
          <w:u w:val="single"/>
          <w14:textFill>
            <w14:solidFill>
              <w14:schemeClr w14:val="tx1"/>
            </w14:solidFill>
          </w14:textFill>
        </w:rPr>
        <w:t>用量为</w:t>
      </w:r>
      <w:r>
        <w:rPr>
          <w:rFonts w:hint="eastAsia"/>
          <w:color w:val="000000" w:themeColor="text1"/>
          <w:u w:val="single"/>
          <w:lang w:val="en-US" w:eastAsia="zh-CN"/>
          <w14:textFill>
            <w14:solidFill>
              <w14:schemeClr w14:val="tx1"/>
            </w14:solidFill>
          </w14:textFill>
        </w:rPr>
        <w:t>774.64</w:t>
      </w:r>
      <w:r>
        <w:rPr>
          <w:color w:val="000000" w:themeColor="text1"/>
          <w:u w:val="single"/>
          <w14:textFill>
            <w14:solidFill>
              <w14:schemeClr w14:val="tx1"/>
            </w14:solidFill>
          </w14:textFill>
        </w:rPr>
        <w:t>t/a，则粉尘产生量约为</w:t>
      </w:r>
      <w:r>
        <w:rPr>
          <w:rFonts w:hint="eastAsia"/>
          <w:color w:val="000000" w:themeColor="text1"/>
          <w:u w:val="single"/>
          <w:lang w:val="en-US" w:eastAsia="zh-CN"/>
          <w14:textFill>
            <w14:solidFill>
              <w14:schemeClr w14:val="tx1"/>
            </w14:solidFill>
          </w14:textFill>
        </w:rPr>
        <w:t>0.015</w:t>
      </w:r>
      <w:r>
        <w:rPr>
          <w:color w:val="000000" w:themeColor="text1"/>
          <w:u w:val="single"/>
          <w14:textFill>
            <w14:solidFill>
              <w14:schemeClr w14:val="tx1"/>
            </w14:solidFill>
          </w14:textFill>
        </w:rPr>
        <w:t>t/a。</w:t>
      </w:r>
    </w:p>
    <w:p>
      <w:pPr>
        <w:ind w:firstLine="480"/>
      </w:pPr>
      <w:r>
        <w:rPr>
          <w:rFonts w:hint="eastAsia"/>
        </w:rPr>
        <w:t>（4）单组份胶水生产线废气（G11~G13）</w:t>
      </w:r>
    </w:p>
    <w:p>
      <w:pPr>
        <w:pStyle w:val="24"/>
        <w:spacing w:line="360" w:lineRule="auto"/>
        <w:ind w:firstLine="480"/>
        <w:rPr>
          <w:rFonts w:ascii="Times New Roman" w:cs="Times New Roman"/>
          <w:color w:val="000000"/>
          <w:kern w:val="0"/>
          <w:sz w:val="24"/>
          <w:u w:val="single"/>
          <w:lang w:bidi="ar"/>
        </w:rPr>
      </w:pPr>
      <w:r>
        <w:rPr>
          <w:rFonts w:hint="eastAsia" w:ascii="Times New Roman" w:cs="Times New Roman"/>
          <w:color w:val="000000"/>
          <w:kern w:val="0"/>
          <w:sz w:val="24"/>
          <w:u w:val="single"/>
          <w:lang w:bidi="ar"/>
        </w:rPr>
        <w:t>G11~G13由于项目所使用的聚醚多元醇（</w:t>
      </w:r>
      <w:r>
        <w:rPr>
          <w:rFonts w:hint="eastAsia" w:ascii="Times New Roman" w:cs="Times New Roman"/>
          <w:color w:val="000000"/>
          <w:kern w:val="0"/>
          <w:sz w:val="24"/>
          <w:u w:val="single"/>
          <w:lang w:val="en-US" w:eastAsia="zh-CN" w:bidi="ar"/>
        </w:rPr>
        <w:t>包括二苯基甲烷二异氰酸酯（</w:t>
      </w:r>
      <w:r>
        <w:rPr>
          <w:rFonts w:hint="eastAsia" w:ascii="Times New Roman" w:cs="Times New Roman"/>
          <w:color w:val="000000"/>
          <w:kern w:val="0"/>
          <w:sz w:val="24"/>
          <w:u w:val="single"/>
          <w:lang w:bidi="ar"/>
        </w:rPr>
        <w:t>MDI</w:t>
      </w:r>
      <w:r>
        <w:rPr>
          <w:rFonts w:hint="eastAsia" w:ascii="Times New Roman" w:cs="Times New Roman"/>
          <w:color w:val="000000"/>
          <w:kern w:val="0"/>
          <w:sz w:val="24"/>
          <w:u w:val="single"/>
          <w:lang w:val="en-US" w:eastAsia="zh-CN" w:bidi="ar"/>
        </w:rPr>
        <w:t>）、聚醚多元醇、甲苯二异氰酸酯、环保增塑剂、氯化石蜡和有机锡催化剂</w:t>
      </w:r>
      <w:r>
        <w:rPr>
          <w:rFonts w:hint="eastAsia" w:ascii="Times New Roman" w:cs="Times New Roman"/>
          <w:color w:val="000000"/>
          <w:kern w:val="0"/>
          <w:sz w:val="24"/>
          <w:u w:val="single"/>
          <w:lang w:bidi="ar"/>
        </w:rPr>
        <w:t>）具有一定的挥发性，投料、抽真空及分装过程将挥发产生的少量的醚类及MDI有机废气，以非甲烷总烃表征。参照《排放源统计调查产排污核算方法和系数手册》</w:t>
      </w:r>
      <w:r>
        <w:rPr>
          <w:rFonts w:hint="eastAsia" w:ascii="Times New Roman" w:cs="Times New Roman"/>
          <w:color w:val="000000"/>
          <w:kern w:val="0"/>
          <w:sz w:val="24"/>
          <w:u w:val="single"/>
          <w:lang w:eastAsia="zh-CN" w:bidi="ar"/>
        </w:rPr>
        <w:t>“2</w:t>
      </w:r>
      <w:r>
        <w:rPr>
          <w:rFonts w:hint="eastAsia" w:ascii="Times New Roman" w:cs="Times New Roman"/>
          <w:color w:val="000000"/>
          <w:kern w:val="0"/>
          <w:sz w:val="24"/>
          <w:u w:val="single"/>
          <w:lang w:val="en-US" w:eastAsia="zh-CN" w:bidi="ar"/>
        </w:rPr>
        <w:t>669</w:t>
      </w:r>
      <w:r>
        <w:rPr>
          <w:rFonts w:hint="eastAsia" w:ascii="Times New Roman" w:cs="Times New Roman"/>
          <w:color w:val="000000"/>
          <w:kern w:val="0"/>
          <w:sz w:val="24"/>
          <w:u w:val="single"/>
          <w:lang w:eastAsia="zh-CN" w:bidi="ar"/>
        </w:rPr>
        <w:t xml:space="preserve"> 其他专用化学品制造行业系数表”反应型胶黏剂</w:t>
      </w:r>
      <w:r>
        <w:rPr>
          <w:rFonts w:hint="eastAsia" w:ascii="Times New Roman" w:cs="Times New Roman"/>
          <w:color w:val="000000"/>
          <w:kern w:val="0"/>
          <w:sz w:val="24"/>
          <w:u w:val="single"/>
          <w:lang w:bidi="ar"/>
        </w:rPr>
        <w:t>生产VOCs产生系数（</w:t>
      </w:r>
      <w:r>
        <w:rPr>
          <w:rFonts w:hint="eastAsia" w:ascii="Times New Roman" w:cs="Times New Roman"/>
          <w:color w:val="000000"/>
          <w:kern w:val="0"/>
          <w:sz w:val="24"/>
          <w:u w:val="single"/>
          <w:lang w:val="en-US" w:eastAsia="zh-CN" w:bidi="ar"/>
        </w:rPr>
        <w:t>0.79</w:t>
      </w:r>
      <w:r>
        <w:rPr>
          <w:rFonts w:hint="eastAsia" w:ascii="Times New Roman" w:cs="Times New Roman"/>
          <w:color w:val="000000"/>
          <w:kern w:val="0"/>
          <w:sz w:val="24"/>
          <w:u w:val="single"/>
          <w:lang w:bidi="ar"/>
        </w:rPr>
        <w:t>kg/t</w:t>
      </w:r>
      <w:r>
        <w:rPr>
          <w:rFonts w:hint="eastAsia" w:ascii="Times New Roman" w:cs="Times New Roman"/>
          <w:color w:val="000000"/>
          <w:kern w:val="0"/>
          <w:sz w:val="24"/>
          <w:u w:val="single"/>
          <w:lang w:val="en-US" w:eastAsia="zh-CN" w:bidi="ar"/>
        </w:rPr>
        <w:t>-产品</w:t>
      </w:r>
      <w:r>
        <w:rPr>
          <w:rFonts w:hint="eastAsia" w:ascii="Times New Roman" w:cs="Times New Roman"/>
          <w:color w:val="000000"/>
          <w:kern w:val="0"/>
          <w:sz w:val="24"/>
          <w:u w:val="single"/>
          <w:lang w:bidi="ar"/>
        </w:rPr>
        <w:t>），</w:t>
      </w:r>
      <w:r>
        <w:rPr>
          <w:rFonts w:hint="eastAsia" w:ascii="Times New Roman" w:cs="Times New Roman"/>
          <w:color w:val="000000"/>
          <w:kern w:val="0"/>
          <w:sz w:val="24"/>
          <w:u w:val="single"/>
          <w:lang w:eastAsia="zh-CN" w:bidi="ar"/>
        </w:rPr>
        <w:t>本项目产品单组份胶水设计产能为</w:t>
      </w:r>
      <w:r>
        <w:rPr>
          <w:rFonts w:hint="eastAsia" w:ascii="Times New Roman" w:cs="Times New Roman"/>
          <w:color w:val="000000"/>
          <w:kern w:val="0"/>
          <w:sz w:val="24"/>
          <w:u w:val="single"/>
          <w:lang w:val="en-US" w:eastAsia="zh-CN" w:bidi="ar"/>
        </w:rPr>
        <w:t>4000t/a</w:t>
      </w:r>
      <w:r>
        <w:rPr>
          <w:rFonts w:hint="eastAsia" w:ascii="Times New Roman" w:cs="Times New Roman"/>
          <w:color w:val="000000"/>
          <w:kern w:val="0"/>
          <w:sz w:val="24"/>
          <w:u w:val="single"/>
          <w:lang w:bidi="ar"/>
        </w:rPr>
        <w:t>，则有机废气产生量为</w:t>
      </w:r>
      <w:r>
        <w:rPr>
          <w:rFonts w:hint="eastAsia" w:ascii="Times New Roman" w:cs="Times New Roman"/>
          <w:color w:val="000000"/>
          <w:kern w:val="0"/>
          <w:sz w:val="24"/>
          <w:u w:val="single"/>
          <w:lang w:val="en-US" w:eastAsia="zh-CN" w:bidi="ar"/>
        </w:rPr>
        <w:t>3.16</w:t>
      </w:r>
      <w:r>
        <w:rPr>
          <w:rFonts w:hint="eastAsia" w:ascii="Times New Roman" w:cs="Times New Roman"/>
          <w:color w:val="000000"/>
          <w:kern w:val="0"/>
          <w:sz w:val="24"/>
          <w:u w:val="single"/>
          <w:lang w:bidi="ar"/>
        </w:rPr>
        <w:t>t/a。</w:t>
      </w:r>
    </w:p>
    <w:p>
      <w:pPr>
        <w:ind w:firstLine="480"/>
      </w:pPr>
      <w:r>
        <w:rPr>
          <w:rFonts w:hint="eastAsia"/>
        </w:rPr>
        <w:t>（5）双组份胶水生产线废气（G14~G</w:t>
      </w:r>
      <w:r>
        <w:rPr>
          <w:rFonts w:hint="eastAsia"/>
          <w:lang w:val="en-US" w:eastAsia="zh-CN"/>
        </w:rPr>
        <w:t>16</w:t>
      </w:r>
      <w:r>
        <w:rPr>
          <w:rFonts w:hint="eastAsia"/>
        </w:rPr>
        <w:t>）</w:t>
      </w:r>
    </w:p>
    <w:p>
      <w:pPr>
        <w:ind w:firstLine="480"/>
        <w:rPr>
          <w:rFonts w:hint="eastAsia" w:cs="Times New Roman"/>
          <w:szCs w:val="23"/>
          <w:u w:val="single"/>
          <w:lang w:eastAsia="zh-CN"/>
        </w:rPr>
      </w:pPr>
      <w:r>
        <w:rPr>
          <w:rFonts w:hint="eastAsia" w:cs="Times New Roman"/>
          <w:szCs w:val="23"/>
          <w:u w:val="single"/>
        </w:rPr>
        <w:t>G14</w:t>
      </w:r>
      <w:r>
        <w:rPr>
          <w:rFonts w:hint="eastAsia" w:cs="Times New Roman"/>
          <w:szCs w:val="23"/>
          <w:u w:val="single"/>
          <w:lang w:eastAsia="zh-CN"/>
        </w:rPr>
        <w:t>粉尘，</w:t>
      </w:r>
      <w:r>
        <w:rPr>
          <w:rFonts w:hint="eastAsia" w:cs="Times New Roman"/>
          <w:szCs w:val="23"/>
          <w:u w:val="single"/>
          <w:lang w:val="en-US" w:eastAsia="zh-CN"/>
        </w:rPr>
        <w:t>本项目主要固体原料为滑石粉，与水泥粒径相似，故投料粉尘参考《逸散性工业粉尘控制技术》（J.A.奥里蒙、G.A.久兹等编著）中细微物料投料粉尘产生系数，产生系数为0.00015~0.02kg/t（装料），本项目投料过程中粉尘产生源强取0.02kg/t（装料）</w:t>
      </w:r>
      <w:r>
        <w:rPr>
          <w:rFonts w:hint="eastAsia" w:cs="Times New Roman"/>
          <w:szCs w:val="23"/>
          <w:u w:val="single"/>
          <w:lang w:eastAsia="zh-CN"/>
        </w:rPr>
        <w:t>，项目</w:t>
      </w:r>
      <w:r>
        <w:rPr>
          <w:rFonts w:hint="eastAsia" w:cs="Times New Roman"/>
          <w:szCs w:val="23"/>
          <w:u w:val="single"/>
          <w:lang w:val="en-US" w:eastAsia="zh-CN"/>
        </w:rPr>
        <w:t>B组分</w:t>
      </w:r>
      <w:r>
        <w:rPr>
          <w:rFonts w:hint="eastAsia" w:cs="Times New Roman"/>
          <w:szCs w:val="23"/>
          <w:u w:val="single"/>
          <w:lang w:eastAsia="zh-CN"/>
        </w:rPr>
        <w:t>粉状物料滑石粉用量为</w:t>
      </w:r>
      <w:r>
        <w:rPr>
          <w:rFonts w:hint="eastAsia" w:cs="Times New Roman"/>
          <w:szCs w:val="23"/>
          <w:u w:val="single"/>
          <w:lang w:val="en-US" w:eastAsia="zh-CN"/>
        </w:rPr>
        <w:t>1047.52</w:t>
      </w:r>
      <w:r>
        <w:rPr>
          <w:rFonts w:hint="eastAsia" w:cs="Times New Roman"/>
          <w:szCs w:val="23"/>
          <w:u w:val="single"/>
          <w:lang w:eastAsia="zh-CN"/>
        </w:rPr>
        <w:t>t/a，则粉尘产生量约为</w:t>
      </w:r>
      <w:r>
        <w:rPr>
          <w:rFonts w:hint="eastAsia" w:cs="Times New Roman"/>
          <w:szCs w:val="23"/>
          <w:u w:val="single"/>
          <w:lang w:val="en-US" w:eastAsia="zh-CN"/>
        </w:rPr>
        <w:t>0.021</w:t>
      </w:r>
      <w:r>
        <w:rPr>
          <w:rFonts w:hint="eastAsia" w:cs="Times New Roman"/>
          <w:szCs w:val="23"/>
          <w:u w:val="single"/>
          <w:lang w:eastAsia="zh-CN"/>
        </w:rPr>
        <w:t>t/a。</w:t>
      </w:r>
    </w:p>
    <w:p>
      <w:pPr>
        <w:pStyle w:val="24"/>
        <w:spacing w:line="360" w:lineRule="auto"/>
        <w:ind w:firstLine="480"/>
        <w:rPr>
          <w:rFonts w:ascii="Times New Roman" w:cs="Times New Roman"/>
          <w:color w:val="000000"/>
          <w:kern w:val="0"/>
          <w:sz w:val="24"/>
          <w:u w:val="single"/>
          <w:lang w:bidi="ar"/>
        </w:rPr>
      </w:pPr>
      <w:r>
        <w:rPr>
          <w:rFonts w:hint="eastAsia" w:ascii="Times New Roman" w:cs="Times New Roman"/>
          <w:color w:val="000000"/>
          <w:kern w:val="0"/>
          <w:sz w:val="24"/>
          <w:u w:val="single"/>
          <w:lang w:bidi="ar"/>
        </w:rPr>
        <w:t>G1</w:t>
      </w:r>
      <w:r>
        <w:rPr>
          <w:rFonts w:hint="eastAsia" w:ascii="Times New Roman" w:cs="Times New Roman"/>
          <w:color w:val="000000"/>
          <w:kern w:val="0"/>
          <w:sz w:val="24"/>
          <w:u w:val="single"/>
          <w:lang w:val="en-US" w:eastAsia="zh-CN" w:bidi="ar"/>
        </w:rPr>
        <w:t>5</w:t>
      </w:r>
      <w:r>
        <w:rPr>
          <w:rFonts w:hint="eastAsia" w:ascii="Times New Roman" w:cs="Times New Roman"/>
          <w:color w:val="000000"/>
          <w:kern w:val="0"/>
          <w:sz w:val="24"/>
          <w:u w:val="single"/>
          <w:lang w:bidi="ar"/>
        </w:rPr>
        <w:t>~G1</w:t>
      </w:r>
      <w:r>
        <w:rPr>
          <w:rFonts w:hint="eastAsia" w:ascii="Times New Roman" w:cs="Times New Roman"/>
          <w:color w:val="000000"/>
          <w:kern w:val="0"/>
          <w:sz w:val="24"/>
          <w:u w:val="single"/>
          <w:lang w:val="en-US" w:eastAsia="zh-CN" w:bidi="ar"/>
        </w:rPr>
        <w:t>6</w:t>
      </w:r>
      <w:r>
        <w:rPr>
          <w:rFonts w:hint="eastAsia" w:ascii="Times New Roman" w:cs="Times New Roman"/>
          <w:color w:val="000000"/>
          <w:kern w:val="0"/>
          <w:sz w:val="24"/>
          <w:u w:val="single"/>
          <w:lang w:bidi="ar"/>
        </w:rPr>
        <w:t>由于项目所使用的聚醚多元醇（</w:t>
      </w:r>
      <w:r>
        <w:rPr>
          <w:rFonts w:hint="eastAsia" w:ascii="Times New Roman" w:cs="Times New Roman"/>
          <w:color w:val="000000"/>
          <w:kern w:val="0"/>
          <w:sz w:val="24"/>
          <w:u w:val="single"/>
          <w:lang w:val="en-US" w:eastAsia="zh-CN" w:bidi="ar"/>
        </w:rPr>
        <w:t>聚醚多元醇、碳酸二甲酯、环保增塑剂、碳酸二甲酯、扩链剂及水性色浆等</w:t>
      </w:r>
      <w:r>
        <w:rPr>
          <w:rFonts w:hint="eastAsia" w:ascii="Times New Roman" w:cs="Times New Roman"/>
          <w:color w:val="000000"/>
          <w:kern w:val="0"/>
          <w:sz w:val="24"/>
          <w:u w:val="single"/>
          <w:lang w:bidi="ar"/>
        </w:rPr>
        <w:t>）具有一定的挥发性，投料、抽真空及分装过程将挥发产生的少量的醚类及MDI有机废气，以非甲烷总烃表征。参照《排放源统计调查产排污核算方法和系数手册》</w:t>
      </w:r>
      <w:r>
        <w:rPr>
          <w:rFonts w:hint="eastAsia" w:ascii="Times New Roman" w:cs="Times New Roman"/>
          <w:color w:val="000000"/>
          <w:kern w:val="0"/>
          <w:sz w:val="24"/>
          <w:u w:val="single"/>
          <w:lang w:eastAsia="zh-CN" w:bidi="ar"/>
        </w:rPr>
        <w:t>“2</w:t>
      </w:r>
      <w:r>
        <w:rPr>
          <w:rFonts w:hint="eastAsia" w:ascii="Times New Roman" w:cs="Times New Roman"/>
          <w:color w:val="000000"/>
          <w:kern w:val="0"/>
          <w:sz w:val="24"/>
          <w:u w:val="single"/>
          <w:lang w:val="en-US" w:eastAsia="zh-CN" w:bidi="ar"/>
        </w:rPr>
        <w:t>669</w:t>
      </w:r>
      <w:r>
        <w:rPr>
          <w:rFonts w:hint="eastAsia" w:ascii="Times New Roman" w:cs="Times New Roman"/>
          <w:color w:val="000000"/>
          <w:kern w:val="0"/>
          <w:sz w:val="24"/>
          <w:u w:val="single"/>
          <w:lang w:eastAsia="zh-CN" w:bidi="ar"/>
        </w:rPr>
        <w:t xml:space="preserve"> 其他专用化学品制造行业系数表”反应型胶黏剂</w:t>
      </w:r>
      <w:r>
        <w:rPr>
          <w:rFonts w:hint="eastAsia" w:ascii="Times New Roman" w:cs="Times New Roman"/>
          <w:color w:val="000000"/>
          <w:kern w:val="0"/>
          <w:sz w:val="24"/>
          <w:u w:val="single"/>
          <w:lang w:bidi="ar"/>
        </w:rPr>
        <w:t>生产VOCs产生系数（</w:t>
      </w:r>
      <w:r>
        <w:rPr>
          <w:rFonts w:hint="eastAsia" w:ascii="Times New Roman" w:cs="Times New Roman"/>
          <w:color w:val="000000"/>
          <w:kern w:val="0"/>
          <w:sz w:val="24"/>
          <w:u w:val="single"/>
          <w:lang w:val="en-US" w:eastAsia="zh-CN" w:bidi="ar"/>
        </w:rPr>
        <w:t>0.79</w:t>
      </w:r>
      <w:r>
        <w:rPr>
          <w:rFonts w:hint="eastAsia" w:ascii="Times New Roman" w:cs="Times New Roman"/>
          <w:color w:val="000000"/>
          <w:kern w:val="0"/>
          <w:sz w:val="24"/>
          <w:u w:val="single"/>
          <w:lang w:bidi="ar"/>
        </w:rPr>
        <w:t>kg/t</w:t>
      </w:r>
      <w:r>
        <w:rPr>
          <w:rFonts w:hint="eastAsia" w:ascii="Times New Roman" w:cs="Times New Roman"/>
          <w:color w:val="000000"/>
          <w:kern w:val="0"/>
          <w:sz w:val="24"/>
          <w:u w:val="single"/>
          <w:lang w:val="en-US" w:eastAsia="zh-CN" w:bidi="ar"/>
        </w:rPr>
        <w:t>-产品</w:t>
      </w:r>
      <w:r>
        <w:rPr>
          <w:rFonts w:hint="eastAsia" w:ascii="Times New Roman" w:cs="Times New Roman"/>
          <w:color w:val="000000"/>
          <w:kern w:val="0"/>
          <w:sz w:val="24"/>
          <w:u w:val="single"/>
          <w:lang w:bidi="ar"/>
        </w:rPr>
        <w:t>），</w:t>
      </w:r>
      <w:r>
        <w:rPr>
          <w:rFonts w:hint="eastAsia" w:ascii="Times New Roman" w:cs="Times New Roman"/>
          <w:color w:val="000000"/>
          <w:kern w:val="0"/>
          <w:sz w:val="24"/>
          <w:u w:val="single"/>
          <w:lang w:eastAsia="zh-CN" w:bidi="ar"/>
        </w:rPr>
        <w:t>本项目产品双组份胶水设计产能为</w:t>
      </w:r>
      <w:r>
        <w:rPr>
          <w:rFonts w:hint="eastAsia" w:ascii="Times New Roman" w:cs="Times New Roman"/>
          <w:color w:val="000000"/>
          <w:kern w:val="0"/>
          <w:sz w:val="24"/>
          <w:u w:val="single"/>
          <w:lang w:val="en-US" w:eastAsia="zh-CN" w:bidi="ar"/>
        </w:rPr>
        <w:t>8000t/a</w:t>
      </w:r>
      <w:r>
        <w:rPr>
          <w:rFonts w:hint="eastAsia" w:ascii="Times New Roman" w:cs="Times New Roman"/>
          <w:color w:val="000000"/>
          <w:kern w:val="0"/>
          <w:sz w:val="24"/>
          <w:u w:val="single"/>
          <w:lang w:bidi="ar"/>
        </w:rPr>
        <w:t>，则有机废气产生量为</w:t>
      </w:r>
      <w:r>
        <w:rPr>
          <w:rFonts w:hint="eastAsia" w:ascii="Times New Roman" w:cs="Times New Roman"/>
          <w:color w:val="000000"/>
          <w:kern w:val="0"/>
          <w:sz w:val="24"/>
          <w:u w:val="single"/>
          <w:lang w:val="en-US" w:eastAsia="zh-CN" w:bidi="ar"/>
        </w:rPr>
        <w:t>6.32</w:t>
      </w:r>
      <w:r>
        <w:rPr>
          <w:rFonts w:hint="eastAsia" w:ascii="Times New Roman" w:cs="Times New Roman"/>
          <w:color w:val="000000"/>
          <w:kern w:val="0"/>
          <w:sz w:val="24"/>
          <w:u w:val="single"/>
          <w:lang w:bidi="ar"/>
        </w:rPr>
        <w:t>t/a。</w:t>
      </w:r>
    </w:p>
    <w:p>
      <w:pPr>
        <w:widowControl/>
        <w:ind w:firstLine="48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（6）面漆生产线（G23~G25）</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cs="Times New Roman"/>
          <w:szCs w:val="23"/>
          <w:u w:val="single"/>
          <w:lang w:eastAsia="zh-CN"/>
        </w:rPr>
      </w:pPr>
      <w:r>
        <w:rPr>
          <w:rFonts w:hint="eastAsia" w:cs="Times New Roman"/>
          <w:szCs w:val="23"/>
          <w:u w:val="single"/>
        </w:rPr>
        <w:t>G</w:t>
      </w:r>
      <w:r>
        <w:rPr>
          <w:rFonts w:hint="eastAsia" w:cs="Times New Roman"/>
          <w:szCs w:val="23"/>
          <w:u w:val="single"/>
          <w:lang w:val="en-US" w:eastAsia="zh-CN"/>
        </w:rPr>
        <w:t>17</w:t>
      </w:r>
      <w:r>
        <w:rPr>
          <w:rFonts w:hint="eastAsia" w:cs="Times New Roman"/>
          <w:szCs w:val="23"/>
          <w:u w:val="single"/>
          <w:lang w:eastAsia="zh-CN"/>
        </w:rPr>
        <w:t>投料粉尘：</w:t>
      </w:r>
      <w:r>
        <w:rPr>
          <w:rFonts w:hint="eastAsia" w:cs="Times New Roman"/>
          <w:szCs w:val="23"/>
          <w:u w:val="single"/>
          <w:lang w:val="en-US" w:eastAsia="zh-CN"/>
        </w:rPr>
        <w:t>本产品主要固体原料为重钙粉、轻钙粉和钛白粉，与水泥粒径相似，故投料粉尘参考《逸散性工业粉尘控制技术》（J.A.奥里蒙、G.A.久兹等编著）中细微物料投料粉尘产生系数，产生系数为0.00015~0.02kg/t（装料），本项目投料过程中粉尘产生源强取0.02kg/t（装料）</w:t>
      </w:r>
      <w:r>
        <w:rPr>
          <w:rFonts w:hint="eastAsia" w:cs="Times New Roman"/>
          <w:szCs w:val="23"/>
          <w:u w:val="single"/>
          <w:lang w:eastAsia="zh-CN"/>
        </w:rPr>
        <w:t>，项目粉状物料用量为</w:t>
      </w:r>
      <w:r>
        <w:rPr>
          <w:rFonts w:hint="eastAsia" w:cs="Times New Roman"/>
          <w:szCs w:val="23"/>
          <w:u w:val="single"/>
          <w:lang w:val="en-US" w:eastAsia="zh-CN"/>
        </w:rPr>
        <w:t>600</w:t>
      </w:r>
      <w:r>
        <w:rPr>
          <w:rFonts w:hint="eastAsia" w:cs="Times New Roman"/>
          <w:szCs w:val="23"/>
          <w:u w:val="single"/>
          <w:lang w:eastAsia="zh-CN"/>
        </w:rPr>
        <w:t>t/a，则粉尘产生量约为</w:t>
      </w:r>
      <w:r>
        <w:rPr>
          <w:rFonts w:hint="eastAsia" w:cs="Times New Roman"/>
          <w:szCs w:val="23"/>
          <w:u w:val="single"/>
          <w:lang w:val="en-US" w:eastAsia="zh-CN"/>
        </w:rPr>
        <w:t>0.012</w:t>
      </w:r>
      <w:r>
        <w:rPr>
          <w:rFonts w:hint="eastAsia" w:cs="Times New Roman"/>
          <w:szCs w:val="23"/>
          <w:u w:val="single"/>
          <w:lang w:eastAsia="zh-CN"/>
        </w:rPr>
        <w:t>t/a。</w:t>
      </w:r>
    </w:p>
    <w:p>
      <w:pPr>
        <w:keepNext w:val="0"/>
        <w:keepLines w:val="0"/>
        <w:pageBreakBefore w:val="0"/>
        <w:kinsoku/>
        <w:wordWrap/>
        <w:overflowPunct/>
        <w:topLinePunct w:val="0"/>
        <w:autoSpaceDE/>
        <w:autoSpaceDN/>
        <w:bidi w:val="0"/>
        <w:adjustRightInd/>
        <w:snapToGrid/>
        <w:spacing w:line="360" w:lineRule="auto"/>
        <w:ind w:firstLine="480"/>
        <w:jc w:val="both"/>
        <w:textAlignment w:val="auto"/>
        <w:rPr>
          <w:rFonts w:hint="eastAsia" w:cs="Times New Roman"/>
          <w:szCs w:val="23"/>
          <w:u w:val="single"/>
          <w:lang w:val="en-US" w:eastAsia="zh-CN"/>
        </w:rPr>
      </w:pPr>
      <w:r>
        <w:rPr>
          <w:rFonts w:hint="eastAsia" w:cs="Times New Roman"/>
          <w:szCs w:val="23"/>
          <w:u w:val="single"/>
        </w:rPr>
        <w:t>G</w:t>
      </w:r>
      <w:r>
        <w:rPr>
          <w:rFonts w:hint="eastAsia" w:cs="Times New Roman"/>
          <w:szCs w:val="23"/>
          <w:u w:val="single"/>
          <w:lang w:val="en-US" w:eastAsia="zh-CN"/>
        </w:rPr>
        <w:t>18~19由于项目所使用的羟基丙烯酸乳液、成膜助剂及水性色浆具有一定的挥发性，投料、抽真空及分装过程将挥发产生的少量的有机废气，以非甲烷总烃表征。参照《排放源统计调查产排污核算方法和系数手册》“2641 涂料制造行业系数表”水性涂料用树脂生产VOCs产生系数（0.7kg/t-产品），本项目产品跑道专用漆设计产能为2000t/a，则有机废气产生量为1.40t/a。</w:t>
      </w:r>
    </w:p>
    <w:p>
      <w:pPr>
        <w:widowControl/>
        <w:ind w:firstLine="48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（7）水性树脂生产线废气核算（G2</w:t>
      </w:r>
      <w:r>
        <w:rPr>
          <w:rFonts w:hint="eastAsia"/>
          <w:color w:val="000000" w:themeColor="text1"/>
          <w:lang w:val="en-US" w:eastAsia="zh-CN"/>
          <w14:textFill>
            <w14:solidFill>
              <w14:schemeClr w14:val="tx1"/>
            </w14:solidFill>
          </w14:textFill>
        </w:rPr>
        <w:t>0</w:t>
      </w:r>
      <w:r>
        <w:rPr>
          <w:rFonts w:hint="eastAsia"/>
          <w:color w:val="000000" w:themeColor="text1"/>
          <w14:textFill>
            <w14:solidFill>
              <w14:schemeClr w14:val="tx1"/>
            </w14:solidFill>
          </w14:textFill>
        </w:rPr>
        <w:t>~G2</w:t>
      </w:r>
      <w:r>
        <w:rPr>
          <w:rFonts w:hint="eastAsia"/>
          <w:color w:val="000000" w:themeColor="text1"/>
          <w:lang w:val="en-US" w:eastAsia="zh-CN"/>
          <w14:textFill>
            <w14:solidFill>
              <w14:schemeClr w14:val="tx1"/>
            </w14:solidFill>
          </w14:textFill>
        </w:rPr>
        <w:t>3</w:t>
      </w:r>
      <w:r>
        <w:rPr>
          <w:rFonts w:hint="eastAsia"/>
          <w:color w:val="000000" w:themeColor="text1"/>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360" w:lineRule="auto"/>
        <w:ind w:firstLine="480"/>
        <w:textAlignment w:val="auto"/>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G20~G22工艺废气：</w:t>
      </w:r>
      <w:r>
        <w:rPr>
          <w:rFonts w:hint="eastAsia"/>
          <w:color w:val="000000" w:themeColor="text1"/>
          <w14:textFill>
            <w14:solidFill>
              <w14:schemeClr w14:val="tx1"/>
            </w14:solidFill>
          </w14:textFill>
        </w:rPr>
        <w:t>水性树脂生产过程主要包括化学品投料、聚合反应等过程，项目参考《第二次全国污染源普查工业源系数手册》（油墨及类似产品制造业-水性丙烯酸树脂）表2642系数法中丙烯酸树脂的产污系数为0.6kg/t产品，则本项目水性树脂工艺有机废气量为2.1t/a（水性树脂年产量为3500t/a）。</w:t>
      </w:r>
    </w:p>
    <w:p>
      <w:pPr>
        <w:keepNext w:val="0"/>
        <w:keepLines w:val="0"/>
        <w:pageBreakBefore w:val="0"/>
        <w:widowControl/>
        <w:kinsoku/>
        <w:wordWrap/>
        <w:overflowPunct/>
        <w:topLinePunct w:val="0"/>
        <w:autoSpaceDE/>
        <w:autoSpaceDN/>
        <w:bidi w:val="0"/>
        <w:adjustRightInd/>
        <w:snapToGrid/>
        <w:spacing w:line="360" w:lineRule="auto"/>
        <w:ind w:firstLine="480"/>
        <w:textAlignment w:val="auto"/>
        <w:rPr>
          <w:color w:val="000000" w:themeColor="text1"/>
          <w:u w:val="single"/>
          <w14:textFill>
            <w14:solidFill>
              <w14:schemeClr w14:val="tx1"/>
            </w14:solidFill>
          </w14:textFill>
        </w:rPr>
      </w:pPr>
      <w:r>
        <w:rPr>
          <w:rFonts w:hint="eastAsia"/>
          <w:color w:val="000000" w:themeColor="text1"/>
          <w:u w:val="single"/>
          <w:lang w:val="en-US" w:eastAsia="zh-CN"/>
          <w14:textFill>
            <w14:solidFill>
              <w14:schemeClr w14:val="tx1"/>
            </w14:solidFill>
          </w14:textFill>
        </w:rPr>
        <w:t>G23包装废气：</w:t>
      </w:r>
      <w:r>
        <w:rPr>
          <w:rFonts w:hint="eastAsia"/>
          <w:color w:val="000000" w:themeColor="text1"/>
          <w:u w:val="single"/>
          <w14:textFill>
            <w14:solidFill>
              <w14:schemeClr w14:val="tx1"/>
            </w14:solidFill>
          </w14:textFill>
        </w:rPr>
        <w:t>根据建设单位相关设计资料，本项目树脂产品的包装桶均为200kg金属桶，包装口截面积约为0.001m</w:t>
      </w:r>
      <w:r>
        <w:rPr>
          <w:rFonts w:hint="eastAsia"/>
          <w:color w:val="000000" w:themeColor="text1"/>
          <w:u w:val="single"/>
          <w:vertAlign w:val="superscript"/>
          <w14:textFill>
            <w14:solidFill>
              <w14:schemeClr w14:val="tx1"/>
            </w14:solidFill>
          </w14:textFill>
        </w:rPr>
        <w:t>2</w:t>
      </w:r>
      <w:r>
        <w:rPr>
          <w:rFonts w:hint="eastAsia"/>
          <w:color w:val="000000" w:themeColor="text1"/>
          <w:u w:val="single"/>
          <w14:textFill>
            <w14:solidFill>
              <w14:schemeClr w14:val="tx1"/>
            </w14:solidFill>
          </w14:textFill>
        </w:rPr>
        <w:t>（直径约40mm），包装机速率为6min/桶，项目年产3500t水性树脂，则需要打包17500桶水性树脂，包装机包装时长约为</w:t>
      </w:r>
      <w:r>
        <w:rPr>
          <w:rFonts w:hint="eastAsia"/>
          <w:color w:val="000000" w:themeColor="text1"/>
          <w:u w:val="single"/>
          <w:lang w:val="en-US" w:eastAsia="zh-CN"/>
          <w14:textFill>
            <w14:solidFill>
              <w14:schemeClr w14:val="tx1"/>
            </w14:solidFill>
          </w14:textFill>
        </w:rPr>
        <w:t>1750</w:t>
      </w:r>
      <w:r>
        <w:rPr>
          <w:rFonts w:hint="eastAsia"/>
          <w:color w:val="000000" w:themeColor="text1"/>
          <w:u w:val="single"/>
          <w14:textFill>
            <w14:solidFill>
              <w14:schemeClr w14:val="tx1"/>
            </w14:solidFill>
          </w14:textFill>
        </w:rPr>
        <w:t>h。包装时有机溶剂挥发量采用有害物质敞漏挥发量计算公式（引自《环境统计手册》85版）进行该部分有机废气计算，则本项目包装工序非甲烷总烃产生量约为</w:t>
      </w:r>
      <w:r>
        <w:rPr>
          <w:rFonts w:hint="eastAsia"/>
          <w:color w:val="000000" w:themeColor="text1"/>
          <w:u w:val="single"/>
          <w:lang w:val="en-US" w:eastAsia="zh-CN"/>
          <w14:textFill>
            <w14:solidFill>
              <w14:schemeClr w14:val="tx1"/>
            </w14:solidFill>
          </w14:textFill>
        </w:rPr>
        <w:t>0.003</w:t>
      </w:r>
      <w:r>
        <w:rPr>
          <w:rFonts w:hint="eastAsia"/>
          <w:color w:val="000000" w:themeColor="text1"/>
          <w:u w:val="single"/>
          <w14:textFill>
            <w14:solidFill>
              <w14:schemeClr w14:val="tx1"/>
            </w14:solidFill>
          </w14:textFill>
        </w:rPr>
        <w:t>kg/h（</w:t>
      </w:r>
      <w:r>
        <w:rPr>
          <w:rFonts w:hint="eastAsia"/>
          <w:color w:val="000000" w:themeColor="text1"/>
          <w:u w:val="single"/>
          <w:lang w:val="en-US" w:eastAsia="zh-CN"/>
          <w14:textFill>
            <w14:solidFill>
              <w14:schemeClr w14:val="tx1"/>
            </w14:solidFill>
          </w14:textFill>
        </w:rPr>
        <w:t>0.005</w:t>
      </w:r>
      <w:r>
        <w:rPr>
          <w:rFonts w:hint="eastAsia"/>
          <w:color w:val="000000" w:themeColor="text1"/>
          <w:u w:val="single"/>
          <w14:textFill>
            <w14:solidFill>
              <w14:schemeClr w14:val="tx1"/>
            </w14:solidFill>
          </w14:textFill>
        </w:rPr>
        <w:t>t/a）。</w:t>
      </w:r>
    </w:p>
    <w:p>
      <w:pPr>
        <w:widowControl/>
        <w:ind w:firstLine="0" w:firstLineChars="0"/>
        <w:jc w:val="center"/>
        <w:rPr>
          <w:b/>
          <w:bCs/>
          <w:color w:val="000000"/>
          <w:lang w:bidi="ar"/>
        </w:rPr>
      </w:pPr>
      <w:r>
        <w:rPr>
          <w:rFonts w:hint="eastAsia"/>
          <w:b/>
          <w:bCs/>
          <w:color w:val="000000"/>
          <w:lang w:bidi="ar"/>
        </w:rPr>
        <w:t>表4.</w:t>
      </w:r>
      <w:r>
        <w:rPr>
          <w:rFonts w:hint="eastAsia"/>
          <w:b/>
          <w:bCs/>
          <w:color w:val="000000"/>
          <w:lang w:val="en-US" w:eastAsia="zh-CN" w:bidi="ar"/>
        </w:rPr>
        <w:t>3-2</w:t>
      </w:r>
      <w:r>
        <w:rPr>
          <w:rFonts w:hint="eastAsia"/>
          <w:b/>
          <w:bCs/>
          <w:color w:val="000000"/>
          <w:lang w:bidi="ar"/>
        </w:rPr>
        <w:t xml:space="preserve">  本项目水性树脂包装过程废气产生情况一览表</w:t>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3"/>
        <w:gridCol w:w="1146"/>
        <w:gridCol w:w="1786"/>
        <w:gridCol w:w="1758"/>
        <w:gridCol w:w="1264"/>
        <w:gridCol w:w="1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名称</w:t>
            </w:r>
          </w:p>
        </w:tc>
        <w:tc>
          <w:tcPr>
            <w:tcW w:w="61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V（m/s）</w:t>
            </w:r>
          </w:p>
        </w:tc>
        <w:tc>
          <w:tcPr>
            <w:tcW w:w="96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P（25℃mmHg）</w:t>
            </w:r>
          </w:p>
        </w:tc>
        <w:tc>
          <w:tcPr>
            <w:tcW w:w="94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敞露面积（m</w:t>
            </w:r>
            <w:r>
              <w:rPr>
                <w:rFonts w:hint="eastAsia"/>
                <w:color w:val="000000" w:themeColor="text1"/>
                <w:sz w:val="21"/>
                <w:szCs w:val="21"/>
                <w:vertAlign w:val="superscript"/>
                <w14:textFill>
                  <w14:solidFill>
                    <w14:schemeClr w14:val="tx1"/>
                  </w14:solidFill>
                </w14:textFill>
              </w:rPr>
              <w:t>2</w:t>
            </w:r>
            <w:r>
              <w:rPr>
                <w:rFonts w:hint="eastAsia"/>
                <w:color w:val="000000" w:themeColor="text1"/>
                <w:sz w:val="21"/>
                <w:szCs w:val="21"/>
                <w14:textFill>
                  <w14:solidFill>
                    <w14:schemeClr w14:val="tx1"/>
                  </w14:solidFill>
                </w14:textFill>
              </w:rPr>
              <w:t>）</w:t>
            </w:r>
          </w:p>
        </w:tc>
        <w:tc>
          <w:tcPr>
            <w:tcW w:w="68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M</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Gg（g/h）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丙烯酸</w:t>
            </w:r>
          </w:p>
        </w:tc>
        <w:tc>
          <w:tcPr>
            <w:tcW w:w="61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0.3</w:t>
            </w:r>
          </w:p>
        </w:tc>
        <w:tc>
          <w:tcPr>
            <w:tcW w:w="96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4.26035</w:t>
            </w:r>
          </w:p>
        </w:tc>
        <w:tc>
          <w:tcPr>
            <w:tcW w:w="94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0.01</w:t>
            </w:r>
          </w:p>
        </w:tc>
        <w:tc>
          <w:tcPr>
            <w:tcW w:w="68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72.06</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0.239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丙烯酸丁酯</w:t>
            </w:r>
          </w:p>
        </w:tc>
        <w:tc>
          <w:tcPr>
            <w:tcW w:w="61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0.3</w:t>
            </w:r>
          </w:p>
        </w:tc>
        <w:tc>
          <w:tcPr>
            <w:tcW w:w="96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5.283</w:t>
            </w:r>
          </w:p>
        </w:tc>
        <w:tc>
          <w:tcPr>
            <w:tcW w:w="94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0.01</w:t>
            </w:r>
          </w:p>
        </w:tc>
        <w:tc>
          <w:tcPr>
            <w:tcW w:w="68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128.17</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0.395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甲基丙烯酸甲酯</w:t>
            </w:r>
          </w:p>
        </w:tc>
        <w:tc>
          <w:tcPr>
            <w:tcW w:w="61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0.3</w:t>
            </w:r>
          </w:p>
        </w:tc>
        <w:tc>
          <w:tcPr>
            <w:tcW w:w="96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36.355</w:t>
            </w:r>
          </w:p>
        </w:tc>
        <w:tc>
          <w:tcPr>
            <w:tcW w:w="947"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0.01</w:t>
            </w:r>
          </w:p>
        </w:tc>
        <w:tc>
          <w:tcPr>
            <w:tcW w:w="68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100.12</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2.405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178" w:type="pct"/>
            <w:gridSpan w:val="5"/>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合计</w:t>
            </w:r>
          </w:p>
        </w:tc>
        <w:tc>
          <w:tcPr>
            <w:tcW w:w="82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auto"/>
              <w:rPr>
                <w:rFonts w:hint="default" w:eastAsia="宋体"/>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3.039</w:t>
            </w:r>
          </w:p>
        </w:tc>
      </w:tr>
    </w:tbl>
    <w:p>
      <w:pPr>
        <w:widowControl/>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④非甲烷总烃中丙烯酸、甲基丙烯酸甲酯、丙烯酸丁酯的产生量</w:t>
      </w:r>
    </w:p>
    <w:p>
      <w:pPr>
        <w:widowControl/>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根据前述分析计算过程，生产过程产生的非甲烷总烃产生量为2.1t/a，根据原料比例，丙烯酸约占</w:t>
      </w:r>
      <w:r>
        <w:rPr>
          <w:rFonts w:hint="eastAsia"/>
          <w:color w:val="000000" w:themeColor="text1"/>
          <w:lang w:val="en-US" w:eastAsia="zh-CN"/>
          <w14:textFill>
            <w14:solidFill>
              <w14:schemeClr w14:val="tx1"/>
            </w14:solidFill>
          </w14:textFill>
        </w:rPr>
        <w:t>2.43</w:t>
      </w:r>
      <w:r>
        <w:rPr>
          <w:rFonts w:hint="eastAsia"/>
          <w:color w:val="000000" w:themeColor="text1"/>
          <w14:textFill>
            <w14:solidFill>
              <w14:schemeClr w14:val="tx1"/>
            </w14:solidFill>
          </w14:textFill>
        </w:rPr>
        <w:t>%、丙烯酸丁酯22.27%、甲基丙烯酸甲酯约占22.27%，则丙烯酸、丙烯酸丁酯、甲基丙烯酸甲酯、丙烯酸丁酯废气分别按非甲烷总烃产生量的2.43%、22.27%、22.27%进行计算，则生产过程丙烯酸产生量为0.051t/a、丙烯酸丁酯0.47t/a、甲基丙烯酸甲酯产生量为0.47t/a。</w:t>
      </w:r>
    </w:p>
    <w:p>
      <w:pPr>
        <w:widowControl/>
        <w:spacing w:line="348" w:lineRule="auto"/>
        <w:ind w:firstLine="480"/>
        <w:rPr>
          <w:color w:val="000000"/>
          <w:lang w:bidi="ar"/>
        </w:rPr>
      </w:pPr>
      <w:r>
        <w:rPr>
          <w:rFonts w:hint="eastAsia"/>
          <w:color w:val="000000"/>
          <w:lang w:bidi="ar"/>
        </w:rPr>
        <w:t>（8）餐饮油烟</w:t>
      </w:r>
    </w:p>
    <w:p>
      <w:pPr>
        <w:pStyle w:val="39"/>
        <w:autoSpaceDE w:val="0"/>
        <w:ind w:firstLine="480"/>
        <w:jc w:val="both"/>
        <w:rPr>
          <w:rFonts w:ascii="Times New Roman" w:hAnsi="Times New Roman" w:cs="Times New Roman"/>
          <w:lang w:val="en-US"/>
        </w:rPr>
      </w:pPr>
      <w:r>
        <w:rPr>
          <w:rFonts w:ascii="Times New Roman" w:hAnsi="Times New Roman" w:cs="Times New Roman"/>
          <w:lang w:val="en-US"/>
        </w:rPr>
        <w:t>根据《河南省餐饮业油烟污染物排放标准》（编制说明），餐饮服务单位油烟基准浓度范围为3.51～34.83mg/m</w:t>
      </w:r>
      <w:r>
        <w:rPr>
          <w:rFonts w:ascii="Times New Roman" w:hAnsi="Times New Roman" w:cs="Times New Roman"/>
          <w:vertAlign w:val="superscript"/>
          <w:lang w:val="en-US"/>
        </w:rPr>
        <w:t>3</w:t>
      </w:r>
      <w:r>
        <w:rPr>
          <w:rFonts w:ascii="Times New Roman" w:hAnsi="Times New Roman" w:cs="Times New Roman"/>
          <w:lang w:val="en-US"/>
        </w:rPr>
        <w:t>，浓度均值为12mg/m</w:t>
      </w:r>
      <w:r>
        <w:rPr>
          <w:rFonts w:ascii="Times New Roman" w:hAnsi="Times New Roman" w:cs="Times New Roman"/>
          <w:vertAlign w:val="superscript"/>
          <w:lang w:val="en-US"/>
        </w:rPr>
        <w:t>3</w:t>
      </w:r>
      <w:r>
        <w:rPr>
          <w:rFonts w:ascii="Times New Roman" w:hAnsi="Times New Roman" w:cs="Times New Roman"/>
          <w:lang w:val="en-US"/>
        </w:rPr>
        <w:t>；非甲烷总烃基准浓度范围为5.22～42.0mg/m</w:t>
      </w:r>
      <w:r>
        <w:rPr>
          <w:rFonts w:ascii="Times New Roman" w:hAnsi="Times New Roman" w:cs="Times New Roman"/>
          <w:vertAlign w:val="superscript"/>
          <w:lang w:val="en-US"/>
        </w:rPr>
        <w:t>3</w:t>
      </w:r>
      <w:r>
        <w:rPr>
          <w:rFonts w:ascii="Times New Roman" w:hAnsi="Times New Roman" w:cs="Times New Roman"/>
          <w:lang w:val="en-US"/>
        </w:rPr>
        <w:t>，浓度均值为20.23mg/m</w:t>
      </w:r>
      <w:r>
        <w:rPr>
          <w:rFonts w:ascii="Times New Roman" w:hAnsi="Times New Roman" w:cs="Times New Roman"/>
          <w:vertAlign w:val="superscript"/>
          <w:lang w:val="en-US"/>
        </w:rPr>
        <w:t>3</w:t>
      </w:r>
      <w:r>
        <w:rPr>
          <w:rFonts w:hint="eastAsia" w:ascii="Times New Roman" w:hAnsi="Times New Roman" w:cs="Times New Roman"/>
          <w:lang w:val="en-US"/>
        </w:rPr>
        <w:t>。</w:t>
      </w:r>
      <w:r>
        <w:rPr>
          <w:rFonts w:hint="eastAsia" w:ascii="Times New Roman" w:hAnsi="Times New Roman" w:cs="Times New Roman"/>
          <w:color w:val="000000" w:themeColor="text1"/>
          <w:lang w:val="en-US"/>
          <w14:textFill>
            <w14:solidFill>
              <w14:schemeClr w14:val="tx1"/>
            </w14:solidFill>
          </w14:textFill>
        </w:rPr>
        <w:t>项目</w:t>
      </w:r>
      <w:r>
        <w:rPr>
          <w:rFonts w:hint="eastAsia" w:ascii="Times New Roman" w:hAnsi="Times New Roman" w:cs="Times New Roman"/>
          <w:color w:val="000000" w:themeColor="text1"/>
          <w:lang w:val="en-US" w:eastAsia="zh-CN"/>
          <w14:textFill>
            <w14:solidFill>
              <w14:schemeClr w14:val="tx1"/>
            </w14:solidFill>
          </w14:textFill>
        </w:rPr>
        <w:t>设置油烟风量为5000</w:t>
      </w:r>
      <w:r>
        <w:rPr>
          <w:rFonts w:ascii="Times New Roman" w:hAnsi="Times New Roman" w:cs="Times New Roman"/>
          <w:lang w:val="en-US"/>
        </w:rPr>
        <w:t>m</w:t>
      </w:r>
      <w:r>
        <w:rPr>
          <w:rFonts w:ascii="Times New Roman" w:hAnsi="Times New Roman" w:cs="Times New Roman"/>
          <w:vertAlign w:val="superscript"/>
          <w:lang w:val="en-US"/>
        </w:rPr>
        <w:t>3</w:t>
      </w:r>
      <w:r>
        <w:rPr>
          <w:rFonts w:ascii="Times New Roman" w:hAnsi="Times New Roman" w:cs="Times New Roman"/>
          <w:lang w:val="en-US"/>
        </w:rPr>
        <w:t>/</w:t>
      </w:r>
      <w:r>
        <w:rPr>
          <w:rFonts w:hint="eastAsia" w:ascii="Times New Roman" w:hAnsi="Times New Roman" w:cs="Times New Roman"/>
          <w:lang w:val="en-US" w:eastAsia="zh-CN"/>
        </w:rPr>
        <w:t>h</w:t>
      </w:r>
      <w:r>
        <w:rPr>
          <w:rFonts w:hint="eastAsia" w:ascii="Times New Roman" w:hAnsi="Times New Roman" w:cs="Times New Roman"/>
          <w:color w:val="000000" w:themeColor="text1"/>
          <w:lang w:val="en-US"/>
          <w14:textFill>
            <w14:solidFill>
              <w14:schemeClr w14:val="tx1"/>
            </w14:solidFill>
          </w14:textFill>
        </w:rPr>
        <w:t>，则油烟废气中</w:t>
      </w:r>
      <w:r>
        <w:rPr>
          <w:rFonts w:hint="eastAsia" w:ascii="Times New Roman" w:hAnsi="Times New Roman" w:cs="Times New Roman"/>
          <w:color w:val="000000" w:themeColor="text1"/>
          <w:lang w:val="en-US" w:eastAsia="zh-CN"/>
          <w14:textFill>
            <w14:solidFill>
              <w14:schemeClr w14:val="tx1"/>
            </w14:solidFill>
          </w14:textFill>
        </w:rPr>
        <w:t>油烟产生量</w:t>
      </w:r>
      <w:r>
        <w:rPr>
          <w:rFonts w:hint="eastAsia" w:ascii="Times New Roman" w:hAnsi="Times New Roman" w:cs="Times New Roman"/>
          <w:color w:val="000000" w:themeColor="text1"/>
          <w:lang w:val="en-US"/>
          <w14:textFill>
            <w14:solidFill>
              <w14:schemeClr w14:val="tx1"/>
            </w14:solidFill>
          </w14:textFill>
        </w:rPr>
        <w:t>0.</w:t>
      </w:r>
      <w:r>
        <w:rPr>
          <w:rFonts w:hint="eastAsia" w:ascii="Times New Roman" w:hAnsi="Times New Roman" w:cs="Times New Roman"/>
          <w:color w:val="000000" w:themeColor="text1"/>
          <w:lang w:val="en-US" w:eastAsia="zh-CN"/>
          <w14:textFill>
            <w14:solidFill>
              <w14:schemeClr w14:val="tx1"/>
            </w14:solidFill>
          </w14:textFill>
        </w:rPr>
        <w:t>108</w:t>
      </w:r>
      <w:r>
        <w:rPr>
          <w:rFonts w:hint="eastAsia" w:ascii="Times New Roman" w:hAnsi="Times New Roman" w:cs="Times New Roman"/>
          <w:color w:val="000000" w:themeColor="text1"/>
          <w:lang w:val="en-US"/>
          <w14:textFill>
            <w14:solidFill>
              <w14:schemeClr w14:val="tx1"/>
            </w14:solidFill>
          </w14:textFill>
        </w:rPr>
        <w:t>t/a</w:t>
      </w:r>
      <w:r>
        <w:rPr>
          <w:rFonts w:hint="eastAsia" w:ascii="Times New Roman" w:hAnsi="Times New Roman" w:cs="Times New Roman"/>
          <w:color w:val="000000" w:themeColor="text1"/>
          <w:lang w:val="en-US" w:eastAsia="zh-CN"/>
          <w14:textFill>
            <w14:solidFill>
              <w14:schemeClr w14:val="tx1"/>
            </w14:solidFill>
          </w14:textFill>
        </w:rPr>
        <w:t>，</w:t>
      </w:r>
      <w:r>
        <w:rPr>
          <w:rFonts w:hint="eastAsia" w:ascii="Times New Roman" w:hAnsi="Times New Roman" w:cs="Times New Roman"/>
          <w:color w:val="000000" w:themeColor="text1"/>
          <w:lang w:val="en-US"/>
          <w14:textFill>
            <w14:solidFill>
              <w14:schemeClr w14:val="tx1"/>
            </w14:solidFill>
          </w14:textFill>
        </w:rPr>
        <w:t>非甲烷总烃产生量</w:t>
      </w:r>
      <w:r>
        <w:rPr>
          <w:rFonts w:hint="eastAsia" w:ascii="Times New Roman" w:hAnsi="Times New Roman" w:cs="Times New Roman"/>
          <w:color w:val="000000" w:themeColor="text1"/>
          <w:lang w:val="en-US" w:eastAsia="zh-CN"/>
          <w14:textFill>
            <w14:solidFill>
              <w14:schemeClr w14:val="tx1"/>
            </w14:solidFill>
          </w14:textFill>
        </w:rPr>
        <w:t>0.182</w:t>
      </w:r>
      <w:r>
        <w:rPr>
          <w:rFonts w:hint="eastAsia" w:ascii="Times New Roman" w:hAnsi="Times New Roman" w:cs="Times New Roman"/>
          <w:color w:val="000000" w:themeColor="text1"/>
          <w:lang w:val="en-US"/>
          <w14:textFill>
            <w14:solidFill>
              <w14:schemeClr w14:val="tx1"/>
            </w14:solidFill>
          </w14:textFill>
        </w:rPr>
        <w:t>t/a。</w:t>
      </w:r>
      <w:r>
        <w:rPr>
          <w:rFonts w:ascii="Times New Roman" w:hAnsi="Times New Roman" w:cs="Times New Roman"/>
          <w:color w:val="000000" w:themeColor="text1"/>
          <w:lang w:val="en-US"/>
          <w14:textFill>
            <w14:solidFill>
              <w14:schemeClr w14:val="tx1"/>
            </w14:solidFill>
          </w14:textFill>
        </w:rPr>
        <w:t>企业采用静电式油烟净化器对</w:t>
      </w:r>
      <w:r>
        <w:rPr>
          <w:rFonts w:hint="eastAsia" w:ascii="Times New Roman" w:hAnsi="Times New Roman" w:cs="Times New Roman"/>
          <w:color w:val="000000" w:themeColor="text1"/>
          <w:lang w:val="en-US"/>
          <w14:textFill>
            <w14:solidFill>
              <w14:schemeClr w14:val="tx1"/>
            </w14:solidFill>
          </w14:textFill>
        </w:rPr>
        <w:t>烹饪车间</w:t>
      </w:r>
      <w:r>
        <w:rPr>
          <w:rFonts w:ascii="Times New Roman" w:hAnsi="Times New Roman" w:cs="Times New Roman"/>
          <w:color w:val="000000" w:themeColor="text1"/>
          <w:lang w:val="en-US"/>
          <w14:textFill>
            <w14:solidFill>
              <w14:schemeClr w14:val="tx1"/>
            </w14:solidFill>
          </w14:textFill>
        </w:rPr>
        <w:t>进行处理（油烟</w:t>
      </w:r>
      <w:r>
        <w:rPr>
          <w:rFonts w:hint="eastAsia" w:ascii="Times New Roman" w:hAnsi="Times New Roman" w:cs="Times New Roman"/>
          <w:color w:val="000000" w:themeColor="text1"/>
          <w:lang w:val="en-US"/>
          <w14:textFill>
            <w14:solidFill>
              <w14:schemeClr w14:val="tx1"/>
            </w14:solidFill>
          </w14:textFill>
        </w:rPr>
        <w:t>净化效率90</w:t>
      </w:r>
      <w:r>
        <w:rPr>
          <w:rFonts w:ascii="Times New Roman" w:hAnsi="Times New Roman" w:cs="Times New Roman"/>
          <w:color w:val="000000" w:themeColor="text1"/>
          <w:lang w:val="en-US"/>
          <w14:textFill>
            <w14:solidFill>
              <w14:schemeClr w14:val="tx1"/>
            </w14:solidFill>
          </w14:textFill>
        </w:rPr>
        <w:t>%</w:t>
      </w:r>
      <w:r>
        <w:rPr>
          <w:rFonts w:hint="eastAsia" w:ascii="Times New Roman" w:hAnsi="Times New Roman" w:cs="Times New Roman"/>
          <w:color w:val="000000" w:themeColor="text1"/>
          <w:lang w:val="en-US" w:eastAsia="zh-CN"/>
          <w14:textFill>
            <w14:solidFill>
              <w14:schemeClr w14:val="tx1"/>
            </w14:solidFill>
          </w14:textFill>
        </w:rPr>
        <w:t>，</w:t>
      </w:r>
      <w:r>
        <w:rPr>
          <w:rFonts w:hint="eastAsia" w:ascii="Times New Roman" w:hAnsi="Times New Roman" w:cs="Times New Roman"/>
          <w:color w:val="000000" w:themeColor="text1"/>
          <w:lang w:val="en-US"/>
          <w14:textFill>
            <w14:solidFill>
              <w14:schemeClr w14:val="tx1"/>
            </w14:solidFill>
          </w14:textFill>
        </w:rPr>
        <w:t>非甲烷总烃净化效率</w:t>
      </w:r>
      <w:r>
        <w:rPr>
          <w:rFonts w:hint="eastAsia" w:ascii="Times New Roman" w:hAnsi="Times New Roman" w:cs="Times New Roman"/>
          <w:color w:val="000000" w:themeColor="text1"/>
          <w:lang w:val="en-US" w:eastAsia="zh-CN"/>
          <w14:textFill>
            <w14:solidFill>
              <w14:schemeClr w14:val="tx1"/>
            </w14:solidFill>
          </w14:textFill>
        </w:rPr>
        <w:t>8</w:t>
      </w:r>
      <w:r>
        <w:rPr>
          <w:rFonts w:hint="eastAsia" w:ascii="Times New Roman" w:hAnsi="Times New Roman" w:cs="Times New Roman"/>
          <w:color w:val="000000" w:themeColor="text1"/>
          <w:lang w:val="en-US"/>
          <w14:textFill>
            <w14:solidFill>
              <w14:schemeClr w14:val="tx1"/>
            </w14:solidFill>
          </w14:textFill>
        </w:rPr>
        <w:t>0%</w:t>
      </w:r>
      <w:r>
        <w:rPr>
          <w:rFonts w:ascii="Times New Roman" w:hAnsi="Times New Roman" w:cs="Times New Roman"/>
          <w:color w:val="000000" w:themeColor="text1"/>
          <w:lang w:val="en-US"/>
          <w14:textFill>
            <w14:solidFill>
              <w14:schemeClr w14:val="tx1"/>
            </w14:solidFill>
          </w14:textFill>
        </w:rPr>
        <w:t>）。则</w:t>
      </w:r>
      <w:r>
        <w:rPr>
          <w:rFonts w:hint="eastAsia" w:ascii="Times New Roman" w:hAnsi="Times New Roman" w:cs="Times New Roman"/>
          <w:color w:val="000000" w:themeColor="text1"/>
          <w:lang w:val="en-US" w:eastAsia="zh-CN"/>
          <w14:textFill>
            <w14:solidFill>
              <w14:schemeClr w14:val="tx1"/>
            </w14:solidFill>
          </w14:textFill>
        </w:rPr>
        <w:t>油烟排放量0.01</w:t>
      </w:r>
      <w:r>
        <w:rPr>
          <w:rFonts w:hint="eastAsia" w:ascii="Times New Roman" w:hAnsi="Times New Roman" w:cs="Times New Roman"/>
          <w:color w:val="000000" w:themeColor="text1"/>
          <w:lang w:val="en-US"/>
          <w14:textFill>
            <w14:solidFill>
              <w14:schemeClr w14:val="tx1"/>
            </w14:solidFill>
          </w14:textFill>
        </w:rPr>
        <w:t>t/a</w:t>
      </w:r>
      <w:r>
        <w:rPr>
          <w:rFonts w:hint="eastAsia" w:ascii="Times New Roman" w:hAnsi="Times New Roman" w:cs="Times New Roman"/>
          <w:color w:val="000000" w:themeColor="text1"/>
          <w:lang w:val="en-US" w:eastAsia="zh-CN"/>
          <w14:textFill>
            <w14:solidFill>
              <w14:schemeClr w14:val="tx1"/>
            </w14:solidFill>
          </w14:textFill>
        </w:rPr>
        <w:t>、排放浓度为1.11</w:t>
      </w:r>
      <w:r>
        <w:rPr>
          <w:rFonts w:ascii="Times New Roman" w:hAnsi="Times New Roman" w:cs="Times New Roman"/>
          <w:color w:val="000000" w:themeColor="text1"/>
          <w:lang w:val="en-US"/>
          <w14:textFill>
            <w14:solidFill>
              <w14:schemeClr w14:val="tx1"/>
            </w14:solidFill>
          </w14:textFill>
        </w:rPr>
        <w:t>mg/m³</w:t>
      </w:r>
      <w:r>
        <w:rPr>
          <w:rFonts w:hint="eastAsia" w:ascii="Times New Roman" w:hAnsi="Times New Roman" w:cs="Times New Roman"/>
          <w:color w:val="000000" w:themeColor="text1"/>
          <w:lang w:val="en-US" w:eastAsia="zh-CN"/>
          <w14:textFill>
            <w14:solidFill>
              <w14:schemeClr w14:val="tx1"/>
            </w14:solidFill>
          </w14:textFill>
        </w:rPr>
        <w:t>，</w:t>
      </w:r>
      <w:r>
        <w:rPr>
          <w:rFonts w:hint="eastAsia" w:ascii="Times New Roman" w:hAnsi="Times New Roman" w:cs="Times New Roman"/>
          <w:color w:val="000000" w:themeColor="text1"/>
          <w:lang w:val="en-US"/>
          <w14:textFill>
            <w14:solidFill>
              <w14:schemeClr w14:val="tx1"/>
            </w14:solidFill>
          </w14:textFill>
        </w:rPr>
        <w:t>非甲烷总烃有组织排放量为</w:t>
      </w:r>
      <w:r>
        <w:rPr>
          <w:rFonts w:hint="eastAsia" w:ascii="Times New Roman" w:hAnsi="Times New Roman" w:cs="Times New Roman"/>
          <w:color w:val="000000" w:themeColor="text1"/>
          <w:lang w:val="en-US" w:eastAsia="zh-CN"/>
          <w14:textFill>
            <w14:solidFill>
              <w14:schemeClr w14:val="tx1"/>
            </w14:solidFill>
          </w14:textFill>
        </w:rPr>
        <w:t>0.036</w:t>
      </w:r>
      <w:r>
        <w:rPr>
          <w:rFonts w:hint="eastAsia" w:ascii="Times New Roman" w:hAnsi="Times New Roman" w:cs="Times New Roman"/>
          <w:color w:val="000000" w:themeColor="text1"/>
          <w:lang w:val="en-US"/>
          <w14:textFill>
            <w14:solidFill>
              <w14:schemeClr w14:val="tx1"/>
            </w14:solidFill>
          </w14:textFill>
        </w:rPr>
        <w:t>t</w:t>
      </w:r>
      <w:r>
        <w:rPr>
          <w:rFonts w:ascii="Times New Roman" w:hAnsi="Times New Roman" w:cs="Times New Roman"/>
          <w:color w:val="000000" w:themeColor="text1"/>
          <w:lang w:val="en-US"/>
          <w14:textFill>
            <w14:solidFill>
              <w14:schemeClr w14:val="tx1"/>
            </w14:solidFill>
          </w14:textFill>
        </w:rPr>
        <w:t>/a，</w:t>
      </w:r>
      <w:r>
        <w:rPr>
          <w:rFonts w:hint="eastAsia" w:ascii="Times New Roman" w:hAnsi="Times New Roman" w:cs="Times New Roman"/>
          <w:color w:val="000000" w:themeColor="text1"/>
          <w:lang w:val="en-US"/>
          <w14:textFill>
            <w14:solidFill>
              <w14:schemeClr w14:val="tx1"/>
            </w14:solidFill>
          </w14:textFill>
        </w:rPr>
        <w:t>非甲烷总烃排放浓度为</w:t>
      </w:r>
      <w:r>
        <w:rPr>
          <w:rFonts w:hint="eastAsia" w:ascii="Times New Roman" w:hAnsi="Times New Roman" w:cs="Times New Roman"/>
          <w:color w:val="000000" w:themeColor="text1"/>
          <w:lang w:val="en-US" w:eastAsia="zh-CN"/>
          <w14:textFill>
            <w14:solidFill>
              <w14:schemeClr w14:val="tx1"/>
            </w14:solidFill>
          </w14:textFill>
        </w:rPr>
        <w:t>4.0</w:t>
      </w:r>
      <w:r>
        <w:rPr>
          <w:rFonts w:ascii="Times New Roman" w:hAnsi="Times New Roman" w:cs="Times New Roman"/>
          <w:color w:val="000000" w:themeColor="text1"/>
          <w:lang w:val="en-US"/>
          <w14:textFill>
            <w14:solidFill>
              <w14:schemeClr w14:val="tx1"/>
            </w14:solidFill>
          </w14:textFill>
        </w:rPr>
        <w:t>mg/m³</w:t>
      </w:r>
      <w:r>
        <w:rPr>
          <w:rFonts w:hint="eastAsia" w:ascii="Times New Roman" w:hAnsi="Times New Roman" w:cs="Times New Roman"/>
          <w:color w:val="000000" w:themeColor="text1"/>
          <w:lang w:val="en-US"/>
          <w14:textFill>
            <w14:solidFill>
              <w14:schemeClr w14:val="tx1"/>
            </w14:solidFill>
          </w14:textFill>
        </w:rPr>
        <w:t>，</w:t>
      </w:r>
      <w:r>
        <w:rPr>
          <w:rFonts w:ascii="Times New Roman" w:hAnsi="Times New Roman" w:cs="Times New Roman"/>
          <w:color w:val="000000" w:themeColor="text1"/>
          <w:lang w:val="en-US"/>
          <w14:textFill>
            <w14:solidFill>
              <w14:schemeClr w14:val="tx1"/>
            </w14:solidFill>
          </w14:textFill>
        </w:rPr>
        <w:t>满足</w:t>
      </w:r>
      <w:r>
        <w:rPr>
          <w:rFonts w:hint="eastAsia" w:ascii="Times New Roman" w:hAnsi="Times New Roman" w:cs="Times New Roman"/>
          <w:color w:val="000000" w:themeColor="text1"/>
          <w:lang w:val="en-US"/>
          <w14:textFill>
            <w14:solidFill>
              <w14:schemeClr w14:val="tx1"/>
            </w14:solidFill>
          </w14:textFill>
        </w:rPr>
        <w:t>《餐饮业油烟污染物排放标准》（</w:t>
      </w:r>
      <w:r>
        <w:rPr>
          <w:rFonts w:ascii="Times New Roman" w:hAnsi="Times New Roman" w:cs="Times New Roman"/>
          <w:color w:val="000000" w:themeColor="text1"/>
          <w:lang w:val="en-US"/>
          <w14:textFill>
            <w14:solidFill>
              <w14:schemeClr w14:val="tx1"/>
            </w14:solidFill>
          </w14:textFill>
        </w:rPr>
        <w:t>GB</w:t>
      </w:r>
      <w:r>
        <w:rPr>
          <w:rFonts w:hint="eastAsia" w:ascii="Times New Roman" w:hAnsi="Times New Roman" w:cs="Times New Roman"/>
          <w:color w:val="000000" w:themeColor="text1"/>
          <w:lang w:val="en-US"/>
          <w14:textFill>
            <w14:solidFill>
              <w14:schemeClr w14:val="tx1"/>
            </w14:solidFill>
          </w14:textFill>
        </w:rPr>
        <w:t>41/1604</w:t>
      </w:r>
      <w:r>
        <w:rPr>
          <w:rFonts w:ascii="Times New Roman" w:hAnsi="Times New Roman" w:cs="Times New Roman"/>
          <w:color w:val="000000" w:themeColor="text1"/>
          <w:lang w:val="en-US"/>
          <w14:textFill>
            <w14:solidFill>
              <w14:schemeClr w14:val="tx1"/>
            </w14:solidFill>
          </w14:textFill>
        </w:rPr>
        <w:t>-20</w:t>
      </w:r>
      <w:r>
        <w:rPr>
          <w:rFonts w:hint="eastAsia" w:ascii="Times New Roman" w:hAnsi="Times New Roman" w:cs="Times New Roman"/>
          <w:color w:val="000000" w:themeColor="text1"/>
          <w:lang w:val="en-US"/>
          <w14:textFill>
            <w14:solidFill>
              <w14:schemeClr w14:val="tx1"/>
            </w14:solidFill>
          </w14:textFill>
        </w:rPr>
        <w:t>18）</w:t>
      </w:r>
      <w:r>
        <w:rPr>
          <w:rFonts w:ascii="Times New Roman" w:hAnsi="Times New Roman" w:cs="Times New Roman"/>
          <w:color w:val="000000" w:themeColor="text1"/>
          <w:lang w:val="en-US"/>
          <w14:textFill>
            <w14:solidFill>
              <w14:schemeClr w14:val="tx1"/>
            </w14:solidFill>
          </w14:textFill>
        </w:rPr>
        <w:t>表2中的</w:t>
      </w:r>
      <w:r>
        <w:rPr>
          <w:rFonts w:hint="eastAsia" w:ascii="Times New Roman" w:hAnsi="Times New Roman" w:cs="Times New Roman"/>
          <w:color w:val="000000" w:themeColor="text1"/>
          <w:lang w:val="en-US" w:eastAsia="zh-CN"/>
          <w14:textFill>
            <w14:solidFill>
              <w14:schemeClr w14:val="tx1"/>
            </w14:solidFill>
          </w14:textFill>
        </w:rPr>
        <w:t>中</w:t>
      </w:r>
      <w:r>
        <w:rPr>
          <w:rFonts w:ascii="Times New Roman" w:hAnsi="Times New Roman" w:cs="Times New Roman"/>
          <w:color w:val="000000" w:themeColor="text1"/>
          <w:lang w:val="en-US"/>
          <w14:textFill>
            <w14:solidFill>
              <w14:schemeClr w14:val="tx1"/>
            </w14:solidFill>
          </w14:textFill>
        </w:rPr>
        <w:t>型要求（油烟≤1.</w:t>
      </w:r>
      <w:r>
        <w:rPr>
          <w:rFonts w:hint="eastAsia" w:ascii="Times New Roman" w:hAnsi="Times New Roman" w:cs="Times New Roman"/>
          <w:color w:val="000000" w:themeColor="text1"/>
          <w:lang w:val="en-US" w:eastAsia="zh-CN"/>
          <w14:textFill>
            <w14:solidFill>
              <w14:schemeClr w14:val="tx1"/>
            </w14:solidFill>
          </w14:textFill>
        </w:rPr>
        <w:t>5</w:t>
      </w:r>
      <w:r>
        <w:rPr>
          <w:rFonts w:ascii="Times New Roman" w:hAnsi="Times New Roman" w:cs="Times New Roman"/>
          <w:color w:val="000000" w:themeColor="text1"/>
          <w:lang w:val="en-US"/>
          <w14:textFill>
            <w14:solidFill>
              <w14:schemeClr w14:val="tx1"/>
            </w14:solidFill>
          </w14:textFill>
        </w:rPr>
        <w:t>mg/m</w:t>
      </w:r>
      <w:r>
        <w:rPr>
          <w:rFonts w:hint="eastAsia" w:ascii="Times New Roman" w:hAnsi="Times New Roman" w:cs="Times New Roman"/>
          <w:color w:val="000000" w:themeColor="text1"/>
          <w:vertAlign w:val="superscript"/>
          <w:lang w:val="en-US"/>
          <w14:textFill>
            <w14:solidFill>
              <w14:schemeClr w14:val="tx1"/>
            </w14:solidFill>
          </w14:textFill>
        </w:rPr>
        <w:t>3</w:t>
      </w:r>
      <w:r>
        <w:rPr>
          <w:rFonts w:hint="eastAsia" w:ascii="Times New Roman" w:hAnsi="Times New Roman" w:cs="Times New Roman"/>
          <w:color w:val="000000" w:themeColor="text1"/>
          <w:lang w:val="en-US"/>
          <w14:textFill>
            <w14:solidFill>
              <w14:schemeClr w14:val="tx1"/>
            </w14:solidFill>
          </w14:textFill>
        </w:rPr>
        <w:t>；非甲烷总烃</w:t>
      </w:r>
      <w:r>
        <w:rPr>
          <w:rFonts w:ascii="Times New Roman" w:hAnsi="Times New Roman" w:cs="Times New Roman"/>
          <w:color w:val="000000" w:themeColor="text1"/>
          <w:lang w:val="en-US"/>
          <w14:textFill>
            <w14:solidFill>
              <w14:schemeClr w14:val="tx1"/>
            </w14:solidFill>
          </w14:textFill>
        </w:rPr>
        <w:t>≤1</w:t>
      </w:r>
      <w:r>
        <w:rPr>
          <w:rFonts w:hint="eastAsia" w:ascii="Times New Roman" w:hAnsi="Times New Roman" w:cs="Times New Roman"/>
          <w:color w:val="000000" w:themeColor="text1"/>
          <w:lang w:val="en-US"/>
          <w14:textFill>
            <w14:solidFill>
              <w14:schemeClr w14:val="tx1"/>
            </w14:solidFill>
          </w14:textFill>
        </w:rPr>
        <w:t>0.0</w:t>
      </w:r>
      <w:r>
        <w:rPr>
          <w:rFonts w:ascii="Times New Roman" w:hAnsi="Times New Roman" w:cs="Times New Roman"/>
          <w:color w:val="000000" w:themeColor="text1"/>
          <w:lang w:val="en-US"/>
          <w14:textFill>
            <w14:solidFill>
              <w14:schemeClr w14:val="tx1"/>
            </w14:solidFill>
          </w14:textFill>
        </w:rPr>
        <w:t>mg/m</w:t>
      </w:r>
      <w:r>
        <w:rPr>
          <w:rFonts w:hint="eastAsia" w:ascii="Times New Roman" w:hAnsi="Times New Roman" w:cs="Times New Roman"/>
          <w:color w:val="000000" w:themeColor="text1"/>
          <w:vertAlign w:val="superscript"/>
          <w:lang w:val="en-US"/>
          <w14:textFill>
            <w14:solidFill>
              <w14:schemeClr w14:val="tx1"/>
            </w14:solidFill>
          </w14:textFill>
        </w:rPr>
        <w:t>3</w:t>
      </w:r>
      <w:r>
        <w:rPr>
          <w:rFonts w:ascii="Times New Roman" w:hAnsi="Times New Roman" w:cs="Times New Roman"/>
          <w:color w:val="000000" w:themeColor="text1"/>
          <w:lang w:val="en-US"/>
          <w14:textFill>
            <w14:solidFill>
              <w14:schemeClr w14:val="tx1"/>
            </w14:solidFill>
          </w14:textFill>
        </w:rPr>
        <w:t>）</w:t>
      </w:r>
      <w:r>
        <w:rPr>
          <w:rFonts w:ascii="Times New Roman" w:hAnsi="Times New Roman" w:cs="Times New Roman"/>
          <w:lang w:val="en-US"/>
        </w:rPr>
        <w:t>。</w:t>
      </w:r>
    </w:p>
    <w:p>
      <w:pPr>
        <w:widowControl/>
        <w:ind w:firstLine="480"/>
        <w:rPr>
          <w:color w:val="000000"/>
          <w:lang w:bidi="ar"/>
        </w:rPr>
      </w:pPr>
      <w:r>
        <w:rPr>
          <w:rFonts w:hint="eastAsia"/>
          <w:color w:val="000000"/>
          <w:lang w:bidi="ar"/>
        </w:rPr>
        <w:t>（9）厂区污水站</w:t>
      </w:r>
    </w:p>
    <w:p>
      <w:pPr>
        <w:pStyle w:val="39"/>
        <w:autoSpaceDE w:val="0"/>
        <w:ind w:firstLine="482"/>
        <w:jc w:val="both"/>
        <w:rPr>
          <w:rFonts w:ascii="Times New Roman" w:hAnsi="Times New Roman" w:cs="Times New Roman"/>
          <w:lang w:val="en-US"/>
        </w:rPr>
      </w:pPr>
      <w:r>
        <w:rPr>
          <w:rFonts w:cs="Times New Roman"/>
          <w:b/>
          <w:bCs/>
          <w:szCs w:val="28"/>
        </w:rPr>
        <w:t>产生情况：</w:t>
      </w:r>
      <w:r>
        <w:rPr>
          <w:rFonts w:ascii="Times New Roman" w:hAnsi="Times New Roman" w:cs="Times New Roman"/>
          <w:lang w:val="en-US"/>
        </w:rPr>
        <w:t>污水处理站的恶臭主要来源于污水、污泥中有机物的分解、发酵过程中散发的化学物质，主要种类有硫化物、氨等。污水处理系统内臭气的主要产生源是污水处理区、预处理区以及污泥处理区。</w:t>
      </w:r>
    </w:p>
    <w:p>
      <w:pPr>
        <w:pStyle w:val="39"/>
        <w:autoSpaceDE w:val="0"/>
        <w:ind w:firstLine="480"/>
        <w:jc w:val="both"/>
        <w:rPr>
          <w:rFonts w:ascii="Times New Roman" w:hAnsi="Times New Roman" w:cs="Times New Roman"/>
          <w:lang w:val="en-US"/>
        </w:rPr>
      </w:pPr>
      <w:r>
        <w:rPr>
          <w:rFonts w:ascii="Times New Roman" w:hAnsi="Times New Roman" w:cs="Times New Roman"/>
          <w:lang w:val="en-US"/>
        </w:rPr>
        <w:t>a、恶臭污染物产生浓度</w:t>
      </w:r>
    </w:p>
    <w:p>
      <w:pPr>
        <w:pStyle w:val="39"/>
        <w:autoSpaceDE w:val="0"/>
        <w:ind w:firstLine="480"/>
        <w:jc w:val="both"/>
        <w:rPr>
          <w:rFonts w:ascii="Times New Roman" w:hAnsi="Times New Roman" w:cs="Times New Roman"/>
          <w:lang w:val="en-US"/>
        </w:rPr>
      </w:pPr>
      <w:r>
        <w:rPr>
          <w:rFonts w:ascii="Times New Roman" w:hAnsi="Times New Roman" w:cs="Times New Roman"/>
          <w:lang w:val="en-US"/>
        </w:rPr>
        <w:t>类比同类项目（泉州市鸥昌树脂化工有限公司），泉州市鸥昌树脂化工有限公司产品方案为年产1万吨不饱和聚酯树脂</w:t>
      </w:r>
      <w:r>
        <w:rPr>
          <w:rFonts w:hint="eastAsia" w:ascii="Times New Roman" w:hAnsi="Times New Roman" w:cs="Times New Roman"/>
          <w:lang w:val="en-US" w:eastAsia="zh-CN"/>
        </w:rPr>
        <w:t>（2015年审批）</w:t>
      </w:r>
      <w:r>
        <w:rPr>
          <w:rFonts w:ascii="Times New Roman" w:hAnsi="Times New Roman" w:cs="Times New Roman"/>
          <w:lang w:val="en-US"/>
        </w:rPr>
        <w:t>，产品类型与本项目基本一致，废水产生类别基本相同。鸥昌树脂公司废水处理工艺与本项目废水处理工艺基本相同，测定污水处理中恶臭污染物成分及浓度，见下表。</w:t>
      </w:r>
    </w:p>
    <w:p>
      <w:pPr>
        <w:ind w:firstLine="0" w:firstLineChars="0"/>
        <w:jc w:val="center"/>
        <w:rPr>
          <w:rFonts w:cs="Times New Roman"/>
          <w:b/>
          <w:bCs/>
          <w:szCs w:val="28"/>
        </w:rPr>
      </w:pPr>
      <w:r>
        <w:rPr>
          <w:rFonts w:hint="eastAsia"/>
          <w:b/>
          <w:bCs/>
          <w:color w:val="000000"/>
          <w:lang w:bidi="ar"/>
        </w:rPr>
        <w:t>表4.3-3  污水处理站恶臭气体浓度</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25"/>
        <w:gridCol w:w="4463"/>
        <w:gridCol w:w="2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36" w:type="pct"/>
            <w:vAlign w:val="center"/>
          </w:tcPr>
          <w:p>
            <w:pPr>
              <w:spacing w:line="360" w:lineRule="exact"/>
              <w:ind w:firstLine="0" w:firstLineChars="0"/>
              <w:jc w:val="center"/>
              <w:rPr>
                <w:rFonts w:cs="Times New Roman"/>
                <w:b/>
                <w:bCs/>
                <w:sz w:val="21"/>
                <w:szCs w:val="21"/>
              </w:rPr>
            </w:pPr>
            <w:r>
              <w:rPr>
                <w:rFonts w:hint="eastAsia" w:cs="Times New Roman"/>
                <w:b/>
                <w:bCs/>
                <w:sz w:val="21"/>
                <w:szCs w:val="21"/>
              </w:rPr>
              <w:t>污染物质</w:t>
            </w:r>
          </w:p>
        </w:tc>
        <w:tc>
          <w:tcPr>
            <w:tcW w:w="2402" w:type="pct"/>
            <w:vAlign w:val="center"/>
          </w:tcPr>
          <w:p>
            <w:pPr>
              <w:spacing w:line="360" w:lineRule="exact"/>
              <w:ind w:firstLine="0" w:firstLineChars="0"/>
              <w:jc w:val="center"/>
              <w:rPr>
                <w:rFonts w:cs="Times New Roman"/>
                <w:b/>
                <w:bCs/>
                <w:sz w:val="21"/>
                <w:szCs w:val="21"/>
              </w:rPr>
            </w:pPr>
            <w:r>
              <w:rPr>
                <w:rFonts w:hint="eastAsia" w:cs="Times New Roman"/>
                <w:b/>
                <w:bCs/>
                <w:sz w:val="21"/>
                <w:szCs w:val="21"/>
              </w:rPr>
              <w:t>调节池、厌氧池、接触氧化池</w:t>
            </w:r>
          </w:p>
        </w:tc>
        <w:tc>
          <w:tcPr>
            <w:tcW w:w="1561" w:type="pct"/>
            <w:vAlign w:val="center"/>
          </w:tcPr>
          <w:p>
            <w:pPr>
              <w:spacing w:line="360" w:lineRule="exact"/>
              <w:ind w:firstLine="0" w:firstLineChars="0"/>
              <w:jc w:val="center"/>
              <w:rPr>
                <w:rFonts w:cs="Times New Roman"/>
                <w:b/>
                <w:bCs/>
                <w:sz w:val="21"/>
                <w:szCs w:val="21"/>
              </w:rPr>
            </w:pPr>
            <w:r>
              <w:rPr>
                <w:rFonts w:hint="eastAsia" w:cs="Times New Roman"/>
                <w:b/>
                <w:bCs/>
                <w:sz w:val="21"/>
                <w:szCs w:val="21"/>
              </w:rPr>
              <w:t>压滤区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36" w:type="pct"/>
            <w:vAlign w:val="center"/>
          </w:tcPr>
          <w:p>
            <w:pPr>
              <w:spacing w:line="360" w:lineRule="exact"/>
              <w:ind w:firstLine="0" w:firstLineChars="0"/>
              <w:jc w:val="center"/>
              <w:rPr>
                <w:rFonts w:cs="Times New Roman"/>
                <w:sz w:val="21"/>
                <w:szCs w:val="21"/>
              </w:rPr>
            </w:pPr>
            <w:r>
              <w:rPr>
                <w:rFonts w:hint="eastAsia" w:cs="Times New Roman"/>
                <w:sz w:val="21"/>
                <w:szCs w:val="21"/>
              </w:rPr>
              <w:t>硫化氢</w:t>
            </w:r>
          </w:p>
        </w:tc>
        <w:tc>
          <w:tcPr>
            <w:tcW w:w="2402" w:type="pct"/>
            <w:vAlign w:val="center"/>
          </w:tcPr>
          <w:p>
            <w:pPr>
              <w:spacing w:line="360" w:lineRule="exact"/>
              <w:ind w:firstLine="0" w:firstLineChars="0"/>
              <w:jc w:val="center"/>
              <w:rPr>
                <w:rFonts w:cs="Times New Roman"/>
                <w:sz w:val="21"/>
                <w:szCs w:val="21"/>
              </w:rPr>
            </w:pPr>
            <w:r>
              <w:rPr>
                <w:rFonts w:hint="eastAsia" w:cs="Times New Roman"/>
                <w:sz w:val="21"/>
                <w:szCs w:val="21"/>
              </w:rPr>
              <w:t>0.005mg/m</w:t>
            </w:r>
            <w:r>
              <w:rPr>
                <w:rFonts w:hint="eastAsia" w:cs="Times New Roman"/>
                <w:sz w:val="21"/>
                <w:szCs w:val="21"/>
                <w:vertAlign w:val="superscript"/>
              </w:rPr>
              <w:t>3</w:t>
            </w:r>
          </w:p>
        </w:tc>
        <w:tc>
          <w:tcPr>
            <w:tcW w:w="1561" w:type="pct"/>
            <w:vAlign w:val="center"/>
          </w:tcPr>
          <w:p>
            <w:pPr>
              <w:spacing w:line="360" w:lineRule="exact"/>
              <w:ind w:firstLine="0" w:firstLineChars="0"/>
              <w:jc w:val="center"/>
              <w:rPr>
                <w:rFonts w:cs="Times New Roman"/>
                <w:sz w:val="21"/>
                <w:szCs w:val="21"/>
              </w:rPr>
            </w:pPr>
            <w:r>
              <w:rPr>
                <w:rFonts w:hint="eastAsia" w:cs="Times New Roman"/>
                <w:sz w:val="21"/>
                <w:szCs w:val="21"/>
              </w:rPr>
              <w:t>0.052mg/m</w:t>
            </w:r>
            <w:r>
              <w:rPr>
                <w:rFonts w:hint="eastAsia" w:cs="Times New Roman"/>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36" w:type="pct"/>
            <w:vAlign w:val="center"/>
          </w:tcPr>
          <w:p>
            <w:pPr>
              <w:spacing w:line="360" w:lineRule="exact"/>
              <w:ind w:firstLine="0" w:firstLineChars="0"/>
              <w:jc w:val="center"/>
              <w:rPr>
                <w:rFonts w:cs="Times New Roman"/>
                <w:sz w:val="21"/>
                <w:szCs w:val="21"/>
              </w:rPr>
            </w:pPr>
            <w:r>
              <w:rPr>
                <w:rFonts w:hint="eastAsia" w:cs="Times New Roman"/>
                <w:sz w:val="21"/>
                <w:szCs w:val="21"/>
              </w:rPr>
              <w:t>氨</w:t>
            </w:r>
          </w:p>
        </w:tc>
        <w:tc>
          <w:tcPr>
            <w:tcW w:w="2402" w:type="pct"/>
            <w:vAlign w:val="center"/>
          </w:tcPr>
          <w:p>
            <w:pPr>
              <w:spacing w:line="360" w:lineRule="exact"/>
              <w:ind w:firstLine="0" w:firstLineChars="0"/>
              <w:jc w:val="center"/>
              <w:rPr>
                <w:rFonts w:cs="Times New Roman"/>
                <w:sz w:val="21"/>
                <w:szCs w:val="21"/>
              </w:rPr>
            </w:pPr>
            <w:r>
              <w:rPr>
                <w:rFonts w:hint="eastAsia" w:cs="Times New Roman"/>
                <w:sz w:val="21"/>
                <w:szCs w:val="21"/>
              </w:rPr>
              <w:t>0.072mg/m</w:t>
            </w:r>
            <w:r>
              <w:rPr>
                <w:rFonts w:hint="eastAsia" w:cs="Times New Roman"/>
                <w:sz w:val="21"/>
                <w:szCs w:val="21"/>
                <w:vertAlign w:val="superscript"/>
              </w:rPr>
              <w:t>3</w:t>
            </w:r>
          </w:p>
        </w:tc>
        <w:tc>
          <w:tcPr>
            <w:tcW w:w="1561" w:type="pct"/>
            <w:vAlign w:val="center"/>
          </w:tcPr>
          <w:p>
            <w:pPr>
              <w:spacing w:line="360" w:lineRule="exact"/>
              <w:ind w:firstLine="0" w:firstLineChars="0"/>
              <w:jc w:val="center"/>
              <w:rPr>
                <w:rFonts w:cs="Times New Roman"/>
                <w:sz w:val="21"/>
                <w:szCs w:val="21"/>
              </w:rPr>
            </w:pPr>
            <w:r>
              <w:rPr>
                <w:rFonts w:hint="eastAsia" w:cs="Times New Roman"/>
                <w:sz w:val="21"/>
                <w:szCs w:val="21"/>
              </w:rPr>
              <w:t>0.704mg/m</w:t>
            </w:r>
            <w:r>
              <w:rPr>
                <w:rFonts w:hint="eastAsia" w:cs="Times New Roman"/>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36" w:type="pct"/>
            <w:vAlign w:val="center"/>
          </w:tcPr>
          <w:p>
            <w:pPr>
              <w:spacing w:line="360" w:lineRule="exact"/>
              <w:ind w:firstLine="0" w:firstLineChars="0"/>
              <w:jc w:val="center"/>
              <w:rPr>
                <w:rFonts w:cs="Times New Roman"/>
                <w:sz w:val="21"/>
                <w:szCs w:val="21"/>
              </w:rPr>
            </w:pPr>
            <w:r>
              <w:rPr>
                <w:rFonts w:hint="eastAsia" w:cs="Times New Roman"/>
                <w:sz w:val="21"/>
                <w:szCs w:val="21"/>
              </w:rPr>
              <w:t>臭气浓度</w:t>
            </w:r>
          </w:p>
        </w:tc>
        <w:tc>
          <w:tcPr>
            <w:tcW w:w="2402" w:type="pct"/>
            <w:vAlign w:val="center"/>
          </w:tcPr>
          <w:p>
            <w:pPr>
              <w:spacing w:line="360" w:lineRule="exact"/>
              <w:ind w:firstLine="0" w:firstLineChars="0"/>
              <w:jc w:val="center"/>
              <w:rPr>
                <w:rFonts w:cs="Times New Roman"/>
                <w:sz w:val="21"/>
                <w:szCs w:val="21"/>
              </w:rPr>
            </w:pPr>
            <w:r>
              <w:rPr>
                <w:rFonts w:hint="eastAsia" w:cs="Times New Roman"/>
                <w:sz w:val="21"/>
                <w:szCs w:val="21"/>
              </w:rPr>
              <w:t>约1000（无量纲）</w:t>
            </w:r>
          </w:p>
        </w:tc>
        <w:tc>
          <w:tcPr>
            <w:tcW w:w="1561" w:type="pct"/>
            <w:vAlign w:val="center"/>
          </w:tcPr>
          <w:p>
            <w:pPr>
              <w:spacing w:line="360" w:lineRule="exact"/>
              <w:ind w:firstLine="0" w:firstLineChars="0"/>
              <w:jc w:val="center"/>
              <w:rPr>
                <w:rFonts w:cs="Times New Roman"/>
                <w:sz w:val="21"/>
                <w:szCs w:val="21"/>
              </w:rPr>
            </w:pPr>
            <w:r>
              <w:rPr>
                <w:rFonts w:hint="eastAsia" w:cs="Times New Roman"/>
                <w:sz w:val="21"/>
                <w:szCs w:val="21"/>
              </w:rPr>
              <w:t>约2000（无量纲）</w:t>
            </w:r>
          </w:p>
        </w:tc>
      </w:tr>
    </w:tbl>
    <w:p>
      <w:pPr>
        <w:pStyle w:val="39"/>
        <w:autoSpaceDE w:val="0"/>
        <w:ind w:firstLine="480"/>
        <w:jc w:val="both"/>
        <w:rPr>
          <w:rFonts w:ascii="Times New Roman" w:hAnsi="Times New Roman" w:cs="Times New Roman"/>
          <w:lang w:val="en-US"/>
        </w:rPr>
      </w:pPr>
      <w:r>
        <w:rPr>
          <w:rFonts w:ascii="Times New Roman" w:hAnsi="Times New Roman" w:cs="Times New Roman"/>
          <w:lang w:val="en-US"/>
        </w:rPr>
        <w:t>b、污水处理站恶臭污染物源强分析</w:t>
      </w:r>
    </w:p>
    <w:p>
      <w:pPr>
        <w:pStyle w:val="39"/>
        <w:autoSpaceDE w:val="0"/>
        <w:ind w:firstLine="480"/>
        <w:jc w:val="both"/>
        <w:rPr>
          <w:rFonts w:ascii="Times New Roman" w:hAnsi="Times New Roman" w:cs="Times New Roman"/>
          <w:lang w:val="en-US"/>
        </w:rPr>
      </w:pPr>
      <w:r>
        <w:rPr>
          <w:rFonts w:ascii="Times New Roman" w:hAnsi="Times New Roman" w:cs="Times New Roman"/>
          <w:lang w:val="en-US"/>
        </w:rPr>
        <w:t>项目污水处理站排放恶臭污染源来自调节池、厌氧池、接触氧化池、污泥浓缩池等，根据文献（曾向东等《炼油厂恶臭污染物排放量的简易算法》），项目主要恶臭源污染物无组织排放量可按下式估算</w:t>
      </w:r>
      <w:r>
        <w:rPr>
          <w:rFonts w:hint="eastAsia" w:ascii="Times New Roman" w:hAnsi="Times New Roman" w:cs="Times New Roman"/>
          <w:lang w:val="en-US"/>
        </w:rPr>
        <w:t>：</w:t>
      </w:r>
    </w:p>
    <w:p>
      <w:pPr>
        <w:pStyle w:val="25"/>
        <w:widowControl/>
        <w:spacing w:beforeAutospacing="0" w:afterAutospacing="0"/>
        <w:ind w:firstLine="0" w:firstLineChars="0"/>
        <w:jc w:val="center"/>
      </w:pPr>
      <w:r>
        <w:t>G=C×U×Q</w:t>
      </w:r>
      <w:r>
        <w:rPr>
          <w:rFonts w:hint="eastAsia"/>
          <w:vertAlign w:val="subscript"/>
        </w:rPr>
        <w:t>r</w:t>
      </w:r>
    </w:p>
    <w:p>
      <w:pPr>
        <w:pStyle w:val="25"/>
        <w:widowControl/>
        <w:spacing w:beforeAutospacing="0" w:afterAutospacing="0"/>
        <w:ind w:firstLine="480"/>
      </w:pPr>
      <w:r>
        <w:t>式中</w:t>
      </w:r>
      <w:r>
        <w:rPr>
          <w:rFonts w:hint="eastAsia"/>
          <w:lang w:eastAsia="zh-CN"/>
        </w:rPr>
        <w:t>：</w:t>
      </w:r>
      <w:r>
        <w:t>G——一面源污染源恶臭物质排放量，kg/h</w:t>
      </w:r>
      <w:r>
        <w:rPr>
          <w:rFonts w:hint="eastAsia"/>
        </w:rPr>
        <w:t>；</w:t>
      </w:r>
    </w:p>
    <w:p>
      <w:pPr>
        <w:pStyle w:val="25"/>
        <w:widowControl/>
        <w:spacing w:beforeAutospacing="0" w:afterAutospacing="0"/>
        <w:ind w:firstLine="1200" w:firstLineChars="500"/>
      </w:pPr>
      <w:r>
        <w:t>C——面源污染源恶臭物质实测浓度，mg/m³</w:t>
      </w:r>
      <w:r>
        <w:rPr>
          <w:rFonts w:hint="eastAsia"/>
        </w:rPr>
        <w:t>；</w:t>
      </w:r>
    </w:p>
    <w:p>
      <w:pPr>
        <w:pStyle w:val="25"/>
        <w:widowControl/>
        <w:spacing w:beforeAutospacing="0" w:afterAutospacing="0"/>
        <w:ind w:firstLine="1200" w:firstLineChars="500"/>
      </w:pPr>
      <w:r>
        <w:t>U——采样时当地平均风速，m/s，当地平均风速以多年平均风速</w:t>
      </w:r>
      <w:r>
        <w:rPr>
          <w:rFonts w:hint="eastAsia"/>
        </w:rPr>
        <w:t>2.7</w:t>
      </w:r>
      <w:r>
        <w:t>m/s计</w:t>
      </w:r>
      <w:r>
        <w:rPr>
          <w:rFonts w:hint="eastAsia"/>
        </w:rPr>
        <w:t>；</w:t>
      </w:r>
    </w:p>
    <w:p>
      <w:pPr>
        <w:pStyle w:val="25"/>
        <w:widowControl/>
        <w:spacing w:beforeAutospacing="0" w:afterAutospacing="0"/>
        <w:ind w:firstLine="1200" w:firstLineChars="500"/>
      </w:pPr>
      <w:r>
        <w:t>Q</w:t>
      </w:r>
      <w:r>
        <w:rPr>
          <w:vertAlign w:val="subscript"/>
        </w:rPr>
        <w:t>r</w:t>
      </w:r>
      <w:r>
        <w:t>——面源污染源强计算参数，取值方法见表</w:t>
      </w:r>
      <w:r>
        <w:rPr>
          <w:rFonts w:hint="eastAsia"/>
        </w:rPr>
        <w:t>4.3-4</w:t>
      </w:r>
      <w:r>
        <w:t>。</w:t>
      </w:r>
    </w:p>
    <w:p>
      <w:pPr>
        <w:ind w:firstLine="0" w:firstLineChars="0"/>
        <w:jc w:val="center"/>
        <w:rPr>
          <w:rFonts w:cs="Times New Roman"/>
          <w:b/>
          <w:bCs/>
          <w:szCs w:val="28"/>
        </w:rPr>
      </w:pPr>
      <w:r>
        <w:rPr>
          <w:rFonts w:hint="eastAsia"/>
          <w:b/>
          <w:bCs/>
          <w:color w:val="000000"/>
          <w:lang w:bidi="ar"/>
        </w:rPr>
        <w:t>表4.3-4  面源污染源强计算参数取值方法</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1"/>
        <w:gridCol w:w="885"/>
        <w:gridCol w:w="796"/>
        <w:gridCol w:w="818"/>
        <w:gridCol w:w="864"/>
        <w:gridCol w:w="855"/>
        <w:gridCol w:w="960"/>
        <w:gridCol w:w="960"/>
        <w:gridCol w:w="960"/>
        <w:gridCol w:w="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面源等效半径Ra（m）</w:t>
            </w:r>
          </w:p>
        </w:tc>
        <w:tc>
          <w:tcPr>
            <w:tcW w:w="92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≤20</w:t>
            </w:r>
          </w:p>
        </w:tc>
        <w:tc>
          <w:tcPr>
            <w:tcW w:w="800"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21~40</w:t>
            </w:r>
          </w:p>
        </w:tc>
        <w:tc>
          <w:tcPr>
            <w:tcW w:w="82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41~60</w:t>
            </w:r>
          </w:p>
        </w:tc>
        <w:tc>
          <w:tcPr>
            <w:tcW w:w="87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61~80</w:t>
            </w:r>
          </w:p>
        </w:tc>
        <w:tc>
          <w:tcPr>
            <w:tcW w:w="850"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81~100</w:t>
            </w:r>
          </w:p>
        </w:tc>
        <w:tc>
          <w:tcPr>
            <w:tcW w:w="92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101~120</w:t>
            </w:r>
          </w:p>
        </w:tc>
        <w:tc>
          <w:tcPr>
            <w:tcW w:w="913"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121~150</w:t>
            </w:r>
          </w:p>
        </w:tc>
        <w:tc>
          <w:tcPr>
            <w:tcW w:w="900"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151~180</w:t>
            </w:r>
          </w:p>
        </w:tc>
        <w:tc>
          <w:tcPr>
            <w:tcW w:w="82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≥181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计算参数Qr</w:t>
            </w:r>
          </w:p>
        </w:tc>
        <w:tc>
          <w:tcPr>
            <w:tcW w:w="92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0.2</w:t>
            </w:r>
          </w:p>
        </w:tc>
        <w:tc>
          <w:tcPr>
            <w:tcW w:w="800"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0.5</w:t>
            </w:r>
          </w:p>
        </w:tc>
        <w:tc>
          <w:tcPr>
            <w:tcW w:w="82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1.0</w:t>
            </w:r>
          </w:p>
        </w:tc>
        <w:tc>
          <w:tcPr>
            <w:tcW w:w="87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1.5</w:t>
            </w:r>
          </w:p>
        </w:tc>
        <w:tc>
          <w:tcPr>
            <w:tcW w:w="850"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2</w:t>
            </w:r>
          </w:p>
        </w:tc>
        <w:tc>
          <w:tcPr>
            <w:tcW w:w="92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3</w:t>
            </w:r>
          </w:p>
        </w:tc>
        <w:tc>
          <w:tcPr>
            <w:tcW w:w="913"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4</w:t>
            </w:r>
          </w:p>
        </w:tc>
        <w:tc>
          <w:tcPr>
            <w:tcW w:w="900"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5</w:t>
            </w:r>
          </w:p>
        </w:tc>
        <w:tc>
          <w:tcPr>
            <w:tcW w:w="825" w:type="dxa"/>
            <w:vAlign w:val="center"/>
          </w:tcPr>
          <w:p>
            <w:pPr>
              <w:pStyle w:val="25"/>
              <w:widowControl/>
              <w:spacing w:beforeAutospacing="0" w:afterAutospacing="0" w:line="360" w:lineRule="exact"/>
              <w:ind w:firstLine="0" w:firstLineChars="0"/>
              <w:jc w:val="center"/>
              <w:rPr>
                <w:sz w:val="21"/>
                <w:szCs w:val="21"/>
              </w:rPr>
            </w:pPr>
            <w:r>
              <w:rPr>
                <w:rFonts w:hint="eastAsia"/>
                <w:sz w:val="21"/>
                <w:szCs w:val="21"/>
              </w:rPr>
              <w:t>6</w:t>
            </w:r>
          </w:p>
        </w:tc>
      </w:tr>
    </w:tbl>
    <w:p>
      <w:pPr>
        <w:pStyle w:val="39"/>
        <w:autoSpaceDE w:val="0"/>
        <w:ind w:firstLine="480"/>
        <w:jc w:val="both"/>
        <w:rPr>
          <w:rFonts w:ascii="Times New Roman" w:hAnsi="Times New Roman" w:cs="Times New Roman"/>
          <w:lang w:val="en-US"/>
        </w:rPr>
      </w:pPr>
      <w:r>
        <w:rPr>
          <w:rFonts w:ascii="Times New Roman" w:hAnsi="Times New Roman" w:cs="Times New Roman"/>
          <w:lang w:val="en-US"/>
        </w:rPr>
        <w:t>表</w:t>
      </w:r>
      <w:r>
        <w:rPr>
          <w:rFonts w:hint="eastAsia" w:ascii="Times New Roman" w:hAnsi="Times New Roman" w:cs="Times New Roman"/>
          <w:lang w:val="en-US"/>
        </w:rPr>
        <w:t>4.2-4</w:t>
      </w:r>
      <w:r>
        <w:rPr>
          <w:rFonts w:ascii="Times New Roman" w:hAnsi="Times New Roman" w:cs="Times New Roman"/>
          <w:lang w:val="en-US"/>
        </w:rPr>
        <w:t>中面源等效半径Ra由下式确定</w:t>
      </w:r>
      <w:r>
        <w:rPr>
          <w:rFonts w:hint="eastAsia" w:ascii="Times New Roman" w:hAnsi="Times New Roman" w:cs="Times New Roman"/>
          <w:lang w:val="en-US"/>
        </w:rPr>
        <w:t>：</w:t>
      </w:r>
    </w:p>
    <w:p>
      <w:pPr>
        <w:pStyle w:val="25"/>
        <w:widowControl/>
        <w:spacing w:beforeAutospacing="0" w:afterAutospacing="0"/>
        <w:ind w:firstLine="480"/>
        <w:jc w:val="center"/>
      </w:pPr>
      <w:r>
        <w:drawing>
          <wp:inline distT="0" distB="0" distL="114300" distR="114300">
            <wp:extent cx="718185" cy="438785"/>
            <wp:effectExtent l="0" t="0" r="5715" b="18415"/>
            <wp:docPr id="4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5"/>
                    <pic:cNvPicPr>
                      <a:picLocks noChangeAspect="1"/>
                    </pic:cNvPicPr>
                  </pic:nvPicPr>
                  <pic:blipFill>
                    <a:blip r:embed="rId63"/>
                    <a:stretch>
                      <a:fillRect/>
                    </a:stretch>
                  </pic:blipFill>
                  <pic:spPr>
                    <a:xfrm>
                      <a:off x="0" y="0"/>
                      <a:ext cx="718185" cy="438785"/>
                    </a:xfrm>
                    <a:prstGeom prst="rect">
                      <a:avLst/>
                    </a:prstGeom>
                    <a:noFill/>
                    <a:ln>
                      <a:noFill/>
                    </a:ln>
                  </pic:spPr>
                </pic:pic>
              </a:graphicData>
            </a:graphic>
          </wp:inline>
        </w:drawing>
      </w:r>
    </w:p>
    <w:p>
      <w:pPr>
        <w:pStyle w:val="39"/>
        <w:autoSpaceDE w:val="0"/>
        <w:ind w:firstLine="480"/>
        <w:jc w:val="both"/>
        <w:rPr>
          <w:rFonts w:ascii="Times New Roman" w:hAnsi="Times New Roman" w:cs="Times New Roman"/>
          <w:lang w:val="en-US"/>
        </w:rPr>
      </w:pPr>
      <w:r>
        <w:rPr>
          <w:rFonts w:ascii="Times New Roman" w:hAnsi="Times New Roman" w:cs="Times New Roman"/>
          <w:lang w:val="en-US"/>
        </w:rPr>
        <w:t>式中</w:t>
      </w:r>
      <w:r>
        <w:rPr>
          <w:rFonts w:hint="eastAsia" w:ascii="Times New Roman" w:hAnsi="Times New Roman" w:cs="Times New Roman"/>
          <w:lang w:val="en-US"/>
        </w:rPr>
        <w:t>：</w:t>
      </w:r>
      <w:r>
        <w:rPr>
          <w:rFonts w:ascii="Times New Roman" w:hAnsi="Times New Roman" w:cs="Times New Roman"/>
          <w:lang w:val="en-US"/>
        </w:rPr>
        <w:t>S</w:t>
      </w:r>
      <w:r>
        <w:rPr>
          <w:rFonts w:hint="eastAsia" w:ascii="Times New Roman" w:hAnsi="Times New Roman" w:cs="Times New Roman"/>
          <w:lang w:val="en-US" w:eastAsia="zh-CN"/>
        </w:rPr>
        <w:t>-</w:t>
      </w:r>
      <w:r>
        <w:rPr>
          <w:rFonts w:ascii="Times New Roman" w:hAnsi="Times New Roman" w:cs="Times New Roman"/>
          <w:lang w:val="en-US"/>
        </w:rPr>
        <w:t>面源面积，m</w:t>
      </w:r>
      <w:r>
        <w:rPr>
          <w:rFonts w:ascii="Times New Roman" w:hAnsi="Times New Roman" w:cs="Times New Roman"/>
          <w:vertAlign w:val="superscript"/>
          <w:lang w:val="en-US"/>
        </w:rPr>
        <w:t>2</w:t>
      </w:r>
      <w:r>
        <w:rPr>
          <w:rFonts w:ascii="Times New Roman" w:hAnsi="Times New Roman" w:cs="Times New Roman"/>
          <w:lang w:val="en-US"/>
        </w:rPr>
        <w:t>。</w:t>
      </w:r>
    </w:p>
    <w:p>
      <w:pPr>
        <w:pStyle w:val="39"/>
        <w:autoSpaceDE w:val="0"/>
        <w:ind w:firstLine="480"/>
        <w:jc w:val="both"/>
        <w:rPr>
          <w:rFonts w:ascii="Times New Roman" w:hAnsi="Times New Roman" w:cs="Times New Roman"/>
          <w:lang w:val="en-US"/>
        </w:rPr>
      </w:pPr>
      <w:r>
        <w:rPr>
          <w:rFonts w:ascii="Times New Roman" w:hAnsi="Times New Roman" w:cs="Times New Roman"/>
          <w:lang w:val="en-US"/>
        </w:rPr>
        <w:t>项目调节池、厌氧池、接触氧化池等面积为</w:t>
      </w:r>
      <w:r>
        <w:rPr>
          <w:rFonts w:hint="eastAsia" w:ascii="Times New Roman" w:hAnsi="Times New Roman" w:cs="Times New Roman"/>
          <w:lang w:val="en-US"/>
        </w:rPr>
        <w:t>20</w:t>
      </w:r>
      <w:r>
        <w:rPr>
          <w:rFonts w:ascii="Times New Roman" w:hAnsi="Times New Roman" w:cs="Times New Roman"/>
          <w:lang w:val="en-US"/>
        </w:rPr>
        <w:t>m</w:t>
      </w:r>
      <w:r>
        <w:rPr>
          <w:rFonts w:ascii="Times New Roman" w:hAnsi="Times New Roman" w:cs="Times New Roman"/>
          <w:vertAlign w:val="superscript"/>
          <w:lang w:val="en-US"/>
        </w:rPr>
        <w:t>2</w:t>
      </w:r>
      <w:r>
        <w:rPr>
          <w:rFonts w:ascii="Times New Roman" w:hAnsi="Times New Roman" w:cs="Times New Roman"/>
          <w:lang w:val="en-US"/>
        </w:rPr>
        <w:t>，污泥浓缩池、压滤区占地面积约</w:t>
      </w:r>
      <w:r>
        <w:rPr>
          <w:rFonts w:hint="eastAsia" w:ascii="Times New Roman" w:hAnsi="Times New Roman" w:cs="Times New Roman"/>
          <w:lang w:val="en-US"/>
        </w:rPr>
        <w:t>18</w:t>
      </w:r>
      <w:r>
        <w:rPr>
          <w:rFonts w:ascii="Times New Roman" w:hAnsi="Times New Roman" w:cs="Times New Roman"/>
          <w:lang w:val="en-US"/>
        </w:rPr>
        <w:t>m²，则面源污染源强计算参数Qr取0.2。</w:t>
      </w:r>
    </w:p>
    <w:p>
      <w:pPr>
        <w:pStyle w:val="39"/>
        <w:autoSpaceDE w:val="0"/>
        <w:ind w:firstLine="480"/>
        <w:jc w:val="both"/>
        <w:rPr>
          <w:rFonts w:ascii="Times New Roman" w:hAnsi="Times New Roman" w:cs="Times New Roman"/>
          <w:lang w:val="en-US"/>
        </w:rPr>
      </w:pPr>
      <w:r>
        <w:rPr>
          <w:rFonts w:ascii="Times New Roman" w:hAnsi="Times New Roman" w:cs="Times New Roman"/>
          <w:lang w:val="en-US"/>
        </w:rPr>
        <w:t>为了尽量减少污水处理站恶臭气体散逸，建设单位拟对污水处理站各产生臭气的废水池采用封闭的形式负压抽风，收集后经过</w:t>
      </w:r>
      <w:r>
        <w:rPr>
          <w:rFonts w:hint="eastAsia" w:ascii="Times New Roman" w:hAnsi="Times New Roman" w:cs="Times New Roman"/>
          <w:lang w:val="en-US" w:eastAsia="zh-CN"/>
        </w:rPr>
        <w:t>“</w:t>
      </w:r>
      <w:r>
        <w:rPr>
          <w:rFonts w:hint="eastAsia" w:ascii="Times New Roman" w:hAnsi="Times New Roman" w:cs="Times New Roman"/>
          <w:lang w:val="en-US"/>
        </w:rPr>
        <w:t>二级</w:t>
      </w:r>
      <w:r>
        <w:rPr>
          <w:rFonts w:ascii="Times New Roman" w:hAnsi="Times New Roman" w:cs="Times New Roman"/>
          <w:lang w:val="en-US"/>
        </w:rPr>
        <w:t>活性炭吸附</w:t>
      </w:r>
      <w:r>
        <w:rPr>
          <w:rFonts w:hint="eastAsia" w:ascii="Times New Roman" w:hAnsi="Times New Roman" w:cs="Times New Roman"/>
          <w:lang w:val="en-US" w:eastAsia="zh-CN"/>
        </w:rPr>
        <w:t>”</w:t>
      </w:r>
      <w:r>
        <w:rPr>
          <w:rFonts w:ascii="Times New Roman" w:hAnsi="Times New Roman" w:cs="Times New Roman"/>
          <w:lang w:val="en-US"/>
        </w:rPr>
        <w:t>处理后经过</w:t>
      </w:r>
      <w:r>
        <w:rPr>
          <w:rFonts w:hint="eastAsia" w:ascii="Times New Roman" w:hAnsi="Times New Roman" w:cs="Times New Roman"/>
          <w:lang w:val="en-US"/>
        </w:rPr>
        <w:t>1</w:t>
      </w:r>
      <w:r>
        <w:rPr>
          <w:rFonts w:ascii="Times New Roman" w:hAnsi="Times New Roman" w:cs="Times New Roman"/>
          <w:lang w:val="en-US"/>
        </w:rPr>
        <w:t>5m高排气筒高空排放，收集效率取80%，处理效率取</w:t>
      </w:r>
      <w:r>
        <w:rPr>
          <w:rFonts w:hint="eastAsia" w:ascii="Times New Roman" w:hAnsi="Times New Roman" w:cs="Times New Roman"/>
          <w:lang w:val="en-US"/>
        </w:rPr>
        <w:t>85</w:t>
      </w:r>
      <w:r>
        <w:rPr>
          <w:rFonts w:ascii="Times New Roman" w:hAnsi="Times New Roman" w:cs="Times New Roman"/>
          <w:lang w:val="en-US"/>
        </w:rPr>
        <w:t>%，设计风量为</w:t>
      </w:r>
      <w:r>
        <w:rPr>
          <w:rFonts w:hint="eastAsia" w:ascii="Times New Roman" w:hAnsi="Times New Roman" w:cs="Times New Roman"/>
          <w:lang w:val="en-US"/>
        </w:rPr>
        <w:t>3</w:t>
      </w:r>
      <w:r>
        <w:rPr>
          <w:rFonts w:ascii="Times New Roman" w:hAnsi="Times New Roman" w:cs="Times New Roman"/>
          <w:lang w:val="en-US"/>
        </w:rPr>
        <w:t>000m</w:t>
      </w:r>
      <w:r>
        <w:rPr>
          <w:rFonts w:hint="eastAsia" w:ascii="Times New Roman" w:hAnsi="Times New Roman" w:cs="Times New Roman"/>
          <w:vertAlign w:val="superscript"/>
          <w:lang w:val="en-US"/>
        </w:rPr>
        <w:t>3</w:t>
      </w:r>
      <w:r>
        <w:rPr>
          <w:rFonts w:ascii="Times New Roman" w:hAnsi="Times New Roman" w:cs="Times New Roman"/>
          <w:lang w:val="en-US"/>
        </w:rPr>
        <w:t>/h。根据以上方法可估算</w:t>
      </w:r>
      <w:r>
        <w:rPr>
          <w:rFonts w:hint="eastAsia" w:ascii="Times New Roman" w:hAnsi="Times New Roman" w:cs="Times New Roman"/>
          <w:lang w:val="en-US"/>
        </w:rPr>
        <w:t>出项目污水处理站恶臭污染物排放量表。</w:t>
      </w:r>
    </w:p>
    <w:p>
      <w:pPr>
        <w:ind w:firstLine="0" w:firstLineChars="0"/>
        <w:jc w:val="center"/>
        <w:rPr>
          <w:rFonts w:cs="Times New Roman"/>
          <w:b/>
          <w:bCs/>
          <w:szCs w:val="28"/>
        </w:rPr>
      </w:pPr>
      <w:r>
        <w:rPr>
          <w:rFonts w:hint="eastAsia"/>
          <w:b/>
          <w:bCs/>
          <w:color w:val="000000"/>
          <w:lang w:bidi="ar"/>
        </w:rPr>
        <w:t>表4.3-5  项目污水处理站恶臭污染物产生量</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812"/>
        <w:gridCol w:w="938"/>
        <w:gridCol w:w="962"/>
        <w:gridCol w:w="1075"/>
        <w:gridCol w:w="1163"/>
        <w:gridCol w:w="987"/>
        <w:gridCol w:w="1088"/>
        <w:gridCol w:w="1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Align w:val="center"/>
          </w:tcPr>
          <w:p>
            <w:pPr>
              <w:spacing w:line="360" w:lineRule="exact"/>
              <w:ind w:firstLine="0" w:firstLineChars="0"/>
              <w:jc w:val="center"/>
              <w:rPr>
                <w:rFonts w:cs="Times New Roman"/>
                <w:b/>
                <w:bCs/>
                <w:sz w:val="21"/>
                <w:szCs w:val="21"/>
              </w:rPr>
            </w:pPr>
            <w:r>
              <w:rPr>
                <w:rFonts w:hint="eastAsia" w:cs="Times New Roman"/>
                <w:b/>
                <w:bCs/>
                <w:sz w:val="21"/>
                <w:szCs w:val="21"/>
              </w:rPr>
              <w:t>排放单元</w:t>
            </w:r>
          </w:p>
        </w:tc>
        <w:tc>
          <w:tcPr>
            <w:tcW w:w="812" w:type="dxa"/>
            <w:vAlign w:val="center"/>
          </w:tcPr>
          <w:p>
            <w:pPr>
              <w:spacing w:line="360" w:lineRule="exact"/>
              <w:ind w:firstLine="0" w:firstLineChars="0"/>
              <w:jc w:val="center"/>
              <w:rPr>
                <w:rFonts w:cs="Times New Roman"/>
                <w:b/>
                <w:bCs/>
                <w:sz w:val="21"/>
                <w:szCs w:val="21"/>
              </w:rPr>
            </w:pPr>
            <w:r>
              <w:rPr>
                <w:rFonts w:hint="eastAsia" w:cs="Times New Roman"/>
                <w:b/>
                <w:bCs/>
                <w:sz w:val="21"/>
                <w:szCs w:val="21"/>
              </w:rPr>
              <w:t>排放方式</w:t>
            </w:r>
          </w:p>
        </w:tc>
        <w:tc>
          <w:tcPr>
            <w:tcW w:w="938" w:type="dxa"/>
            <w:vAlign w:val="center"/>
          </w:tcPr>
          <w:p>
            <w:pPr>
              <w:spacing w:line="360" w:lineRule="exact"/>
              <w:ind w:firstLine="0" w:firstLineChars="0"/>
              <w:jc w:val="center"/>
              <w:rPr>
                <w:rFonts w:cs="Times New Roman"/>
                <w:b/>
                <w:bCs/>
                <w:sz w:val="21"/>
                <w:szCs w:val="21"/>
              </w:rPr>
            </w:pPr>
            <w:r>
              <w:rPr>
                <w:rFonts w:hint="eastAsia" w:cs="Times New Roman"/>
                <w:b/>
                <w:bCs/>
                <w:sz w:val="21"/>
                <w:szCs w:val="21"/>
              </w:rPr>
              <w:t>污染物</w:t>
            </w:r>
          </w:p>
        </w:tc>
        <w:tc>
          <w:tcPr>
            <w:tcW w:w="962" w:type="dxa"/>
            <w:vAlign w:val="center"/>
          </w:tcPr>
          <w:p>
            <w:pPr>
              <w:spacing w:line="360" w:lineRule="exact"/>
              <w:ind w:firstLine="0" w:firstLineChars="0"/>
              <w:jc w:val="center"/>
              <w:rPr>
                <w:rFonts w:cs="Times New Roman"/>
                <w:b/>
                <w:bCs/>
                <w:sz w:val="21"/>
                <w:szCs w:val="21"/>
              </w:rPr>
            </w:pPr>
            <w:r>
              <w:rPr>
                <w:rFonts w:hint="eastAsia" w:cs="Times New Roman"/>
                <w:b/>
                <w:bCs/>
                <w:sz w:val="21"/>
                <w:szCs w:val="21"/>
              </w:rPr>
              <w:t>产生量</w:t>
            </w:r>
          </w:p>
        </w:tc>
        <w:tc>
          <w:tcPr>
            <w:tcW w:w="1075" w:type="dxa"/>
            <w:vAlign w:val="center"/>
          </w:tcPr>
          <w:p>
            <w:pPr>
              <w:spacing w:line="360" w:lineRule="exact"/>
              <w:ind w:firstLine="0" w:firstLineChars="0"/>
              <w:jc w:val="center"/>
              <w:rPr>
                <w:rFonts w:cs="Times New Roman"/>
                <w:b/>
                <w:bCs/>
                <w:sz w:val="21"/>
                <w:szCs w:val="21"/>
              </w:rPr>
            </w:pPr>
            <w:r>
              <w:rPr>
                <w:rFonts w:hint="eastAsia" w:cs="Times New Roman"/>
                <w:b/>
                <w:bCs/>
                <w:sz w:val="21"/>
                <w:szCs w:val="21"/>
              </w:rPr>
              <w:t>产生浓度</w:t>
            </w:r>
          </w:p>
        </w:tc>
        <w:tc>
          <w:tcPr>
            <w:tcW w:w="1163" w:type="dxa"/>
            <w:vAlign w:val="center"/>
          </w:tcPr>
          <w:p>
            <w:pPr>
              <w:spacing w:line="360" w:lineRule="exact"/>
              <w:ind w:firstLine="0" w:firstLineChars="0"/>
              <w:jc w:val="center"/>
              <w:rPr>
                <w:rFonts w:cs="Times New Roman"/>
                <w:b/>
                <w:bCs/>
                <w:sz w:val="21"/>
                <w:szCs w:val="21"/>
              </w:rPr>
            </w:pPr>
            <w:r>
              <w:rPr>
                <w:rFonts w:hint="eastAsia" w:cs="Times New Roman"/>
                <w:b/>
                <w:bCs/>
                <w:sz w:val="21"/>
                <w:szCs w:val="21"/>
              </w:rPr>
              <w:t>产生速率</w:t>
            </w:r>
          </w:p>
        </w:tc>
        <w:tc>
          <w:tcPr>
            <w:tcW w:w="987" w:type="dxa"/>
            <w:vAlign w:val="center"/>
          </w:tcPr>
          <w:p>
            <w:pPr>
              <w:spacing w:line="360" w:lineRule="exact"/>
              <w:ind w:firstLine="0" w:firstLineChars="0"/>
              <w:jc w:val="center"/>
              <w:rPr>
                <w:rFonts w:cs="Times New Roman"/>
                <w:b/>
                <w:bCs/>
                <w:sz w:val="21"/>
                <w:szCs w:val="21"/>
              </w:rPr>
            </w:pPr>
            <w:r>
              <w:rPr>
                <w:rFonts w:hint="eastAsia" w:cs="Times New Roman"/>
                <w:b/>
                <w:bCs/>
                <w:sz w:val="21"/>
                <w:szCs w:val="21"/>
              </w:rPr>
              <w:t>排放量</w:t>
            </w:r>
          </w:p>
        </w:tc>
        <w:tc>
          <w:tcPr>
            <w:tcW w:w="1088" w:type="dxa"/>
            <w:vAlign w:val="center"/>
          </w:tcPr>
          <w:p>
            <w:pPr>
              <w:spacing w:line="360" w:lineRule="exact"/>
              <w:ind w:firstLine="0" w:firstLineChars="0"/>
              <w:jc w:val="center"/>
              <w:rPr>
                <w:rFonts w:cs="Times New Roman"/>
                <w:b/>
                <w:bCs/>
                <w:sz w:val="21"/>
                <w:szCs w:val="21"/>
              </w:rPr>
            </w:pPr>
            <w:r>
              <w:rPr>
                <w:rFonts w:hint="eastAsia" w:cs="Times New Roman"/>
                <w:b/>
                <w:bCs/>
                <w:sz w:val="21"/>
                <w:szCs w:val="21"/>
              </w:rPr>
              <w:t>排放浓度</w:t>
            </w:r>
          </w:p>
        </w:tc>
        <w:tc>
          <w:tcPr>
            <w:tcW w:w="1125" w:type="dxa"/>
            <w:vAlign w:val="center"/>
          </w:tcPr>
          <w:p>
            <w:pPr>
              <w:spacing w:line="360" w:lineRule="exact"/>
              <w:ind w:firstLine="0" w:firstLineChars="0"/>
              <w:jc w:val="center"/>
              <w:rPr>
                <w:rFonts w:cs="Times New Roman"/>
                <w:b/>
                <w:bCs/>
                <w:sz w:val="21"/>
                <w:szCs w:val="21"/>
              </w:rPr>
            </w:pPr>
            <w:r>
              <w:rPr>
                <w:rFonts w:hint="eastAsia" w:cs="Times New Roman"/>
                <w:b/>
                <w:bCs/>
                <w:sz w:val="21"/>
                <w:szCs w:val="21"/>
              </w:rPr>
              <w:t>排放速率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调节池、厌氧池、接触氧化池</w:t>
            </w:r>
          </w:p>
        </w:tc>
        <w:tc>
          <w:tcPr>
            <w:tcW w:w="812"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有组织</w:t>
            </w: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H</w:t>
            </w:r>
            <w:r>
              <w:rPr>
                <w:rFonts w:cs="Times New Roman"/>
                <w:sz w:val="21"/>
                <w:szCs w:val="21"/>
                <w:vertAlign w:val="subscript"/>
              </w:rPr>
              <w:t>2</w:t>
            </w:r>
            <w:r>
              <w:rPr>
                <w:rFonts w:cs="Times New Roman"/>
                <w:sz w:val="21"/>
                <w:szCs w:val="21"/>
              </w:rPr>
              <w:t>S</w:t>
            </w:r>
          </w:p>
        </w:tc>
        <w:tc>
          <w:tcPr>
            <w:tcW w:w="962"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0.0052</w:t>
            </w:r>
          </w:p>
        </w:tc>
        <w:tc>
          <w:tcPr>
            <w:tcW w:w="1075"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0.72</w:t>
            </w:r>
          </w:p>
        </w:tc>
        <w:tc>
          <w:tcPr>
            <w:tcW w:w="1163"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0.0022</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0.0008</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0.27</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continue"/>
            <w:vAlign w:val="center"/>
          </w:tcPr>
          <w:p>
            <w:pPr>
              <w:spacing w:line="360" w:lineRule="exact"/>
              <w:ind w:firstLine="0" w:firstLineChars="0"/>
              <w:jc w:val="center"/>
              <w:rPr>
                <w:rFonts w:cs="Times New Roman"/>
                <w:sz w:val="21"/>
                <w:szCs w:val="21"/>
              </w:rPr>
            </w:pP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NH</w:t>
            </w:r>
            <w:r>
              <w:rPr>
                <w:rFonts w:cs="Times New Roman"/>
                <w:sz w:val="21"/>
                <w:szCs w:val="21"/>
                <w:vertAlign w:val="subscript"/>
              </w:rPr>
              <w:t>3</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0.0113</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1.57</w:t>
            </w:r>
          </w:p>
        </w:tc>
        <w:tc>
          <w:tcPr>
            <w:tcW w:w="1163"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0.0047</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0.0017</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0.57</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无组织</w:t>
            </w: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H</w:t>
            </w:r>
            <w:r>
              <w:rPr>
                <w:rFonts w:cs="Times New Roman"/>
                <w:sz w:val="21"/>
                <w:szCs w:val="21"/>
                <w:vertAlign w:val="subscript"/>
              </w:rPr>
              <w:t>2</w:t>
            </w:r>
            <w:r>
              <w:rPr>
                <w:rFonts w:cs="Times New Roman"/>
                <w:sz w:val="21"/>
                <w:szCs w:val="21"/>
              </w:rPr>
              <w:t>S</w:t>
            </w:r>
          </w:p>
        </w:tc>
        <w:tc>
          <w:tcPr>
            <w:tcW w:w="962"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0.0746</w:t>
            </w:r>
          </w:p>
        </w:tc>
        <w:tc>
          <w:tcPr>
            <w:tcW w:w="1075" w:type="dxa"/>
            <w:vAlign w:val="center"/>
          </w:tcPr>
          <w:p>
            <w:pPr>
              <w:widowControl/>
              <w:spacing w:line="360" w:lineRule="exact"/>
              <w:ind w:firstLine="0" w:firstLineChars="0"/>
              <w:jc w:val="center"/>
              <w:textAlignment w:val="center"/>
              <w:rPr>
                <w:rFonts w:cs="Times New Roman"/>
                <w:color w:val="000000"/>
                <w:sz w:val="21"/>
                <w:szCs w:val="21"/>
              </w:rPr>
            </w:pPr>
            <w:r>
              <w:rPr>
                <w:rFonts w:hint="eastAsia" w:cs="Times New Roman"/>
                <w:color w:val="000000"/>
                <w:kern w:val="0"/>
                <w:sz w:val="21"/>
                <w:szCs w:val="21"/>
                <w:lang w:bidi="ar"/>
              </w:rPr>
              <w:t>/</w:t>
            </w:r>
          </w:p>
        </w:tc>
        <w:tc>
          <w:tcPr>
            <w:tcW w:w="1163"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0.0311</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0.0746</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color w:val="000000"/>
                <w:kern w:val="0"/>
                <w:sz w:val="21"/>
                <w:szCs w:val="21"/>
                <w:lang w:bidi="ar"/>
              </w:rPr>
              <w:t>/</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0.0311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continue"/>
            <w:vAlign w:val="center"/>
          </w:tcPr>
          <w:p>
            <w:pPr>
              <w:spacing w:line="360" w:lineRule="exact"/>
              <w:ind w:firstLine="0" w:firstLineChars="0"/>
              <w:jc w:val="center"/>
              <w:rPr>
                <w:rFonts w:cs="Times New Roman"/>
                <w:sz w:val="21"/>
                <w:szCs w:val="21"/>
              </w:rPr>
            </w:pP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NH</w:t>
            </w:r>
            <w:r>
              <w:rPr>
                <w:rFonts w:cs="Times New Roman"/>
                <w:sz w:val="21"/>
                <w:szCs w:val="21"/>
                <w:vertAlign w:val="subscript"/>
              </w:rPr>
              <w:t>3</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0.0187</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color w:val="000000"/>
                <w:kern w:val="0"/>
                <w:sz w:val="21"/>
                <w:szCs w:val="21"/>
                <w:lang w:bidi="ar"/>
              </w:rPr>
              <w:t>/</w:t>
            </w:r>
          </w:p>
        </w:tc>
        <w:tc>
          <w:tcPr>
            <w:tcW w:w="1163"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0.0078</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0.0187</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color w:val="000000"/>
                <w:kern w:val="0"/>
                <w:sz w:val="21"/>
                <w:szCs w:val="21"/>
                <w:lang w:bidi="ar"/>
              </w:rPr>
              <w:t>/</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0.0078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污泥浓缩池、压滤区</w:t>
            </w:r>
          </w:p>
        </w:tc>
        <w:tc>
          <w:tcPr>
            <w:tcW w:w="812"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有组织</w:t>
            </w: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H</w:t>
            </w:r>
            <w:r>
              <w:rPr>
                <w:rFonts w:cs="Times New Roman"/>
                <w:sz w:val="21"/>
                <w:szCs w:val="21"/>
                <w:vertAlign w:val="subscript"/>
              </w:rPr>
              <w:t>2</w:t>
            </w:r>
            <w:r>
              <w:rPr>
                <w:rFonts w:cs="Times New Roman"/>
                <w:sz w:val="21"/>
                <w:szCs w:val="21"/>
              </w:rPr>
              <w:t>S</w:t>
            </w:r>
          </w:p>
        </w:tc>
        <w:tc>
          <w:tcPr>
            <w:tcW w:w="962"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0.0539</w:t>
            </w:r>
          </w:p>
        </w:tc>
        <w:tc>
          <w:tcPr>
            <w:tcW w:w="1075"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7.49</w:t>
            </w:r>
          </w:p>
        </w:tc>
        <w:tc>
          <w:tcPr>
            <w:tcW w:w="1163"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0.0225</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0.0081</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2.7</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continue"/>
            <w:vAlign w:val="center"/>
          </w:tcPr>
          <w:p>
            <w:pPr>
              <w:spacing w:line="360" w:lineRule="exact"/>
              <w:ind w:firstLine="0" w:firstLineChars="0"/>
              <w:jc w:val="center"/>
              <w:rPr>
                <w:rFonts w:cs="Times New Roman"/>
                <w:sz w:val="21"/>
                <w:szCs w:val="21"/>
              </w:rPr>
            </w:pP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NH</w:t>
            </w:r>
            <w:r>
              <w:rPr>
                <w:rFonts w:cs="Times New Roman"/>
                <w:sz w:val="21"/>
                <w:szCs w:val="21"/>
                <w:vertAlign w:val="subscript"/>
              </w:rPr>
              <w:t>3</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0.1094</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15.2</w:t>
            </w:r>
          </w:p>
        </w:tc>
        <w:tc>
          <w:tcPr>
            <w:tcW w:w="1163"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0.0456</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0.0164</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5.47</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无组织</w:t>
            </w: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H</w:t>
            </w:r>
            <w:r>
              <w:rPr>
                <w:rFonts w:cs="Times New Roman"/>
                <w:sz w:val="21"/>
                <w:szCs w:val="21"/>
                <w:vertAlign w:val="subscript"/>
              </w:rPr>
              <w:t>2</w:t>
            </w:r>
            <w:r>
              <w:rPr>
                <w:rFonts w:cs="Times New Roman"/>
                <w:sz w:val="21"/>
                <w:szCs w:val="21"/>
              </w:rPr>
              <w:t>S</w:t>
            </w:r>
          </w:p>
        </w:tc>
        <w:tc>
          <w:tcPr>
            <w:tcW w:w="962"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0.7299</w:t>
            </w:r>
          </w:p>
        </w:tc>
        <w:tc>
          <w:tcPr>
            <w:tcW w:w="1075" w:type="dxa"/>
            <w:vAlign w:val="center"/>
          </w:tcPr>
          <w:p>
            <w:pPr>
              <w:widowControl/>
              <w:spacing w:line="360" w:lineRule="exact"/>
              <w:ind w:firstLine="0" w:firstLineChars="0"/>
              <w:jc w:val="center"/>
              <w:textAlignment w:val="center"/>
              <w:rPr>
                <w:rFonts w:cs="Times New Roman"/>
                <w:color w:val="000000"/>
                <w:sz w:val="21"/>
                <w:szCs w:val="21"/>
              </w:rPr>
            </w:pPr>
            <w:r>
              <w:rPr>
                <w:rFonts w:hint="eastAsia" w:cs="Times New Roman"/>
                <w:color w:val="000000"/>
                <w:kern w:val="0"/>
                <w:sz w:val="21"/>
                <w:szCs w:val="21"/>
                <w:lang w:bidi="ar"/>
              </w:rPr>
              <w:t>/</w:t>
            </w:r>
          </w:p>
        </w:tc>
        <w:tc>
          <w:tcPr>
            <w:tcW w:w="1163"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0.3041</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0.7299</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color w:val="000000"/>
                <w:kern w:val="0"/>
                <w:sz w:val="21"/>
                <w:szCs w:val="21"/>
                <w:lang w:bidi="ar"/>
              </w:rPr>
              <w:t>/</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0.3041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continue"/>
            <w:vAlign w:val="center"/>
          </w:tcPr>
          <w:p>
            <w:pPr>
              <w:spacing w:line="360" w:lineRule="exact"/>
              <w:ind w:firstLine="0" w:firstLineChars="0"/>
              <w:jc w:val="center"/>
              <w:rPr>
                <w:rFonts w:cs="Times New Roman"/>
                <w:sz w:val="21"/>
                <w:szCs w:val="21"/>
              </w:rPr>
            </w:pP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NH</w:t>
            </w:r>
            <w:r>
              <w:rPr>
                <w:rFonts w:cs="Times New Roman"/>
                <w:sz w:val="21"/>
                <w:szCs w:val="21"/>
                <w:vertAlign w:val="subscript"/>
              </w:rPr>
              <w:t>3</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0.1824</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color w:val="000000"/>
                <w:kern w:val="0"/>
                <w:sz w:val="21"/>
                <w:szCs w:val="21"/>
                <w:lang w:bidi="ar"/>
              </w:rPr>
              <w:t>/</w:t>
            </w:r>
          </w:p>
        </w:tc>
        <w:tc>
          <w:tcPr>
            <w:tcW w:w="1163" w:type="dxa"/>
            <w:vAlign w:val="center"/>
          </w:tcPr>
          <w:p>
            <w:pPr>
              <w:widowControl/>
              <w:spacing w:line="360" w:lineRule="exact"/>
              <w:ind w:firstLine="0" w:firstLineChars="0"/>
              <w:jc w:val="center"/>
              <w:textAlignment w:val="center"/>
              <w:rPr>
                <w:rFonts w:cs="Times New Roman"/>
                <w:color w:val="000000"/>
                <w:sz w:val="21"/>
                <w:szCs w:val="21"/>
              </w:rPr>
            </w:pPr>
            <w:r>
              <w:rPr>
                <w:rFonts w:cs="Times New Roman"/>
                <w:color w:val="000000"/>
                <w:kern w:val="0"/>
                <w:sz w:val="21"/>
                <w:szCs w:val="21"/>
                <w:lang w:bidi="ar"/>
              </w:rPr>
              <w:t>0.076</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0.1824</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color w:val="000000"/>
                <w:kern w:val="0"/>
                <w:sz w:val="21"/>
                <w:szCs w:val="21"/>
                <w:lang w:bidi="ar"/>
              </w:rPr>
              <w:t>/</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cs="Times New Roman"/>
                <w:color w:val="000000"/>
                <w:kern w:val="0"/>
                <w:sz w:val="21"/>
                <w:szCs w:val="21"/>
                <w:lang w:bidi="ar"/>
              </w:rPr>
              <w:t>0.076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合计</w:t>
            </w:r>
          </w:p>
        </w:tc>
        <w:tc>
          <w:tcPr>
            <w:tcW w:w="812"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有组织</w:t>
            </w: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H</w:t>
            </w:r>
            <w:r>
              <w:rPr>
                <w:rFonts w:cs="Times New Roman"/>
                <w:sz w:val="21"/>
                <w:szCs w:val="21"/>
                <w:vertAlign w:val="subscript"/>
              </w:rPr>
              <w:t>2</w:t>
            </w:r>
            <w:r>
              <w:rPr>
                <w:rFonts w:cs="Times New Roman"/>
                <w:sz w:val="21"/>
                <w:szCs w:val="21"/>
              </w:rPr>
              <w:t>S</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0.0591</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8.21</w:t>
            </w:r>
          </w:p>
        </w:tc>
        <w:tc>
          <w:tcPr>
            <w:tcW w:w="1163"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0.0246</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0.0089</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2.97</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continue"/>
            <w:vAlign w:val="center"/>
          </w:tcPr>
          <w:p>
            <w:pPr>
              <w:spacing w:line="360" w:lineRule="exact"/>
              <w:ind w:firstLine="0" w:firstLineChars="0"/>
              <w:jc w:val="center"/>
              <w:rPr>
                <w:rFonts w:cs="Times New Roman"/>
                <w:sz w:val="21"/>
                <w:szCs w:val="21"/>
              </w:rPr>
            </w:pP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NH</w:t>
            </w:r>
            <w:r>
              <w:rPr>
                <w:rFonts w:cs="Times New Roman"/>
                <w:sz w:val="21"/>
                <w:szCs w:val="21"/>
                <w:vertAlign w:val="subscript"/>
              </w:rPr>
              <w:t>3</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0.1207</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16.77</w:t>
            </w:r>
          </w:p>
        </w:tc>
        <w:tc>
          <w:tcPr>
            <w:tcW w:w="1163"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0.0503</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0.0181</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6.03</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无组织</w:t>
            </w: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H</w:t>
            </w:r>
            <w:r>
              <w:rPr>
                <w:rFonts w:cs="Times New Roman"/>
                <w:sz w:val="21"/>
                <w:szCs w:val="21"/>
                <w:vertAlign w:val="subscript"/>
              </w:rPr>
              <w:t>2</w:t>
            </w:r>
            <w:r>
              <w:rPr>
                <w:rFonts w:cs="Times New Roman"/>
                <w:sz w:val="21"/>
                <w:szCs w:val="21"/>
              </w:rPr>
              <w:t>S</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w:t>
            </w:r>
          </w:p>
        </w:tc>
        <w:tc>
          <w:tcPr>
            <w:tcW w:w="1163"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0.3352</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0.3352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continue"/>
            <w:vAlign w:val="center"/>
          </w:tcPr>
          <w:p>
            <w:pPr>
              <w:spacing w:line="360" w:lineRule="exact"/>
              <w:ind w:firstLine="0" w:firstLineChars="0"/>
              <w:jc w:val="center"/>
              <w:rPr>
                <w:rFonts w:cs="Times New Roman"/>
                <w:sz w:val="21"/>
                <w:szCs w:val="21"/>
              </w:rPr>
            </w:pP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NH</w:t>
            </w:r>
            <w:r>
              <w:rPr>
                <w:rFonts w:cs="Times New Roman"/>
                <w:sz w:val="21"/>
                <w:szCs w:val="21"/>
                <w:vertAlign w:val="subscript"/>
              </w:rPr>
              <w:t>3</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w:t>
            </w:r>
          </w:p>
        </w:tc>
        <w:tc>
          <w:tcPr>
            <w:tcW w:w="1163"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0.0838</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0.0838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restart"/>
            <w:vAlign w:val="center"/>
          </w:tcPr>
          <w:p>
            <w:pPr>
              <w:spacing w:line="360" w:lineRule="exact"/>
              <w:ind w:firstLine="0" w:firstLineChars="0"/>
              <w:jc w:val="center"/>
              <w:rPr>
                <w:rFonts w:cs="Times New Roman"/>
                <w:sz w:val="21"/>
                <w:szCs w:val="21"/>
              </w:rPr>
            </w:pPr>
            <w:r>
              <w:rPr>
                <w:rFonts w:hint="eastAsia" w:cs="Times New Roman"/>
                <w:sz w:val="21"/>
                <w:szCs w:val="21"/>
              </w:rPr>
              <w:t>合计</w:t>
            </w: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H</w:t>
            </w:r>
            <w:r>
              <w:rPr>
                <w:rFonts w:cs="Times New Roman"/>
                <w:sz w:val="21"/>
                <w:szCs w:val="21"/>
                <w:vertAlign w:val="subscript"/>
              </w:rPr>
              <w:t>2</w:t>
            </w:r>
            <w:r>
              <w:rPr>
                <w:rFonts w:cs="Times New Roman"/>
                <w:sz w:val="21"/>
                <w:szCs w:val="21"/>
              </w:rPr>
              <w:t>S</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0.8636</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w:t>
            </w:r>
          </w:p>
        </w:tc>
        <w:tc>
          <w:tcPr>
            <w:tcW w:w="1163"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0.3598</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0.8134</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0.3389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pPr>
              <w:spacing w:line="360" w:lineRule="exact"/>
              <w:ind w:firstLine="0" w:firstLineChars="0"/>
              <w:jc w:val="center"/>
              <w:rPr>
                <w:rFonts w:cs="Times New Roman"/>
                <w:sz w:val="21"/>
                <w:szCs w:val="21"/>
              </w:rPr>
            </w:pPr>
          </w:p>
        </w:tc>
        <w:tc>
          <w:tcPr>
            <w:tcW w:w="812" w:type="dxa"/>
            <w:vMerge w:val="continue"/>
            <w:vAlign w:val="center"/>
          </w:tcPr>
          <w:p>
            <w:pPr>
              <w:spacing w:line="360" w:lineRule="exact"/>
              <w:ind w:firstLine="0" w:firstLineChars="0"/>
              <w:jc w:val="center"/>
              <w:rPr>
                <w:rFonts w:cs="Times New Roman"/>
                <w:sz w:val="21"/>
                <w:szCs w:val="21"/>
              </w:rPr>
            </w:pPr>
          </w:p>
        </w:tc>
        <w:tc>
          <w:tcPr>
            <w:tcW w:w="938" w:type="dxa"/>
            <w:vAlign w:val="center"/>
          </w:tcPr>
          <w:p>
            <w:pPr>
              <w:spacing w:line="360" w:lineRule="exact"/>
              <w:ind w:firstLine="0" w:firstLineChars="0"/>
              <w:jc w:val="center"/>
              <w:rPr>
                <w:rFonts w:cs="Times New Roman"/>
                <w:sz w:val="21"/>
                <w:szCs w:val="21"/>
              </w:rPr>
            </w:pPr>
            <w:r>
              <w:rPr>
                <w:rFonts w:cs="Times New Roman"/>
                <w:sz w:val="21"/>
                <w:szCs w:val="21"/>
              </w:rPr>
              <w:t>NH</w:t>
            </w:r>
            <w:r>
              <w:rPr>
                <w:rFonts w:cs="Times New Roman"/>
                <w:sz w:val="21"/>
                <w:szCs w:val="21"/>
                <w:vertAlign w:val="subscript"/>
              </w:rPr>
              <w:t>3</w:t>
            </w:r>
          </w:p>
        </w:tc>
        <w:tc>
          <w:tcPr>
            <w:tcW w:w="962"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0.3218</w:t>
            </w:r>
          </w:p>
        </w:tc>
        <w:tc>
          <w:tcPr>
            <w:tcW w:w="107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w:t>
            </w:r>
          </w:p>
        </w:tc>
        <w:tc>
          <w:tcPr>
            <w:tcW w:w="1163"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0.1341</w:t>
            </w:r>
          </w:p>
        </w:tc>
        <w:tc>
          <w:tcPr>
            <w:tcW w:w="987"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0.2192</w:t>
            </w:r>
          </w:p>
        </w:tc>
        <w:tc>
          <w:tcPr>
            <w:tcW w:w="108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w:t>
            </w:r>
          </w:p>
        </w:tc>
        <w:tc>
          <w:tcPr>
            <w:tcW w:w="1125"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0.0913</w:t>
            </w:r>
          </w:p>
        </w:tc>
      </w:tr>
    </w:tbl>
    <w:p>
      <w:pPr>
        <w:widowControl/>
        <w:ind w:firstLine="480"/>
        <w:rPr>
          <w:color w:val="000000"/>
          <w:lang w:bidi="ar"/>
        </w:rPr>
      </w:pPr>
      <w:r>
        <w:rPr>
          <w:rFonts w:hint="eastAsia"/>
          <w:color w:val="000000"/>
          <w:lang w:bidi="ar"/>
        </w:rPr>
        <w:t>（10）项目废气排放情况汇总</w:t>
      </w:r>
    </w:p>
    <w:p>
      <w:pPr>
        <w:ind w:firstLine="480" w:firstLineChars="200"/>
        <w:rPr>
          <w:color w:val="000000" w:themeColor="text1"/>
          <w14:textFill>
            <w14:solidFill>
              <w14:schemeClr w14:val="tx1"/>
            </w14:solidFill>
          </w14:textFill>
        </w:rPr>
        <w:sectPr>
          <w:pgSz w:w="11906" w:h="16838"/>
          <w:pgMar w:top="1417" w:right="1417" w:bottom="1417" w:left="1417" w:header="680" w:footer="624" w:gutter="0"/>
          <w:pgBorders>
            <w:top w:val="none" w:sz="0" w:space="0"/>
            <w:left w:val="none" w:sz="0" w:space="0"/>
            <w:bottom w:val="none" w:sz="0" w:space="0"/>
            <w:right w:val="none" w:sz="0" w:space="0"/>
          </w:pgBorders>
          <w:cols w:space="425" w:num="1"/>
          <w:docGrid w:type="lines" w:linePitch="312" w:charSpace="0"/>
        </w:sectPr>
      </w:pPr>
      <w:r>
        <w:rPr>
          <w:rFonts w:hint="eastAsia"/>
        </w:rPr>
        <w:t>结合本项目实际情况，类比同行业生产情况，同时参考</w:t>
      </w:r>
      <w:r>
        <w:rPr>
          <w:rFonts w:hint="eastAsia"/>
          <w:color w:val="000000" w:themeColor="text1"/>
          <w14:textFill>
            <w14:solidFill>
              <w14:schemeClr w14:val="tx1"/>
            </w14:solidFill>
          </w14:textFill>
        </w:rPr>
        <w:t>技术规范，核算本项目废气产排情况，项目完成后有组织废气产排情况见表4.3-6，无组织废气排放情况见表4.3-7，废气产排情况汇总表见表4.3-8，项目总量核算表见表4.3-9。</w:t>
      </w:r>
    </w:p>
    <w:p>
      <w:pPr>
        <w:ind w:firstLine="0" w:firstLineChars="0"/>
        <w:jc w:val="center"/>
        <w:rPr>
          <w:rFonts w:cs="Times New Roman"/>
          <w:b/>
          <w:bCs/>
          <w:szCs w:val="28"/>
        </w:rPr>
      </w:pPr>
      <w:r>
        <w:rPr>
          <w:rFonts w:hint="eastAsia"/>
          <w:b/>
          <w:bCs/>
          <w:color w:val="000000"/>
          <w:lang w:bidi="ar"/>
        </w:rPr>
        <w:t>表4.3-6  项目有组织废气产排情况一览表</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2"/>
        <w:gridCol w:w="1988"/>
        <w:gridCol w:w="1223"/>
        <w:gridCol w:w="3739"/>
        <w:gridCol w:w="3449"/>
        <w:gridCol w:w="2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序号</w:t>
            </w:r>
          </w:p>
        </w:tc>
        <w:tc>
          <w:tcPr>
            <w:tcW w:w="699" w:type="pc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产生环节</w:t>
            </w:r>
          </w:p>
        </w:tc>
        <w:tc>
          <w:tcPr>
            <w:tcW w:w="1745" w:type="pct"/>
            <w:gridSpan w:val="2"/>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产生量（t/a）</w:t>
            </w:r>
          </w:p>
        </w:tc>
        <w:tc>
          <w:tcPr>
            <w:tcW w:w="1213" w:type="pc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处理措施</w:t>
            </w:r>
          </w:p>
        </w:tc>
        <w:tc>
          <w:tcPr>
            <w:tcW w:w="984" w:type="pc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restar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1</w:t>
            </w:r>
          </w:p>
        </w:tc>
        <w:tc>
          <w:tcPr>
            <w:tcW w:w="699" w:type="pct"/>
            <w:vMerge w:val="restar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EPDM颗粒生产线废气</w:t>
            </w:r>
          </w:p>
        </w:tc>
        <w:tc>
          <w:tcPr>
            <w:tcW w:w="1745" w:type="pct"/>
            <w:gridSpan w:val="2"/>
            <w:vAlign w:val="center"/>
          </w:tcPr>
          <w:p>
            <w:pPr>
              <w:pStyle w:val="24"/>
              <w:spacing w:line="360" w:lineRule="exact"/>
              <w:ind w:firstLine="0" w:firstLineChars="0"/>
              <w:jc w:val="center"/>
              <w:rPr>
                <w:rFonts w:hint="eastAsia" w:ascii="Times New Roman" w:eastAsia="宋体" w:cs="Times New Roman"/>
                <w:sz w:val="21"/>
                <w:szCs w:val="21"/>
                <w:lang w:val="en-US" w:eastAsia="zh-CN"/>
              </w:rPr>
            </w:pPr>
            <w:r>
              <w:rPr>
                <w:rFonts w:hint="eastAsia" w:ascii="Times New Roman" w:cs="Times New Roman"/>
                <w:sz w:val="21"/>
                <w:szCs w:val="21"/>
                <w:lang w:val="en-US" w:eastAsia="zh-CN"/>
              </w:rPr>
              <w:t>G3、G4、G7粉尘：1.170</w:t>
            </w:r>
          </w:p>
        </w:tc>
        <w:tc>
          <w:tcPr>
            <w:tcW w:w="1213" w:type="pct"/>
            <w:vMerge w:val="restar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袋式除尘器处理，排入1#</w:t>
            </w:r>
            <w:r>
              <w:rPr>
                <w:rFonts w:hint="eastAsia" w:ascii="Times New Roman" w:cs="Times New Roman"/>
                <w:sz w:val="21"/>
                <w:szCs w:val="21"/>
                <w:lang w:eastAsia="zh-CN"/>
              </w:rPr>
              <w:t>“活性炭吸附箱+RCO废气处理工艺”</w:t>
            </w:r>
            <w:r>
              <w:rPr>
                <w:rFonts w:ascii="Times New Roman" w:cs="Times New Roman"/>
                <w:sz w:val="21"/>
                <w:szCs w:val="21"/>
              </w:rPr>
              <w:t>处置后经15米排气筒排放</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收集效率：</w:t>
            </w:r>
            <w:r>
              <w:rPr>
                <w:rFonts w:hint="eastAsia" w:ascii="Times New Roman" w:cs="Times New Roman"/>
                <w:sz w:val="21"/>
                <w:szCs w:val="21"/>
                <w:lang w:val="en-US" w:eastAsia="zh-CN"/>
              </w:rPr>
              <w:t>9</w:t>
            </w:r>
            <w:r>
              <w:rPr>
                <w:rFonts w:hint="eastAsia" w:ascii="Times New Roman" w:cs="Times New Roman"/>
                <w:sz w:val="21"/>
                <w:szCs w:val="21"/>
              </w:rPr>
              <w:t>5%</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颗粒物处理效率：99%</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非甲烷总烃处理效率：</w:t>
            </w:r>
            <w:r>
              <w:rPr>
                <w:rFonts w:hint="eastAsia" w:ascii="Times New Roman" w:cs="Times New Roman"/>
                <w:sz w:val="21"/>
                <w:szCs w:val="21"/>
                <w:lang w:val="en-US" w:eastAsia="zh-CN"/>
              </w:rPr>
              <w:t>95</w:t>
            </w:r>
            <w:r>
              <w:rPr>
                <w:rFonts w:hint="eastAsia" w:ascii="Times New Roman" w:cs="Times New Roman"/>
                <w:sz w:val="21"/>
                <w:szCs w:val="21"/>
              </w:rPr>
              <w:t>%</w:t>
            </w:r>
          </w:p>
        </w:tc>
        <w:tc>
          <w:tcPr>
            <w:tcW w:w="984"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排放口：DA001</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排放因子：</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粉尘：</w:t>
            </w:r>
            <w:r>
              <w:rPr>
                <w:rFonts w:hint="eastAsia" w:ascii="Times New Roman" w:hAnsi="Times New Roman" w:cs="Times New Roman"/>
                <w:sz w:val="21"/>
                <w:szCs w:val="21"/>
                <w:lang w:val="en-US" w:eastAsia="zh-CN"/>
              </w:rPr>
              <w:t>0.011</w:t>
            </w:r>
          </w:p>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非甲烷总烃：</w:t>
            </w:r>
            <w:r>
              <w:rPr>
                <w:rFonts w:hint="eastAsia" w:ascii="Times New Roman" w:hAnsi="Times New Roman" w:cs="Times New Roman"/>
                <w:sz w:val="21"/>
                <w:szCs w:val="21"/>
                <w:lang w:val="en-US" w:eastAsia="zh-CN"/>
              </w:rPr>
              <w:t>0.196</w:t>
            </w:r>
          </w:p>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硫化氢：</w:t>
            </w:r>
            <w:r>
              <w:rPr>
                <w:rFonts w:ascii="Times New Roman" w:cs="Times New Roman"/>
                <w:sz w:val="21"/>
                <w:szCs w:val="21"/>
              </w:rPr>
              <w:t>0.0</w:t>
            </w:r>
            <w:r>
              <w:rPr>
                <w:rFonts w:hint="eastAsia" w:ascii="Times New Roman" w:cs="Times New Roman"/>
                <w:sz w:val="21"/>
                <w:szCs w:val="21"/>
                <w:lang w:val="en-US" w:eastAsia="zh-CN"/>
              </w:rPr>
              <w:t>106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lang w:val="en-US" w:eastAsia="zh-CN"/>
              </w:rPr>
              <w:t>G6</w:t>
            </w:r>
            <w:r>
              <w:rPr>
                <w:rFonts w:ascii="Times New Roman" w:cs="Times New Roman"/>
                <w:sz w:val="21"/>
                <w:szCs w:val="21"/>
              </w:rPr>
              <w:t>硫化废气硫化氢：0.0</w:t>
            </w:r>
            <w:r>
              <w:rPr>
                <w:rFonts w:hint="eastAsia" w:ascii="Times New Roman" w:cs="Times New Roman"/>
                <w:sz w:val="21"/>
                <w:szCs w:val="21"/>
                <w:lang w:val="en-US" w:eastAsia="zh-CN"/>
              </w:rPr>
              <w:t>106</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1745" w:type="pct"/>
            <w:gridSpan w:val="2"/>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lang w:val="en-US" w:eastAsia="zh-CN"/>
              </w:rPr>
              <w:t>G4、G5、G6非甲烷总烃</w:t>
            </w:r>
            <w:r>
              <w:rPr>
                <w:rFonts w:hint="eastAsia" w:ascii="Times New Roman" w:cs="Times New Roman"/>
                <w:sz w:val="21"/>
                <w:szCs w:val="21"/>
              </w:rPr>
              <w:t>：</w:t>
            </w:r>
            <w:r>
              <w:rPr>
                <w:rFonts w:hint="eastAsia" w:ascii="Times New Roman" w:cs="Times New Roman"/>
                <w:sz w:val="21"/>
                <w:szCs w:val="21"/>
                <w:lang w:val="en-US" w:eastAsia="zh-CN"/>
              </w:rPr>
              <w:t>0.907</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2</w:t>
            </w:r>
          </w:p>
        </w:tc>
        <w:tc>
          <w:tcPr>
            <w:tcW w:w="699"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人造草坪生产线废气</w:t>
            </w:r>
          </w:p>
        </w:tc>
        <w:tc>
          <w:tcPr>
            <w:tcW w:w="1745" w:type="pct"/>
            <w:gridSpan w:val="2"/>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G8挤出有机废气：2.7</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G9涂胶上料粉尘：0.0</w:t>
            </w:r>
            <w:r>
              <w:rPr>
                <w:rFonts w:hint="eastAsia" w:ascii="Times New Roman" w:cs="Times New Roman"/>
                <w:sz w:val="21"/>
                <w:szCs w:val="21"/>
                <w:lang w:val="en-US" w:eastAsia="zh-CN"/>
              </w:rPr>
              <w:t>15</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lang w:val="en-US" w:eastAsia="zh-CN"/>
              </w:rPr>
              <w:t>G9、G10</w:t>
            </w:r>
            <w:r>
              <w:rPr>
                <w:rFonts w:ascii="Times New Roman" w:cs="Times New Roman"/>
                <w:sz w:val="21"/>
                <w:szCs w:val="21"/>
              </w:rPr>
              <w:t>涂胶及烘干</w:t>
            </w:r>
            <w:r>
              <w:rPr>
                <w:rFonts w:hint="eastAsia" w:ascii="Times New Roman" w:cs="Times New Roman"/>
                <w:sz w:val="21"/>
                <w:szCs w:val="21"/>
              </w:rPr>
              <w:t>有机废气：0.</w:t>
            </w:r>
            <w:r>
              <w:rPr>
                <w:rFonts w:hint="eastAsia" w:ascii="Times New Roman" w:cs="Times New Roman"/>
                <w:sz w:val="21"/>
                <w:szCs w:val="21"/>
                <w:lang w:val="en-US" w:eastAsia="zh-CN"/>
              </w:rPr>
              <w:t>524</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3</w:t>
            </w:r>
          </w:p>
        </w:tc>
        <w:tc>
          <w:tcPr>
            <w:tcW w:w="699" w:type="pct"/>
            <w:vMerge w:val="restar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硅PU生产线废气</w:t>
            </w: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G1</w:t>
            </w:r>
            <w:r>
              <w:rPr>
                <w:rFonts w:ascii="Times New Roman" w:cs="Times New Roman"/>
                <w:sz w:val="21"/>
                <w:szCs w:val="21"/>
              </w:rPr>
              <w:t>投料粉尘</w:t>
            </w:r>
            <w:r>
              <w:rPr>
                <w:rFonts w:hint="eastAsia" w:ascii="Times New Roman" w:cs="Times New Roman"/>
                <w:sz w:val="21"/>
                <w:szCs w:val="21"/>
              </w:rPr>
              <w:t>：0.</w:t>
            </w:r>
            <w:r>
              <w:rPr>
                <w:rFonts w:hint="eastAsia" w:ascii="Times New Roman" w:cs="Times New Roman"/>
                <w:sz w:val="21"/>
                <w:szCs w:val="21"/>
                <w:lang w:val="en-US" w:eastAsia="zh-CN"/>
              </w:rPr>
              <w:t>102</w:t>
            </w:r>
          </w:p>
        </w:tc>
        <w:tc>
          <w:tcPr>
            <w:tcW w:w="1213" w:type="pct"/>
            <w:vMerge w:val="restar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水喷淋洗涤塔+干式分离器+活性炭吸附箱+RCO废气处理工艺+</w:t>
            </w:r>
            <w:r>
              <w:rPr>
                <w:rFonts w:hint="eastAsia" w:ascii="Times New Roman" w:cs="Times New Roman"/>
                <w:sz w:val="21"/>
                <w:szCs w:val="21"/>
                <w:lang w:val="en-US" w:eastAsia="zh-CN"/>
              </w:rPr>
              <w:t>1</w:t>
            </w:r>
            <w:r>
              <w:rPr>
                <w:rFonts w:ascii="Times New Roman" w:cs="Times New Roman"/>
                <w:sz w:val="21"/>
                <w:szCs w:val="21"/>
              </w:rPr>
              <w:t>5m排气筒高空排放</w:t>
            </w:r>
          </w:p>
          <w:p>
            <w:pPr>
              <w:pStyle w:val="24"/>
              <w:spacing w:line="360" w:lineRule="exact"/>
              <w:ind w:firstLine="0" w:firstLineChars="0"/>
              <w:jc w:val="center"/>
              <w:rPr>
                <w:rFonts w:ascii="Times New Roman" w:cs="Times New Roman"/>
                <w:sz w:val="21"/>
                <w:szCs w:val="21"/>
                <w:vertAlign w:val="superscript"/>
              </w:rPr>
            </w:pPr>
            <w:r>
              <w:rPr>
                <w:rFonts w:hint="eastAsia" w:ascii="Times New Roman" w:cs="Times New Roman"/>
                <w:sz w:val="21"/>
                <w:szCs w:val="21"/>
              </w:rPr>
              <w:t>收集效率：95%</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颗粒物处理效率：</w:t>
            </w:r>
            <w:r>
              <w:rPr>
                <w:rFonts w:hint="eastAsia" w:ascii="Times New Roman" w:cs="Times New Roman"/>
                <w:sz w:val="21"/>
                <w:szCs w:val="21"/>
                <w:lang w:val="en-US" w:eastAsia="zh-CN"/>
              </w:rPr>
              <w:t>99</w:t>
            </w:r>
            <w:r>
              <w:rPr>
                <w:rFonts w:hint="eastAsia" w:ascii="Times New Roman" w:cs="Times New Roman"/>
                <w:sz w:val="21"/>
                <w:szCs w:val="21"/>
              </w:rPr>
              <w:t>%</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非甲烷总烃处理效率：9</w:t>
            </w:r>
            <w:r>
              <w:rPr>
                <w:rFonts w:hint="eastAsia" w:ascii="Times New Roman" w:cs="Times New Roman"/>
                <w:sz w:val="21"/>
                <w:szCs w:val="21"/>
                <w:lang w:val="en-US" w:eastAsia="zh-CN"/>
              </w:rPr>
              <w:t>5</w:t>
            </w:r>
            <w:r>
              <w:rPr>
                <w:rFonts w:hint="eastAsia" w:ascii="Times New Roman" w:cs="Times New Roman"/>
                <w:sz w:val="21"/>
                <w:szCs w:val="21"/>
              </w:rPr>
              <w:t>%</w:t>
            </w:r>
          </w:p>
        </w:tc>
        <w:tc>
          <w:tcPr>
            <w:tcW w:w="984" w:type="pct"/>
            <w:vMerge w:val="restar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排放口：DA002</w:t>
            </w:r>
          </w:p>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排放因子：</w:t>
            </w:r>
          </w:p>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粉尘：</w:t>
            </w:r>
            <w:r>
              <w:rPr>
                <w:rFonts w:hint="eastAsia" w:ascii="Times New Roman" w:hAnsi="Times New Roman" w:cs="Times New Roman"/>
                <w:sz w:val="21"/>
                <w:szCs w:val="21"/>
                <w:lang w:val="en-US" w:eastAsia="zh-CN"/>
              </w:rPr>
              <w:t>0.001</w:t>
            </w:r>
          </w:p>
          <w:p>
            <w:pPr>
              <w:pStyle w:val="24"/>
              <w:spacing w:line="360" w:lineRule="exact"/>
              <w:ind w:firstLine="0" w:firstLineChars="0"/>
              <w:jc w:val="center"/>
              <w:rPr>
                <w:rFonts w:hint="default" w:ascii="Times New Roman" w:cs="Times New Roman"/>
                <w:sz w:val="21"/>
                <w:szCs w:val="21"/>
                <w:lang w:val="en-US"/>
              </w:rPr>
            </w:pPr>
            <w:r>
              <w:rPr>
                <w:rFonts w:ascii="Times New Roman" w:cs="Times New Roman"/>
                <w:sz w:val="21"/>
                <w:szCs w:val="21"/>
              </w:rPr>
              <w:t>非甲烷总烃：</w:t>
            </w:r>
            <w:r>
              <w:rPr>
                <w:rFonts w:hint="eastAsia" w:ascii="Times New Roman" w:cs="Times New Roman"/>
                <w:sz w:val="21"/>
                <w:szCs w:val="21"/>
                <w:lang w:val="en-US" w:eastAsia="zh-CN"/>
              </w:rPr>
              <w:t>1.0047</w:t>
            </w:r>
          </w:p>
          <w:p>
            <w:pPr>
              <w:pStyle w:val="24"/>
              <w:spacing w:line="360" w:lineRule="exact"/>
              <w:ind w:firstLine="0" w:firstLineChars="0"/>
              <w:jc w:val="center"/>
              <w:rPr>
                <w:rFonts w:ascii="Times New Roman" w:cs="Times New Roman"/>
                <w:sz w:val="21"/>
                <w:szCs w:val="21"/>
              </w:rPr>
            </w:pPr>
            <w:r>
              <w:rPr>
                <w:rFonts w:ascii="Times New Roman" w:cs="Times New Roman"/>
                <w:color w:val="000000" w:themeColor="text1"/>
                <w:sz w:val="21"/>
                <w:szCs w:val="21"/>
                <w14:textFill>
                  <w14:solidFill>
                    <w14:schemeClr w14:val="tx1"/>
                  </w14:solidFill>
                </w14:textFill>
              </w:rPr>
              <w:t>丙烯酸</w:t>
            </w:r>
            <w:r>
              <w:rPr>
                <w:rFonts w:ascii="Times New Roman" w:cs="Times New Roman"/>
                <w:sz w:val="21"/>
                <w:szCs w:val="21"/>
              </w:rPr>
              <w:t>：</w:t>
            </w:r>
            <w:r>
              <w:rPr>
                <w:rFonts w:hint="eastAsia" w:ascii="Times New Roman" w:hAnsi="Times New Roman" w:cs="Times New Roman"/>
                <w:sz w:val="21"/>
                <w:szCs w:val="21"/>
                <w:lang w:val="en-US" w:eastAsia="zh-CN"/>
              </w:rPr>
              <w:t>0.0024</w:t>
            </w:r>
          </w:p>
          <w:p>
            <w:pPr>
              <w:pStyle w:val="24"/>
              <w:spacing w:line="360" w:lineRule="exact"/>
              <w:ind w:firstLine="0" w:firstLineChars="0"/>
              <w:jc w:val="center"/>
              <w:rPr>
                <w:rFonts w:hint="eastAsia" w:ascii="Times New Roman" w:cs="Times New Roman"/>
                <w:sz w:val="21"/>
                <w:szCs w:val="21"/>
                <w:lang w:val="en-US" w:eastAsia="zh-CN"/>
              </w:rPr>
            </w:pPr>
            <w:r>
              <w:rPr>
                <w:rFonts w:ascii="Times New Roman" w:cs="Times New Roman"/>
                <w:color w:val="000000" w:themeColor="text1"/>
                <w:sz w:val="21"/>
                <w:szCs w:val="21"/>
                <w14:textFill>
                  <w14:solidFill>
                    <w14:schemeClr w14:val="tx1"/>
                  </w14:solidFill>
                </w14:textFill>
              </w:rPr>
              <w:t>丙烯酸丁酯</w:t>
            </w:r>
            <w:r>
              <w:rPr>
                <w:rFonts w:ascii="Times New Roman" w:cs="Times New Roman"/>
                <w:sz w:val="21"/>
                <w:szCs w:val="21"/>
              </w:rPr>
              <w:t>：</w:t>
            </w:r>
            <w:r>
              <w:rPr>
                <w:rFonts w:hint="eastAsia" w:ascii="Times New Roman" w:cs="Times New Roman"/>
                <w:sz w:val="21"/>
                <w:szCs w:val="21"/>
              </w:rPr>
              <w:t>0.0</w:t>
            </w:r>
            <w:r>
              <w:rPr>
                <w:rFonts w:hint="eastAsia" w:ascii="Times New Roman" w:cs="Times New Roman"/>
                <w:sz w:val="21"/>
                <w:szCs w:val="21"/>
                <w:lang w:val="en-US" w:eastAsia="zh-CN"/>
              </w:rPr>
              <w:t>223</w:t>
            </w:r>
          </w:p>
          <w:p>
            <w:pPr>
              <w:pStyle w:val="24"/>
              <w:spacing w:line="360" w:lineRule="exact"/>
              <w:ind w:firstLine="0" w:firstLineChars="0"/>
              <w:jc w:val="center"/>
              <w:rPr>
                <w:rFonts w:ascii="Times New Roman" w:cs="Times New Roman"/>
                <w:sz w:val="21"/>
                <w:szCs w:val="21"/>
              </w:rPr>
            </w:pPr>
            <w:r>
              <w:rPr>
                <w:rFonts w:ascii="Times New Roman" w:cs="Times New Roman"/>
                <w:color w:val="000000" w:themeColor="text1"/>
                <w:sz w:val="21"/>
                <w:szCs w:val="21"/>
                <w14:textFill>
                  <w14:solidFill>
                    <w14:schemeClr w14:val="tx1"/>
                  </w14:solidFill>
                </w14:textFill>
              </w:rPr>
              <w:t>甲基丙烯酸甲酯</w:t>
            </w:r>
            <w:r>
              <w:rPr>
                <w:rFonts w:ascii="Times New Roman" w:cs="Times New Roman"/>
                <w:sz w:val="21"/>
                <w:szCs w:val="21"/>
              </w:rPr>
              <w:t>：</w:t>
            </w:r>
            <w:r>
              <w:rPr>
                <w:rFonts w:hint="eastAsia" w:ascii="Times New Roman" w:cs="Times New Roman"/>
                <w:sz w:val="21"/>
                <w:szCs w:val="21"/>
              </w:rPr>
              <w:t>0.0</w:t>
            </w:r>
            <w:r>
              <w:rPr>
                <w:rFonts w:hint="eastAsia" w:ascii="Times New Roman" w:cs="Times New Roman"/>
                <w:sz w:val="21"/>
                <w:szCs w:val="21"/>
                <w:lang w:val="en-US" w:eastAsia="zh-CN"/>
              </w:rPr>
              <w:t>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G2</w:t>
            </w:r>
            <w:r>
              <w:rPr>
                <w:rFonts w:ascii="Times New Roman" w:cs="Times New Roman"/>
                <w:sz w:val="21"/>
                <w:szCs w:val="21"/>
              </w:rPr>
              <w:t>工艺</w:t>
            </w:r>
            <w:r>
              <w:rPr>
                <w:rFonts w:hint="eastAsia" w:ascii="Times New Roman" w:cs="Times New Roman"/>
                <w:sz w:val="21"/>
                <w:szCs w:val="21"/>
              </w:rPr>
              <w:t>有机废气：</w:t>
            </w:r>
            <w:r>
              <w:rPr>
                <w:rFonts w:hint="eastAsia" w:ascii="Times New Roman" w:cs="Times New Roman"/>
                <w:sz w:val="21"/>
                <w:szCs w:val="21"/>
                <w:lang w:val="en-US" w:eastAsia="zh-CN"/>
              </w:rPr>
              <w:t>9.22</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56"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4</w:t>
            </w:r>
          </w:p>
        </w:tc>
        <w:tc>
          <w:tcPr>
            <w:tcW w:w="699"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双</w:t>
            </w:r>
            <w:r>
              <w:rPr>
                <w:rFonts w:ascii="Times New Roman" w:cs="Times New Roman"/>
                <w:sz w:val="21"/>
                <w:szCs w:val="21"/>
              </w:rPr>
              <w:t>组份胶水生产线废气</w:t>
            </w: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lang w:val="en-US" w:eastAsia="zh-CN"/>
              </w:rPr>
              <w:t>G14</w:t>
            </w:r>
            <w:r>
              <w:rPr>
                <w:rFonts w:ascii="Times New Roman" w:cs="Times New Roman"/>
                <w:sz w:val="21"/>
                <w:szCs w:val="21"/>
              </w:rPr>
              <w:t>投料粉尘</w:t>
            </w:r>
            <w:r>
              <w:rPr>
                <w:rFonts w:hint="eastAsia" w:ascii="Times New Roman" w:cs="Times New Roman"/>
                <w:sz w:val="21"/>
                <w:szCs w:val="21"/>
              </w:rPr>
              <w:t>：0.</w:t>
            </w:r>
            <w:r>
              <w:rPr>
                <w:rFonts w:hint="eastAsia" w:ascii="Times New Roman" w:cs="Times New Roman"/>
                <w:sz w:val="21"/>
                <w:szCs w:val="21"/>
                <w:lang w:val="en-US" w:eastAsia="zh-CN"/>
              </w:rPr>
              <w:t>021</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lang w:val="en-US" w:eastAsia="zh-CN"/>
              </w:rPr>
              <w:t>G15、G16</w:t>
            </w:r>
            <w:r>
              <w:rPr>
                <w:rFonts w:ascii="Times New Roman" w:cs="Times New Roman"/>
                <w:sz w:val="21"/>
                <w:szCs w:val="21"/>
              </w:rPr>
              <w:t>工艺</w:t>
            </w:r>
            <w:r>
              <w:rPr>
                <w:rFonts w:hint="eastAsia" w:ascii="Times New Roman" w:cs="Times New Roman"/>
                <w:sz w:val="21"/>
                <w:szCs w:val="21"/>
              </w:rPr>
              <w:t>有机废气：</w:t>
            </w:r>
            <w:r>
              <w:rPr>
                <w:rFonts w:hint="eastAsia" w:ascii="Times New Roman" w:cs="Times New Roman"/>
                <w:sz w:val="21"/>
                <w:szCs w:val="21"/>
                <w:lang w:val="en-US" w:eastAsia="zh-CN"/>
              </w:rPr>
              <w:t>6.32</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5</w:t>
            </w:r>
          </w:p>
        </w:tc>
        <w:tc>
          <w:tcPr>
            <w:tcW w:w="699" w:type="pc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单</w:t>
            </w:r>
            <w:r>
              <w:rPr>
                <w:rFonts w:ascii="Times New Roman" w:cs="Times New Roman"/>
                <w:sz w:val="21"/>
                <w:szCs w:val="21"/>
              </w:rPr>
              <w:t>组份胶水生产线废气</w:t>
            </w: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G11~G13</w:t>
            </w:r>
            <w:r>
              <w:rPr>
                <w:rFonts w:ascii="Times New Roman" w:cs="Times New Roman"/>
                <w:sz w:val="21"/>
                <w:szCs w:val="21"/>
              </w:rPr>
              <w:t>工艺</w:t>
            </w:r>
            <w:r>
              <w:rPr>
                <w:rFonts w:hint="eastAsia" w:ascii="Times New Roman" w:cs="Times New Roman"/>
                <w:sz w:val="21"/>
                <w:szCs w:val="21"/>
              </w:rPr>
              <w:t>有机废气：</w:t>
            </w:r>
            <w:r>
              <w:rPr>
                <w:rFonts w:hint="eastAsia" w:ascii="Times New Roman" w:cs="Times New Roman"/>
                <w:sz w:val="21"/>
                <w:szCs w:val="21"/>
                <w:lang w:val="en-US" w:eastAsia="zh-CN"/>
              </w:rPr>
              <w:t>3.16</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6</w:t>
            </w:r>
          </w:p>
        </w:tc>
        <w:tc>
          <w:tcPr>
            <w:tcW w:w="699"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面漆生产线</w:t>
            </w: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G</w:t>
            </w:r>
            <w:r>
              <w:rPr>
                <w:rFonts w:hint="eastAsia" w:ascii="Times New Roman" w:cs="Times New Roman"/>
                <w:sz w:val="21"/>
                <w:szCs w:val="21"/>
                <w:lang w:val="en-US" w:eastAsia="zh-CN"/>
              </w:rPr>
              <w:t>17</w:t>
            </w:r>
            <w:r>
              <w:rPr>
                <w:rFonts w:ascii="Times New Roman" w:cs="Times New Roman"/>
                <w:sz w:val="21"/>
                <w:szCs w:val="21"/>
              </w:rPr>
              <w:t>投料粉尘</w:t>
            </w:r>
            <w:r>
              <w:rPr>
                <w:rFonts w:hint="eastAsia" w:ascii="Times New Roman" w:cs="Times New Roman"/>
                <w:sz w:val="21"/>
                <w:szCs w:val="21"/>
              </w:rPr>
              <w:t>：0.</w:t>
            </w:r>
            <w:r>
              <w:rPr>
                <w:rFonts w:hint="eastAsia" w:ascii="Times New Roman" w:cs="Times New Roman"/>
                <w:sz w:val="21"/>
                <w:szCs w:val="21"/>
                <w:lang w:val="en-US" w:eastAsia="zh-CN"/>
              </w:rPr>
              <w:t>012</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lang w:val="en-US" w:eastAsia="zh-CN"/>
              </w:rPr>
              <w:t>G18、G19</w:t>
            </w:r>
            <w:r>
              <w:rPr>
                <w:rFonts w:ascii="Times New Roman" w:cs="Times New Roman"/>
                <w:sz w:val="21"/>
                <w:szCs w:val="21"/>
              </w:rPr>
              <w:t>工艺</w:t>
            </w:r>
            <w:r>
              <w:rPr>
                <w:rFonts w:hint="eastAsia" w:ascii="Times New Roman" w:cs="Times New Roman"/>
                <w:sz w:val="21"/>
                <w:szCs w:val="21"/>
              </w:rPr>
              <w:t>有机废气：</w:t>
            </w:r>
            <w:r>
              <w:rPr>
                <w:rFonts w:hint="eastAsia" w:ascii="Times New Roman" w:cs="Times New Roman"/>
                <w:sz w:val="21"/>
                <w:szCs w:val="21"/>
                <w:lang w:val="en-US" w:eastAsia="zh-CN"/>
              </w:rPr>
              <w:t>1.40</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7</w:t>
            </w:r>
          </w:p>
        </w:tc>
        <w:tc>
          <w:tcPr>
            <w:tcW w:w="699"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水性树脂生产线废气</w:t>
            </w:r>
          </w:p>
        </w:tc>
        <w:tc>
          <w:tcPr>
            <w:tcW w:w="430"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有机废气：2.1</w:t>
            </w:r>
          </w:p>
        </w:tc>
        <w:tc>
          <w:tcPr>
            <w:tcW w:w="1315" w:type="pct"/>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非甲烷总烃：1.</w:t>
            </w:r>
            <w:r>
              <w:rPr>
                <w:rFonts w:hint="eastAsia" w:ascii="Times New Roman" w:cs="Times New Roman"/>
                <w:sz w:val="21"/>
                <w:szCs w:val="21"/>
                <w:lang w:val="en-US" w:eastAsia="zh-CN"/>
              </w:rPr>
              <w:t>109</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430" w:type="pct"/>
            <w:vMerge w:val="continue"/>
            <w:vAlign w:val="center"/>
          </w:tcPr>
          <w:p>
            <w:pPr>
              <w:pStyle w:val="24"/>
              <w:spacing w:line="360" w:lineRule="exact"/>
              <w:ind w:firstLine="0" w:firstLineChars="0"/>
              <w:jc w:val="center"/>
              <w:rPr>
                <w:rFonts w:ascii="Times New Roman" w:cs="Times New Roman"/>
                <w:sz w:val="21"/>
                <w:szCs w:val="21"/>
              </w:rPr>
            </w:pPr>
          </w:p>
        </w:tc>
        <w:tc>
          <w:tcPr>
            <w:tcW w:w="1315" w:type="pct"/>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w:t>
            </w:r>
            <w:r>
              <w:rPr>
                <w:rFonts w:hint="eastAsia" w:cs="Times New Roman"/>
                <w:sz w:val="21"/>
                <w:szCs w:val="21"/>
              </w:rPr>
              <w:t>：0.051</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430" w:type="pct"/>
            <w:vMerge w:val="continue"/>
            <w:vAlign w:val="center"/>
          </w:tcPr>
          <w:p>
            <w:pPr>
              <w:pStyle w:val="24"/>
              <w:spacing w:line="360" w:lineRule="exact"/>
              <w:ind w:firstLine="0" w:firstLineChars="0"/>
              <w:jc w:val="center"/>
              <w:rPr>
                <w:rFonts w:ascii="Times New Roman" w:cs="Times New Roman"/>
                <w:sz w:val="21"/>
                <w:szCs w:val="21"/>
              </w:rPr>
            </w:pPr>
          </w:p>
        </w:tc>
        <w:tc>
          <w:tcPr>
            <w:tcW w:w="1315" w:type="pct"/>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丙烯酸丁酯</w:t>
            </w:r>
            <w:r>
              <w:rPr>
                <w:rFonts w:hint="eastAsia" w:cs="Times New Roman"/>
                <w:sz w:val="21"/>
                <w:szCs w:val="21"/>
              </w:rPr>
              <w:t>：0.47</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430" w:type="pct"/>
            <w:vMerge w:val="continue"/>
            <w:vAlign w:val="center"/>
          </w:tcPr>
          <w:p>
            <w:pPr>
              <w:pStyle w:val="24"/>
              <w:spacing w:line="360" w:lineRule="exact"/>
              <w:ind w:firstLine="0" w:firstLineChars="0"/>
              <w:jc w:val="center"/>
              <w:rPr>
                <w:rFonts w:ascii="Times New Roman" w:cs="Times New Roman"/>
                <w:sz w:val="21"/>
                <w:szCs w:val="21"/>
              </w:rPr>
            </w:pPr>
          </w:p>
        </w:tc>
        <w:tc>
          <w:tcPr>
            <w:tcW w:w="1315" w:type="pct"/>
            <w:vAlign w:val="center"/>
          </w:tcPr>
          <w:p>
            <w:pPr>
              <w:widowControl/>
              <w:spacing w:line="360" w:lineRule="exact"/>
              <w:ind w:firstLine="0" w:firstLineChars="0"/>
              <w:jc w:val="center"/>
              <w:rPr>
                <w:rFonts w:hint="default" w:eastAsia="宋体" w:cs="Times New Roman"/>
                <w:sz w:val="21"/>
                <w:szCs w:val="21"/>
                <w:lang w:val="en-US" w:eastAsia="zh-CN"/>
              </w:rPr>
            </w:pPr>
            <w:r>
              <w:rPr>
                <w:rFonts w:hint="eastAsia"/>
                <w:color w:val="000000" w:themeColor="text1"/>
                <w:sz w:val="21"/>
                <w:szCs w:val="21"/>
                <w14:textFill>
                  <w14:solidFill>
                    <w14:schemeClr w14:val="tx1"/>
                  </w14:solidFill>
                </w14:textFill>
              </w:rPr>
              <w:t>甲基丙烯酸甲酯</w:t>
            </w:r>
            <w:r>
              <w:rPr>
                <w:rFonts w:hint="eastAsia" w:cs="Times New Roman"/>
                <w:sz w:val="21"/>
                <w:szCs w:val="21"/>
              </w:rPr>
              <w:t>：0.</w:t>
            </w:r>
            <w:r>
              <w:rPr>
                <w:rFonts w:hint="eastAsia" w:cs="Times New Roman"/>
                <w:sz w:val="21"/>
                <w:szCs w:val="21"/>
                <w:lang w:val="en-US" w:eastAsia="zh-CN"/>
              </w:rPr>
              <w:t>47</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8</w:t>
            </w:r>
          </w:p>
        </w:tc>
        <w:tc>
          <w:tcPr>
            <w:tcW w:w="699"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食堂废气</w:t>
            </w: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油烟：0.</w:t>
            </w:r>
            <w:r>
              <w:rPr>
                <w:rFonts w:hint="eastAsia" w:ascii="Times New Roman" w:cs="Times New Roman"/>
                <w:sz w:val="21"/>
                <w:szCs w:val="21"/>
                <w:lang w:val="en-US" w:eastAsia="zh-CN"/>
              </w:rPr>
              <w:t>108</w:t>
            </w:r>
          </w:p>
        </w:tc>
        <w:tc>
          <w:tcPr>
            <w:tcW w:w="1213"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静电油烟净化器：</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油烟净化效率：90%</w:t>
            </w:r>
          </w:p>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非甲烷总烃净化效率</w:t>
            </w:r>
            <w:r>
              <w:rPr>
                <w:rFonts w:hint="eastAsia" w:ascii="Times New Roman" w:cs="Times New Roman"/>
                <w:sz w:val="21"/>
                <w:szCs w:val="21"/>
              </w:rPr>
              <w:t>：</w:t>
            </w:r>
            <w:r>
              <w:rPr>
                <w:rFonts w:hint="eastAsia" w:ascii="Times New Roman" w:cs="Times New Roman"/>
                <w:sz w:val="21"/>
                <w:szCs w:val="21"/>
                <w:lang w:val="en-US" w:eastAsia="zh-CN"/>
              </w:rPr>
              <w:t>8</w:t>
            </w:r>
            <w:r>
              <w:rPr>
                <w:rFonts w:ascii="Times New Roman" w:cs="Times New Roman"/>
                <w:sz w:val="21"/>
                <w:szCs w:val="21"/>
              </w:rPr>
              <w:t>0%</w:t>
            </w:r>
          </w:p>
        </w:tc>
        <w:tc>
          <w:tcPr>
            <w:tcW w:w="984" w:type="pct"/>
            <w:vMerge w:val="restart"/>
            <w:vAlign w:val="center"/>
          </w:tcPr>
          <w:p>
            <w:pPr>
              <w:pStyle w:val="24"/>
              <w:spacing w:line="360" w:lineRule="exact"/>
              <w:ind w:firstLine="0" w:firstLineChars="0"/>
              <w:jc w:val="center"/>
              <w:rPr>
                <w:rFonts w:hint="eastAsia" w:ascii="Times New Roman" w:cs="Times New Roman"/>
                <w:sz w:val="21"/>
                <w:szCs w:val="21"/>
                <w:lang w:eastAsia="zh-CN"/>
              </w:rPr>
            </w:pPr>
            <w:r>
              <w:rPr>
                <w:rFonts w:hint="eastAsia" w:ascii="Times New Roman" w:cs="Times New Roman"/>
                <w:sz w:val="21"/>
                <w:szCs w:val="21"/>
              </w:rPr>
              <w:t>排放口：</w:t>
            </w:r>
            <w:r>
              <w:rPr>
                <w:rFonts w:hint="eastAsia" w:ascii="Times New Roman" w:cs="Times New Roman"/>
                <w:sz w:val="21"/>
                <w:szCs w:val="21"/>
                <w:lang w:eastAsia="zh-CN"/>
              </w:rPr>
              <w:t>专用烟道</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排放因子：</w:t>
            </w:r>
          </w:p>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油烟：</w:t>
            </w:r>
            <w:r>
              <w:rPr>
                <w:rFonts w:hint="eastAsia" w:ascii="Times New Roman" w:cs="Times New Roman"/>
                <w:sz w:val="21"/>
                <w:szCs w:val="21"/>
                <w:lang w:val="en-US" w:eastAsia="zh-CN"/>
              </w:rPr>
              <w:t>0.01</w:t>
            </w:r>
          </w:p>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非甲烷总烃：0.0</w:t>
            </w:r>
            <w:r>
              <w:rPr>
                <w:rFonts w:hint="eastAsia" w:ascii="Times New Roman" w:cs="Times New Roman"/>
                <w:sz w:val="21"/>
                <w:szCs w:val="21"/>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1745" w:type="pct"/>
            <w:gridSpan w:val="2"/>
            <w:vAlign w:val="center"/>
          </w:tcPr>
          <w:p>
            <w:pPr>
              <w:pStyle w:val="24"/>
              <w:spacing w:line="360" w:lineRule="exact"/>
              <w:ind w:firstLine="0" w:firstLineChars="0"/>
              <w:jc w:val="center"/>
              <w:rPr>
                <w:rFonts w:hint="default" w:ascii="Times New Roman" w:eastAsia="宋体" w:cs="Times New Roman"/>
                <w:sz w:val="21"/>
                <w:szCs w:val="21"/>
                <w:lang w:val="en-US" w:eastAsia="zh-CN"/>
              </w:rPr>
            </w:pPr>
            <w:r>
              <w:rPr>
                <w:rFonts w:hint="eastAsia" w:ascii="Times New Roman" w:cs="Times New Roman"/>
                <w:sz w:val="21"/>
                <w:szCs w:val="21"/>
              </w:rPr>
              <w:t>非甲烷总烃：0.</w:t>
            </w:r>
            <w:r>
              <w:rPr>
                <w:rFonts w:hint="eastAsia" w:ascii="Times New Roman" w:cs="Times New Roman"/>
                <w:sz w:val="21"/>
                <w:szCs w:val="21"/>
                <w:lang w:val="en-US" w:eastAsia="zh-CN"/>
              </w:rPr>
              <w:t>182</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9</w:t>
            </w:r>
          </w:p>
        </w:tc>
        <w:tc>
          <w:tcPr>
            <w:tcW w:w="699" w:type="pct"/>
            <w:vMerge w:val="restart"/>
            <w:vAlign w:val="center"/>
          </w:tcPr>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厂区污水站废气</w:t>
            </w:r>
          </w:p>
        </w:tc>
        <w:tc>
          <w:tcPr>
            <w:tcW w:w="1745" w:type="pct"/>
            <w:gridSpan w:val="2"/>
            <w:vAlign w:val="center"/>
          </w:tcPr>
          <w:p>
            <w:pPr>
              <w:spacing w:line="360" w:lineRule="exact"/>
              <w:ind w:firstLine="0" w:firstLineChars="0"/>
              <w:jc w:val="center"/>
              <w:rPr>
                <w:rFonts w:cs="Times New Roman"/>
                <w:sz w:val="21"/>
                <w:szCs w:val="21"/>
              </w:rPr>
            </w:pPr>
            <w:r>
              <w:rPr>
                <w:rFonts w:cs="Times New Roman"/>
                <w:sz w:val="21"/>
                <w:szCs w:val="21"/>
              </w:rPr>
              <w:t>H</w:t>
            </w:r>
            <w:r>
              <w:rPr>
                <w:rFonts w:cs="Times New Roman"/>
                <w:sz w:val="21"/>
                <w:szCs w:val="21"/>
                <w:vertAlign w:val="subscript"/>
              </w:rPr>
              <w:t>2</w:t>
            </w:r>
            <w:r>
              <w:rPr>
                <w:rFonts w:cs="Times New Roman"/>
                <w:sz w:val="21"/>
                <w:szCs w:val="21"/>
              </w:rPr>
              <w:t>S</w:t>
            </w:r>
            <w:r>
              <w:rPr>
                <w:rFonts w:hint="eastAsia" w:cs="Times New Roman"/>
                <w:sz w:val="21"/>
                <w:szCs w:val="21"/>
              </w:rPr>
              <w:t>：0.8636</w:t>
            </w:r>
          </w:p>
        </w:tc>
        <w:tc>
          <w:tcPr>
            <w:tcW w:w="1213" w:type="pct"/>
            <w:vMerge w:val="restart"/>
            <w:vAlign w:val="center"/>
          </w:tcPr>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二级活性炭吸附</w:t>
            </w:r>
          </w:p>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收集效率取</w:t>
            </w:r>
            <w:r>
              <w:rPr>
                <w:rFonts w:hint="eastAsia" w:ascii="Times New Roman" w:cs="Times New Roman"/>
                <w:sz w:val="21"/>
                <w:szCs w:val="21"/>
                <w:lang w:val="en-US" w:eastAsia="zh-CN"/>
              </w:rPr>
              <w:t>9</w:t>
            </w:r>
            <w:r>
              <w:rPr>
                <w:rFonts w:ascii="Times New Roman" w:cs="Times New Roman"/>
                <w:sz w:val="21"/>
                <w:szCs w:val="21"/>
              </w:rPr>
              <w:t>0%，处理效率取85%</w:t>
            </w:r>
          </w:p>
        </w:tc>
        <w:tc>
          <w:tcPr>
            <w:tcW w:w="984" w:type="pct"/>
            <w:vMerge w:val="restart"/>
            <w:vAlign w:val="center"/>
          </w:tcPr>
          <w:p>
            <w:pPr>
              <w:pStyle w:val="24"/>
              <w:spacing w:line="360" w:lineRule="exact"/>
              <w:ind w:firstLine="0" w:firstLineChars="0"/>
              <w:jc w:val="center"/>
              <w:rPr>
                <w:rFonts w:hint="eastAsia" w:ascii="Times New Roman" w:eastAsia="宋体" w:cs="Times New Roman"/>
                <w:sz w:val="21"/>
                <w:szCs w:val="21"/>
                <w:lang w:eastAsia="zh-CN"/>
              </w:rPr>
            </w:pPr>
            <w:r>
              <w:rPr>
                <w:rFonts w:hint="eastAsia" w:ascii="Times New Roman" w:cs="Times New Roman"/>
                <w:sz w:val="21"/>
                <w:szCs w:val="21"/>
              </w:rPr>
              <w:t>排放口：DA00</w:t>
            </w:r>
            <w:r>
              <w:rPr>
                <w:rFonts w:hint="eastAsia" w:ascii="Times New Roman" w:cs="Times New Roman"/>
                <w:sz w:val="21"/>
                <w:szCs w:val="21"/>
                <w:lang w:val="en-US" w:eastAsia="zh-CN"/>
              </w:rPr>
              <w:t>3</w:t>
            </w:r>
          </w:p>
          <w:p>
            <w:pPr>
              <w:pStyle w:val="24"/>
              <w:spacing w:line="360" w:lineRule="exact"/>
              <w:ind w:firstLine="0" w:firstLineChars="0"/>
              <w:jc w:val="center"/>
              <w:rPr>
                <w:rFonts w:ascii="Times New Roman" w:cs="Times New Roman"/>
                <w:sz w:val="21"/>
                <w:szCs w:val="21"/>
              </w:rPr>
            </w:pPr>
            <w:r>
              <w:rPr>
                <w:rFonts w:hint="eastAsia" w:ascii="Times New Roman" w:cs="Times New Roman"/>
                <w:sz w:val="21"/>
                <w:szCs w:val="21"/>
              </w:rPr>
              <w:t>排放因子：</w:t>
            </w:r>
          </w:p>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H</w:t>
            </w:r>
            <w:r>
              <w:rPr>
                <w:rFonts w:ascii="Times New Roman" w:cs="Times New Roman"/>
                <w:sz w:val="21"/>
                <w:szCs w:val="21"/>
                <w:vertAlign w:val="subscript"/>
              </w:rPr>
              <w:t>2</w:t>
            </w:r>
            <w:r>
              <w:rPr>
                <w:rFonts w:ascii="Times New Roman" w:cs="Times New Roman"/>
                <w:sz w:val="21"/>
                <w:szCs w:val="21"/>
              </w:rPr>
              <w:t>S</w:t>
            </w:r>
            <w:r>
              <w:rPr>
                <w:rFonts w:hint="eastAsia" w:ascii="Times New Roman" w:cs="Times New Roman"/>
                <w:sz w:val="21"/>
                <w:szCs w:val="21"/>
              </w:rPr>
              <w:t>：0.0089</w:t>
            </w:r>
          </w:p>
          <w:p>
            <w:pPr>
              <w:pStyle w:val="24"/>
              <w:spacing w:line="360" w:lineRule="exact"/>
              <w:ind w:firstLine="0" w:firstLineChars="0"/>
              <w:jc w:val="center"/>
              <w:rPr>
                <w:rFonts w:ascii="Times New Roman" w:cs="Times New Roman"/>
                <w:sz w:val="21"/>
                <w:szCs w:val="21"/>
              </w:rPr>
            </w:pPr>
            <w:r>
              <w:rPr>
                <w:rFonts w:ascii="Times New Roman" w:cs="Times New Roman"/>
                <w:sz w:val="21"/>
                <w:szCs w:val="21"/>
              </w:rPr>
              <w:t>NH</w:t>
            </w:r>
            <w:r>
              <w:rPr>
                <w:rFonts w:ascii="Times New Roman" w:cs="Times New Roman"/>
                <w:sz w:val="21"/>
                <w:szCs w:val="21"/>
                <w:vertAlign w:val="subscript"/>
              </w:rPr>
              <w:t>3</w:t>
            </w:r>
            <w:r>
              <w:rPr>
                <w:rFonts w:hint="eastAsia" w:ascii="Times New Roman" w:cs="Times New Roman"/>
                <w:sz w:val="21"/>
                <w:szCs w:val="21"/>
              </w:rPr>
              <w:t>：0.0181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56" w:type="pct"/>
            <w:vMerge w:val="continue"/>
            <w:vAlign w:val="center"/>
          </w:tcPr>
          <w:p>
            <w:pPr>
              <w:pStyle w:val="24"/>
              <w:spacing w:line="360" w:lineRule="exact"/>
              <w:ind w:firstLine="0" w:firstLineChars="0"/>
              <w:jc w:val="center"/>
              <w:rPr>
                <w:rFonts w:ascii="Times New Roman" w:cs="Times New Roman"/>
                <w:sz w:val="21"/>
                <w:szCs w:val="21"/>
              </w:rPr>
            </w:pPr>
          </w:p>
        </w:tc>
        <w:tc>
          <w:tcPr>
            <w:tcW w:w="699" w:type="pct"/>
            <w:vMerge w:val="continue"/>
            <w:vAlign w:val="center"/>
          </w:tcPr>
          <w:p>
            <w:pPr>
              <w:pStyle w:val="24"/>
              <w:spacing w:line="360" w:lineRule="exact"/>
              <w:ind w:firstLine="0" w:firstLineChars="0"/>
              <w:jc w:val="center"/>
              <w:rPr>
                <w:rFonts w:ascii="Times New Roman" w:cs="Times New Roman"/>
                <w:sz w:val="21"/>
                <w:szCs w:val="21"/>
              </w:rPr>
            </w:pPr>
          </w:p>
        </w:tc>
        <w:tc>
          <w:tcPr>
            <w:tcW w:w="1745" w:type="pct"/>
            <w:gridSpan w:val="2"/>
            <w:vAlign w:val="center"/>
          </w:tcPr>
          <w:p>
            <w:pPr>
              <w:spacing w:line="360" w:lineRule="exact"/>
              <w:ind w:firstLine="0" w:firstLineChars="0"/>
              <w:jc w:val="center"/>
              <w:rPr>
                <w:rFonts w:cs="Times New Roman"/>
                <w:sz w:val="21"/>
                <w:szCs w:val="21"/>
              </w:rPr>
            </w:pPr>
            <w:r>
              <w:rPr>
                <w:rFonts w:cs="Times New Roman"/>
                <w:sz w:val="21"/>
                <w:szCs w:val="21"/>
              </w:rPr>
              <w:t>NH</w:t>
            </w:r>
            <w:r>
              <w:rPr>
                <w:rFonts w:cs="Times New Roman"/>
                <w:sz w:val="21"/>
                <w:szCs w:val="21"/>
                <w:vertAlign w:val="subscript"/>
              </w:rPr>
              <w:t>3</w:t>
            </w:r>
            <w:r>
              <w:rPr>
                <w:rFonts w:hint="eastAsia" w:cs="Times New Roman"/>
                <w:sz w:val="21"/>
                <w:szCs w:val="21"/>
              </w:rPr>
              <w:t>：0.3218</w:t>
            </w:r>
          </w:p>
        </w:tc>
        <w:tc>
          <w:tcPr>
            <w:tcW w:w="1213" w:type="pct"/>
            <w:vMerge w:val="continue"/>
            <w:vAlign w:val="center"/>
          </w:tcPr>
          <w:p>
            <w:pPr>
              <w:pStyle w:val="24"/>
              <w:spacing w:line="360" w:lineRule="exact"/>
              <w:ind w:firstLine="0" w:firstLineChars="0"/>
              <w:jc w:val="center"/>
              <w:rPr>
                <w:rFonts w:ascii="Times New Roman" w:cs="Times New Roman"/>
                <w:sz w:val="21"/>
                <w:szCs w:val="21"/>
              </w:rPr>
            </w:pPr>
          </w:p>
        </w:tc>
        <w:tc>
          <w:tcPr>
            <w:tcW w:w="984" w:type="pct"/>
            <w:vMerge w:val="continue"/>
            <w:vAlign w:val="center"/>
          </w:tcPr>
          <w:p>
            <w:pPr>
              <w:pStyle w:val="24"/>
              <w:spacing w:line="360" w:lineRule="exact"/>
              <w:ind w:firstLine="0" w:firstLineChars="0"/>
              <w:jc w:val="center"/>
              <w:rPr>
                <w:rFonts w:ascii="Times New Roman" w:cs="Times New Roman"/>
                <w:sz w:val="21"/>
                <w:szCs w:val="21"/>
              </w:rPr>
            </w:pPr>
          </w:p>
        </w:tc>
      </w:tr>
    </w:tbl>
    <w:p>
      <w:pPr>
        <w:ind w:firstLine="0" w:firstLineChars="0"/>
        <w:jc w:val="center"/>
        <w:rPr>
          <w:b/>
          <w:bCs/>
          <w:color w:val="000000"/>
          <w:lang w:bidi="ar"/>
        </w:rPr>
      </w:pPr>
      <w:r>
        <w:rPr>
          <w:rFonts w:hint="eastAsia"/>
          <w:b/>
          <w:bCs/>
          <w:color w:val="000000"/>
          <w:lang w:bidi="ar"/>
        </w:rPr>
        <w:t>表4.3-7  项目无组织废气产排情况一览表</w:t>
      </w:r>
    </w:p>
    <w:tbl>
      <w:tblPr>
        <w:tblStyle w:val="28"/>
        <w:tblW w:w="50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931"/>
        <w:gridCol w:w="1714"/>
        <w:gridCol w:w="994"/>
        <w:gridCol w:w="1088"/>
        <w:gridCol w:w="1071"/>
        <w:gridCol w:w="1757"/>
        <w:gridCol w:w="1982"/>
        <w:gridCol w:w="1305"/>
        <w:gridCol w:w="1703"/>
        <w:gridCol w:w="1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restar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污染源</w:t>
            </w:r>
          </w:p>
        </w:tc>
        <w:tc>
          <w:tcPr>
            <w:tcW w:w="600" w:type="pct"/>
            <w:vMerge w:val="restar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污染物</w:t>
            </w:r>
          </w:p>
          <w:p>
            <w:pPr>
              <w:adjustRightInd w:val="0"/>
              <w:snapToGrid w:val="0"/>
              <w:spacing w:line="360" w:lineRule="exact"/>
              <w:ind w:firstLine="0" w:firstLineChars="0"/>
              <w:jc w:val="center"/>
              <w:rPr>
                <w:rFonts w:cs="Times New Roman"/>
                <w:bCs/>
                <w:sz w:val="21"/>
                <w:szCs w:val="21"/>
              </w:rPr>
            </w:pPr>
            <w:r>
              <w:rPr>
                <w:rFonts w:cs="Times New Roman"/>
                <w:bCs/>
                <w:sz w:val="21"/>
                <w:szCs w:val="21"/>
              </w:rPr>
              <w:t>名称</w:t>
            </w:r>
          </w:p>
        </w:tc>
        <w:tc>
          <w:tcPr>
            <w:tcW w:w="1104" w:type="pct"/>
            <w:gridSpan w:val="3"/>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面源</w:t>
            </w:r>
          </w:p>
        </w:tc>
        <w:tc>
          <w:tcPr>
            <w:tcW w:w="1307" w:type="pct"/>
            <w:gridSpan w:val="2"/>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产生情况</w:t>
            </w:r>
          </w:p>
        </w:tc>
        <w:tc>
          <w:tcPr>
            <w:tcW w:w="457" w:type="pct"/>
            <w:vMerge w:val="restar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防治措施</w:t>
            </w:r>
          </w:p>
        </w:tc>
        <w:tc>
          <w:tcPr>
            <w:tcW w:w="1204" w:type="pct"/>
            <w:gridSpan w:val="2"/>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排放情况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bCs/>
                <w:sz w:val="21"/>
                <w:szCs w:val="21"/>
              </w:rPr>
            </w:pPr>
          </w:p>
        </w:tc>
        <w:tc>
          <w:tcPr>
            <w:tcW w:w="600" w:type="pct"/>
            <w:vMerge w:val="continue"/>
            <w:vAlign w:val="center"/>
          </w:tcPr>
          <w:p>
            <w:pPr>
              <w:adjustRightInd w:val="0"/>
              <w:snapToGrid w:val="0"/>
              <w:spacing w:line="360" w:lineRule="exact"/>
              <w:ind w:firstLine="0" w:firstLineChars="0"/>
              <w:jc w:val="center"/>
              <w:rPr>
                <w:rFonts w:cs="Times New Roman"/>
                <w:bCs/>
                <w:sz w:val="21"/>
                <w:szCs w:val="21"/>
              </w:rPr>
            </w:pPr>
          </w:p>
        </w:tc>
        <w:tc>
          <w:tcPr>
            <w:tcW w:w="729" w:type="pct"/>
            <w:gridSpan w:val="2"/>
            <w:vAlign w:val="center"/>
          </w:tcPr>
          <w:p>
            <w:pPr>
              <w:adjustRightInd w:val="0"/>
              <w:snapToGrid w:val="0"/>
              <w:spacing w:line="360" w:lineRule="exact"/>
              <w:ind w:firstLine="0" w:firstLineChars="0"/>
              <w:jc w:val="center"/>
              <w:rPr>
                <w:rFonts w:cs="Times New Roman"/>
                <w:bCs/>
                <w:sz w:val="21"/>
                <w:szCs w:val="21"/>
              </w:rPr>
            </w:pPr>
            <w:r>
              <w:rPr>
                <w:rFonts w:hint="eastAsia" w:cs="Times New Roman"/>
                <w:bCs/>
                <w:sz w:val="21"/>
                <w:szCs w:val="21"/>
              </w:rPr>
              <w:t>面积（m</w:t>
            </w:r>
            <w:r>
              <w:rPr>
                <w:rFonts w:hint="eastAsia" w:cs="Times New Roman"/>
                <w:bCs/>
                <w:sz w:val="21"/>
                <w:szCs w:val="21"/>
                <w:vertAlign w:val="superscript"/>
              </w:rPr>
              <w:t>2</w:t>
            </w:r>
            <w:r>
              <w:rPr>
                <w:rFonts w:hint="eastAsia" w:cs="Times New Roman"/>
                <w:bCs/>
                <w:sz w:val="21"/>
                <w:szCs w:val="21"/>
              </w:rPr>
              <w:t>）</w:t>
            </w:r>
          </w:p>
        </w:tc>
        <w:tc>
          <w:tcPr>
            <w:tcW w:w="374" w:type="pc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高</w:t>
            </w:r>
            <w:r>
              <w:rPr>
                <w:rFonts w:hint="eastAsia" w:cs="Times New Roman"/>
                <w:bCs/>
                <w:sz w:val="21"/>
                <w:szCs w:val="21"/>
              </w:rPr>
              <w:t>（</w:t>
            </w:r>
            <w:r>
              <w:rPr>
                <w:rFonts w:cs="Times New Roman"/>
                <w:bCs/>
                <w:sz w:val="21"/>
                <w:szCs w:val="21"/>
              </w:rPr>
              <w:t>m</w:t>
            </w:r>
            <w:r>
              <w:rPr>
                <w:rFonts w:hint="eastAsia" w:cs="Times New Roman"/>
                <w:bCs/>
                <w:sz w:val="21"/>
                <w:szCs w:val="21"/>
              </w:rPr>
              <w:t>）</w:t>
            </w:r>
          </w:p>
        </w:tc>
        <w:tc>
          <w:tcPr>
            <w:tcW w:w="615" w:type="pc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速率</w:t>
            </w:r>
            <w:r>
              <w:rPr>
                <w:rFonts w:hint="eastAsia" w:cs="Times New Roman"/>
                <w:bCs/>
                <w:sz w:val="21"/>
                <w:szCs w:val="21"/>
              </w:rPr>
              <w:t>（</w:t>
            </w:r>
            <w:r>
              <w:rPr>
                <w:rFonts w:cs="Times New Roman"/>
                <w:bCs/>
                <w:sz w:val="21"/>
                <w:szCs w:val="21"/>
              </w:rPr>
              <w:t>kg/h</w:t>
            </w:r>
            <w:r>
              <w:rPr>
                <w:rFonts w:hint="eastAsia" w:cs="Times New Roman"/>
                <w:bCs/>
                <w:sz w:val="21"/>
                <w:szCs w:val="21"/>
              </w:rPr>
              <w:t>）</w:t>
            </w:r>
          </w:p>
        </w:tc>
        <w:tc>
          <w:tcPr>
            <w:tcW w:w="692" w:type="pc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产生量</w:t>
            </w:r>
            <w:r>
              <w:rPr>
                <w:rFonts w:hint="eastAsia" w:cs="Times New Roman"/>
                <w:bCs/>
                <w:sz w:val="21"/>
                <w:szCs w:val="21"/>
              </w:rPr>
              <w:t>（</w:t>
            </w:r>
            <w:r>
              <w:rPr>
                <w:rFonts w:cs="Times New Roman"/>
                <w:bCs/>
                <w:sz w:val="21"/>
                <w:szCs w:val="21"/>
              </w:rPr>
              <w:t>t/a</w:t>
            </w:r>
            <w:r>
              <w:rPr>
                <w:rFonts w:hint="eastAsia" w:cs="Times New Roman"/>
                <w:bCs/>
                <w:sz w:val="21"/>
                <w:szCs w:val="21"/>
              </w:rPr>
              <w:t>）</w:t>
            </w:r>
          </w:p>
        </w:tc>
        <w:tc>
          <w:tcPr>
            <w:tcW w:w="457" w:type="pct"/>
            <w:vMerge w:val="continue"/>
            <w:vAlign w:val="center"/>
          </w:tcPr>
          <w:p>
            <w:pPr>
              <w:adjustRightInd w:val="0"/>
              <w:snapToGrid w:val="0"/>
              <w:spacing w:line="360" w:lineRule="exact"/>
              <w:ind w:firstLine="0" w:firstLineChars="0"/>
              <w:jc w:val="center"/>
              <w:rPr>
                <w:rFonts w:cs="Times New Roman"/>
                <w:bCs/>
                <w:sz w:val="21"/>
                <w:szCs w:val="21"/>
              </w:rPr>
            </w:pPr>
          </w:p>
        </w:tc>
        <w:tc>
          <w:tcPr>
            <w:tcW w:w="596" w:type="pc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速率</w:t>
            </w:r>
            <w:r>
              <w:rPr>
                <w:rFonts w:hint="eastAsia" w:cs="Times New Roman"/>
                <w:bCs/>
                <w:sz w:val="21"/>
                <w:szCs w:val="21"/>
              </w:rPr>
              <w:t>（</w:t>
            </w:r>
            <w:r>
              <w:rPr>
                <w:rFonts w:cs="Times New Roman"/>
                <w:bCs/>
                <w:sz w:val="21"/>
                <w:szCs w:val="21"/>
              </w:rPr>
              <w:t>kg/h</w:t>
            </w:r>
            <w:r>
              <w:rPr>
                <w:rFonts w:hint="eastAsia" w:cs="Times New Roman"/>
                <w:bCs/>
                <w:sz w:val="21"/>
                <w:szCs w:val="21"/>
              </w:rPr>
              <w:t>）</w:t>
            </w:r>
          </w:p>
        </w:tc>
        <w:tc>
          <w:tcPr>
            <w:tcW w:w="608" w:type="pc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排放量</w:t>
            </w:r>
            <w:r>
              <w:rPr>
                <w:rFonts w:hint="eastAsia" w:cs="Times New Roman"/>
                <w:bCs/>
                <w:sz w:val="21"/>
                <w:szCs w:val="21"/>
              </w:rPr>
              <w:t>（</w:t>
            </w:r>
            <w:r>
              <w:rPr>
                <w:rFonts w:cs="Times New Roman"/>
                <w:bCs/>
                <w:sz w:val="21"/>
                <w:szCs w:val="21"/>
              </w:rPr>
              <w:t>t/a</w:t>
            </w:r>
            <w:r>
              <w:rPr>
                <w:rFonts w:hint="eastAsia" w:cs="Times New Roman"/>
                <w:bCs/>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1#车间</w:t>
            </w: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729" w:type="pct"/>
            <w:gridSpan w:val="2"/>
            <w:vMerge w:val="restart"/>
            <w:vAlign w:val="center"/>
          </w:tcPr>
          <w:p>
            <w:pPr>
              <w:widowControl/>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1120.53</w:t>
            </w:r>
          </w:p>
        </w:tc>
        <w:tc>
          <w:tcPr>
            <w:tcW w:w="374" w:type="pct"/>
            <w:vMerge w:val="restart"/>
            <w:vAlign w:val="center"/>
          </w:tcPr>
          <w:p>
            <w:pPr>
              <w:widowControl/>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13.8</w:t>
            </w: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eastAsia" w:cs="Times New Roman"/>
                <w:kern w:val="0"/>
                <w:sz w:val="21"/>
                <w:szCs w:val="21"/>
                <w:lang w:val="en-US" w:eastAsia="zh-CN"/>
              </w:rPr>
              <w:t>0.000375</w:t>
            </w:r>
          </w:p>
        </w:tc>
        <w:tc>
          <w:tcPr>
            <w:tcW w:w="457" w:type="pct"/>
            <w:vMerge w:val="restar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收集措施，厂房密闭</w:t>
            </w:r>
          </w:p>
        </w:tc>
        <w:tc>
          <w:tcPr>
            <w:tcW w:w="596"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608"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0.000375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729" w:type="pct"/>
            <w:gridSpan w:val="2"/>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default" w:cs="Times New Roman"/>
                <w:kern w:val="0"/>
                <w:sz w:val="21"/>
                <w:szCs w:val="21"/>
                <w:lang w:val="en-US" w:eastAsia="zh-CN"/>
              </w:rPr>
              <w:t>0.0</w:t>
            </w:r>
            <w:r>
              <w:rPr>
                <w:rFonts w:hint="eastAsia" w:cs="Times New Roman"/>
                <w:kern w:val="0"/>
                <w:sz w:val="21"/>
                <w:szCs w:val="21"/>
                <w:lang w:val="en-US" w:eastAsia="zh-CN"/>
              </w:rPr>
              <w:t>806</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608"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2#车间</w:t>
            </w: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729" w:type="pct"/>
            <w:gridSpan w:val="2"/>
            <w:vMerge w:val="restart"/>
            <w:vAlign w:val="center"/>
          </w:tcPr>
          <w:p>
            <w:pPr>
              <w:widowControl/>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1120.53</w:t>
            </w:r>
          </w:p>
        </w:tc>
        <w:tc>
          <w:tcPr>
            <w:tcW w:w="374" w:type="pct"/>
            <w:vMerge w:val="restart"/>
            <w:vAlign w:val="center"/>
          </w:tcPr>
          <w:p>
            <w:pPr>
              <w:widowControl/>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13.8</w:t>
            </w: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eastAsia" w:cs="Times New Roman"/>
                <w:kern w:val="0"/>
                <w:sz w:val="21"/>
                <w:szCs w:val="21"/>
                <w:lang w:val="en-US" w:eastAsia="zh-CN"/>
              </w:rPr>
              <w:t>0.000375</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608"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0.000375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729" w:type="pct"/>
            <w:gridSpan w:val="2"/>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692" w:type="pct"/>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806</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608"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3#车间</w:t>
            </w: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729" w:type="pct"/>
            <w:gridSpan w:val="2"/>
            <w:vMerge w:val="restart"/>
            <w:vAlign w:val="center"/>
          </w:tcPr>
          <w:p>
            <w:pPr>
              <w:widowControl/>
              <w:adjustRightInd w:val="0"/>
              <w:snapToGrid w:val="0"/>
              <w:spacing w:line="360" w:lineRule="exact"/>
              <w:ind w:firstLine="0" w:firstLineChars="0"/>
              <w:jc w:val="center"/>
              <w:rPr>
                <w:rFonts w:cs="Times New Roman"/>
                <w:kern w:val="0"/>
                <w:sz w:val="21"/>
                <w:szCs w:val="21"/>
              </w:rPr>
            </w:pPr>
            <w:r>
              <w:rPr>
                <w:rFonts w:cs="Times New Roman"/>
                <w:kern w:val="0"/>
                <w:sz w:val="21"/>
                <w:szCs w:val="21"/>
              </w:rPr>
              <w:t>2883.67</w:t>
            </w:r>
          </w:p>
        </w:tc>
        <w:tc>
          <w:tcPr>
            <w:tcW w:w="374" w:type="pct"/>
            <w:vMerge w:val="restart"/>
            <w:vAlign w:val="center"/>
          </w:tcPr>
          <w:p>
            <w:pPr>
              <w:widowControl/>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13.8</w:t>
            </w: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0.0244</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eastAsia" w:cs="Times New Roman"/>
                <w:kern w:val="0"/>
                <w:sz w:val="21"/>
                <w:szCs w:val="21"/>
                <w:lang w:val="en-US" w:eastAsia="zh-CN"/>
              </w:rPr>
              <w:t>0.0585</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0.0244</w:t>
            </w:r>
          </w:p>
        </w:tc>
        <w:tc>
          <w:tcPr>
            <w:tcW w:w="608"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0.0585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729" w:type="pct"/>
            <w:gridSpan w:val="2"/>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0.0186</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default" w:cs="Times New Roman"/>
                <w:kern w:val="0"/>
                <w:sz w:val="21"/>
                <w:szCs w:val="21"/>
                <w:lang w:val="en-US" w:eastAsia="zh-CN"/>
              </w:rPr>
              <w:t>0.04</w:t>
            </w:r>
            <w:r>
              <w:rPr>
                <w:rFonts w:hint="eastAsia" w:cs="Times New Roman"/>
                <w:kern w:val="0"/>
                <w:sz w:val="21"/>
                <w:szCs w:val="21"/>
                <w:lang w:val="en-US" w:eastAsia="zh-CN"/>
              </w:rPr>
              <w:t>454</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0.0186</w:t>
            </w:r>
          </w:p>
        </w:tc>
        <w:tc>
          <w:tcPr>
            <w:tcW w:w="608"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0.04</w:t>
            </w:r>
            <w:r>
              <w:rPr>
                <w:rFonts w:hint="eastAsia" w:cs="Times New Roman"/>
                <w:kern w:val="0"/>
                <w:sz w:val="21"/>
                <w:szCs w:val="21"/>
                <w:lang w:val="en-US" w:eastAsia="zh-CN"/>
              </w:rPr>
              <w:t>454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硫化氢</w:t>
            </w:r>
          </w:p>
        </w:tc>
        <w:tc>
          <w:tcPr>
            <w:tcW w:w="729" w:type="pct"/>
            <w:gridSpan w:val="2"/>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0.00022</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default" w:cs="Times New Roman"/>
                <w:kern w:val="0"/>
                <w:sz w:val="21"/>
                <w:szCs w:val="21"/>
                <w:lang w:val="en-US" w:eastAsia="zh-CN"/>
              </w:rPr>
              <w:t>0.000</w:t>
            </w:r>
            <w:r>
              <w:rPr>
                <w:rFonts w:hint="eastAsia" w:cs="Times New Roman"/>
                <w:kern w:val="0"/>
                <w:sz w:val="21"/>
                <w:szCs w:val="21"/>
                <w:lang w:val="en-US" w:eastAsia="zh-CN"/>
              </w:rPr>
              <w:t>53</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0.00022</w:t>
            </w:r>
          </w:p>
        </w:tc>
        <w:tc>
          <w:tcPr>
            <w:tcW w:w="608"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5#车间</w:t>
            </w: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729" w:type="pct"/>
            <w:gridSpan w:val="2"/>
            <w:vMerge w:val="restart"/>
            <w:vAlign w:val="center"/>
          </w:tcPr>
          <w:p>
            <w:pPr>
              <w:widowControl/>
              <w:adjustRightInd w:val="0"/>
              <w:snapToGrid w:val="0"/>
              <w:spacing w:line="360" w:lineRule="exact"/>
              <w:ind w:firstLine="0" w:firstLineChars="0"/>
              <w:jc w:val="center"/>
              <w:rPr>
                <w:rFonts w:cs="Times New Roman"/>
                <w:sz w:val="21"/>
                <w:szCs w:val="21"/>
              </w:rPr>
            </w:pPr>
            <w:r>
              <w:rPr>
                <w:rFonts w:hint="eastAsia" w:cs="Times New Roman"/>
                <w:sz w:val="21"/>
                <w:szCs w:val="21"/>
              </w:rPr>
              <w:t>1832.77</w:t>
            </w:r>
          </w:p>
        </w:tc>
        <w:tc>
          <w:tcPr>
            <w:tcW w:w="374" w:type="pct"/>
            <w:vMerge w:val="restart"/>
            <w:vAlign w:val="center"/>
          </w:tcPr>
          <w:p>
            <w:pPr>
              <w:widowControl/>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13.8</w:t>
            </w: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0.0014</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default" w:cs="Times New Roman"/>
                <w:kern w:val="0"/>
                <w:sz w:val="21"/>
                <w:szCs w:val="21"/>
                <w:lang w:val="en-US" w:eastAsia="zh-CN"/>
              </w:rPr>
              <w:t>0.00</w:t>
            </w:r>
            <w:r>
              <w:rPr>
                <w:rFonts w:hint="eastAsia" w:cs="Times New Roman"/>
                <w:kern w:val="0"/>
                <w:sz w:val="21"/>
                <w:szCs w:val="21"/>
                <w:lang w:val="en-US" w:eastAsia="zh-CN"/>
              </w:rPr>
              <w:t>51</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0.0014</w:t>
            </w:r>
          </w:p>
        </w:tc>
        <w:tc>
          <w:tcPr>
            <w:tcW w:w="608"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w:t>
            </w:r>
            <w:r>
              <w:rPr>
                <w:rFonts w:hint="eastAsia" w:cs="Times New Roman"/>
                <w:kern w:val="0"/>
                <w:sz w:val="21"/>
                <w:szCs w:val="21"/>
                <w:lang w:val="en-US" w:eastAsia="zh-CN"/>
              </w:rPr>
              <w:t>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729" w:type="pct"/>
            <w:gridSpan w:val="2"/>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0.1292</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default" w:cs="Times New Roman"/>
                <w:kern w:val="0"/>
                <w:sz w:val="21"/>
                <w:szCs w:val="21"/>
                <w:lang w:val="en-US" w:eastAsia="zh-CN"/>
              </w:rPr>
              <w:t>0.</w:t>
            </w:r>
            <w:r>
              <w:rPr>
                <w:rFonts w:hint="eastAsia" w:cs="Times New Roman"/>
                <w:kern w:val="0"/>
                <w:sz w:val="21"/>
                <w:szCs w:val="21"/>
                <w:lang w:val="en-US" w:eastAsia="zh-CN"/>
              </w:rPr>
              <w:t>461</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0.1292</w:t>
            </w:r>
          </w:p>
        </w:tc>
        <w:tc>
          <w:tcPr>
            <w:tcW w:w="608"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w:t>
            </w:r>
            <w:r>
              <w:rPr>
                <w:rFonts w:hint="eastAsia" w:cs="Times New Roman"/>
                <w:kern w:val="0"/>
                <w:sz w:val="21"/>
                <w:szCs w:val="21"/>
                <w:lang w:val="en-US" w:eastAsia="zh-CN"/>
              </w:rPr>
              <w:t>461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6#车间</w:t>
            </w: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729" w:type="pct"/>
            <w:gridSpan w:val="2"/>
            <w:vMerge w:val="restart"/>
            <w:vAlign w:val="center"/>
          </w:tcPr>
          <w:p>
            <w:pPr>
              <w:widowControl/>
              <w:adjustRightInd w:val="0"/>
              <w:snapToGrid w:val="0"/>
              <w:spacing w:line="360" w:lineRule="exact"/>
              <w:ind w:firstLine="0" w:firstLineChars="0"/>
              <w:jc w:val="center"/>
              <w:rPr>
                <w:rFonts w:cs="Times New Roman"/>
                <w:sz w:val="21"/>
                <w:szCs w:val="21"/>
              </w:rPr>
            </w:pPr>
            <w:r>
              <w:rPr>
                <w:rFonts w:hint="eastAsia" w:cs="Times New Roman"/>
                <w:sz w:val="21"/>
                <w:szCs w:val="21"/>
              </w:rPr>
              <w:t>1832.77</w:t>
            </w:r>
          </w:p>
        </w:tc>
        <w:tc>
          <w:tcPr>
            <w:tcW w:w="374" w:type="pct"/>
            <w:vMerge w:val="restart"/>
            <w:vAlign w:val="center"/>
          </w:tcPr>
          <w:p>
            <w:pPr>
              <w:widowControl/>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13.8</w:t>
            </w: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0.00023</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default" w:cs="Times New Roman"/>
                <w:kern w:val="0"/>
                <w:sz w:val="21"/>
                <w:szCs w:val="21"/>
                <w:lang w:val="en-US" w:eastAsia="zh-CN"/>
              </w:rPr>
              <w:t>0.0</w:t>
            </w:r>
            <w:r>
              <w:rPr>
                <w:rFonts w:hint="eastAsia" w:cs="Times New Roman"/>
                <w:kern w:val="0"/>
                <w:sz w:val="21"/>
                <w:szCs w:val="21"/>
                <w:lang w:val="en-US" w:eastAsia="zh-CN"/>
              </w:rPr>
              <w:t>0165</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0.00023</w:t>
            </w:r>
          </w:p>
        </w:tc>
        <w:tc>
          <w:tcPr>
            <w:tcW w:w="608"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0165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adjustRightInd w:val="0"/>
              <w:snapToGrid w:val="0"/>
              <w:spacing w:line="360" w:lineRule="exact"/>
              <w:ind w:firstLine="0" w:firstLineChars="0"/>
              <w:jc w:val="center"/>
              <w:rPr>
                <w:color w:val="000000" w:themeColor="text1"/>
                <w:sz w:val="21"/>
                <w:szCs w:val="21"/>
                <w14:textFill>
                  <w14:solidFill>
                    <w14:schemeClr w14:val="tx1"/>
                  </w14:solidFill>
                </w14:textFill>
              </w:rPr>
            </w:pPr>
            <w:r>
              <w:rPr>
                <w:rFonts w:hint="eastAsia" w:cs="Times New Roman"/>
                <w:snapToGrid w:val="0"/>
                <w:kern w:val="18"/>
                <w:sz w:val="21"/>
                <w:szCs w:val="21"/>
              </w:rPr>
              <w:t>非甲烷总烃</w:t>
            </w:r>
          </w:p>
        </w:tc>
        <w:tc>
          <w:tcPr>
            <w:tcW w:w="729" w:type="pct"/>
            <w:gridSpan w:val="2"/>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0.083</w:t>
            </w:r>
          </w:p>
        </w:tc>
        <w:tc>
          <w:tcPr>
            <w:tcW w:w="692" w:type="pct"/>
            <w:vAlign w:val="center"/>
          </w:tcPr>
          <w:p>
            <w:pPr>
              <w:adjustRightInd w:val="0"/>
              <w:snapToGrid w:val="0"/>
              <w:spacing w:line="360" w:lineRule="exact"/>
              <w:ind w:firstLine="0" w:firstLineChars="0"/>
              <w:jc w:val="center"/>
              <w:rPr>
                <w:rFonts w:hint="default" w:cs="Times New Roman"/>
                <w:kern w:val="0"/>
                <w:sz w:val="21"/>
                <w:szCs w:val="21"/>
                <w:lang w:val="en-US"/>
              </w:rPr>
            </w:pPr>
            <w:r>
              <w:rPr>
                <w:rFonts w:hint="eastAsia" w:cs="Times New Roman"/>
                <w:kern w:val="0"/>
                <w:sz w:val="21"/>
                <w:szCs w:val="21"/>
                <w:lang w:val="en-US" w:eastAsia="zh-CN"/>
              </w:rPr>
              <w:t>0.599</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0.083</w:t>
            </w:r>
          </w:p>
        </w:tc>
        <w:tc>
          <w:tcPr>
            <w:tcW w:w="608"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0.599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widowControl/>
              <w:spacing w:line="360" w:lineRule="exact"/>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丙烯酸</w:t>
            </w:r>
          </w:p>
        </w:tc>
        <w:tc>
          <w:tcPr>
            <w:tcW w:w="729" w:type="pct"/>
            <w:gridSpan w:val="2"/>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0.00036</w:t>
            </w:r>
          </w:p>
        </w:tc>
        <w:tc>
          <w:tcPr>
            <w:tcW w:w="692" w:type="pct"/>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0.0026</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0.00036</w:t>
            </w:r>
          </w:p>
        </w:tc>
        <w:tc>
          <w:tcPr>
            <w:tcW w:w="608"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甲基丙烯酸甲酯</w:t>
            </w:r>
          </w:p>
        </w:tc>
        <w:tc>
          <w:tcPr>
            <w:tcW w:w="729" w:type="pct"/>
            <w:gridSpan w:val="2"/>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0.00326</w:t>
            </w:r>
          </w:p>
        </w:tc>
        <w:tc>
          <w:tcPr>
            <w:tcW w:w="692" w:type="pct"/>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0.0235</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608"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丙烯酸丁酯</w:t>
            </w:r>
          </w:p>
        </w:tc>
        <w:tc>
          <w:tcPr>
            <w:tcW w:w="729" w:type="pct"/>
            <w:gridSpan w:val="2"/>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615" w:type="pct"/>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0.00326</w:t>
            </w:r>
          </w:p>
        </w:tc>
        <w:tc>
          <w:tcPr>
            <w:tcW w:w="692" w:type="pct"/>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0.0235</w:t>
            </w:r>
          </w:p>
        </w:tc>
        <w:tc>
          <w:tcPr>
            <w:tcW w:w="457" w:type="pct"/>
            <w:vMerge w:val="continue"/>
            <w:vAlign w:val="center"/>
          </w:tcPr>
          <w:p>
            <w:pPr>
              <w:adjustRightInd w:val="0"/>
              <w:snapToGrid w:val="0"/>
              <w:spacing w:line="360" w:lineRule="exact"/>
              <w:ind w:firstLine="0" w:firstLineChars="0"/>
              <w:jc w:val="center"/>
              <w:rPr>
                <w:rFonts w:cs="Times New Roman"/>
                <w:kern w:val="0"/>
                <w:sz w:val="21"/>
                <w:szCs w:val="21"/>
              </w:rPr>
            </w:pPr>
          </w:p>
        </w:tc>
        <w:tc>
          <w:tcPr>
            <w:tcW w:w="596"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608"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污水处理站</w:t>
            </w: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硫化氢</w:t>
            </w:r>
          </w:p>
        </w:tc>
        <w:tc>
          <w:tcPr>
            <w:tcW w:w="348" w:type="pct"/>
            <w:vMerge w:val="restart"/>
            <w:vAlign w:val="center"/>
          </w:tcPr>
          <w:p>
            <w:pPr>
              <w:widowControl/>
              <w:adjustRightInd w:val="0"/>
              <w:snapToGrid w:val="0"/>
              <w:spacing w:line="360" w:lineRule="exact"/>
              <w:ind w:firstLine="0" w:firstLineChars="0"/>
              <w:jc w:val="center"/>
              <w:rPr>
                <w:rFonts w:cs="Times New Roman"/>
                <w:sz w:val="21"/>
                <w:szCs w:val="21"/>
              </w:rPr>
            </w:pPr>
            <w:r>
              <w:rPr>
                <w:rFonts w:hint="eastAsia" w:cs="Times New Roman"/>
                <w:sz w:val="21"/>
                <w:szCs w:val="21"/>
              </w:rPr>
              <w:t>25</w:t>
            </w:r>
          </w:p>
        </w:tc>
        <w:tc>
          <w:tcPr>
            <w:tcW w:w="381" w:type="pct"/>
            <w:vMerge w:val="restart"/>
            <w:vAlign w:val="center"/>
          </w:tcPr>
          <w:p>
            <w:pPr>
              <w:widowControl/>
              <w:adjustRightInd w:val="0"/>
              <w:snapToGrid w:val="0"/>
              <w:spacing w:line="360" w:lineRule="exact"/>
              <w:ind w:firstLine="0" w:firstLineChars="0"/>
              <w:jc w:val="center"/>
              <w:rPr>
                <w:rFonts w:cs="Times New Roman"/>
                <w:sz w:val="21"/>
                <w:szCs w:val="21"/>
              </w:rPr>
            </w:pPr>
            <w:r>
              <w:rPr>
                <w:rFonts w:hint="eastAsia" w:cs="Times New Roman"/>
                <w:sz w:val="21"/>
                <w:szCs w:val="21"/>
              </w:rPr>
              <w:t>15</w:t>
            </w:r>
          </w:p>
        </w:tc>
        <w:tc>
          <w:tcPr>
            <w:tcW w:w="374" w:type="pct"/>
            <w:vMerge w:val="restart"/>
            <w:vAlign w:val="center"/>
          </w:tcPr>
          <w:p>
            <w:pPr>
              <w:widowControl/>
              <w:adjustRightInd w:val="0"/>
              <w:snapToGrid w:val="0"/>
              <w:spacing w:line="360" w:lineRule="exact"/>
              <w:ind w:firstLine="0" w:firstLineChars="0"/>
              <w:jc w:val="center"/>
              <w:rPr>
                <w:rFonts w:cs="Times New Roman"/>
                <w:sz w:val="21"/>
                <w:szCs w:val="21"/>
              </w:rPr>
            </w:pPr>
            <w:r>
              <w:rPr>
                <w:rFonts w:hint="eastAsia" w:cs="Times New Roman"/>
                <w:sz w:val="21"/>
                <w:szCs w:val="21"/>
              </w:rPr>
              <w:t>1.0</w:t>
            </w:r>
          </w:p>
        </w:tc>
        <w:tc>
          <w:tcPr>
            <w:tcW w:w="615"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0.1117</w:t>
            </w:r>
          </w:p>
        </w:tc>
        <w:tc>
          <w:tcPr>
            <w:tcW w:w="692" w:type="pct"/>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c>
          <w:tcPr>
            <w:tcW w:w="457" w:type="pct"/>
            <w:vMerge w:val="restart"/>
            <w:vAlign w:val="center"/>
          </w:tcPr>
          <w:p>
            <w:pPr>
              <w:widowControl/>
              <w:adjustRightInd w:val="0"/>
              <w:snapToGrid w:val="0"/>
              <w:spacing w:line="360" w:lineRule="exact"/>
              <w:ind w:firstLine="0" w:firstLineChars="0"/>
              <w:jc w:val="center"/>
              <w:rPr>
                <w:rFonts w:cs="Times New Roman"/>
                <w:sz w:val="21"/>
                <w:szCs w:val="21"/>
              </w:rPr>
            </w:pPr>
            <w:r>
              <w:rPr>
                <w:rFonts w:hint="eastAsia" w:cs="Times New Roman"/>
                <w:sz w:val="21"/>
                <w:szCs w:val="21"/>
              </w:rPr>
              <w:t>收集措施、污水站顶封</w:t>
            </w:r>
          </w:p>
        </w:tc>
        <w:tc>
          <w:tcPr>
            <w:tcW w:w="5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0.1117</w:t>
            </w:r>
          </w:p>
        </w:tc>
        <w:tc>
          <w:tcPr>
            <w:tcW w:w="608" w:type="pct"/>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6"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60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氨</w:t>
            </w:r>
          </w:p>
        </w:tc>
        <w:tc>
          <w:tcPr>
            <w:tcW w:w="348" w:type="pct"/>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381" w:type="pct"/>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374" w:type="pct"/>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615"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0.0279</w:t>
            </w:r>
          </w:p>
        </w:tc>
        <w:tc>
          <w:tcPr>
            <w:tcW w:w="692" w:type="pct"/>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c>
          <w:tcPr>
            <w:tcW w:w="457" w:type="pct"/>
            <w:vMerge w:val="continue"/>
            <w:vAlign w:val="center"/>
          </w:tcPr>
          <w:p>
            <w:pPr>
              <w:widowControl/>
              <w:adjustRightInd w:val="0"/>
              <w:snapToGrid w:val="0"/>
              <w:spacing w:line="360" w:lineRule="exact"/>
              <w:ind w:firstLine="0" w:firstLineChars="0"/>
              <w:jc w:val="center"/>
              <w:rPr>
                <w:rFonts w:cs="Times New Roman"/>
                <w:sz w:val="21"/>
                <w:szCs w:val="21"/>
              </w:rPr>
            </w:pPr>
          </w:p>
        </w:tc>
        <w:tc>
          <w:tcPr>
            <w:tcW w:w="5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0.0279</w:t>
            </w:r>
          </w:p>
        </w:tc>
        <w:tc>
          <w:tcPr>
            <w:tcW w:w="608" w:type="pct"/>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338" w:type="pct"/>
            <w:gridSpan w:val="7"/>
            <w:vMerge w:val="restart"/>
            <w:vAlign w:val="center"/>
          </w:tcPr>
          <w:p>
            <w:pPr>
              <w:adjustRightInd w:val="0"/>
              <w:snapToGrid w:val="0"/>
              <w:spacing w:line="360" w:lineRule="exact"/>
              <w:ind w:firstLine="0" w:firstLineChars="0"/>
              <w:jc w:val="center"/>
              <w:rPr>
                <w:rFonts w:cs="Times New Roman"/>
                <w:sz w:val="21"/>
                <w:szCs w:val="21"/>
              </w:rPr>
            </w:pPr>
            <w:r>
              <w:rPr>
                <w:rFonts w:cs="Times New Roman"/>
                <w:sz w:val="21"/>
                <w:szCs w:val="21"/>
              </w:rPr>
              <w:t>无组织排放总计</w:t>
            </w:r>
          </w:p>
        </w:tc>
        <w:tc>
          <w:tcPr>
            <w:tcW w:w="1053" w:type="pct"/>
            <w:gridSpan w:val="2"/>
            <w:vAlign w:val="center"/>
          </w:tcPr>
          <w:p>
            <w:pPr>
              <w:widowControl/>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颗粒物</w:t>
            </w:r>
          </w:p>
        </w:tc>
        <w:tc>
          <w:tcPr>
            <w:tcW w:w="608" w:type="pct"/>
            <w:vAlign w:val="center"/>
          </w:tcPr>
          <w:p>
            <w:pPr>
              <w:adjustRightInd w:val="0"/>
              <w:snapToGrid w:val="0"/>
              <w:spacing w:line="360" w:lineRule="exact"/>
              <w:ind w:firstLine="0" w:firstLineChars="0"/>
              <w:jc w:val="center"/>
              <w:rPr>
                <w:rFonts w:hint="default" w:eastAsia="宋体" w:cs="Times New Roman"/>
                <w:sz w:val="21"/>
                <w:szCs w:val="21"/>
                <w:lang w:val="en-US" w:eastAsia="zh-CN"/>
              </w:rPr>
            </w:pPr>
            <w:r>
              <w:rPr>
                <w:rFonts w:hint="eastAsia" w:cs="Times New Roman"/>
                <w:sz w:val="21"/>
                <w:szCs w:val="21"/>
                <w:lang w:val="en-US" w:eastAsia="zh-CN"/>
              </w:rPr>
              <w:t>0.066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338" w:type="pct"/>
            <w:gridSpan w:val="7"/>
            <w:vMerge w:val="continue"/>
            <w:vAlign w:val="center"/>
          </w:tcPr>
          <w:p>
            <w:pPr>
              <w:adjustRightInd w:val="0"/>
              <w:snapToGrid w:val="0"/>
              <w:spacing w:line="360" w:lineRule="exact"/>
              <w:ind w:firstLine="0" w:firstLineChars="0"/>
              <w:jc w:val="center"/>
              <w:rPr>
                <w:rFonts w:cs="Times New Roman"/>
                <w:sz w:val="21"/>
                <w:szCs w:val="21"/>
              </w:rPr>
            </w:pPr>
          </w:p>
        </w:tc>
        <w:tc>
          <w:tcPr>
            <w:tcW w:w="1053" w:type="pct"/>
            <w:gridSpan w:val="2"/>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非甲烷总烃</w:t>
            </w:r>
          </w:p>
        </w:tc>
        <w:tc>
          <w:tcPr>
            <w:tcW w:w="608" w:type="pct"/>
            <w:vAlign w:val="center"/>
          </w:tcPr>
          <w:p>
            <w:pPr>
              <w:adjustRightInd w:val="0"/>
              <w:snapToGrid w:val="0"/>
              <w:spacing w:line="360" w:lineRule="exact"/>
              <w:ind w:firstLine="0" w:firstLineChars="0"/>
              <w:jc w:val="center"/>
              <w:rPr>
                <w:rFonts w:hint="default" w:eastAsia="宋体" w:cs="Times New Roman"/>
                <w:sz w:val="21"/>
                <w:szCs w:val="21"/>
                <w:lang w:val="en-US" w:eastAsia="zh-CN"/>
              </w:rPr>
            </w:pPr>
            <w:r>
              <w:rPr>
                <w:rFonts w:hint="eastAsia" w:cs="Times New Roman"/>
                <w:sz w:val="21"/>
                <w:szCs w:val="21"/>
                <w:lang w:val="en-US" w:eastAsia="zh-CN"/>
              </w:rPr>
              <w:t>1.26574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338" w:type="pct"/>
            <w:gridSpan w:val="7"/>
            <w:vMerge w:val="continue"/>
            <w:vAlign w:val="center"/>
          </w:tcPr>
          <w:p>
            <w:pPr>
              <w:adjustRightInd w:val="0"/>
              <w:snapToGrid w:val="0"/>
              <w:spacing w:line="360" w:lineRule="exact"/>
              <w:ind w:firstLine="0" w:firstLineChars="0"/>
              <w:jc w:val="center"/>
              <w:rPr>
                <w:rFonts w:cs="Times New Roman"/>
                <w:sz w:val="21"/>
                <w:szCs w:val="21"/>
              </w:rPr>
            </w:pPr>
          </w:p>
        </w:tc>
        <w:tc>
          <w:tcPr>
            <w:tcW w:w="1053" w:type="pct"/>
            <w:gridSpan w:val="2"/>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w:t>
            </w:r>
          </w:p>
        </w:tc>
        <w:tc>
          <w:tcPr>
            <w:tcW w:w="173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338" w:type="pct"/>
            <w:gridSpan w:val="7"/>
            <w:vMerge w:val="continue"/>
            <w:vAlign w:val="center"/>
          </w:tcPr>
          <w:p>
            <w:pPr>
              <w:adjustRightInd w:val="0"/>
              <w:snapToGrid w:val="0"/>
              <w:spacing w:line="360" w:lineRule="exact"/>
              <w:ind w:firstLine="0" w:firstLineChars="0"/>
              <w:jc w:val="center"/>
              <w:rPr>
                <w:rFonts w:cs="Times New Roman"/>
                <w:sz w:val="21"/>
                <w:szCs w:val="21"/>
              </w:rPr>
            </w:pPr>
          </w:p>
        </w:tc>
        <w:tc>
          <w:tcPr>
            <w:tcW w:w="1053" w:type="pct"/>
            <w:gridSpan w:val="2"/>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丙烯酸丁酯</w:t>
            </w:r>
          </w:p>
        </w:tc>
        <w:tc>
          <w:tcPr>
            <w:tcW w:w="173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338" w:type="pct"/>
            <w:gridSpan w:val="7"/>
            <w:vMerge w:val="continue"/>
            <w:vAlign w:val="center"/>
          </w:tcPr>
          <w:p>
            <w:pPr>
              <w:adjustRightInd w:val="0"/>
              <w:snapToGrid w:val="0"/>
              <w:spacing w:line="360" w:lineRule="exact"/>
              <w:ind w:firstLine="0" w:firstLineChars="0"/>
              <w:jc w:val="center"/>
              <w:rPr>
                <w:rFonts w:cs="Times New Roman"/>
                <w:sz w:val="21"/>
                <w:szCs w:val="21"/>
              </w:rPr>
            </w:pPr>
          </w:p>
        </w:tc>
        <w:tc>
          <w:tcPr>
            <w:tcW w:w="1053" w:type="pct"/>
            <w:gridSpan w:val="2"/>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甲基丙烯酸甲酯</w:t>
            </w:r>
          </w:p>
        </w:tc>
        <w:tc>
          <w:tcPr>
            <w:tcW w:w="173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338" w:type="pct"/>
            <w:gridSpan w:val="7"/>
            <w:vMerge w:val="continue"/>
            <w:vAlign w:val="center"/>
          </w:tcPr>
          <w:p>
            <w:pPr>
              <w:adjustRightInd w:val="0"/>
              <w:snapToGrid w:val="0"/>
              <w:spacing w:line="360" w:lineRule="exact"/>
              <w:ind w:firstLine="0" w:firstLineChars="0"/>
              <w:jc w:val="center"/>
              <w:rPr>
                <w:rFonts w:cs="Times New Roman"/>
                <w:sz w:val="21"/>
                <w:szCs w:val="21"/>
              </w:rPr>
            </w:pPr>
          </w:p>
        </w:tc>
        <w:tc>
          <w:tcPr>
            <w:tcW w:w="1053" w:type="pct"/>
            <w:gridSpan w:val="2"/>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硫化氢</w:t>
            </w:r>
          </w:p>
        </w:tc>
        <w:tc>
          <w:tcPr>
            <w:tcW w:w="173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338" w:type="pct"/>
            <w:gridSpan w:val="7"/>
            <w:vMerge w:val="continue"/>
            <w:vAlign w:val="center"/>
          </w:tcPr>
          <w:p>
            <w:pPr>
              <w:adjustRightInd w:val="0"/>
              <w:snapToGrid w:val="0"/>
              <w:spacing w:line="360" w:lineRule="exact"/>
              <w:ind w:firstLine="0" w:firstLineChars="0"/>
              <w:jc w:val="center"/>
              <w:rPr>
                <w:rFonts w:cs="Times New Roman"/>
                <w:sz w:val="21"/>
                <w:szCs w:val="21"/>
              </w:rPr>
            </w:pPr>
          </w:p>
        </w:tc>
        <w:tc>
          <w:tcPr>
            <w:tcW w:w="1053" w:type="pct"/>
            <w:gridSpan w:val="2"/>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氨</w:t>
            </w:r>
          </w:p>
        </w:tc>
        <w:tc>
          <w:tcPr>
            <w:tcW w:w="173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r>
    </w:tbl>
    <w:p>
      <w:pPr>
        <w:pStyle w:val="24"/>
        <w:ind w:firstLine="560"/>
      </w:pPr>
    </w:p>
    <w:p>
      <w:pPr>
        <w:pStyle w:val="24"/>
        <w:ind w:firstLine="560"/>
        <w:sectPr>
          <w:pgSz w:w="16838" w:h="11906" w:orient="landscape"/>
          <w:pgMar w:top="1417" w:right="1417" w:bottom="1417" w:left="1417" w:header="680" w:footer="624" w:gutter="0"/>
          <w:pgBorders>
            <w:top w:val="none" w:sz="0" w:space="0"/>
            <w:left w:val="none" w:sz="0" w:space="0"/>
            <w:bottom w:val="none" w:sz="0" w:space="0"/>
            <w:right w:val="none" w:sz="0" w:space="0"/>
          </w:pgBorders>
          <w:cols w:space="425" w:num="1"/>
          <w:docGrid w:type="lines" w:linePitch="312" w:charSpace="0"/>
        </w:sectPr>
      </w:pPr>
    </w:p>
    <w:p>
      <w:pPr>
        <w:pStyle w:val="39"/>
        <w:ind w:firstLine="482"/>
        <w:rPr>
          <w:rFonts w:ascii="Times New Roman" w:hAnsi="Times New Roman" w:cs="Times New Roman"/>
          <w:b/>
          <w:bCs/>
          <w:lang w:val="en-US"/>
        </w:rPr>
      </w:pPr>
      <w:r>
        <w:rPr>
          <w:rFonts w:hint="eastAsia" w:ascii="Times New Roman" w:hAnsi="Times New Roman" w:cs="Times New Roman"/>
          <w:b/>
          <w:bCs/>
          <w:lang w:val="en-US"/>
        </w:rPr>
        <w:t>表4.3</w:t>
      </w:r>
      <w:r>
        <w:rPr>
          <w:rFonts w:ascii="Times New Roman" w:hAnsi="Times New Roman" w:cs="Times New Roman"/>
          <w:b/>
          <w:bCs/>
          <w:lang w:val="en-US"/>
        </w:rPr>
        <w:t>-</w:t>
      </w:r>
      <w:r>
        <w:rPr>
          <w:rFonts w:hint="eastAsia" w:ascii="Times New Roman" w:hAnsi="Times New Roman" w:cs="Times New Roman"/>
          <w:b/>
          <w:bCs/>
          <w:lang w:val="en-US"/>
        </w:rPr>
        <w:t xml:space="preserve">8 </w:t>
      </w:r>
      <w:r>
        <w:rPr>
          <w:rFonts w:ascii="Times New Roman" w:hAnsi="Times New Roman" w:cs="Times New Roman"/>
          <w:b/>
          <w:bCs/>
          <w:lang w:val="en-US"/>
        </w:rPr>
        <w:t xml:space="preserve"> </w:t>
      </w:r>
      <w:r>
        <w:rPr>
          <w:rFonts w:hint="eastAsia" w:ascii="Times New Roman" w:hAnsi="Times New Roman" w:cs="Times New Roman"/>
          <w:b/>
          <w:bCs/>
          <w:lang w:val="en-US"/>
        </w:rPr>
        <w:t>本项目有组织废气产生及排放情况表</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455"/>
        <w:gridCol w:w="930"/>
        <w:gridCol w:w="1740"/>
        <w:gridCol w:w="1033"/>
        <w:gridCol w:w="1174"/>
        <w:gridCol w:w="1195"/>
        <w:gridCol w:w="1168"/>
        <w:gridCol w:w="1174"/>
        <w:gridCol w:w="1195"/>
        <w:gridCol w:w="1172"/>
        <w:gridCol w:w="11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788" w:type="dxa"/>
            <w:vMerge w:val="restart"/>
            <w:vAlign w:val="center"/>
          </w:tcPr>
          <w:p>
            <w:pPr>
              <w:pStyle w:val="39"/>
              <w:spacing w:line="360" w:lineRule="exact"/>
              <w:ind w:firstLine="0" w:firstLineChars="0"/>
              <w:rPr>
                <w:rFonts w:ascii="Times New Roman" w:hAnsi="Times New Roman" w:cs="Times New Roman"/>
                <w:sz w:val="21"/>
                <w:szCs w:val="21"/>
                <w:lang w:val="en-US"/>
              </w:rPr>
            </w:pPr>
            <w:bookmarkStart w:id="76" w:name="_bookmark22"/>
            <w:bookmarkEnd w:id="76"/>
            <w:r>
              <w:rPr>
                <w:rFonts w:hint="eastAsia" w:ascii="Times New Roman" w:hAnsi="Times New Roman" w:cs="Times New Roman"/>
                <w:sz w:val="21"/>
                <w:szCs w:val="21"/>
                <w:lang w:val="en-US"/>
              </w:rPr>
              <w:t>分类</w:t>
            </w:r>
          </w:p>
        </w:tc>
        <w:tc>
          <w:tcPr>
            <w:tcW w:w="1455"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排气筒编号</w:t>
            </w:r>
          </w:p>
        </w:tc>
        <w:tc>
          <w:tcPr>
            <w:tcW w:w="930"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污染源</w:t>
            </w:r>
          </w:p>
        </w:tc>
        <w:tc>
          <w:tcPr>
            <w:tcW w:w="1740"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污染物</w:t>
            </w:r>
          </w:p>
        </w:tc>
        <w:tc>
          <w:tcPr>
            <w:tcW w:w="3402" w:type="dxa"/>
            <w:gridSpan w:val="3"/>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污染物产生</w:t>
            </w:r>
          </w:p>
        </w:tc>
        <w:tc>
          <w:tcPr>
            <w:tcW w:w="3537" w:type="dxa"/>
            <w:gridSpan w:val="3"/>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污染物排放</w:t>
            </w:r>
          </w:p>
        </w:tc>
        <w:tc>
          <w:tcPr>
            <w:tcW w:w="2368" w:type="dxa"/>
            <w:gridSpan w:val="2"/>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93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产生量（t/a）</w:t>
            </w:r>
          </w:p>
        </w:tc>
        <w:tc>
          <w:tcPr>
            <w:tcW w:w="1174"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产生速率（kg/h）</w:t>
            </w:r>
          </w:p>
        </w:tc>
        <w:tc>
          <w:tcPr>
            <w:tcW w:w="1195"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产生浓度（mg/m</w:t>
            </w:r>
            <w:r>
              <w:rPr>
                <w:rFonts w:hint="eastAsia" w:ascii="Times New Roman" w:hAnsi="Times New Roman" w:cs="Times New Roman"/>
                <w:sz w:val="21"/>
                <w:szCs w:val="21"/>
                <w:vertAlign w:val="superscript"/>
                <w:lang w:val="en-US"/>
              </w:rPr>
              <w:t>3</w:t>
            </w:r>
            <w:r>
              <w:rPr>
                <w:rFonts w:hint="eastAsia" w:ascii="Times New Roman" w:hAnsi="Times New Roman" w:cs="Times New Roman"/>
                <w:sz w:val="21"/>
                <w:szCs w:val="21"/>
                <w:lang w:val="en-US"/>
              </w:rPr>
              <w:t>）</w:t>
            </w:r>
          </w:p>
        </w:tc>
        <w:tc>
          <w:tcPr>
            <w:tcW w:w="1168"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排放量（t/a）</w:t>
            </w:r>
          </w:p>
        </w:tc>
        <w:tc>
          <w:tcPr>
            <w:tcW w:w="1174"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排放速率（kg/h）</w:t>
            </w:r>
          </w:p>
        </w:tc>
        <w:tc>
          <w:tcPr>
            <w:tcW w:w="1195"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排放浓度（mg/m</w:t>
            </w:r>
            <w:r>
              <w:rPr>
                <w:rFonts w:hint="eastAsia" w:ascii="Times New Roman" w:hAnsi="Times New Roman" w:cs="Times New Roman"/>
                <w:sz w:val="21"/>
                <w:szCs w:val="21"/>
                <w:vertAlign w:val="superscript"/>
                <w:lang w:val="en-US"/>
              </w:rPr>
              <w:t>3</w:t>
            </w:r>
            <w:r>
              <w:rPr>
                <w:rFonts w:hint="eastAsia" w:ascii="Times New Roman" w:hAnsi="Times New Roman" w:cs="Times New Roman"/>
                <w:sz w:val="21"/>
                <w:szCs w:val="21"/>
                <w:lang w:val="en-US"/>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排放速率（kg/h）</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排放浓度（mg/m</w:t>
            </w:r>
            <w:r>
              <w:rPr>
                <w:rFonts w:hint="eastAsia" w:ascii="Times New Roman" w:hAnsi="Times New Roman" w:cs="Times New Roman"/>
                <w:sz w:val="21"/>
                <w:szCs w:val="21"/>
                <w:vertAlign w:val="superscript"/>
                <w:lang w:val="en-US"/>
              </w:rPr>
              <w:t>3</w:t>
            </w:r>
            <w:r>
              <w:rPr>
                <w:rFonts w:hint="eastAsia" w:ascii="Times New Roman" w:hAnsi="Times New Roman" w:cs="Times New Roman"/>
                <w:sz w:val="21"/>
                <w:szCs w:val="21"/>
                <w:lang w:val="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 w:hRule="atLeast"/>
          <w:jc w:val="center"/>
        </w:trPr>
        <w:tc>
          <w:tcPr>
            <w:tcW w:w="788"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有组织</w:t>
            </w:r>
          </w:p>
        </w:tc>
        <w:tc>
          <w:tcPr>
            <w:tcW w:w="1455"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DA001（10000m</w:t>
            </w:r>
            <w:r>
              <w:rPr>
                <w:rFonts w:hint="eastAsia" w:ascii="Times New Roman" w:hAnsi="Times New Roman" w:cs="Times New Roman"/>
                <w:sz w:val="21"/>
                <w:szCs w:val="21"/>
                <w:vertAlign w:val="superscript"/>
                <w:lang w:val="en-US"/>
              </w:rPr>
              <w:t>3</w:t>
            </w:r>
            <w:r>
              <w:rPr>
                <w:rFonts w:hint="eastAsia" w:ascii="Times New Roman" w:hAnsi="Times New Roman" w:cs="Times New Roman"/>
                <w:sz w:val="21"/>
                <w:szCs w:val="21"/>
                <w:lang w:val="en-US"/>
              </w:rPr>
              <w:t>/h）</w:t>
            </w:r>
          </w:p>
        </w:tc>
        <w:tc>
          <w:tcPr>
            <w:tcW w:w="930"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1#、2#、3#厂房</w:t>
            </w:r>
          </w:p>
        </w:tc>
        <w:tc>
          <w:tcPr>
            <w:tcW w:w="1740"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粉尘</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1.185</w:t>
            </w:r>
          </w:p>
        </w:tc>
        <w:tc>
          <w:tcPr>
            <w:tcW w:w="1174" w:type="dxa"/>
            <w:vAlign w:val="center"/>
          </w:tcPr>
          <w:p>
            <w:pPr>
              <w:pStyle w:val="39"/>
              <w:spacing w:line="360" w:lineRule="exact"/>
              <w:ind w:firstLine="0" w:firstLineChars="0"/>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0.4938</w:t>
            </w:r>
          </w:p>
        </w:tc>
        <w:tc>
          <w:tcPr>
            <w:tcW w:w="1195" w:type="dxa"/>
            <w:vAlign w:val="center"/>
          </w:tcPr>
          <w:p>
            <w:pPr>
              <w:pStyle w:val="39"/>
              <w:spacing w:line="360" w:lineRule="exact"/>
              <w:ind w:firstLine="0" w:firstLineChars="0"/>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49.38</w:t>
            </w:r>
          </w:p>
        </w:tc>
        <w:tc>
          <w:tcPr>
            <w:tcW w:w="1168"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0.011</w:t>
            </w:r>
          </w:p>
        </w:tc>
        <w:tc>
          <w:tcPr>
            <w:tcW w:w="1174" w:type="dxa"/>
            <w:vAlign w:val="center"/>
          </w:tcPr>
          <w:p>
            <w:pPr>
              <w:pStyle w:val="39"/>
              <w:spacing w:line="360" w:lineRule="exact"/>
              <w:ind w:firstLine="0" w:firstLineChars="0"/>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0.0046</w:t>
            </w:r>
          </w:p>
        </w:tc>
        <w:tc>
          <w:tcPr>
            <w:tcW w:w="1195" w:type="dxa"/>
            <w:vAlign w:val="center"/>
          </w:tcPr>
          <w:p>
            <w:pPr>
              <w:pStyle w:val="39"/>
              <w:spacing w:line="360" w:lineRule="exact"/>
              <w:ind w:firstLine="0" w:firstLineChars="0"/>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0.46</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12</w:t>
            </w:r>
            <w:r>
              <w:rPr>
                <w:rFonts w:ascii="Times New Roman" w:hAnsi="Times New Roman" w:cs="Times New Roman"/>
                <w:color w:val="000000"/>
                <w:sz w:val="21"/>
                <w:szCs w:val="21"/>
              </w:rPr>
              <w:t>mg/m</w:t>
            </w:r>
            <w:r>
              <w:rPr>
                <w:rFonts w:ascii="Times New Roman" w:hAnsi="Times New Roman"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93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cs="Times New Roman"/>
                <w:sz w:val="21"/>
                <w:szCs w:val="21"/>
                <w:lang w:val="en-US"/>
              </w:rPr>
              <w:t>非甲烷总烃</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4.131</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1.7213</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172.13</w:t>
            </w:r>
          </w:p>
        </w:tc>
        <w:tc>
          <w:tcPr>
            <w:tcW w:w="1168"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0.196</w:t>
            </w:r>
          </w:p>
        </w:tc>
        <w:tc>
          <w:tcPr>
            <w:tcW w:w="1174" w:type="dxa"/>
            <w:vAlign w:val="center"/>
          </w:tcPr>
          <w:p>
            <w:pPr>
              <w:pStyle w:val="39"/>
              <w:spacing w:line="360" w:lineRule="exact"/>
              <w:ind w:firstLine="0" w:firstLineChars="0"/>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0.0817</w:t>
            </w:r>
          </w:p>
        </w:tc>
        <w:tc>
          <w:tcPr>
            <w:tcW w:w="1195" w:type="dxa"/>
            <w:vAlign w:val="center"/>
          </w:tcPr>
          <w:p>
            <w:pPr>
              <w:pStyle w:val="39"/>
              <w:spacing w:line="360" w:lineRule="exact"/>
              <w:ind w:firstLine="0" w:firstLineChars="0"/>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8.17</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10</w:t>
            </w:r>
            <w:r>
              <w:rPr>
                <w:rFonts w:ascii="Times New Roman" w:hAnsi="Times New Roman" w:cs="Times New Roman"/>
                <w:color w:val="000000"/>
                <w:sz w:val="21"/>
                <w:szCs w:val="21"/>
              </w:rPr>
              <w:t>mg/m</w:t>
            </w:r>
            <w:r>
              <w:rPr>
                <w:rFonts w:ascii="Times New Roman" w:hAnsi="Times New Roman"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93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硫化氢</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0.0106</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0.0044</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0.44</w:t>
            </w:r>
          </w:p>
        </w:tc>
        <w:tc>
          <w:tcPr>
            <w:tcW w:w="1168"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0.0106</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0.0044</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0.44</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0.33kg/h</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DA002（20000m</w:t>
            </w:r>
            <w:r>
              <w:rPr>
                <w:rFonts w:hint="eastAsia" w:ascii="Times New Roman" w:hAnsi="Times New Roman" w:cs="Times New Roman"/>
                <w:sz w:val="21"/>
                <w:szCs w:val="21"/>
                <w:vertAlign w:val="superscript"/>
                <w:lang w:val="en-US"/>
              </w:rPr>
              <w:t>3</w:t>
            </w:r>
            <w:r>
              <w:rPr>
                <w:rFonts w:hint="eastAsia" w:ascii="Times New Roman" w:hAnsi="Times New Roman" w:cs="Times New Roman"/>
                <w:sz w:val="21"/>
                <w:szCs w:val="21"/>
                <w:lang w:val="en-US"/>
              </w:rPr>
              <w:t>/h）</w:t>
            </w:r>
          </w:p>
        </w:tc>
        <w:tc>
          <w:tcPr>
            <w:tcW w:w="930"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5#、6#厂房</w:t>
            </w:r>
          </w:p>
        </w:tc>
        <w:tc>
          <w:tcPr>
            <w:tcW w:w="1740"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粉尘</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0.135</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0.0188</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0.9375</w:t>
            </w:r>
          </w:p>
        </w:tc>
        <w:tc>
          <w:tcPr>
            <w:tcW w:w="1168"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0.001</w:t>
            </w:r>
          </w:p>
        </w:tc>
        <w:tc>
          <w:tcPr>
            <w:tcW w:w="1174" w:type="dxa"/>
            <w:vAlign w:val="center"/>
          </w:tcPr>
          <w:p>
            <w:pPr>
              <w:pStyle w:val="39"/>
              <w:spacing w:line="360" w:lineRule="exact"/>
              <w:ind w:firstLine="0" w:firstLineChars="0"/>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0.0001</w:t>
            </w:r>
          </w:p>
        </w:tc>
        <w:tc>
          <w:tcPr>
            <w:tcW w:w="1195" w:type="dxa"/>
            <w:vAlign w:val="center"/>
          </w:tcPr>
          <w:p>
            <w:pPr>
              <w:pStyle w:val="39"/>
              <w:spacing w:line="360" w:lineRule="exact"/>
              <w:ind w:firstLine="0" w:firstLineChars="0"/>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0.0069</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12</w:t>
            </w:r>
            <w:r>
              <w:rPr>
                <w:rFonts w:ascii="Times New Roman" w:hAnsi="Times New Roman" w:cs="Times New Roman"/>
                <w:color w:val="000000"/>
                <w:sz w:val="21"/>
                <w:szCs w:val="21"/>
              </w:rPr>
              <w:t>mg/m</w:t>
            </w:r>
            <w:r>
              <w:rPr>
                <w:rFonts w:ascii="Times New Roman" w:hAnsi="Times New Roman"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93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cs="Times New Roman"/>
                <w:sz w:val="21"/>
                <w:szCs w:val="21"/>
                <w:lang w:val="en-US"/>
              </w:rPr>
              <w:t>非甲烷总烃</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21.209</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2.9457</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147.2847</w:t>
            </w:r>
          </w:p>
        </w:tc>
        <w:tc>
          <w:tcPr>
            <w:tcW w:w="1168"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1.0074</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0.1399</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6.9958</w:t>
            </w:r>
          </w:p>
        </w:tc>
        <w:tc>
          <w:tcPr>
            <w:tcW w:w="1172" w:type="dxa"/>
            <w:vAlign w:val="center"/>
          </w:tcPr>
          <w:p>
            <w:pPr>
              <w:pStyle w:val="39"/>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10</w:t>
            </w:r>
            <w:r>
              <w:rPr>
                <w:rFonts w:ascii="Times New Roman" w:hAnsi="Times New Roman" w:cs="Times New Roman"/>
                <w:color w:val="000000"/>
                <w:sz w:val="21"/>
                <w:szCs w:val="21"/>
              </w:rPr>
              <w:t>mg/m</w:t>
            </w:r>
            <w:r>
              <w:rPr>
                <w:rFonts w:ascii="Times New Roman" w:hAnsi="Times New Roman"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93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0.051</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0.0071</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0.3542</w:t>
            </w:r>
          </w:p>
        </w:tc>
        <w:tc>
          <w:tcPr>
            <w:tcW w:w="1168"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0.0024</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0.0003</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0.0167</w:t>
            </w:r>
          </w:p>
        </w:tc>
        <w:tc>
          <w:tcPr>
            <w:tcW w:w="1172" w:type="dxa"/>
            <w:vAlign w:val="center"/>
          </w:tcPr>
          <w:p>
            <w:pPr>
              <w:pStyle w:val="39"/>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spacing w:line="240" w:lineRule="auto"/>
              <w:ind w:firstLine="0" w:firstLineChars="0"/>
              <w:jc w:val="center"/>
              <w:rPr>
                <w:rFonts w:cs="Times New Roman"/>
                <w:sz w:val="21"/>
                <w:szCs w:val="21"/>
              </w:rPr>
            </w:pPr>
            <w:r>
              <w:rPr>
                <w:rFonts w:hint="eastAsia" w:cs="Times New Roman"/>
                <w:color w:val="000000"/>
                <w:sz w:val="21"/>
                <w:szCs w:val="21"/>
              </w:rPr>
              <w:t>10</w:t>
            </w:r>
            <w:r>
              <w:rPr>
                <w:rFonts w:cs="Times New Roman"/>
                <w:color w:val="000000"/>
                <w:sz w:val="21"/>
                <w:szCs w:val="21"/>
              </w:rPr>
              <w:t>mg/m</w:t>
            </w:r>
            <w:r>
              <w:rPr>
                <w:rFonts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93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甲基丙烯酸甲酯</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0.47</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0.0653</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3.2639</w:t>
            </w:r>
          </w:p>
        </w:tc>
        <w:tc>
          <w:tcPr>
            <w:tcW w:w="1168" w:type="dxa"/>
            <w:vAlign w:val="center"/>
          </w:tcPr>
          <w:p>
            <w:pPr>
              <w:pStyle w:val="39"/>
              <w:spacing w:line="360" w:lineRule="exact"/>
              <w:ind w:firstLine="0" w:firstLineChars="0"/>
              <w:rPr>
                <w:rFonts w:hint="default"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0.0223</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0.0031</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0.1549</w:t>
            </w:r>
          </w:p>
        </w:tc>
        <w:tc>
          <w:tcPr>
            <w:tcW w:w="1172" w:type="dxa"/>
            <w:vAlign w:val="center"/>
          </w:tcPr>
          <w:p>
            <w:pPr>
              <w:pStyle w:val="39"/>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spacing w:line="240" w:lineRule="auto"/>
              <w:ind w:firstLine="0" w:firstLineChars="0"/>
              <w:jc w:val="center"/>
              <w:rPr>
                <w:rFonts w:cs="Times New Roman"/>
                <w:sz w:val="21"/>
                <w:szCs w:val="21"/>
              </w:rPr>
            </w:pPr>
            <w:r>
              <w:rPr>
                <w:rFonts w:hint="eastAsia" w:cs="Times New Roman"/>
                <w:color w:val="000000"/>
                <w:sz w:val="21"/>
                <w:szCs w:val="21"/>
                <w:lang w:val="en-US" w:eastAsia="zh-CN"/>
              </w:rPr>
              <w:t>1</w:t>
            </w:r>
            <w:r>
              <w:rPr>
                <w:rFonts w:hint="eastAsia" w:cs="Times New Roman"/>
                <w:color w:val="000000"/>
                <w:sz w:val="21"/>
                <w:szCs w:val="21"/>
              </w:rPr>
              <w:t>0</w:t>
            </w:r>
            <w:r>
              <w:rPr>
                <w:rFonts w:cs="Times New Roman"/>
                <w:color w:val="000000"/>
                <w:sz w:val="21"/>
                <w:szCs w:val="21"/>
              </w:rPr>
              <w:t>mg/m</w:t>
            </w:r>
            <w:r>
              <w:rPr>
                <w:rFonts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93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丙烯酸丁酯</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0.47</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0.0653</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3.2639</w:t>
            </w:r>
          </w:p>
        </w:tc>
        <w:tc>
          <w:tcPr>
            <w:tcW w:w="1168"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0.0223</w:t>
            </w:r>
          </w:p>
        </w:tc>
        <w:tc>
          <w:tcPr>
            <w:tcW w:w="1174"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0.0031</w:t>
            </w:r>
          </w:p>
        </w:tc>
        <w:tc>
          <w:tcPr>
            <w:tcW w:w="1195" w:type="dxa"/>
            <w:vAlign w:val="center"/>
          </w:tcPr>
          <w:p>
            <w:pPr>
              <w:pStyle w:val="39"/>
              <w:spacing w:line="360" w:lineRule="exact"/>
              <w:ind w:firstLine="0" w:firstLineChars="0"/>
              <w:rPr>
                <w:rFonts w:hint="eastAsia" w:ascii="Times New Roman" w:hAnsi="Times New Roman" w:cs="Times New Roman"/>
                <w:sz w:val="21"/>
                <w:szCs w:val="21"/>
                <w:lang w:val="en-US" w:eastAsia="zh-CN"/>
              </w:rPr>
            </w:pPr>
            <w:r>
              <w:rPr>
                <w:rFonts w:hint="eastAsia" w:ascii="Times New Roman" w:hAnsi="Times New Roman" w:cs="Times New Roman"/>
                <w:sz w:val="21"/>
                <w:szCs w:val="21"/>
                <w:lang w:val="en-US" w:eastAsia="zh-CN"/>
              </w:rPr>
              <w:t>0.1549</w:t>
            </w:r>
          </w:p>
        </w:tc>
        <w:tc>
          <w:tcPr>
            <w:tcW w:w="1172" w:type="dxa"/>
            <w:vAlign w:val="center"/>
          </w:tcPr>
          <w:p>
            <w:pPr>
              <w:pStyle w:val="39"/>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spacing w:line="240" w:lineRule="auto"/>
              <w:ind w:firstLine="0" w:firstLineChars="0"/>
              <w:jc w:val="center"/>
              <w:rPr>
                <w:rFonts w:cs="Times New Roman"/>
                <w:sz w:val="21"/>
                <w:szCs w:val="21"/>
              </w:rPr>
            </w:pPr>
            <w:r>
              <w:rPr>
                <w:rFonts w:hint="eastAsia" w:cs="Times New Roman"/>
                <w:color w:val="000000"/>
                <w:sz w:val="21"/>
                <w:szCs w:val="21"/>
              </w:rPr>
              <w:t>50</w:t>
            </w:r>
            <w:r>
              <w:rPr>
                <w:rFonts w:cs="Times New Roman"/>
                <w:color w:val="000000"/>
                <w:sz w:val="21"/>
                <w:szCs w:val="21"/>
              </w:rPr>
              <w:t>mg/m</w:t>
            </w:r>
            <w:r>
              <w:rPr>
                <w:rFonts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eastAsia="zh-CN"/>
              </w:rPr>
              <w:t>油烟烟道</w:t>
            </w:r>
            <w:r>
              <w:rPr>
                <w:rFonts w:hint="eastAsia" w:ascii="Times New Roman" w:hAnsi="Times New Roman" w:cs="Times New Roman"/>
                <w:sz w:val="21"/>
                <w:szCs w:val="21"/>
                <w:lang w:val="en-US"/>
              </w:rPr>
              <w:t>（</w:t>
            </w:r>
            <w:r>
              <w:rPr>
                <w:rFonts w:hint="eastAsia" w:ascii="Times New Roman" w:hAnsi="Times New Roman" w:cs="Times New Roman"/>
                <w:sz w:val="21"/>
                <w:szCs w:val="21"/>
                <w:lang w:val="en-US" w:eastAsia="zh-CN"/>
              </w:rPr>
              <w:t>5</w:t>
            </w:r>
            <w:r>
              <w:rPr>
                <w:rFonts w:hint="eastAsia" w:ascii="Times New Roman" w:hAnsi="Times New Roman" w:cs="Times New Roman"/>
                <w:sz w:val="21"/>
                <w:szCs w:val="21"/>
                <w:lang w:val="en-US"/>
              </w:rPr>
              <w:t>000m</w:t>
            </w:r>
            <w:r>
              <w:rPr>
                <w:rFonts w:hint="eastAsia" w:ascii="Times New Roman" w:hAnsi="Times New Roman" w:cs="Times New Roman"/>
                <w:sz w:val="21"/>
                <w:szCs w:val="21"/>
                <w:vertAlign w:val="superscript"/>
                <w:lang w:val="en-US"/>
              </w:rPr>
              <w:t>3</w:t>
            </w:r>
            <w:r>
              <w:rPr>
                <w:rFonts w:hint="eastAsia" w:ascii="Times New Roman" w:hAnsi="Times New Roman" w:cs="Times New Roman"/>
                <w:sz w:val="21"/>
                <w:szCs w:val="21"/>
                <w:lang w:val="en-US"/>
              </w:rPr>
              <w:t>/h）</w:t>
            </w:r>
          </w:p>
        </w:tc>
        <w:tc>
          <w:tcPr>
            <w:tcW w:w="930"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食堂油烟</w:t>
            </w:r>
          </w:p>
        </w:tc>
        <w:tc>
          <w:tcPr>
            <w:tcW w:w="1740"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油烟</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0.108</w:t>
            </w:r>
          </w:p>
        </w:tc>
        <w:tc>
          <w:tcPr>
            <w:tcW w:w="1174"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0.06</w:t>
            </w:r>
          </w:p>
        </w:tc>
        <w:tc>
          <w:tcPr>
            <w:tcW w:w="1195"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12.0</w:t>
            </w:r>
          </w:p>
        </w:tc>
        <w:tc>
          <w:tcPr>
            <w:tcW w:w="1168"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0.01</w:t>
            </w:r>
          </w:p>
        </w:tc>
        <w:tc>
          <w:tcPr>
            <w:tcW w:w="1174"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0.0056</w:t>
            </w:r>
          </w:p>
        </w:tc>
        <w:tc>
          <w:tcPr>
            <w:tcW w:w="1195"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1.11</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color w:val="000000"/>
                <w:sz w:val="21"/>
                <w:szCs w:val="21"/>
                <w:lang w:val="en-US"/>
              </w:rPr>
              <w:t>1.5</w:t>
            </w:r>
            <w:r>
              <w:rPr>
                <w:rFonts w:ascii="Times New Roman" w:hAnsi="Times New Roman" w:cs="Times New Roman"/>
                <w:color w:val="000000"/>
                <w:sz w:val="21"/>
                <w:szCs w:val="21"/>
              </w:rPr>
              <w:t>mg/m</w:t>
            </w:r>
            <w:r>
              <w:rPr>
                <w:rFonts w:ascii="Times New Roman" w:hAnsi="Times New Roman"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93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cs="Times New Roman"/>
                <w:sz w:val="21"/>
                <w:szCs w:val="21"/>
                <w:lang w:val="en-US"/>
              </w:rPr>
              <w:t>非甲烷总烃</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rPr>
              <w:t>0.</w:t>
            </w:r>
            <w:r>
              <w:rPr>
                <w:rFonts w:hint="eastAsia" w:ascii="Times New Roman" w:hAnsi="Times New Roman" w:cs="Times New Roman"/>
                <w:sz w:val="21"/>
                <w:szCs w:val="21"/>
                <w:lang w:val="en-US" w:eastAsia="zh-CN"/>
              </w:rPr>
              <w:t>182</w:t>
            </w:r>
          </w:p>
        </w:tc>
        <w:tc>
          <w:tcPr>
            <w:tcW w:w="1174"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0.101</w:t>
            </w:r>
          </w:p>
        </w:tc>
        <w:tc>
          <w:tcPr>
            <w:tcW w:w="1195"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20.22</w:t>
            </w:r>
          </w:p>
        </w:tc>
        <w:tc>
          <w:tcPr>
            <w:tcW w:w="1168"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0.036</w:t>
            </w:r>
          </w:p>
        </w:tc>
        <w:tc>
          <w:tcPr>
            <w:tcW w:w="1174"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0.02</w:t>
            </w:r>
          </w:p>
        </w:tc>
        <w:tc>
          <w:tcPr>
            <w:tcW w:w="1195"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4.0</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color w:val="000000"/>
                <w:sz w:val="21"/>
                <w:szCs w:val="21"/>
                <w:lang w:val="en-US"/>
              </w:rPr>
              <w:t>10</w:t>
            </w:r>
            <w:r>
              <w:rPr>
                <w:rFonts w:ascii="Times New Roman" w:hAnsi="Times New Roman" w:cs="Times New Roman"/>
                <w:color w:val="000000"/>
                <w:sz w:val="21"/>
                <w:szCs w:val="21"/>
              </w:rPr>
              <w:t>mg/m</w:t>
            </w:r>
            <w:r>
              <w:rPr>
                <w:rFonts w:ascii="Times New Roman" w:hAnsi="Times New Roman"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DA00</w:t>
            </w:r>
            <w:r>
              <w:rPr>
                <w:rFonts w:hint="eastAsia" w:ascii="Times New Roman" w:hAnsi="Times New Roman" w:cs="Times New Roman"/>
                <w:sz w:val="21"/>
                <w:szCs w:val="21"/>
                <w:lang w:val="en-US" w:eastAsia="zh-CN"/>
              </w:rPr>
              <w:t>3</w:t>
            </w:r>
            <w:r>
              <w:rPr>
                <w:rFonts w:hint="eastAsia" w:ascii="Times New Roman" w:hAnsi="Times New Roman" w:cs="Times New Roman"/>
                <w:sz w:val="21"/>
                <w:szCs w:val="21"/>
                <w:lang w:val="en-US"/>
              </w:rPr>
              <w:t>（3000m</w:t>
            </w:r>
            <w:r>
              <w:rPr>
                <w:rFonts w:hint="eastAsia" w:ascii="Times New Roman" w:hAnsi="Times New Roman" w:cs="Times New Roman"/>
                <w:sz w:val="21"/>
                <w:szCs w:val="21"/>
                <w:vertAlign w:val="superscript"/>
                <w:lang w:val="en-US"/>
              </w:rPr>
              <w:t>3</w:t>
            </w:r>
            <w:r>
              <w:rPr>
                <w:rFonts w:hint="eastAsia" w:ascii="Times New Roman" w:hAnsi="Times New Roman" w:cs="Times New Roman"/>
                <w:sz w:val="21"/>
                <w:szCs w:val="21"/>
                <w:lang w:val="en-US"/>
              </w:rPr>
              <w:t>/h）</w:t>
            </w:r>
          </w:p>
        </w:tc>
        <w:tc>
          <w:tcPr>
            <w:tcW w:w="930"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污水站废气</w:t>
            </w:r>
          </w:p>
        </w:tc>
        <w:tc>
          <w:tcPr>
            <w:tcW w:w="1740"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硫化氢</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0.8636</w:t>
            </w:r>
          </w:p>
        </w:tc>
        <w:tc>
          <w:tcPr>
            <w:tcW w:w="1174"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0.1199</w:t>
            </w:r>
          </w:p>
        </w:tc>
        <w:tc>
          <w:tcPr>
            <w:tcW w:w="1195"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39.981</w:t>
            </w:r>
          </w:p>
        </w:tc>
        <w:tc>
          <w:tcPr>
            <w:tcW w:w="1168"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0.0089</w:t>
            </w:r>
          </w:p>
        </w:tc>
        <w:tc>
          <w:tcPr>
            <w:tcW w:w="1174"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0.0012</w:t>
            </w:r>
          </w:p>
        </w:tc>
        <w:tc>
          <w:tcPr>
            <w:tcW w:w="1195"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0.412</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0.33kg/h</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455"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930"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氨</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0.3218</w:t>
            </w:r>
          </w:p>
        </w:tc>
        <w:tc>
          <w:tcPr>
            <w:tcW w:w="1174"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0.0447</w:t>
            </w:r>
          </w:p>
        </w:tc>
        <w:tc>
          <w:tcPr>
            <w:tcW w:w="1195"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14.898</w:t>
            </w:r>
          </w:p>
        </w:tc>
        <w:tc>
          <w:tcPr>
            <w:tcW w:w="1168"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0.0181</w:t>
            </w:r>
          </w:p>
        </w:tc>
        <w:tc>
          <w:tcPr>
            <w:tcW w:w="1174"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0.0025</w:t>
            </w:r>
          </w:p>
        </w:tc>
        <w:tc>
          <w:tcPr>
            <w:tcW w:w="1195"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0.838</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lang w:val="en-US"/>
              </w:rPr>
              <w:t>4.9kg/h</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合计</w:t>
            </w:r>
          </w:p>
        </w:tc>
        <w:tc>
          <w:tcPr>
            <w:tcW w:w="1740" w:type="dxa"/>
            <w:vAlign w:val="center"/>
          </w:tcPr>
          <w:p>
            <w:pPr>
              <w:pStyle w:val="39"/>
              <w:spacing w:line="360" w:lineRule="exact"/>
              <w:ind w:firstLine="0" w:firstLineChars="0"/>
              <w:rPr>
                <w:rFonts w:cs="Times New Roman"/>
                <w:snapToGrid w:val="0"/>
                <w:kern w:val="18"/>
                <w:sz w:val="21"/>
                <w:szCs w:val="21"/>
              </w:rPr>
            </w:pPr>
            <w:r>
              <w:rPr>
                <w:rFonts w:hint="eastAsia" w:ascii="Times New Roman" w:hAnsi="Times New Roman" w:cs="Times New Roman"/>
                <w:sz w:val="21"/>
                <w:szCs w:val="21"/>
                <w:lang w:val="en-US"/>
              </w:rPr>
              <w:t>粉尘</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1.32</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0.012</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12</w:t>
            </w:r>
            <w:r>
              <w:rPr>
                <w:rFonts w:ascii="Times New Roman" w:hAnsi="Times New Roman" w:cs="Times New Roman"/>
                <w:color w:val="000000"/>
                <w:sz w:val="21"/>
                <w:szCs w:val="21"/>
              </w:rPr>
              <w:t>mg/m</w:t>
            </w:r>
            <w:r>
              <w:rPr>
                <w:rFonts w:ascii="Times New Roman" w:hAnsi="Times New Roman"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pStyle w:val="39"/>
              <w:spacing w:line="360" w:lineRule="exact"/>
              <w:ind w:firstLine="0" w:firstLineChars="0"/>
              <w:rPr>
                <w:rFonts w:cs="Times New Roman"/>
                <w:snapToGrid w:val="0"/>
                <w:kern w:val="18"/>
                <w:sz w:val="21"/>
                <w:szCs w:val="21"/>
              </w:rPr>
            </w:pPr>
            <w:r>
              <w:rPr>
                <w:rFonts w:hint="eastAsia" w:ascii="Times New Roman" w:cs="Times New Roman"/>
                <w:sz w:val="21"/>
                <w:szCs w:val="21"/>
                <w:lang w:val="en-US"/>
              </w:rPr>
              <w:t>非甲烷总烃</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25.522</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1.2394</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10</w:t>
            </w:r>
            <w:r>
              <w:rPr>
                <w:rFonts w:ascii="Times New Roman" w:hAnsi="Times New Roman" w:cs="Times New Roman"/>
                <w:color w:val="000000"/>
                <w:sz w:val="21"/>
                <w:szCs w:val="21"/>
              </w:rPr>
              <w:t>mg/m</w:t>
            </w:r>
            <w:r>
              <w:rPr>
                <w:rFonts w:ascii="Times New Roman" w:hAnsi="Times New Roman"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0.051</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eastAsia="zh-CN"/>
              </w:rPr>
              <w:t>0.0024</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spacing w:line="240" w:lineRule="auto"/>
              <w:ind w:firstLine="0" w:firstLineChars="0"/>
              <w:jc w:val="center"/>
              <w:rPr>
                <w:rFonts w:cs="Times New Roman"/>
                <w:sz w:val="21"/>
                <w:szCs w:val="21"/>
              </w:rPr>
            </w:pPr>
            <w:r>
              <w:rPr>
                <w:rFonts w:hint="eastAsia" w:cs="Times New Roman"/>
                <w:color w:val="000000"/>
                <w:sz w:val="21"/>
                <w:szCs w:val="21"/>
              </w:rPr>
              <w:t>10</w:t>
            </w:r>
            <w:r>
              <w:rPr>
                <w:rFonts w:cs="Times New Roman"/>
                <w:color w:val="000000"/>
                <w:sz w:val="21"/>
                <w:szCs w:val="21"/>
              </w:rPr>
              <w:t>mg/m</w:t>
            </w:r>
            <w:r>
              <w:rPr>
                <w:rFonts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丙烯酸丁酯</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0.47</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eastAsia="zh-CN"/>
              </w:rPr>
              <w:t>0.0223</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spacing w:line="240" w:lineRule="auto"/>
              <w:ind w:firstLine="0" w:firstLineChars="0"/>
              <w:jc w:val="center"/>
              <w:rPr>
                <w:rFonts w:cs="Times New Roman"/>
                <w:sz w:val="21"/>
                <w:szCs w:val="21"/>
              </w:rPr>
            </w:pPr>
            <w:r>
              <w:rPr>
                <w:rFonts w:hint="eastAsia" w:cs="Times New Roman"/>
                <w:color w:val="000000"/>
                <w:sz w:val="21"/>
                <w:szCs w:val="21"/>
              </w:rPr>
              <w:t>50</w:t>
            </w:r>
            <w:r>
              <w:rPr>
                <w:rFonts w:cs="Times New Roman"/>
                <w:color w:val="000000"/>
                <w:sz w:val="21"/>
                <w:szCs w:val="21"/>
              </w:rPr>
              <w:t>mg/m</w:t>
            </w:r>
            <w:r>
              <w:rPr>
                <w:rFonts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甲基丙烯酸甲酯</w:t>
            </w:r>
          </w:p>
        </w:tc>
        <w:tc>
          <w:tcPr>
            <w:tcW w:w="1033"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rPr>
              <w:t>0.</w:t>
            </w:r>
            <w:r>
              <w:rPr>
                <w:rFonts w:hint="eastAsia" w:ascii="Times New Roman" w:hAnsi="Times New Roman" w:cs="Times New Roman"/>
                <w:sz w:val="21"/>
                <w:szCs w:val="21"/>
                <w:lang w:val="en-US" w:eastAsia="zh-CN"/>
              </w:rPr>
              <w:t>47</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eastAsia="zh-CN"/>
              </w:rPr>
              <w:t>0.0223</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spacing w:line="240" w:lineRule="auto"/>
              <w:ind w:firstLine="0" w:firstLineChars="0"/>
              <w:jc w:val="center"/>
              <w:rPr>
                <w:rFonts w:cs="Times New Roman"/>
                <w:sz w:val="21"/>
                <w:szCs w:val="21"/>
              </w:rPr>
            </w:pPr>
            <w:r>
              <w:rPr>
                <w:rFonts w:hint="eastAsia" w:cs="Times New Roman"/>
                <w:color w:val="000000"/>
                <w:sz w:val="21"/>
                <w:szCs w:val="21"/>
              </w:rPr>
              <w:t>10</w:t>
            </w:r>
            <w:r>
              <w:rPr>
                <w:rFonts w:cs="Times New Roman"/>
                <w:color w:val="000000"/>
                <w:sz w:val="21"/>
                <w:szCs w:val="21"/>
              </w:rPr>
              <w:t>mg/m</w:t>
            </w:r>
            <w:r>
              <w:rPr>
                <w:rFonts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pStyle w:val="39"/>
              <w:spacing w:line="360" w:lineRule="exact"/>
              <w:ind w:firstLine="0" w:firstLineChars="0"/>
              <w:rPr>
                <w:rFonts w:cs="Times New Roman"/>
                <w:snapToGrid w:val="0"/>
                <w:kern w:val="18"/>
                <w:sz w:val="21"/>
                <w:szCs w:val="21"/>
              </w:rPr>
            </w:pPr>
            <w:r>
              <w:rPr>
                <w:rFonts w:hint="eastAsia" w:ascii="Times New Roman" w:hAnsi="Times New Roman" w:cs="Times New Roman"/>
                <w:sz w:val="21"/>
                <w:szCs w:val="21"/>
                <w:lang w:val="en-US"/>
              </w:rPr>
              <w:t>油烟</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0.0051</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0.0005</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color w:val="000000"/>
                <w:sz w:val="21"/>
                <w:szCs w:val="21"/>
                <w:lang w:val="en-US"/>
              </w:rPr>
              <w:t>1.5</w:t>
            </w:r>
            <w:r>
              <w:rPr>
                <w:rFonts w:ascii="Times New Roman" w:hAnsi="Times New Roman" w:cs="Times New Roman"/>
                <w:color w:val="000000"/>
                <w:sz w:val="21"/>
                <w:szCs w:val="21"/>
              </w:rPr>
              <w:t>mg/m</w:t>
            </w:r>
            <w:r>
              <w:rPr>
                <w:rFonts w:ascii="Times New Roman" w:hAnsi="Times New Roman" w:cs="Times New Roman"/>
                <w:color w:val="000000"/>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pStyle w:val="39"/>
              <w:spacing w:line="360" w:lineRule="exact"/>
              <w:ind w:firstLine="0" w:firstLineChars="0"/>
              <w:rPr>
                <w:rFonts w:cs="Times New Roman"/>
                <w:snapToGrid w:val="0"/>
                <w:kern w:val="18"/>
                <w:sz w:val="21"/>
                <w:szCs w:val="21"/>
              </w:rPr>
            </w:pPr>
            <w:r>
              <w:rPr>
                <w:rFonts w:hint="eastAsia" w:cs="Times New Roman"/>
                <w:snapToGrid w:val="0"/>
                <w:kern w:val="18"/>
                <w:sz w:val="21"/>
                <w:szCs w:val="21"/>
              </w:rPr>
              <w:t>硫化氢</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0.8641</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pStyle w:val="39"/>
              <w:spacing w:line="360" w:lineRule="exact"/>
              <w:ind w:firstLine="0" w:firstLineChars="0"/>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rPr>
              <w:t>0.0</w:t>
            </w:r>
            <w:r>
              <w:rPr>
                <w:rFonts w:hint="eastAsia" w:ascii="Times New Roman" w:hAnsi="Times New Roman" w:cs="Times New Roman"/>
                <w:sz w:val="21"/>
                <w:szCs w:val="21"/>
                <w:lang w:val="en-US" w:eastAsia="zh-CN"/>
              </w:rPr>
              <w:t>195</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0.33kg/h</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氨</w:t>
            </w:r>
          </w:p>
        </w:tc>
        <w:tc>
          <w:tcPr>
            <w:tcW w:w="1033"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0.3218</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0.0181</w:t>
            </w:r>
          </w:p>
        </w:tc>
        <w:tc>
          <w:tcPr>
            <w:tcW w:w="1174"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lang w:val="en-US"/>
              </w:rPr>
              <w:t>4.9kg/h</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788" w:type="dxa"/>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无组织</w:t>
            </w:r>
          </w:p>
        </w:tc>
        <w:tc>
          <w:tcPr>
            <w:tcW w:w="2385" w:type="dxa"/>
            <w:gridSpan w:val="2"/>
            <w:vMerge w:val="restart"/>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1#车间</w:t>
            </w: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1033"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0.000375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0.000375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lang w:val="en-US" w:eastAsia="zh-CN"/>
              </w:rPr>
              <w:t>1.0</w:t>
            </w:r>
            <w:r>
              <w:rPr>
                <w:rFonts w:hint="default" w:ascii="Times New Roman" w:hAnsi="Times New Roman" w:cs="Times New Roman"/>
                <w:b w:val="0"/>
                <w:bCs w:val="0"/>
                <w:color w:val="000000"/>
                <w:sz w:val="21"/>
                <w:szCs w:val="21"/>
                <w:u w:val="none"/>
              </w:rPr>
              <w:t>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788" w:type="dxa"/>
            <w:vMerge w:val="continue"/>
            <w:vAlign w:val="center"/>
          </w:tcPr>
          <w:p>
            <w:pPr>
              <w:pStyle w:val="39"/>
              <w:spacing w:line="360" w:lineRule="exact"/>
              <w:ind w:firstLine="0" w:firstLineChars="0"/>
              <w:rPr>
                <w:rFonts w:hint="eastAsia"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hint="eastAsia" w:cs="Times New Roman"/>
                <w:snapToGrid w:val="0"/>
                <w:kern w:val="18"/>
                <w:sz w:val="21"/>
                <w:szCs w:val="21"/>
              </w:rPr>
            </w:pPr>
          </w:p>
        </w:tc>
        <w:tc>
          <w:tcPr>
            <w:tcW w:w="1740" w:type="dxa"/>
            <w:vAlign w:val="center"/>
          </w:tcPr>
          <w:p>
            <w:pPr>
              <w:adjustRightInd w:val="0"/>
              <w:snapToGrid w:val="0"/>
              <w:spacing w:line="360" w:lineRule="exact"/>
              <w:ind w:firstLine="0" w:firstLineChars="0"/>
              <w:jc w:val="center"/>
              <w:rPr>
                <w:rFonts w:hint="eastAsia" w:cs="Times New Roman"/>
                <w:snapToGrid w:val="0"/>
                <w:kern w:val="18"/>
                <w:sz w:val="21"/>
                <w:szCs w:val="21"/>
              </w:rPr>
            </w:pPr>
            <w:r>
              <w:rPr>
                <w:rFonts w:hint="eastAsia" w:cs="Times New Roman"/>
                <w:snapToGrid w:val="0"/>
                <w:kern w:val="18"/>
                <w:sz w:val="21"/>
                <w:szCs w:val="21"/>
              </w:rPr>
              <w:t>非甲烷总烃</w:t>
            </w:r>
          </w:p>
        </w:tc>
        <w:tc>
          <w:tcPr>
            <w:tcW w:w="1033" w:type="dxa"/>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806</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1195" w:type="dxa"/>
            <w:vAlign w:val="center"/>
          </w:tcPr>
          <w:p>
            <w:pPr>
              <w:spacing w:line="360" w:lineRule="exact"/>
              <w:ind w:firstLine="0" w:firstLineChars="0"/>
              <w:jc w:val="center"/>
              <w:rPr>
                <w:rFonts w:hint="eastAsia" w:cs="Times New Roman"/>
                <w:sz w:val="21"/>
                <w:szCs w:val="21"/>
              </w:rPr>
            </w:pPr>
          </w:p>
        </w:tc>
        <w:tc>
          <w:tcPr>
            <w:tcW w:w="1168" w:type="dxa"/>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806</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1195" w:type="dxa"/>
            <w:vAlign w:val="center"/>
          </w:tcPr>
          <w:p>
            <w:pPr>
              <w:spacing w:line="360" w:lineRule="exact"/>
              <w:ind w:firstLine="0" w:firstLineChars="0"/>
              <w:jc w:val="center"/>
              <w:rPr>
                <w:rFonts w:hint="eastAsia" w:cs="Times New Roman"/>
                <w:sz w:val="21"/>
                <w:szCs w:val="21"/>
              </w:rPr>
            </w:pPr>
          </w:p>
        </w:tc>
        <w:tc>
          <w:tcPr>
            <w:tcW w:w="1172" w:type="dxa"/>
            <w:vAlign w:val="center"/>
          </w:tcPr>
          <w:p>
            <w:pPr>
              <w:pStyle w:val="39"/>
              <w:spacing w:line="360" w:lineRule="exact"/>
              <w:ind w:firstLine="0" w:firstLineChars="0"/>
              <w:rPr>
                <w:rFonts w:hint="eastAsia"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hint="eastAsia"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rPr>
              <w:t>2.0mg/m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788" w:type="dxa"/>
            <w:vMerge w:val="continue"/>
            <w:vAlign w:val="center"/>
          </w:tcPr>
          <w:p>
            <w:pPr>
              <w:pStyle w:val="39"/>
              <w:spacing w:line="360" w:lineRule="exact"/>
              <w:ind w:firstLine="0" w:firstLineChars="0"/>
              <w:rPr>
                <w:rFonts w:hint="eastAsia" w:ascii="Times New Roman" w:hAnsi="Times New Roman" w:cs="Times New Roman"/>
                <w:sz w:val="21"/>
                <w:szCs w:val="21"/>
                <w:lang w:val="en-US"/>
              </w:rPr>
            </w:pPr>
          </w:p>
        </w:tc>
        <w:tc>
          <w:tcPr>
            <w:tcW w:w="2385" w:type="dxa"/>
            <w:gridSpan w:val="2"/>
            <w:vMerge w:val="restart"/>
            <w:vAlign w:val="center"/>
          </w:tcPr>
          <w:p>
            <w:pPr>
              <w:adjustRightInd w:val="0"/>
              <w:snapToGrid w:val="0"/>
              <w:spacing w:line="360" w:lineRule="exact"/>
              <w:ind w:firstLine="0" w:firstLineChars="0"/>
              <w:jc w:val="center"/>
              <w:rPr>
                <w:rFonts w:hint="eastAsia" w:cs="Times New Roman"/>
                <w:snapToGrid w:val="0"/>
                <w:kern w:val="18"/>
                <w:sz w:val="21"/>
                <w:szCs w:val="21"/>
              </w:rPr>
            </w:pPr>
            <w:r>
              <w:rPr>
                <w:rFonts w:hint="eastAsia" w:cs="Times New Roman"/>
                <w:snapToGrid w:val="0"/>
                <w:kern w:val="18"/>
                <w:sz w:val="21"/>
                <w:szCs w:val="21"/>
              </w:rPr>
              <w:t>2#车间</w:t>
            </w:r>
          </w:p>
        </w:tc>
        <w:tc>
          <w:tcPr>
            <w:tcW w:w="1740" w:type="dxa"/>
            <w:vAlign w:val="center"/>
          </w:tcPr>
          <w:p>
            <w:pPr>
              <w:adjustRightInd w:val="0"/>
              <w:snapToGrid w:val="0"/>
              <w:spacing w:line="360" w:lineRule="exact"/>
              <w:ind w:firstLine="0" w:firstLineChars="0"/>
              <w:jc w:val="center"/>
              <w:rPr>
                <w:rFonts w:hint="eastAsia" w:cs="Times New Roman"/>
                <w:snapToGrid w:val="0"/>
                <w:kern w:val="18"/>
                <w:sz w:val="21"/>
                <w:szCs w:val="21"/>
              </w:rPr>
            </w:pPr>
            <w:r>
              <w:rPr>
                <w:rFonts w:hint="eastAsia" w:cs="Times New Roman"/>
                <w:snapToGrid w:val="0"/>
                <w:kern w:val="18"/>
                <w:sz w:val="21"/>
                <w:szCs w:val="21"/>
              </w:rPr>
              <w:t>颗粒物</w:t>
            </w:r>
          </w:p>
        </w:tc>
        <w:tc>
          <w:tcPr>
            <w:tcW w:w="1033" w:type="dxa"/>
            <w:vAlign w:val="center"/>
          </w:tcPr>
          <w:p>
            <w:pPr>
              <w:adjustRightInd w:val="0"/>
              <w:snapToGrid w:val="0"/>
              <w:spacing w:line="360" w:lineRule="exact"/>
              <w:ind w:firstLine="0" w:firstLineChars="0"/>
              <w:jc w:val="center"/>
              <w:rPr>
                <w:rFonts w:hint="eastAsia" w:cs="Times New Roman"/>
                <w:kern w:val="0"/>
                <w:sz w:val="21"/>
                <w:szCs w:val="21"/>
              </w:rPr>
            </w:pPr>
            <w:r>
              <w:rPr>
                <w:rFonts w:hint="eastAsia" w:cs="Times New Roman"/>
                <w:kern w:val="0"/>
                <w:sz w:val="21"/>
                <w:szCs w:val="21"/>
                <w:lang w:val="en-US" w:eastAsia="zh-CN"/>
              </w:rPr>
              <w:t>0.000375</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1195" w:type="dxa"/>
            <w:vAlign w:val="center"/>
          </w:tcPr>
          <w:p>
            <w:pPr>
              <w:spacing w:line="360" w:lineRule="exact"/>
              <w:ind w:firstLine="0" w:firstLineChars="0"/>
              <w:jc w:val="center"/>
              <w:rPr>
                <w:rFonts w:hint="eastAsia" w:cs="Times New Roman"/>
                <w:sz w:val="21"/>
                <w:szCs w:val="21"/>
              </w:rPr>
            </w:pPr>
          </w:p>
        </w:tc>
        <w:tc>
          <w:tcPr>
            <w:tcW w:w="1168" w:type="dxa"/>
            <w:vAlign w:val="center"/>
          </w:tcPr>
          <w:p>
            <w:pPr>
              <w:adjustRightInd w:val="0"/>
              <w:snapToGrid w:val="0"/>
              <w:spacing w:line="360" w:lineRule="exact"/>
              <w:ind w:firstLine="0" w:firstLineChars="0"/>
              <w:jc w:val="center"/>
              <w:rPr>
                <w:rFonts w:hint="eastAsia" w:cs="Times New Roman"/>
                <w:kern w:val="0"/>
                <w:sz w:val="21"/>
                <w:szCs w:val="21"/>
              </w:rPr>
            </w:pPr>
            <w:r>
              <w:rPr>
                <w:rFonts w:hint="eastAsia" w:cs="Times New Roman"/>
                <w:kern w:val="0"/>
                <w:sz w:val="21"/>
                <w:szCs w:val="21"/>
                <w:lang w:val="en-US" w:eastAsia="zh-CN"/>
              </w:rPr>
              <w:t>0.000375</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1195" w:type="dxa"/>
            <w:vAlign w:val="center"/>
          </w:tcPr>
          <w:p>
            <w:pPr>
              <w:spacing w:line="360" w:lineRule="exact"/>
              <w:ind w:firstLine="0" w:firstLineChars="0"/>
              <w:jc w:val="center"/>
              <w:rPr>
                <w:rFonts w:hint="eastAsia" w:cs="Times New Roman"/>
                <w:sz w:val="21"/>
                <w:szCs w:val="21"/>
              </w:rPr>
            </w:pPr>
          </w:p>
        </w:tc>
        <w:tc>
          <w:tcPr>
            <w:tcW w:w="1172" w:type="dxa"/>
            <w:vAlign w:val="center"/>
          </w:tcPr>
          <w:p>
            <w:pPr>
              <w:pStyle w:val="39"/>
              <w:spacing w:line="360" w:lineRule="exact"/>
              <w:ind w:firstLine="0" w:firstLineChars="0"/>
              <w:rPr>
                <w:rFonts w:hint="eastAsia"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hint="eastAsia"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lang w:val="en-US" w:eastAsia="zh-CN"/>
              </w:rPr>
              <w:t>1.0</w:t>
            </w:r>
            <w:r>
              <w:rPr>
                <w:rFonts w:hint="default" w:ascii="Times New Roman" w:hAnsi="Times New Roman" w:cs="Times New Roman"/>
                <w:b w:val="0"/>
                <w:bCs w:val="0"/>
                <w:color w:val="000000"/>
                <w:sz w:val="21"/>
                <w:szCs w:val="21"/>
                <w:u w:val="none"/>
              </w:rPr>
              <w:t>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jc w:val="center"/>
        </w:trPr>
        <w:tc>
          <w:tcPr>
            <w:tcW w:w="788" w:type="dxa"/>
            <w:vMerge w:val="continue"/>
            <w:vAlign w:val="center"/>
          </w:tcPr>
          <w:p>
            <w:pPr>
              <w:pStyle w:val="39"/>
              <w:spacing w:line="360" w:lineRule="exact"/>
              <w:ind w:firstLine="0" w:firstLineChars="0"/>
              <w:rPr>
                <w:rFonts w:hint="eastAsia"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hint="eastAsia" w:cs="Times New Roman"/>
                <w:snapToGrid w:val="0"/>
                <w:kern w:val="18"/>
                <w:sz w:val="21"/>
                <w:szCs w:val="21"/>
              </w:rPr>
            </w:pPr>
          </w:p>
        </w:tc>
        <w:tc>
          <w:tcPr>
            <w:tcW w:w="1740" w:type="dxa"/>
            <w:vAlign w:val="center"/>
          </w:tcPr>
          <w:p>
            <w:pPr>
              <w:adjustRightInd w:val="0"/>
              <w:snapToGrid w:val="0"/>
              <w:spacing w:line="360" w:lineRule="exact"/>
              <w:ind w:firstLine="0" w:firstLineChars="0"/>
              <w:jc w:val="center"/>
              <w:rPr>
                <w:rFonts w:hint="eastAsia" w:cs="Times New Roman"/>
                <w:snapToGrid w:val="0"/>
                <w:kern w:val="18"/>
                <w:sz w:val="21"/>
                <w:szCs w:val="21"/>
              </w:rPr>
            </w:pPr>
            <w:r>
              <w:rPr>
                <w:rFonts w:hint="eastAsia" w:cs="Times New Roman"/>
                <w:snapToGrid w:val="0"/>
                <w:kern w:val="18"/>
                <w:sz w:val="21"/>
                <w:szCs w:val="21"/>
              </w:rPr>
              <w:t>非甲烷总烃</w:t>
            </w:r>
          </w:p>
        </w:tc>
        <w:tc>
          <w:tcPr>
            <w:tcW w:w="1033" w:type="dxa"/>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806</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1195" w:type="dxa"/>
            <w:vAlign w:val="center"/>
          </w:tcPr>
          <w:p>
            <w:pPr>
              <w:spacing w:line="360" w:lineRule="exact"/>
              <w:ind w:firstLine="0" w:firstLineChars="0"/>
              <w:jc w:val="center"/>
              <w:rPr>
                <w:rFonts w:hint="eastAsia" w:cs="Times New Roman"/>
                <w:sz w:val="21"/>
                <w:szCs w:val="21"/>
              </w:rPr>
            </w:pPr>
          </w:p>
        </w:tc>
        <w:tc>
          <w:tcPr>
            <w:tcW w:w="1168" w:type="dxa"/>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806</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1195" w:type="dxa"/>
            <w:vAlign w:val="center"/>
          </w:tcPr>
          <w:p>
            <w:pPr>
              <w:spacing w:line="360" w:lineRule="exact"/>
              <w:ind w:firstLine="0" w:firstLineChars="0"/>
              <w:jc w:val="center"/>
              <w:rPr>
                <w:rFonts w:hint="eastAsia" w:cs="Times New Roman"/>
                <w:sz w:val="21"/>
                <w:szCs w:val="21"/>
              </w:rPr>
            </w:pPr>
          </w:p>
        </w:tc>
        <w:tc>
          <w:tcPr>
            <w:tcW w:w="1172" w:type="dxa"/>
            <w:vAlign w:val="center"/>
          </w:tcPr>
          <w:p>
            <w:pPr>
              <w:pStyle w:val="39"/>
              <w:spacing w:line="360" w:lineRule="exact"/>
              <w:ind w:firstLine="0" w:firstLineChars="0"/>
              <w:rPr>
                <w:rFonts w:hint="eastAsia"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hint="eastAsia"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rPr>
              <w:t>2.0mg/m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jc w:val="center"/>
        </w:trPr>
        <w:tc>
          <w:tcPr>
            <w:tcW w:w="788" w:type="dxa"/>
            <w:vMerge w:val="continue"/>
            <w:vAlign w:val="center"/>
          </w:tcPr>
          <w:p>
            <w:pPr>
              <w:pStyle w:val="39"/>
              <w:spacing w:line="360" w:lineRule="exact"/>
              <w:ind w:firstLine="0" w:firstLineChars="0"/>
              <w:rPr>
                <w:rFonts w:hint="eastAsia" w:ascii="Times New Roman" w:hAnsi="Times New Roman" w:cs="Times New Roman"/>
                <w:sz w:val="21"/>
                <w:szCs w:val="21"/>
                <w:lang w:val="en-US"/>
              </w:rPr>
            </w:pPr>
          </w:p>
        </w:tc>
        <w:tc>
          <w:tcPr>
            <w:tcW w:w="2385" w:type="dxa"/>
            <w:gridSpan w:val="2"/>
            <w:vMerge w:val="restart"/>
            <w:vAlign w:val="center"/>
          </w:tcPr>
          <w:p>
            <w:pPr>
              <w:adjustRightInd w:val="0"/>
              <w:snapToGrid w:val="0"/>
              <w:spacing w:line="360" w:lineRule="exact"/>
              <w:ind w:firstLine="0" w:firstLineChars="0"/>
              <w:jc w:val="center"/>
              <w:rPr>
                <w:rFonts w:hint="eastAsia" w:cs="Times New Roman"/>
                <w:snapToGrid w:val="0"/>
                <w:kern w:val="18"/>
                <w:sz w:val="21"/>
                <w:szCs w:val="21"/>
              </w:rPr>
            </w:pPr>
            <w:r>
              <w:rPr>
                <w:rFonts w:hint="eastAsia" w:cs="Times New Roman"/>
                <w:snapToGrid w:val="0"/>
                <w:kern w:val="18"/>
                <w:sz w:val="21"/>
                <w:szCs w:val="21"/>
              </w:rPr>
              <w:t>3#车间</w:t>
            </w:r>
          </w:p>
        </w:tc>
        <w:tc>
          <w:tcPr>
            <w:tcW w:w="1740" w:type="dxa"/>
            <w:vAlign w:val="center"/>
          </w:tcPr>
          <w:p>
            <w:pPr>
              <w:adjustRightInd w:val="0"/>
              <w:snapToGrid w:val="0"/>
              <w:spacing w:line="360" w:lineRule="exact"/>
              <w:ind w:firstLine="0" w:firstLineChars="0"/>
              <w:jc w:val="center"/>
              <w:rPr>
                <w:rFonts w:hint="eastAsia" w:cs="Times New Roman"/>
                <w:snapToGrid w:val="0"/>
                <w:kern w:val="18"/>
                <w:sz w:val="21"/>
                <w:szCs w:val="21"/>
              </w:rPr>
            </w:pPr>
            <w:r>
              <w:rPr>
                <w:rFonts w:hint="eastAsia" w:cs="Times New Roman"/>
                <w:snapToGrid w:val="0"/>
                <w:kern w:val="18"/>
                <w:sz w:val="21"/>
                <w:szCs w:val="21"/>
              </w:rPr>
              <w:t>颗粒物</w:t>
            </w:r>
          </w:p>
        </w:tc>
        <w:tc>
          <w:tcPr>
            <w:tcW w:w="1033" w:type="dxa"/>
            <w:vAlign w:val="center"/>
          </w:tcPr>
          <w:p>
            <w:pPr>
              <w:adjustRightInd w:val="0"/>
              <w:snapToGrid w:val="0"/>
              <w:spacing w:line="360" w:lineRule="exact"/>
              <w:ind w:firstLine="0" w:firstLineChars="0"/>
              <w:jc w:val="center"/>
              <w:rPr>
                <w:rFonts w:hint="eastAsia" w:cs="Times New Roman"/>
                <w:kern w:val="0"/>
                <w:sz w:val="21"/>
                <w:szCs w:val="21"/>
              </w:rPr>
            </w:pPr>
            <w:r>
              <w:rPr>
                <w:rFonts w:hint="eastAsia" w:cs="Times New Roman"/>
                <w:kern w:val="0"/>
                <w:sz w:val="21"/>
                <w:szCs w:val="21"/>
                <w:lang w:val="en-US" w:eastAsia="zh-CN"/>
              </w:rPr>
              <w:t>0.0585</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eastAsia" w:cs="Times New Roman"/>
                <w:kern w:val="0"/>
                <w:sz w:val="21"/>
                <w:szCs w:val="21"/>
                <w:lang w:val="en-US" w:eastAsia="zh-CN"/>
              </w:rPr>
              <w:t>0.0244</w:t>
            </w:r>
          </w:p>
        </w:tc>
        <w:tc>
          <w:tcPr>
            <w:tcW w:w="1195" w:type="dxa"/>
            <w:vAlign w:val="center"/>
          </w:tcPr>
          <w:p>
            <w:pPr>
              <w:spacing w:line="360" w:lineRule="exact"/>
              <w:ind w:firstLine="0" w:firstLineChars="0"/>
              <w:jc w:val="center"/>
              <w:rPr>
                <w:rFonts w:hint="eastAsia" w:cs="Times New Roman"/>
                <w:sz w:val="21"/>
                <w:szCs w:val="21"/>
              </w:rPr>
            </w:pPr>
          </w:p>
        </w:tc>
        <w:tc>
          <w:tcPr>
            <w:tcW w:w="1168" w:type="dxa"/>
            <w:vAlign w:val="center"/>
          </w:tcPr>
          <w:p>
            <w:pPr>
              <w:adjustRightInd w:val="0"/>
              <w:snapToGrid w:val="0"/>
              <w:spacing w:line="360" w:lineRule="exact"/>
              <w:ind w:firstLine="0" w:firstLineChars="0"/>
              <w:jc w:val="center"/>
              <w:rPr>
                <w:rFonts w:hint="eastAsia" w:cs="Times New Roman"/>
                <w:kern w:val="0"/>
                <w:sz w:val="21"/>
                <w:szCs w:val="21"/>
              </w:rPr>
            </w:pPr>
            <w:r>
              <w:rPr>
                <w:rFonts w:hint="eastAsia" w:cs="Times New Roman"/>
                <w:kern w:val="0"/>
                <w:sz w:val="21"/>
                <w:szCs w:val="21"/>
                <w:lang w:val="en-US" w:eastAsia="zh-CN"/>
              </w:rPr>
              <w:t>0.0585</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eastAsia" w:cs="Times New Roman"/>
                <w:kern w:val="0"/>
                <w:sz w:val="21"/>
                <w:szCs w:val="21"/>
                <w:lang w:val="en-US" w:eastAsia="zh-CN"/>
              </w:rPr>
              <w:t>0.0244</w:t>
            </w:r>
          </w:p>
        </w:tc>
        <w:tc>
          <w:tcPr>
            <w:tcW w:w="1195" w:type="dxa"/>
            <w:vAlign w:val="center"/>
          </w:tcPr>
          <w:p>
            <w:pPr>
              <w:spacing w:line="360" w:lineRule="exact"/>
              <w:ind w:firstLine="0" w:firstLineChars="0"/>
              <w:jc w:val="center"/>
              <w:rPr>
                <w:rFonts w:hint="eastAsia" w:cs="Times New Roman"/>
                <w:sz w:val="21"/>
                <w:szCs w:val="21"/>
              </w:rPr>
            </w:pPr>
          </w:p>
        </w:tc>
        <w:tc>
          <w:tcPr>
            <w:tcW w:w="1172" w:type="dxa"/>
            <w:vAlign w:val="center"/>
          </w:tcPr>
          <w:p>
            <w:pPr>
              <w:pStyle w:val="39"/>
              <w:spacing w:line="360" w:lineRule="exact"/>
              <w:ind w:firstLine="0" w:firstLineChars="0"/>
              <w:rPr>
                <w:rFonts w:hint="eastAsia"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hint="eastAsia"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lang w:val="en-US" w:eastAsia="zh-CN"/>
              </w:rPr>
              <w:t>1.0</w:t>
            </w:r>
            <w:r>
              <w:rPr>
                <w:rFonts w:hint="default" w:ascii="Times New Roman" w:hAnsi="Times New Roman" w:cs="Times New Roman"/>
                <w:b w:val="0"/>
                <w:bCs w:val="0"/>
                <w:color w:val="000000"/>
                <w:sz w:val="21"/>
                <w:szCs w:val="21"/>
                <w:u w:val="none"/>
              </w:rPr>
              <w:t>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1033"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0.04</w:t>
            </w:r>
            <w:r>
              <w:rPr>
                <w:rFonts w:hint="eastAsia" w:cs="Times New Roman"/>
                <w:kern w:val="0"/>
                <w:sz w:val="21"/>
                <w:szCs w:val="21"/>
                <w:lang w:val="en-US" w:eastAsia="zh-CN"/>
              </w:rPr>
              <w:t>454</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0.0186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0.04</w:t>
            </w:r>
            <w:r>
              <w:rPr>
                <w:rFonts w:hint="eastAsia" w:cs="Times New Roman"/>
                <w:kern w:val="0"/>
                <w:sz w:val="21"/>
                <w:szCs w:val="21"/>
                <w:lang w:val="en-US" w:eastAsia="zh-CN"/>
              </w:rPr>
              <w:t>454</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0.0186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rPr>
              <w:t>2.0mg/m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硫化氢</w:t>
            </w:r>
          </w:p>
        </w:tc>
        <w:tc>
          <w:tcPr>
            <w:tcW w:w="1033"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53</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0.00022</w:t>
            </w:r>
          </w:p>
        </w:tc>
        <w:tc>
          <w:tcPr>
            <w:tcW w:w="1195" w:type="dxa"/>
            <w:vAlign w:val="center"/>
          </w:tcPr>
          <w:p>
            <w:pPr>
              <w:spacing w:line="360" w:lineRule="exact"/>
              <w:ind w:firstLine="0" w:firstLineChars="0"/>
              <w:jc w:val="center"/>
              <w:rPr>
                <w:rFonts w:cs="Times New Roman"/>
                <w:sz w:val="21"/>
                <w:szCs w:val="21"/>
              </w:rPr>
            </w:pP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53</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0.00022</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0.33kg/h</w:t>
            </w:r>
          </w:p>
        </w:tc>
        <w:tc>
          <w:tcPr>
            <w:tcW w:w="1196" w:type="dxa"/>
            <w:vAlign w:val="center"/>
          </w:tcPr>
          <w:p>
            <w:pPr>
              <w:pStyle w:val="39"/>
              <w:spacing w:line="360" w:lineRule="exact"/>
              <w:ind w:firstLine="0" w:firstLineChars="0"/>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restart"/>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5#车间</w:t>
            </w: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1033"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w:t>
            </w:r>
            <w:r>
              <w:rPr>
                <w:rFonts w:hint="eastAsia" w:cs="Times New Roman"/>
                <w:kern w:val="0"/>
                <w:sz w:val="21"/>
                <w:szCs w:val="21"/>
                <w:lang w:val="en-US" w:eastAsia="zh-CN"/>
              </w:rPr>
              <w:t>51</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0.0014</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w:t>
            </w:r>
            <w:r>
              <w:rPr>
                <w:rFonts w:hint="eastAsia" w:cs="Times New Roman"/>
                <w:kern w:val="0"/>
                <w:sz w:val="21"/>
                <w:szCs w:val="21"/>
                <w:lang w:val="en-US" w:eastAsia="zh-CN"/>
              </w:rPr>
              <w:t>51</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0.0014</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lang w:val="en-US" w:eastAsia="zh-CN"/>
              </w:rPr>
              <w:t>1.0</w:t>
            </w:r>
            <w:r>
              <w:rPr>
                <w:rFonts w:hint="default" w:ascii="Times New Roman" w:hAnsi="Times New Roman" w:cs="Times New Roman"/>
                <w:b w:val="0"/>
                <w:bCs w:val="0"/>
                <w:color w:val="000000"/>
                <w:sz w:val="21"/>
                <w:szCs w:val="21"/>
                <w:u w:val="none"/>
              </w:rPr>
              <w:t>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hint="eastAsia" w:cs="Times New Roman"/>
                <w:snapToGrid w:val="0"/>
                <w:kern w:val="18"/>
                <w:sz w:val="21"/>
                <w:szCs w:val="21"/>
              </w:rPr>
            </w:pPr>
          </w:p>
        </w:tc>
        <w:tc>
          <w:tcPr>
            <w:tcW w:w="1740" w:type="dxa"/>
            <w:vAlign w:val="center"/>
          </w:tcPr>
          <w:p>
            <w:pPr>
              <w:adjustRightInd w:val="0"/>
              <w:snapToGrid w:val="0"/>
              <w:spacing w:line="360" w:lineRule="exact"/>
              <w:ind w:firstLine="0" w:firstLineChars="0"/>
              <w:jc w:val="center"/>
              <w:rPr>
                <w:rFonts w:hint="eastAsia" w:cs="Times New Roman"/>
                <w:snapToGrid w:val="0"/>
                <w:kern w:val="18"/>
                <w:sz w:val="21"/>
                <w:szCs w:val="21"/>
              </w:rPr>
            </w:pPr>
            <w:r>
              <w:rPr>
                <w:rFonts w:hint="eastAsia" w:cs="Times New Roman"/>
                <w:snapToGrid w:val="0"/>
                <w:kern w:val="18"/>
                <w:sz w:val="21"/>
                <w:szCs w:val="21"/>
              </w:rPr>
              <w:t>非甲烷总烃</w:t>
            </w:r>
          </w:p>
        </w:tc>
        <w:tc>
          <w:tcPr>
            <w:tcW w:w="1033" w:type="dxa"/>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w:t>
            </w:r>
            <w:r>
              <w:rPr>
                <w:rFonts w:hint="eastAsia" w:cs="Times New Roman"/>
                <w:kern w:val="0"/>
                <w:sz w:val="21"/>
                <w:szCs w:val="21"/>
                <w:lang w:val="en-US" w:eastAsia="zh-CN"/>
              </w:rPr>
              <w:t>461</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eastAsia" w:cs="Times New Roman"/>
                <w:kern w:val="0"/>
                <w:sz w:val="21"/>
                <w:szCs w:val="21"/>
                <w:lang w:val="en-US" w:eastAsia="zh-CN"/>
              </w:rPr>
              <w:t>0.1292</w:t>
            </w:r>
          </w:p>
        </w:tc>
        <w:tc>
          <w:tcPr>
            <w:tcW w:w="1195" w:type="dxa"/>
            <w:vAlign w:val="center"/>
          </w:tcPr>
          <w:p>
            <w:pPr>
              <w:spacing w:line="360" w:lineRule="exact"/>
              <w:ind w:firstLine="0" w:firstLineChars="0"/>
              <w:jc w:val="center"/>
              <w:rPr>
                <w:rFonts w:hint="eastAsia" w:cs="Times New Roman"/>
                <w:sz w:val="21"/>
                <w:szCs w:val="21"/>
              </w:rPr>
            </w:pPr>
          </w:p>
        </w:tc>
        <w:tc>
          <w:tcPr>
            <w:tcW w:w="1168" w:type="dxa"/>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w:t>
            </w:r>
            <w:r>
              <w:rPr>
                <w:rFonts w:hint="eastAsia" w:cs="Times New Roman"/>
                <w:kern w:val="0"/>
                <w:sz w:val="21"/>
                <w:szCs w:val="21"/>
                <w:lang w:val="en-US" w:eastAsia="zh-CN"/>
              </w:rPr>
              <w:t>461</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eastAsia" w:cs="Times New Roman"/>
                <w:kern w:val="0"/>
                <w:sz w:val="21"/>
                <w:szCs w:val="21"/>
                <w:lang w:val="en-US" w:eastAsia="zh-CN"/>
              </w:rPr>
              <w:t>0.1292</w:t>
            </w:r>
          </w:p>
        </w:tc>
        <w:tc>
          <w:tcPr>
            <w:tcW w:w="1195" w:type="dxa"/>
            <w:vAlign w:val="center"/>
          </w:tcPr>
          <w:p>
            <w:pPr>
              <w:spacing w:line="360" w:lineRule="exact"/>
              <w:ind w:firstLine="0" w:firstLineChars="0"/>
              <w:jc w:val="center"/>
              <w:rPr>
                <w:rFonts w:hint="eastAsia" w:cs="Times New Roman"/>
                <w:sz w:val="21"/>
                <w:szCs w:val="21"/>
              </w:rPr>
            </w:pP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rPr>
              <w:t>2.0mg/m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restart"/>
            <w:vAlign w:val="center"/>
          </w:tcPr>
          <w:p>
            <w:pPr>
              <w:adjustRightInd w:val="0"/>
              <w:snapToGrid w:val="0"/>
              <w:spacing w:line="360" w:lineRule="exact"/>
              <w:ind w:firstLine="0" w:firstLineChars="0"/>
              <w:jc w:val="center"/>
              <w:rPr>
                <w:rFonts w:hint="eastAsia" w:cs="Times New Roman"/>
                <w:snapToGrid w:val="0"/>
                <w:kern w:val="18"/>
                <w:sz w:val="21"/>
                <w:szCs w:val="21"/>
              </w:rPr>
            </w:pPr>
            <w:r>
              <w:rPr>
                <w:rFonts w:hint="eastAsia" w:cs="Times New Roman"/>
                <w:snapToGrid w:val="0"/>
                <w:kern w:val="18"/>
                <w:sz w:val="21"/>
                <w:szCs w:val="21"/>
              </w:rPr>
              <w:t>6#车间</w:t>
            </w:r>
          </w:p>
        </w:tc>
        <w:tc>
          <w:tcPr>
            <w:tcW w:w="1740" w:type="dxa"/>
            <w:vAlign w:val="center"/>
          </w:tcPr>
          <w:p>
            <w:pPr>
              <w:adjustRightInd w:val="0"/>
              <w:snapToGrid w:val="0"/>
              <w:spacing w:line="360" w:lineRule="exact"/>
              <w:ind w:firstLine="0" w:firstLineChars="0"/>
              <w:jc w:val="center"/>
              <w:rPr>
                <w:rFonts w:hint="eastAsia" w:cs="Times New Roman"/>
                <w:snapToGrid w:val="0"/>
                <w:kern w:val="18"/>
                <w:sz w:val="21"/>
                <w:szCs w:val="21"/>
              </w:rPr>
            </w:pPr>
            <w:r>
              <w:rPr>
                <w:rFonts w:hint="eastAsia" w:cs="Times New Roman"/>
                <w:snapToGrid w:val="0"/>
                <w:kern w:val="18"/>
                <w:sz w:val="21"/>
                <w:szCs w:val="21"/>
              </w:rPr>
              <w:t>颗粒物</w:t>
            </w:r>
          </w:p>
        </w:tc>
        <w:tc>
          <w:tcPr>
            <w:tcW w:w="1033" w:type="dxa"/>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0165</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eastAsia" w:cs="Times New Roman"/>
                <w:kern w:val="0"/>
                <w:sz w:val="21"/>
                <w:szCs w:val="21"/>
                <w:lang w:val="en-US" w:eastAsia="zh-CN"/>
              </w:rPr>
              <w:t>0.00023</w:t>
            </w:r>
          </w:p>
        </w:tc>
        <w:tc>
          <w:tcPr>
            <w:tcW w:w="1195" w:type="dxa"/>
            <w:vAlign w:val="center"/>
          </w:tcPr>
          <w:p>
            <w:pPr>
              <w:spacing w:line="360" w:lineRule="exact"/>
              <w:ind w:firstLine="0" w:firstLineChars="0"/>
              <w:jc w:val="center"/>
              <w:rPr>
                <w:rFonts w:hint="eastAsia" w:cs="Times New Roman"/>
                <w:sz w:val="21"/>
                <w:szCs w:val="21"/>
              </w:rPr>
            </w:pPr>
          </w:p>
        </w:tc>
        <w:tc>
          <w:tcPr>
            <w:tcW w:w="1168" w:type="dxa"/>
            <w:vAlign w:val="center"/>
          </w:tcPr>
          <w:p>
            <w:pPr>
              <w:adjustRightInd w:val="0"/>
              <w:snapToGrid w:val="0"/>
              <w:spacing w:line="360" w:lineRule="exact"/>
              <w:ind w:firstLine="0" w:firstLineChars="0"/>
              <w:jc w:val="center"/>
              <w:rPr>
                <w:rFonts w:hint="eastAsia"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0165</w:t>
            </w:r>
          </w:p>
        </w:tc>
        <w:tc>
          <w:tcPr>
            <w:tcW w:w="1174" w:type="dxa"/>
            <w:vAlign w:val="center"/>
          </w:tcPr>
          <w:p>
            <w:pPr>
              <w:adjustRightInd w:val="0"/>
              <w:snapToGrid w:val="0"/>
              <w:spacing w:line="360" w:lineRule="exact"/>
              <w:ind w:firstLine="0" w:firstLineChars="0"/>
              <w:jc w:val="center"/>
              <w:rPr>
                <w:rFonts w:hint="eastAsia" w:cs="Times New Roman"/>
                <w:sz w:val="21"/>
                <w:szCs w:val="21"/>
              </w:rPr>
            </w:pPr>
            <w:r>
              <w:rPr>
                <w:rFonts w:hint="eastAsia" w:cs="Times New Roman"/>
                <w:kern w:val="0"/>
                <w:sz w:val="21"/>
                <w:szCs w:val="21"/>
                <w:lang w:val="en-US" w:eastAsia="zh-CN"/>
              </w:rPr>
              <w:t>0.00023</w:t>
            </w:r>
          </w:p>
        </w:tc>
        <w:tc>
          <w:tcPr>
            <w:tcW w:w="1195" w:type="dxa"/>
            <w:vAlign w:val="center"/>
          </w:tcPr>
          <w:p>
            <w:pPr>
              <w:spacing w:line="360" w:lineRule="exact"/>
              <w:ind w:firstLine="0" w:firstLineChars="0"/>
              <w:jc w:val="center"/>
              <w:rPr>
                <w:rFonts w:hint="eastAsia" w:cs="Times New Roman"/>
                <w:sz w:val="21"/>
                <w:szCs w:val="21"/>
              </w:rPr>
            </w:pP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lang w:val="en-US" w:eastAsia="zh-CN"/>
              </w:rPr>
              <w:t>1.0</w:t>
            </w:r>
            <w:r>
              <w:rPr>
                <w:rFonts w:hint="default" w:ascii="Times New Roman" w:hAnsi="Times New Roman" w:cs="Times New Roman"/>
                <w:b w:val="0"/>
                <w:bCs w:val="0"/>
                <w:color w:val="000000"/>
                <w:sz w:val="21"/>
                <w:szCs w:val="21"/>
                <w:u w:val="none"/>
              </w:rPr>
              <w:t>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1033"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0.599</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0.083</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0.599</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0.083</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ascii="Times New Roman" w:hAnsi="Times New Roman" w:cs="Times New Roman"/>
                <w:sz w:val="21"/>
                <w:szCs w:val="21"/>
                <w:lang w:val="en-US"/>
              </w:rPr>
            </w:pPr>
            <w:r>
              <w:rPr>
                <w:rFonts w:hint="default" w:ascii="Times New Roman" w:hAnsi="Times New Roman" w:cs="Times New Roman"/>
                <w:b w:val="0"/>
                <w:bCs w:val="0"/>
                <w:color w:val="000000"/>
                <w:sz w:val="21"/>
                <w:szCs w:val="21"/>
                <w:u w:val="none"/>
              </w:rPr>
              <w:t>2.0mg/m</w:t>
            </w:r>
            <w:r>
              <w:rPr>
                <w:rFonts w:hint="default" w:ascii="Times New Roman" w:hAnsi="Times New Roman" w:cs="Times New Roman"/>
                <w:b w:val="0"/>
                <w:bCs w:val="0"/>
                <w:color w:val="000000"/>
                <w:sz w:val="21"/>
                <w:szCs w:val="21"/>
                <w:u w:val="none"/>
                <w:vertAlign w:val="superscript"/>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1740" w:type="dxa"/>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w:t>
            </w:r>
          </w:p>
        </w:tc>
        <w:tc>
          <w:tcPr>
            <w:tcW w:w="1033"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0.0026</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0.00036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0.0026</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0.00036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1740" w:type="dxa"/>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丙烯酸丁酯</w:t>
            </w:r>
          </w:p>
        </w:tc>
        <w:tc>
          <w:tcPr>
            <w:tcW w:w="1033"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1740" w:type="dxa"/>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甲基丙烯酸甲酯</w:t>
            </w:r>
          </w:p>
        </w:tc>
        <w:tc>
          <w:tcPr>
            <w:tcW w:w="1033"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p>
        </w:tc>
        <w:tc>
          <w:tcPr>
            <w:tcW w:w="1196" w:type="dxa"/>
            <w:vAlign w:val="center"/>
          </w:tcPr>
          <w:p>
            <w:pPr>
              <w:pStyle w:val="39"/>
              <w:spacing w:line="360" w:lineRule="exact"/>
              <w:ind w:firstLine="0" w:firstLineChars="0"/>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restart"/>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污水处理站</w:t>
            </w: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硫化氢</w:t>
            </w:r>
          </w:p>
        </w:tc>
        <w:tc>
          <w:tcPr>
            <w:tcW w:w="1033"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0.1117</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0.1117</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rPr>
              <w:t>0.33kg/h</w:t>
            </w:r>
          </w:p>
        </w:tc>
        <w:tc>
          <w:tcPr>
            <w:tcW w:w="1196" w:type="dxa"/>
            <w:vAlign w:val="center"/>
          </w:tcPr>
          <w:p>
            <w:pPr>
              <w:pStyle w:val="39"/>
              <w:spacing w:line="360" w:lineRule="exact"/>
              <w:ind w:firstLine="0" w:firstLineChars="0"/>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氨</w:t>
            </w:r>
          </w:p>
        </w:tc>
        <w:tc>
          <w:tcPr>
            <w:tcW w:w="1033"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0.0279</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6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0.0279</w:t>
            </w:r>
          </w:p>
        </w:tc>
        <w:tc>
          <w:tcPr>
            <w:tcW w:w="1195" w:type="dxa"/>
            <w:vAlign w:val="center"/>
          </w:tcPr>
          <w:p>
            <w:pPr>
              <w:spacing w:line="360" w:lineRule="exact"/>
              <w:ind w:firstLine="0" w:firstLineChars="0"/>
              <w:jc w:val="center"/>
              <w:rPr>
                <w:rFonts w:cs="Times New Roman"/>
                <w:sz w:val="21"/>
                <w:szCs w:val="21"/>
              </w:rPr>
            </w:pPr>
            <w:r>
              <w:rPr>
                <w:rFonts w:hint="eastAsia" w:cs="Times New Roman"/>
                <w:sz w:val="21"/>
                <w:szCs w:val="21"/>
              </w:rPr>
              <w:t>/</w:t>
            </w:r>
          </w:p>
        </w:tc>
        <w:tc>
          <w:tcPr>
            <w:tcW w:w="1172" w:type="dxa"/>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cs="Times New Roman"/>
                <w:sz w:val="21"/>
                <w:szCs w:val="21"/>
                <w:lang w:val="en-US"/>
              </w:rPr>
              <w:t>4.9kg/h</w:t>
            </w:r>
          </w:p>
        </w:tc>
        <w:tc>
          <w:tcPr>
            <w:tcW w:w="1196" w:type="dxa"/>
            <w:vAlign w:val="center"/>
          </w:tcPr>
          <w:p>
            <w:pPr>
              <w:pStyle w:val="39"/>
              <w:spacing w:line="360" w:lineRule="exact"/>
              <w:ind w:firstLine="0" w:firstLineChars="0"/>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合计</w:t>
            </w: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1033" w:type="dxa"/>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sz w:val="21"/>
                <w:szCs w:val="21"/>
                <w:lang w:val="en-US" w:eastAsia="zh-CN"/>
              </w:rPr>
              <w:t>0.066</w:t>
            </w:r>
          </w:p>
        </w:tc>
        <w:tc>
          <w:tcPr>
            <w:tcW w:w="1174" w:type="dxa"/>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0.02635</w:t>
            </w:r>
          </w:p>
        </w:tc>
        <w:tc>
          <w:tcPr>
            <w:tcW w:w="1195" w:type="dxa"/>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sz w:val="21"/>
                <w:szCs w:val="21"/>
                <w:lang w:val="en-US" w:eastAsia="zh-CN"/>
              </w:rPr>
              <w:t>0.066</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0.02635</w:t>
            </w:r>
          </w:p>
        </w:tc>
        <w:tc>
          <w:tcPr>
            <w:tcW w:w="1195"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w:t>
            </w:r>
          </w:p>
        </w:tc>
        <w:tc>
          <w:tcPr>
            <w:tcW w:w="1172"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c>
          <w:tcPr>
            <w:tcW w:w="1196"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1033" w:type="dxa"/>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sz w:val="21"/>
                <w:szCs w:val="21"/>
                <w:lang w:val="en-US" w:eastAsia="zh-CN"/>
              </w:rPr>
              <w:t>1.26574</w:t>
            </w:r>
          </w:p>
        </w:tc>
        <w:tc>
          <w:tcPr>
            <w:tcW w:w="1174" w:type="dxa"/>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0.298</w:t>
            </w:r>
          </w:p>
        </w:tc>
        <w:tc>
          <w:tcPr>
            <w:tcW w:w="1195" w:type="dxa"/>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sz w:val="21"/>
                <w:szCs w:val="21"/>
                <w:lang w:val="en-US" w:eastAsia="zh-CN"/>
              </w:rPr>
              <w:t>1.26574</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0.298</w:t>
            </w:r>
          </w:p>
        </w:tc>
        <w:tc>
          <w:tcPr>
            <w:tcW w:w="1195"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w:t>
            </w:r>
          </w:p>
        </w:tc>
        <w:tc>
          <w:tcPr>
            <w:tcW w:w="1172"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c>
          <w:tcPr>
            <w:tcW w:w="1196"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w:t>
            </w:r>
          </w:p>
        </w:tc>
        <w:tc>
          <w:tcPr>
            <w:tcW w:w="1033" w:type="dxa"/>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0.0026</w:t>
            </w:r>
          </w:p>
        </w:tc>
        <w:tc>
          <w:tcPr>
            <w:tcW w:w="1174" w:type="dxa"/>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0.00036</w:t>
            </w:r>
          </w:p>
        </w:tc>
        <w:tc>
          <w:tcPr>
            <w:tcW w:w="1195" w:type="dxa"/>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0.0026</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0.00036</w:t>
            </w:r>
          </w:p>
        </w:tc>
        <w:tc>
          <w:tcPr>
            <w:tcW w:w="1195"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w:t>
            </w:r>
          </w:p>
        </w:tc>
        <w:tc>
          <w:tcPr>
            <w:tcW w:w="1172"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c>
          <w:tcPr>
            <w:tcW w:w="1196"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丙烯酸丁酯</w:t>
            </w:r>
          </w:p>
        </w:tc>
        <w:tc>
          <w:tcPr>
            <w:tcW w:w="1033" w:type="dxa"/>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0.0235</w:t>
            </w:r>
          </w:p>
        </w:tc>
        <w:tc>
          <w:tcPr>
            <w:tcW w:w="1174" w:type="dxa"/>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0.00326</w:t>
            </w:r>
          </w:p>
        </w:tc>
        <w:tc>
          <w:tcPr>
            <w:tcW w:w="1195" w:type="dxa"/>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1195"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w:t>
            </w:r>
          </w:p>
        </w:tc>
        <w:tc>
          <w:tcPr>
            <w:tcW w:w="1172"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c>
          <w:tcPr>
            <w:tcW w:w="1196"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甲基丙烯酸甲酯</w:t>
            </w:r>
          </w:p>
        </w:tc>
        <w:tc>
          <w:tcPr>
            <w:tcW w:w="1033" w:type="dxa"/>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0.0235</w:t>
            </w:r>
          </w:p>
        </w:tc>
        <w:tc>
          <w:tcPr>
            <w:tcW w:w="1174" w:type="dxa"/>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0.00326</w:t>
            </w:r>
          </w:p>
        </w:tc>
        <w:tc>
          <w:tcPr>
            <w:tcW w:w="1195" w:type="dxa"/>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w:t>
            </w:r>
          </w:p>
        </w:tc>
        <w:tc>
          <w:tcPr>
            <w:tcW w:w="1168" w:type="dxa"/>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1195"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w:t>
            </w:r>
          </w:p>
        </w:tc>
        <w:tc>
          <w:tcPr>
            <w:tcW w:w="1172"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c>
          <w:tcPr>
            <w:tcW w:w="1196"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硫化氢</w:t>
            </w:r>
          </w:p>
        </w:tc>
        <w:tc>
          <w:tcPr>
            <w:tcW w:w="1033" w:type="dxa"/>
            <w:vAlign w:val="center"/>
          </w:tcPr>
          <w:p>
            <w:pPr>
              <w:widowControl/>
              <w:spacing w:line="360" w:lineRule="exact"/>
              <w:ind w:firstLine="0" w:firstLineChars="0"/>
              <w:jc w:val="center"/>
              <w:textAlignment w:val="center"/>
              <w:rPr>
                <w:rFonts w:cs="Times New Roman"/>
                <w:kern w:val="0"/>
                <w:sz w:val="21"/>
                <w:szCs w:val="21"/>
              </w:rPr>
            </w:pPr>
            <w:r>
              <w:rPr>
                <w:rFonts w:hint="eastAsia" w:cs="Times New Roman"/>
                <w:sz w:val="21"/>
                <w:szCs w:val="21"/>
              </w:rPr>
              <w:t>0.8045</w:t>
            </w:r>
          </w:p>
        </w:tc>
        <w:tc>
          <w:tcPr>
            <w:tcW w:w="1174" w:type="dxa"/>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rPr>
              <w:t>0.1117</w:t>
            </w:r>
          </w:p>
        </w:tc>
        <w:tc>
          <w:tcPr>
            <w:tcW w:w="1195" w:type="dxa"/>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w:t>
            </w:r>
          </w:p>
        </w:tc>
        <w:tc>
          <w:tcPr>
            <w:tcW w:w="116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0.1117</w:t>
            </w:r>
          </w:p>
        </w:tc>
        <w:tc>
          <w:tcPr>
            <w:tcW w:w="1195"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w:t>
            </w:r>
          </w:p>
        </w:tc>
        <w:tc>
          <w:tcPr>
            <w:tcW w:w="1172"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c>
          <w:tcPr>
            <w:tcW w:w="1196"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788" w:type="dxa"/>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2385" w:type="dxa"/>
            <w:gridSpan w:val="2"/>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1740" w:type="dxa"/>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氨</w:t>
            </w:r>
          </w:p>
        </w:tc>
        <w:tc>
          <w:tcPr>
            <w:tcW w:w="1033" w:type="dxa"/>
            <w:vAlign w:val="center"/>
          </w:tcPr>
          <w:p>
            <w:pPr>
              <w:widowControl/>
              <w:spacing w:line="360" w:lineRule="exact"/>
              <w:ind w:firstLine="0" w:firstLineChars="0"/>
              <w:jc w:val="center"/>
              <w:textAlignment w:val="center"/>
              <w:rPr>
                <w:rFonts w:cs="Times New Roman"/>
                <w:kern w:val="0"/>
                <w:sz w:val="21"/>
                <w:szCs w:val="21"/>
              </w:rPr>
            </w:pPr>
            <w:r>
              <w:rPr>
                <w:rFonts w:hint="eastAsia" w:cs="Times New Roman"/>
                <w:sz w:val="21"/>
                <w:szCs w:val="21"/>
              </w:rPr>
              <w:t>0.2011</w:t>
            </w:r>
          </w:p>
        </w:tc>
        <w:tc>
          <w:tcPr>
            <w:tcW w:w="1174" w:type="dxa"/>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rPr>
              <w:t>0.0279</w:t>
            </w:r>
          </w:p>
        </w:tc>
        <w:tc>
          <w:tcPr>
            <w:tcW w:w="1195" w:type="dxa"/>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w:t>
            </w:r>
          </w:p>
        </w:tc>
        <w:tc>
          <w:tcPr>
            <w:tcW w:w="1168" w:type="dxa"/>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c>
          <w:tcPr>
            <w:tcW w:w="1174"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0.0279</w:t>
            </w:r>
          </w:p>
        </w:tc>
        <w:tc>
          <w:tcPr>
            <w:tcW w:w="1195" w:type="dxa"/>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rPr>
              <w:t>/</w:t>
            </w:r>
          </w:p>
        </w:tc>
        <w:tc>
          <w:tcPr>
            <w:tcW w:w="1172"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c>
          <w:tcPr>
            <w:tcW w:w="1196" w:type="dxa"/>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w:t>
            </w:r>
          </w:p>
        </w:tc>
      </w:tr>
    </w:tbl>
    <w:p>
      <w:pPr>
        <w:pStyle w:val="39"/>
        <w:ind w:firstLine="482"/>
        <w:rPr>
          <w:rFonts w:ascii="Times New Roman" w:hAnsi="Times New Roman" w:cs="Times New Roman"/>
          <w:b/>
          <w:bCs/>
          <w:lang w:val="en-US"/>
        </w:rPr>
      </w:pPr>
    </w:p>
    <w:p>
      <w:pPr>
        <w:pStyle w:val="39"/>
        <w:ind w:firstLine="482"/>
        <w:jc w:val="both"/>
        <w:rPr>
          <w:rFonts w:ascii="Times New Roman" w:hAnsi="Times New Roman" w:cs="Times New Roman"/>
          <w:b/>
          <w:bCs/>
          <w:lang w:val="en-US"/>
        </w:rPr>
        <w:sectPr>
          <w:pgSz w:w="16838" w:h="11906" w:orient="landscape"/>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pPr>
    </w:p>
    <w:p>
      <w:pPr>
        <w:ind w:firstLine="0" w:firstLineChars="0"/>
        <w:jc w:val="center"/>
        <w:rPr>
          <w:rFonts w:cs="Times New Roman"/>
          <w:b/>
        </w:rPr>
      </w:pPr>
      <w:r>
        <w:rPr>
          <w:rFonts w:cs="Times New Roman"/>
          <w:b/>
        </w:rPr>
        <w:t>表</w:t>
      </w:r>
      <w:r>
        <w:rPr>
          <w:rFonts w:hint="eastAsia" w:cs="Times New Roman"/>
          <w:b/>
        </w:rPr>
        <w:t xml:space="preserve">4.3-9  </w:t>
      </w:r>
      <w:r>
        <w:rPr>
          <w:rFonts w:cs="Times New Roman"/>
          <w:b/>
        </w:rPr>
        <w:t>拟建项目大气污染物</w:t>
      </w:r>
      <w:r>
        <w:rPr>
          <w:rFonts w:hint="eastAsia" w:cs="Times New Roman"/>
          <w:b/>
        </w:rPr>
        <w:t>总量</w:t>
      </w:r>
      <w:r>
        <w:rPr>
          <w:rFonts w:cs="Times New Roman"/>
          <w:b/>
        </w:rPr>
        <w:t>核算表</w:t>
      </w:r>
    </w:p>
    <w:tbl>
      <w:tblPr>
        <w:tblStyle w:val="29"/>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56"/>
        <w:gridCol w:w="1380"/>
        <w:gridCol w:w="1762"/>
        <w:gridCol w:w="1643"/>
        <w:gridCol w:w="1552"/>
        <w:gridCol w:w="14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Align w:val="center"/>
          </w:tcPr>
          <w:p>
            <w:pPr>
              <w:spacing w:line="240" w:lineRule="auto"/>
              <w:ind w:firstLine="0" w:firstLineChars="0"/>
              <w:jc w:val="center"/>
              <w:rPr>
                <w:rFonts w:cs="Times New Roman"/>
                <w:bCs/>
                <w:sz w:val="21"/>
                <w:szCs w:val="21"/>
              </w:rPr>
            </w:pPr>
            <w:r>
              <w:rPr>
                <w:rFonts w:cs="Times New Roman"/>
                <w:bCs/>
                <w:sz w:val="21"/>
                <w:szCs w:val="21"/>
              </w:rPr>
              <w:t>排放口编号</w:t>
            </w:r>
          </w:p>
        </w:tc>
        <w:tc>
          <w:tcPr>
            <w:tcW w:w="743" w:type="pct"/>
            <w:vAlign w:val="center"/>
          </w:tcPr>
          <w:p>
            <w:pPr>
              <w:spacing w:line="240" w:lineRule="auto"/>
              <w:ind w:firstLine="0" w:firstLineChars="0"/>
              <w:jc w:val="center"/>
              <w:rPr>
                <w:rFonts w:cs="Times New Roman"/>
                <w:bCs/>
                <w:sz w:val="21"/>
                <w:szCs w:val="21"/>
              </w:rPr>
            </w:pPr>
            <w:r>
              <w:rPr>
                <w:rFonts w:cs="Times New Roman"/>
                <w:bCs/>
                <w:sz w:val="21"/>
                <w:szCs w:val="21"/>
              </w:rPr>
              <w:t>排放口类型</w:t>
            </w:r>
          </w:p>
        </w:tc>
        <w:tc>
          <w:tcPr>
            <w:tcW w:w="949" w:type="pct"/>
            <w:vAlign w:val="center"/>
          </w:tcPr>
          <w:p>
            <w:pPr>
              <w:spacing w:line="240" w:lineRule="auto"/>
              <w:ind w:firstLine="0" w:firstLineChars="0"/>
              <w:jc w:val="center"/>
              <w:rPr>
                <w:rFonts w:cs="Times New Roman"/>
                <w:bCs/>
                <w:sz w:val="21"/>
                <w:szCs w:val="21"/>
              </w:rPr>
            </w:pPr>
            <w:r>
              <w:rPr>
                <w:rFonts w:cs="Times New Roman"/>
                <w:bCs/>
                <w:sz w:val="21"/>
                <w:szCs w:val="21"/>
              </w:rPr>
              <w:t>污染物</w:t>
            </w:r>
          </w:p>
        </w:tc>
        <w:tc>
          <w:tcPr>
            <w:tcW w:w="885" w:type="pct"/>
            <w:vAlign w:val="center"/>
          </w:tcPr>
          <w:p>
            <w:pPr>
              <w:spacing w:line="240" w:lineRule="auto"/>
              <w:ind w:firstLine="0" w:firstLineChars="0"/>
              <w:jc w:val="center"/>
              <w:rPr>
                <w:rFonts w:cs="Times New Roman"/>
                <w:bCs/>
                <w:sz w:val="21"/>
                <w:szCs w:val="21"/>
              </w:rPr>
            </w:pPr>
            <w:r>
              <w:rPr>
                <w:rFonts w:cs="Times New Roman"/>
                <w:bCs/>
                <w:kern w:val="0"/>
                <w:sz w:val="21"/>
                <w:szCs w:val="21"/>
              </w:rPr>
              <w:t>核算排放浓度/（mg/m</w:t>
            </w:r>
            <w:r>
              <w:rPr>
                <w:rFonts w:cs="Times New Roman"/>
                <w:bCs/>
                <w:kern w:val="0"/>
                <w:sz w:val="21"/>
                <w:szCs w:val="21"/>
                <w:vertAlign w:val="superscript"/>
              </w:rPr>
              <w:t>3</w:t>
            </w:r>
            <w:r>
              <w:rPr>
                <w:rFonts w:cs="Times New Roman"/>
                <w:bCs/>
                <w:kern w:val="0"/>
                <w:sz w:val="21"/>
                <w:szCs w:val="21"/>
              </w:rPr>
              <w:t>）</w:t>
            </w:r>
          </w:p>
        </w:tc>
        <w:tc>
          <w:tcPr>
            <w:tcW w:w="836" w:type="pct"/>
            <w:vAlign w:val="center"/>
          </w:tcPr>
          <w:p>
            <w:pPr>
              <w:spacing w:line="240" w:lineRule="auto"/>
              <w:ind w:firstLine="0" w:firstLineChars="0"/>
              <w:jc w:val="center"/>
              <w:rPr>
                <w:rFonts w:cs="Times New Roman"/>
                <w:bCs/>
                <w:sz w:val="21"/>
                <w:szCs w:val="21"/>
              </w:rPr>
            </w:pPr>
            <w:r>
              <w:rPr>
                <w:rFonts w:cs="Times New Roman"/>
                <w:bCs/>
                <w:kern w:val="0"/>
                <w:sz w:val="21"/>
                <w:szCs w:val="21"/>
              </w:rPr>
              <w:t>核算排放速率/（kg/h）</w:t>
            </w:r>
          </w:p>
        </w:tc>
        <w:tc>
          <w:tcPr>
            <w:tcW w:w="801" w:type="pct"/>
            <w:vAlign w:val="center"/>
          </w:tcPr>
          <w:p>
            <w:pPr>
              <w:spacing w:line="240" w:lineRule="auto"/>
              <w:ind w:firstLine="0" w:firstLineChars="0"/>
              <w:jc w:val="center"/>
              <w:rPr>
                <w:rFonts w:cs="Times New Roman"/>
                <w:bCs/>
                <w:sz w:val="21"/>
                <w:szCs w:val="21"/>
              </w:rPr>
            </w:pPr>
            <w:r>
              <w:rPr>
                <w:rFonts w:cs="Times New Roman"/>
                <w:bCs/>
                <w:kern w:val="0"/>
                <w:sz w:val="21"/>
                <w:szCs w:val="21"/>
              </w:rPr>
              <w:t>核算年排放量/（t/a）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restart"/>
            <w:vAlign w:val="center"/>
          </w:tcPr>
          <w:p>
            <w:pPr>
              <w:spacing w:line="240" w:lineRule="auto"/>
              <w:ind w:firstLine="0" w:firstLineChars="0"/>
              <w:jc w:val="center"/>
              <w:rPr>
                <w:rFonts w:cs="Times New Roman"/>
                <w:sz w:val="21"/>
                <w:szCs w:val="21"/>
              </w:rPr>
            </w:pPr>
            <w:r>
              <w:rPr>
                <w:rFonts w:cs="Times New Roman"/>
                <w:sz w:val="21"/>
                <w:szCs w:val="21"/>
              </w:rPr>
              <w:t>DA001</w:t>
            </w:r>
          </w:p>
        </w:tc>
        <w:tc>
          <w:tcPr>
            <w:tcW w:w="743" w:type="pct"/>
            <w:vMerge w:val="restart"/>
            <w:vAlign w:val="center"/>
          </w:tcPr>
          <w:p>
            <w:pPr>
              <w:spacing w:line="240" w:lineRule="auto"/>
              <w:ind w:firstLine="0" w:firstLineChars="0"/>
              <w:jc w:val="center"/>
              <w:rPr>
                <w:rFonts w:cs="Times New Roman"/>
                <w:sz w:val="21"/>
                <w:szCs w:val="21"/>
              </w:rPr>
            </w:pPr>
            <w:r>
              <w:rPr>
                <w:rFonts w:hint="eastAsia" w:cs="Times New Roman"/>
                <w:sz w:val="21"/>
                <w:szCs w:val="21"/>
              </w:rPr>
              <w:t>一般</w:t>
            </w:r>
            <w:r>
              <w:rPr>
                <w:rFonts w:cs="Times New Roman"/>
                <w:sz w:val="21"/>
                <w:szCs w:val="21"/>
              </w:rPr>
              <w:t>排放口</w:t>
            </w:r>
          </w:p>
        </w:tc>
        <w:tc>
          <w:tcPr>
            <w:tcW w:w="949"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粉尘</w:t>
            </w:r>
          </w:p>
        </w:tc>
        <w:tc>
          <w:tcPr>
            <w:tcW w:w="885"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0.46</w:t>
            </w:r>
          </w:p>
        </w:tc>
        <w:tc>
          <w:tcPr>
            <w:tcW w:w="836"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0.0046</w:t>
            </w:r>
          </w:p>
        </w:tc>
        <w:tc>
          <w:tcPr>
            <w:tcW w:w="801"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continue"/>
            <w:vAlign w:val="center"/>
          </w:tcPr>
          <w:p>
            <w:pPr>
              <w:spacing w:line="240" w:lineRule="auto"/>
              <w:ind w:firstLine="0" w:firstLineChars="0"/>
              <w:jc w:val="center"/>
              <w:rPr>
                <w:rFonts w:cs="Times New Roman"/>
                <w:sz w:val="21"/>
                <w:szCs w:val="21"/>
              </w:rPr>
            </w:pPr>
          </w:p>
        </w:tc>
        <w:tc>
          <w:tcPr>
            <w:tcW w:w="743" w:type="pct"/>
            <w:vMerge w:val="continue"/>
            <w:vAlign w:val="center"/>
          </w:tcPr>
          <w:p>
            <w:pPr>
              <w:spacing w:line="240" w:lineRule="auto"/>
              <w:ind w:firstLine="0" w:firstLineChars="0"/>
              <w:jc w:val="center"/>
              <w:rPr>
                <w:rFonts w:cs="Times New Roman"/>
                <w:sz w:val="21"/>
                <w:szCs w:val="21"/>
              </w:rPr>
            </w:pPr>
          </w:p>
        </w:tc>
        <w:tc>
          <w:tcPr>
            <w:tcW w:w="949" w:type="pct"/>
            <w:vAlign w:val="center"/>
          </w:tcPr>
          <w:p>
            <w:pPr>
              <w:pStyle w:val="39"/>
              <w:spacing w:line="360" w:lineRule="exact"/>
              <w:ind w:firstLine="0" w:firstLineChars="0"/>
              <w:rPr>
                <w:rFonts w:cs="Times New Roman"/>
                <w:sz w:val="21"/>
                <w:szCs w:val="21"/>
              </w:rPr>
            </w:pPr>
            <w:r>
              <w:rPr>
                <w:rFonts w:hint="eastAsia" w:ascii="Times New Roman" w:cs="Times New Roman"/>
                <w:sz w:val="21"/>
                <w:szCs w:val="21"/>
                <w:lang w:val="en-US"/>
              </w:rPr>
              <w:t>非甲烷总烃</w:t>
            </w:r>
          </w:p>
        </w:tc>
        <w:tc>
          <w:tcPr>
            <w:tcW w:w="885"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8.17</w:t>
            </w:r>
          </w:p>
        </w:tc>
        <w:tc>
          <w:tcPr>
            <w:tcW w:w="836"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0.0817</w:t>
            </w:r>
          </w:p>
        </w:tc>
        <w:tc>
          <w:tcPr>
            <w:tcW w:w="801"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0.196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continue"/>
            <w:vAlign w:val="center"/>
          </w:tcPr>
          <w:p>
            <w:pPr>
              <w:spacing w:line="240" w:lineRule="auto"/>
              <w:ind w:firstLine="0" w:firstLineChars="0"/>
              <w:jc w:val="center"/>
              <w:rPr>
                <w:rFonts w:cs="Times New Roman"/>
                <w:sz w:val="21"/>
                <w:szCs w:val="21"/>
              </w:rPr>
            </w:pPr>
          </w:p>
        </w:tc>
        <w:tc>
          <w:tcPr>
            <w:tcW w:w="743" w:type="pct"/>
            <w:vMerge w:val="continue"/>
            <w:vAlign w:val="center"/>
          </w:tcPr>
          <w:p>
            <w:pPr>
              <w:spacing w:line="240" w:lineRule="auto"/>
              <w:ind w:firstLine="0" w:firstLineChars="0"/>
              <w:jc w:val="center"/>
              <w:rPr>
                <w:rFonts w:cs="Times New Roman"/>
                <w:sz w:val="21"/>
                <w:szCs w:val="21"/>
              </w:rPr>
            </w:pPr>
          </w:p>
        </w:tc>
        <w:tc>
          <w:tcPr>
            <w:tcW w:w="949"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硫化氢</w:t>
            </w:r>
          </w:p>
        </w:tc>
        <w:tc>
          <w:tcPr>
            <w:tcW w:w="885"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0.44</w:t>
            </w:r>
          </w:p>
        </w:tc>
        <w:tc>
          <w:tcPr>
            <w:tcW w:w="836"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0.0044</w:t>
            </w:r>
          </w:p>
        </w:tc>
        <w:tc>
          <w:tcPr>
            <w:tcW w:w="801"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0.0106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restart"/>
            <w:vAlign w:val="center"/>
          </w:tcPr>
          <w:p>
            <w:pPr>
              <w:spacing w:line="240" w:lineRule="auto"/>
              <w:ind w:firstLine="0" w:firstLineChars="0"/>
              <w:jc w:val="center"/>
              <w:rPr>
                <w:rFonts w:cs="Times New Roman"/>
                <w:sz w:val="21"/>
                <w:szCs w:val="21"/>
              </w:rPr>
            </w:pPr>
            <w:r>
              <w:rPr>
                <w:rFonts w:hint="eastAsia" w:cs="Times New Roman"/>
                <w:sz w:val="21"/>
                <w:szCs w:val="21"/>
              </w:rPr>
              <w:t>DA002</w:t>
            </w:r>
          </w:p>
        </w:tc>
        <w:tc>
          <w:tcPr>
            <w:tcW w:w="743" w:type="pct"/>
            <w:vMerge w:val="restart"/>
            <w:vAlign w:val="center"/>
          </w:tcPr>
          <w:p>
            <w:pPr>
              <w:spacing w:line="240" w:lineRule="auto"/>
              <w:ind w:firstLine="0" w:firstLineChars="0"/>
              <w:jc w:val="center"/>
              <w:rPr>
                <w:rFonts w:cs="Times New Roman"/>
                <w:sz w:val="21"/>
                <w:szCs w:val="21"/>
              </w:rPr>
            </w:pPr>
            <w:r>
              <w:rPr>
                <w:rFonts w:hint="eastAsia" w:cs="Times New Roman"/>
                <w:sz w:val="21"/>
                <w:szCs w:val="21"/>
              </w:rPr>
              <w:t>一般</w:t>
            </w:r>
            <w:r>
              <w:rPr>
                <w:rFonts w:cs="Times New Roman"/>
                <w:sz w:val="21"/>
                <w:szCs w:val="21"/>
              </w:rPr>
              <w:t>排放口</w:t>
            </w:r>
          </w:p>
        </w:tc>
        <w:tc>
          <w:tcPr>
            <w:tcW w:w="949"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粉尘</w:t>
            </w:r>
          </w:p>
        </w:tc>
        <w:tc>
          <w:tcPr>
            <w:tcW w:w="885"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0.0069</w:t>
            </w:r>
          </w:p>
        </w:tc>
        <w:tc>
          <w:tcPr>
            <w:tcW w:w="836"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0.0001</w:t>
            </w:r>
          </w:p>
        </w:tc>
        <w:tc>
          <w:tcPr>
            <w:tcW w:w="801"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continue"/>
            <w:vAlign w:val="center"/>
          </w:tcPr>
          <w:p>
            <w:pPr>
              <w:spacing w:line="240" w:lineRule="auto"/>
              <w:ind w:firstLine="0" w:firstLineChars="0"/>
              <w:jc w:val="center"/>
              <w:rPr>
                <w:rFonts w:cs="Times New Roman"/>
                <w:sz w:val="21"/>
                <w:szCs w:val="21"/>
              </w:rPr>
            </w:pPr>
          </w:p>
        </w:tc>
        <w:tc>
          <w:tcPr>
            <w:tcW w:w="743" w:type="pct"/>
            <w:vMerge w:val="continue"/>
            <w:vAlign w:val="center"/>
          </w:tcPr>
          <w:p>
            <w:pPr>
              <w:spacing w:line="240" w:lineRule="auto"/>
              <w:ind w:firstLine="0" w:firstLineChars="0"/>
              <w:jc w:val="center"/>
              <w:rPr>
                <w:rFonts w:cs="Times New Roman"/>
                <w:sz w:val="21"/>
                <w:szCs w:val="21"/>
              </w:rPr>
            </w:pPr>
          </w:p>
        </w:tc>
        <w:tc>
          <w:tcPr>
            <w:tcW w:w="949" w:type="pct"/>
            <w:vAlign w:val="center"/>
          </w:tcPr>
          <w:p>
            <w:pPr>
              <w:pStyle w:val="39"/>
              <w:spacing w:line="360" w:lineRule="exact"/>
              <w:ind w:firstLine="0" w:firstLineChars="0"/>
              <w:rPr>
                <w:rFonts w:cs="Times New Roman"/>
                <w:sz w:val="21"/>
                <w:szCs w:val="21"/>
              </w:rPr>
            </w:pPr>
            <w:r>
              <w:rPr>
                <w:rFonts w:hint="eastAsia" w:ascii="Times New Roman" w:cs="Times New Roman"/>
                <w:sz w:val="21"/>
                <w:szCs w:val="21"/>
                <w:lang w:val="en-US"/>
              </w:rPr>
              <w:t>非甲烷总烃</w:t>
            </w:r>
          </w:p>
        </w:tc>
        <w:tc>
          <w:tcPr>
            <w:tcW w:w="885"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6.9958</w:t>
            </w:r>
          </w:p>
        </w:tc>
        <w:tc>
          <w:tcPr>
            <w:tcW w:w="836"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0.1399</w:t>
            </w:r>
          </w:p>
        </w:tc>
        <w:tc>
          <w:tcPr>
            <w:tcW w:w="801"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1.0074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continue"/>
            <w:vAlign w:val="center"/>
          </w:tcPr>
          <w:p>
            <w:pPr>
              <w:spacing w:line="240" w:lineRule="auto"/>
              <w:ind w:firstLine="0" w:firstLineChars="0"/>
              <w:jc w:val="center"/>
              <w:rPr>
                <w:rFonts w:cs="Times New Roman"/>
                <w:sz w:val="21"/>
                <w:szCs w:val="21"/>
              </w:rPr>
            </w:pPr>
          </w:p>
        </w:tc>
        <w:tc>
          <w:tcPr>
            <w:tcW w:w="743" w:type="pct"/>
            <w:vMerge w:val="continue"/>
            <w:vAlign w:val="center"/>
          </w:tcPr>
          <w:p>
            <w:pPr>
              <w:spacing w:line="240" w:lineRule="auto"/>
              <w:ind w:firstLine="0" w:firstLineChars="0"/>
              <w:jc w:val="center"/>
              <w:rPr>
                <w:rFonts w:cs="Times New Roman"/>
                <w:sz w:val="21"/>
                <w:szCs w:val="21"/>
              </w:rPr>
            </w:pPr>
          </w:p>
        </w:tc>
        <w:tc>
          <w:tcPr>
            <w:tcW w:w="949" w:type="pct"/>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w:t>
            </w:r>
          </w:p>
        </w:tc>
        <w:tc>
          <w:tcPr>
            <w:tcW w:w="885"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0.0167</w:t>
            </w:r>
          </w:p>
        </w:tc>
        <w:tc>
          <w:tcPr>
            <w:tcW w:w="836"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0.0003</w:t>
            </w:r>
          </w:p>
        </w:tc>
        <w:tc>
          <w:tcPr>
            <w:tcW w:w="801"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continue"/>
            <w:vAlign w:val="center"/>
          </w:tcPr>
          <w:p>
            <w:pPr>
              <w:spacing w:line="240" w:lineRule="auto"/>
              <w:ind w:firstLine="0" w:firstLineChars="0"/>
              <w:jc w:val="center"/>
              <w:rPr>
                <w:rFonts w:cs="Times New Roman"/>
                <w:sz w:val="21"/>
                <w:szCs w:val="21"/>
              </w:rPr>
            </w:pPr>
          </w:p>
        </w:tc>
        <w:tc>
          <w:tcPr>
            <w:tcW w:w="743" w:type="pct"/>
            <w:vMerge w:val="continue"/>
            <w:vAlign w:val="center"/>
          </w:tcPr>
          <w:p>
            <w:pPr>
              <w:spacing w:line="240" w:lineRule="auto"/>
              <w:ind w:firstLine="0" w:firstLineChars="0"/>
              <w:jc w:val="center"/>
              <w:rPr>
                <w:rFonts w:cs="Times New Roman"/>
                <w:sz w:val="21"/>
                <w:szCs w:val="21"/>
              </w:rPr>
            </w:pPr>
          </w:p>
        </w:tc>
        <w:tc>
          <w:tcPr>
            <w:tcW w:w="949" w:type="pct"/>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甲基丙烯酸甲酯</w:t>
            </w:r>
          </w:p>
        </w:tc>
        <w:tc>
          <w:tcPr>
            <w:tcW w:w="885"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0.1549</w:t>
            </w:r>
          </w:p>
        </w:tc>
        <w:tc>
          <w:tcPr>
            <w:tcW w:w="836"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0.0031</w:t>
            </w:r>
          </w:p>
        </w:tc>
        <w:tc>
          <w:tcPr>
            <w:tcW w:w="801"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continue"/>
            <w:vAlign w:val="center"/>
          </w:tcPr>
          <w:p>
            <w:pPr>
              <w:spacing w:line="240" w:lineRule="auto"/>
              <w:ind w:firstLine="0" w:firstLineChars="0"/>
              <w:jc w:val="center"/>
              <w:rPr>
                <w:rFonts w:cs="Times New Roman"/>
                <w:sz w:val="21"/>
                <w:szCs w:val="21"/>
              </w:rPr>
            </w:pPr>
          </w:p>
        </w:tc>
        <w:tc>
          <w:tcPr>
            <w:tcW w:w="743" w:type="pct"/>
            <w:vMerge w:val="continue"/>
            <w:vAlign w:val="center"/>
          </w:tcPr>
          <w:p>
            <w:pPr>
              <w:spacing w:line="240" w:lineRule="auto"/>
              <w:ind w:firstLine="0" w:firstLineChars="0"/>
              <w:jc w:val="center"/>
              <w:rPr>
                <w:rFonts w:cs="Times New Roman"/>
                <w:sz w:val="21"/>
                <w:szCs w:val="21"/>
              </w:rPr>
            </w:pPr>
          </w:p>
        </w:tc>
        <w:tc>
          <w:tcPr>
            <w:tcW w:w="949" w:type="pct"/>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丙烯酸丁酯</w:t>
            </w:r>
          </w:p>
        </w:tc>
        <w:tc>
          <w:tcPr>
            <w:tcW w:w="885"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0.1549</w:t>
            </w:r>
          </w:p>
        </w:tc>
        <w:tc>
          <w:tcPr>
            <w:tcW w:w="836"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0.0031</w:t>
            </w:r>
          </w:p>
        </w:tc>
        <w:tc>
          <w:tcPr>
            <w:tcW w:w="801"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restart"/>
            <w:vAlign w:val="center"/>
          </w:tcPr>
          <w:p>
            <w:pPr>
              <w:spacing w:line="240" w:lineRule="auto"/>
              <w:ind w:firstLine="0" w:firstLineChars="0"/>
              <w:jc w:val="center"/>
              <w:rPr>
                <w:rFonts w:hint="default" w:eastAsia="宋体" w:cs="Times New Roman"/>
                <w:sz w:val="21"/>
                <w:szCs w:val="21"/>
                <w:lang w:val="en-US" w:eastAsia="zh-CN"/>
              </w:rPr>
            </w:pPr>
            <w:r>
              <w:rPr>
                <w:rFonts w:hint="eastAsia" w:cs="Times New Roman"/>
                <w:sz w:val="21"/>
                <w:szCs w:val="21"/>
                <w:lang w:val="en-US" w:eastAsia="zh-CN"/>
              </w:rPr>
              <w:t>油烟烟道</w:t>
            </w:r>
          </w:p>
        </w:tc>
        <w:tc>
          <w:tcPr>
            <w:tcW w:w="743" w:type="pct"/>
            <w:vMerge w:val="restart"/>
            <w:vAlign w:val="center"/>
          </w:tcPr>
          <w:p>
            <w:pPr>
              <w:spacing w:line="240" w:lineRule="auto"/>
              <w:ind w:firstLine="0" w:firstLineChars="0"/>
              <w:jc w:val="center"/>
              <w:rPr>
                <w:rFonts w:cs="Times New Roman"/>
                <w:sz w:val="21"/>
                <w:szCs w:val="21"/>
              </w:rPr>
            </w:pPr>
            <w:r>
              <w:rPr>
                <w:rFonts w:hint="eastAsia" w:cs="Times New Roman"/>
                <w:sz w:val="21"/>
                <w:szCs w:val="21"/>
              </w:rPr>
              <w:t>一般</w:t>
            </w:r>
            <w:r>
              <w:rPr>
                <w:rFonts w:cs="Times New Roman"/>
                <w:sz w:val="21"/>
                <w:szCs w:val="21"/>
              </w:rPr>
              <w:t>排放口</w:t>
            </w:r>
          </w:p>
        </w:tc>
        <w:tc>
          <w:tcPr>
            <w:tcW w:w="949"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油烟</w:t>
            </w:r>
          </w:p>
        </w:tc>
        <w:tc>
          <w:tcPr>
            <w:tcW w:w="1643"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1.11</w:t>
            </w:r>
          </w:p>
        </w:tc>
        <w:tc>
          <w:tcPr>
            <w:tcW w:w="1552"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0.0056</w:t>
            </w:r>
          </w:p>
        </w:tc>
        <w:tc>
          <w:tcPr>
            <w:tcW w:w="801" w:type="pct"/>
            <w:vAlign w:val="center"/>
          </w:tcPr>
          <w:p>
            <w:pPr>
              <w:pStyle w:val="39"/>
              <w:spacing w:line="360" w:lineRule="exact"/>
              <w:ind w:firstLine="0" w:firstLineChars="0"/>
              <w:rPr>
                <w:rFonts w:hint="eastAsia" w:eastAsia="宋体" w:cs="Times New Roman"/>
                <w:sz w:val="21"/>
                <w:szCs w:val="21"/>
                <w:lang w:eastAsia="zh-CN"/>
              </w:rPr>
            </w:pPr>
            <w:r>
              <w:rPr>
                <w:rFonts w:hint="eastAsia" w:ascii="Times New Roman" w:hAnsi="Times New Roman" w:cs="Times New Roman"/>
                <w:sz w:val="21"/>
                <w:szCs w:val="21"/>
                <w:lang w:val="en-US"/>
              </w:rPr>
              <w:t>0.0</w:t>
            </w:r>
            <w:r>
              <w:rPr>
                <w:rFonts w:hint="eastAsia" w:ascii="Times New Roman" w:hAnsi="Times New Roman" w:cs="Times New Roman"/>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continue"/>
            <w:vAlign w:val="center"/>
          </w:tcPr>
          <w:p>
            <w:pPr>
              <w:spacing w:line="240" w:lineRule="auto"/>
              <w:ind w:firstLine="0" w:firstLineChars="0"/>
              <w:jc w:val="center"/>
              <w:rPr>
                <w:rFonts w:cs="Times New Roman"/>
                <w:sz w:val="21"/>
                <w:szCs w:val="21"/>
              </w:rPr>
            </w:pPr>
          </w:p>
        </w:tc>
        <w:tc>
          <w:tcPr>
            <w:tcW w:w="743" w:type="pct"/>
            <w:vMerge w:val="continue"/>
            <w:vAlign w:val="center"/>
          </w:tcPr>
          <w:p>
            <w:pPr>
              <w:spacing w:line="240" w:lineRule="auto"/>
              <w:ind w:firstLine="0" w:firstLineChars="0"/>
              <w:jc w:val="center"/>
              <w:rPr>
                <w:rFonts w:cs="Times New Roman"/>
                <w:sz w:val="21"/>
                <w:szCs w:val="21"/>
              </w:rPr>
            </w:pPr>
          </w:p>
        </w:tc>
        <w:tc>
          <w:tcPr>
            <w:tcW w:w="949" w:type="pct"/>
            <w:vAlign w:val="center"/>
          </w:tcPr>
          <w:p>
            <w:pPr>
              <w:pStyle w:val="39"/>
              <w:spacing w:line="360" w:lineRule="exact"/>
              <w:ind w:firstLine="0" w:firstLineChars="0"/>
              <w:rPr>
                <w:rFonts w:cs="Times New Roman"/>
                <w:sz w:val="21"/>
                <w:szCs w:val="21"/>
              </w:rPr>
            </w:pPr>
            <w:r>
              <w:rPr>
                <w:rFonts w:hint="eastAsia" w:ascii="Times New Roman" w:cs="Times New Roman"/>
                <w:sz w:val="21"/>
                <w:szCs w:val="21"/>
                <w:lang w:val="en-US"/>
              </w:rPr>
              <w:t>非甲烷总烃</w:t>
            </w:r>
          </w:p>
        </w:tc>
        <w:tc>
          <w:tcPr>
            <w:tcW w:w="1643"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4.0</w:t>
            </w:r>
          </w:p>
        </w:tc>
        <w:tc>
          <w:tcPr>
            <w:tcW w:w="1552"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0.02</w:t>
            </w:r>
          </w:p>
        </w:tc>
        <w:tc>
          <w:tcPr>
            <w:tcW w:w="801" w:type="pct"/>
            <w:vAlign w:val="center"/>
          </w:tcPr>
          <w:p>
            <w:pPr>
              <w:pStyle w:val="39"/>
              <w:spacing w:line="360" w:lineRule="exact"/>
              <w:ind w:firstLine="0" w:firstLineChars="0"/>
              <w:rPr>
                <w:rFonts w:hint="default" w:eastAsia="宋体" w:cs="Times New Roman"/>
                <w:sz w:val="21"/>
                <w:szCs w:val="21"/>
                <w:lang w:val="en-US" w:eastAsia="zh-CN"/>
              </w:rPr>
            </w:pPr>
            <w:r>
              <w:rPr>
                <w:rFonts w:hint="eastAsia" w:ascii="Times New Roman" w:hAnsi="Times New Roman" w:cs="Times New Roman"/>
                <w:sz w:val="21"/>
                <w:szCs w:val="21"/>
                <w:lang w:val="en-US"/>
              </w:rPr>
              <w:t>0.0</w:t>
            </w:r>
            <w:r>
              <w:rPr>
                <w:rFonts w:hint="eastAsia" w:ascii="Times New Roman" w:hAnsi="Times New Roman" w:cs="Times New Roman"/>
                <w:sz w:val="21"/>
                <w:szCs w:val="21"/>
                <w:lang w:val="en-US" w:eastAsia="zh-CN"/>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restart"/>
            <w:vAlign w:val="center"/>
          </w:tcPr>
          <w:p>
            <w:pPr>
              <w:spacing w:line="240" w:lineRule="auto"/>
              <w:ind w:firstLine="0" w:firstLineChars="0"/>
              <w:jc w:val="center"/>
              <w:rPr>
                <w:rFonts w:hint="eastAsia" w:eastAsia="宋体" w:cs="Times New Roman"/>
                <w:sz w:val="21"/>
                <w:szCs w:val="21"/>
                <w:lang w:eastAsia="zh-CN"/>
              </w:rPr>
            </w:pPr>
            <w:r>
              <w:rPr>
                <w:rFonts w:cs="Times New Roman"/>
                <w:sz w:val="21"/>
                <w:szCs w:val="21"/>
              </w:rPr>
              <w:t>DA00</w:t>
            </w:r>
            <w:r>
              <w:rPr>
                <w:rFonts w:hint="eastAsia" w:cs="Times New Roman"/>
                <w:sz w:val="21"/>
                <w:szCs w:val="21"/>
                <w:lang w:val="en-US" w:eastAsia="zh-CN"/>
              </w:rPr>
              <w:t>3</w:t>
            </w:r>
          </w:p>
        </w:tc>
        <w:tc>
          <w:tcPr>
            <w:tcW w:w="743" w:type="pct"/>
            <w:vMerge w:val="restart"/>
            <w:vAlign w:val="center"/>
          </w:tcPr>
          <w:p>
            <w:pPr>
              <w:spacing w:line="240" w:lineRule="auto"/>
              <w:ind w:firstLine="0" w:firstLineChars="0"/>
              <w:jc w:val="center"/>
              <w:rPr>
                <w:rFonts w:cs="Times New Roman"/>
                <w:sz w:val="21"/>
                <w:szCs w:val="21"/>
              </w:rPr>
            </w:pPr>
            <w:r>
              <w:rPr>
                <w:rFonts w:hint="eastAsia" w:cs="Times New Roman"/>
                <w:sz w:val="21"/>
                <w:szCs w:val="21"/>
              </w:rPr>
              <w:t>一般排放口</w:t>
            </w:r>
          </w:p>
        </w:tc>
        <w:tc>
          <w:tcPr>
            <w:tcW w:w="949"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硫化氢</w:t>
            </w:r>
          </w:p>
        </w:tc>
        <w:tc>
          <w:tcPr>
            <w:tcW w:w="885"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0.412</w:t>
            </w:r>
          </w:p>
        </w:tc>
        <w:tc>
          <w:tcPr>
            <w:tcW w:w="836"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0.0012</w:t>
            </w:r>
          </w:p>
        </w:tc>
        <w:tc>
          <w:tcPr>
            <w:tcW w:w="801"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0.0089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84" w:type="pct"/>
            <w:vMerge w:val="continue"/>
            <w:vAlign w:val="center"/>
          </w:tcPr>
          <w:p>
            <w:pPr>
              <w:spacing w:line="240" w:lineRule="auto"/>
              <w:ind w:firstLine="0" w:firstLineChars="0"/>
              <w:jc w:val="center"/>
              <w:rPr>
                <w:rFonts w:cs="Times New Roman"/>
                <w:sz w:val="21"/>
                <w:szCs w:val="21"/>
              </w:rPr>
            </w:pPr>
          </w:p>
        </w:tc>
        <w:tc>
          <w:tcPr>
            <w:tcW w:w="743" w:type="pct"/>
            <w:vMerge w:val="continue"/>
            <w:vAlign w:val="center"/>
          </w:tcPr>
          <w:p>
            <w:pPr>
              <w:spacing w:line="240" w:lineRule="auto"/>
              <w:ind w:firstLine="0" w:firstLineChars="0"/>
              <w:jc w:val="center"/>
              <w:rPr>
                <w:rFonts w:cs="Times New Roman"/>
                <w:sz w:val="21"/>
                <w:szCs w:val="21"/>
              </w:rPr>
            </w:pPr>
          </w:p>
        </w:tc>
        <w:tc>
          <w:tcPr>
            <w:tcW w:w="949"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氨</w:t>
            </w:r>
          </w:p>
        </w:tc>
        <w:tc>
          <w:tcPr>
            <w:tcW w:w="885"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0.838</w:t>
            </w:r>
          </w:p>
        </w:tc>
        <w:tc>
          <w:tcPr>
            <w:tcW w:w="836"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0.0025</w:t>
            </w:r>
          </w:p>
        </w:tc>
        <w:tc>
          <w:tcPr>
            <w:tcW w:w="801"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0.0181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restart"/>
            <w:vAlign w:val="center"/>
          </w:tcPr>
          <w:p>
            <w:pPr>
              <w:spacing w:line="240" w:lineRule="auto"/>
              <w:ind w:firstLine="0" w:firstLineChars="0"/>
              <w:jc w:val="center"/>
              <w:rPr>
                <w:rFonts w:cs="Times New Roman"/>
                <w:sz w:val="21"/>
                <w:szCs w:val="21"/>
              </w:rPr>
            </w:pPr>
            <w:r>
              <w:rPr>
                <w:rFonts w:hint="eastAsia" w:cs="Times New Roman"/>
                <w:sz w:val="21"/>
                <w:szCs w:val="21"/>
              </w:rPr>
              <w:t>无组织</w:t>
            </w:r>
          </w:p>
        </w:tc>
        <w:tc>
          <w:tcPr>
            <w:tcW w:w="949"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885" w:type="pc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836" w:type="pct"/>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lang w:val="en-US" w:eastAsia="zh-CN"/>
              </w:rPr>
              <w:t>0.02635</w:t>
            </w:r>
          </w:p>
        </w:tc>
        <w:tc>
          <w:tcPr>
            <w:tcW w:w="801"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sz w:val="21"/>
                <w:szCs w:val="21"/>
                <w:lang w:val="en-US" w:eastAsia="zh-CN"/>
              </w:rPr>
              <w:t>0.066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949"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885" w:type="pc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836" w:type="pct"/>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lang w:val="en-US" w:eastAsia="zh-CN"/>
              </w:rPr>
              <w:t>0.298</w:t>
            </w:r>
          </w:p>
        </w:tc>
        <w:tc>
          <w:tcPr>
            <w:tcW w:w="801"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sz w:val="21"/>
                <w:szCs w:val="21"/>
                <w:lang w:val="en-US" w:eastAsia="zh-CN"/>
              </w:rPr>
              <w:t>1.2657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949" w:type="pct"/>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w:t>
            </w:r>
          </w:p>
        </w:tc>
        <w:tc>
          <w:tcPr>
            <w:tcW w:w="885" w:type="pc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836" w:type="pct"/>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lang w:val="en-US" w:eastAsia="zh-CN"/>
              </w:rPr>
              <w:t>0.00036</w:t>
            </w:r>
          </w:p>
        </w:tc>
        <w:tc>
          <w:tcPr>
            <w:tcW w:w="801"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949" w:type="pct"/>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丙烯酸丁酯</w:t>
            </w:r>
          </w:p>
        </w:tc>
        <w:tc>
          <w:tcPr>
            <w:tcW w:w="885" w:type="pc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836" w:type="pct"/>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lang w:val="en-US" w:eastAsia="zh-CN"/>
              </w:rPr>
              <w:t>0.00326</w:t>
            </w:r>
          </w:p>
        </w:tc>
        <w:tc>
          <w:tcPr>
            <w:tcW w:w="801"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949" w:type="pct"/>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甲基丙烯酸甲酯</w:t>
            </w:r>
          </w:p>
        </w:tc>
        <w:tc>
          <w:tcPr>
            <w:tcW w:w="885" w:type="pc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836" w:type="pct"/>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lang w:val="en-US" w:eastAsia="zh-CN"/>
              </w:rPr>
              <w:t>0.00326</w:t>
            </w:r>
          </w:p>
        </w:tc>
        <w:tc>
          <w:tcPr>
            <w:tcW w:w="801"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949"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硫化氢</w:t>
            </w:r>
          </w:p>
        </w:tc>
        <w:tc>
          <w:tcPr>
            <w:tcW w:w="885" w:type="pc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836" w:type="pct"/>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0.1117</w:t>
            </w:r>
          </w:p>
        </w:tc>
        <w:tc>
          <w:tcPr>
            <w:tcW w:w="801" w:type="pct"/>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949"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氨</w:t>
            </w:r>
          </w:p>
        </w:tc>
        <w:tc>
          <w:tcPr>
            <w:tcW w:w="885" w:type="pc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w:t>
            </w:r>
          </w:p>
        </w:tc>
        <w:tc>
          <w:tcPr>
            <w:tcW w:w="836" w:type="pct"/>
            <w:vAlign w:val="center"/>
          </w:tcPr>
          <w:p>
            <w:pPr>
              <w:adjustRightInd w:val="0"/>
              <w:snapToGrid w:val="0"/>
              <w:spacing w:line="360" w:lineRule="exact"/>
              <w:ind w:firstLine="0" w:firstLineChars="0"/>
              <w:jc w:val="center"/>
              <w:rPr>
                <w:rFonts w:ascii="Times New Roman" w:hAnsi="Times New Roman" w:cs="Times New Roman"/>
                <w:sz w:val="21"/>
                <w:szCs w:val="21"/>
                <w:lang w:val="en-US"/>
              </w:rPr>
            </w:pPr>
            <w:r>
              <w:rPr>
                <w:rFonts w:hint="eastAsia" w:cs="Times New Roman"/>
                <w:kern w:val="0"/>
                <w:sz w:val="21"/>
                <w:szCs w:val="21"/>
              </w:rPr>
              <w:t>0.0279</w:t>
            </w:r>
          </w:p>
        </w:tc>
        <w:tc>
          <w:tcPr>
            <w:tcW w:w="801" w:type="pct"/>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restart"/>
            <w:vAlign w:val="center"/>
          </w:tcPr>
          <w:p>
            <w:pPr>
              <w:spacing w:line="240" w:lineRule="auto"/>
              <w:ind w:firstLine="0" w:firstLineChars="0"/>
              <w:jc w:val="center"/>
              <w:rPr>
                <w:rFonts w:cs="Times New Roman"/>
                <w:sz w:val="21"/>
                <w:szCs w:val="21"/>
              </w:rPr>
            </w:pPr>
            <w:r>
              <w:rPr>
                <w:rFonts w:cs="Times New Roman"/>
                <w:sz w:val="21"/>
                <w:szCs w:val="21"/>
              </w:rPr>
              <w:t>合计</w:t>
            </w:r>
          </w:p>
        </w:tc>
        <w:tc>
          <w:tcPr>
            <w:tcW w:w="2670" w:type="pct"/>
            <w:gridSpan w:val="3"/>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颗粒物</w:t>
            </w:r>
          </w:p>
        </w:tc>
        <w:tc>
          <w:tcPr>
            <w:tcW w:w="1488" w:type="dxa"/>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0.078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2670" w:type="pct"/>
            <w:gridSpan w:val="3"/>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非甲烷总烃</w:t>
            </w:r>
          </w:p>
        </w:tc>
        <w:tc>
          <w:tcPr>
            <w:tcW w:w="1488" w:type="dxa"/>
            <w:vAlign w:val="center"/>
          </w:tcPr>
          <w:p>
            <w:pPr>
              <w:adjustRightInd w:val="0"/>
              <w:snapToGrid w:val="0"/>
              <w:spacing w:line="360" w:lineRule="exact"/>
              <w:ind w:firstLine="0" w:firstLineChars="0"/>
              <w:jc w:val="center"/>
              <w:rPr>
                <w:rFonts w:hint="default" w:cs="Times New Roman"/>
                <w:kern w:val="0"/>
                <w:sz w:val="21"/>
                <w:szCs w:val="21"/>
                <w:lang w:val="en-US" w:eastAsia="zh-CN"/>
              </w:rPr>
            </w:pPr>
            <w:r>
              <w:rPr>
                <w:rFonts w:hint="eastAsia" w:cs="Times New Roman"/>
                <w:kern w:val="0"/>
                <w:sz w:val="21"/>
                <w:szCs w:val="21"/>
                <w:lang w:val="en-US" w:eastAsia="zh-CN"/>
              </w:rPr>
              <w:t>2.5051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2670" w:type="pct"/>
            <w:gridSpan w:val="3"/>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丙烯酸</w:t>
            </w:r>
          </w:p>
        </w:tc>
        <w:tc>
          <w:tcPr>
            <w:tcW w:w="1488" w:type="dxa"/>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0.005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2670" w:type="pct"/>
            <w:gridSpan w:val="3"/>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丙烯酸丁酯</w:t>
            </w:r>
          </w:p>
        </w:tc>
        <w:tc>
          <w:tcPr>
            <w:tcW w:w="1488" w:type="dxa"/>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0.0458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2670" w:type="pct"/>
            <w:gridSpan w:val="3"/>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甲基丙烯酸甲酯</w:t>
            </w:r>
          </w:p>
        </w:tc>
        <w:tc>
          <w:tcPr>
            <w:tcW w:w="1488" w:type="dxa"/>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0.0458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2670" w:type="pct"/>
            <w:gridSpan w:val="3"/>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硫化氢</w:t>
            </w:r>
          </w:p>
        </w:tc>
        <w:tc>
          <w:tcPr>
            <w:tcW w:w="1488" w:type="dxa"/>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0.824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2670" w:type="pct"/>
            <w:gridSpan w:val="3"/>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氨</w:t>
            </w:r>
          </w:p>
        </w:tc>
        <w:tc>
          <w:tcPr>
            <w:tcW w:w="1488" w:type="dxa"/>
            <w:vAlign w:val="center"/>
          </w:tcPr>
          <w:p>
            <w:pPr>
              <w:adjustRightInd w:val="0"/>
              <w:snapToGrid w:val="0"/>
              <w:spacing w:line="360" w:lineRule="exact"/>
              <w:ind w:firstLine="0" w:firstLineChars="0"/>
              <w:jc w:val="center"/>
              <w:rPr>
                <w:rFonts w:hint="eastAsia" w:cs="Times New Roman"/>
                <w:kern w:val="0"/>
                <w:sz w:val="21"/>
                <w:szCs w:val="21"/>
                <w:lang w:val="en-US" w:eastAsia="zh-CN"/>
              </w:rPr>
            </w:pPr>
            <w:r>
              <w:rPr>
                <w:rFonts w:hint="eastAsia" w:cs="Times New Roman"/>
                <w:kern w:val="0"/>
                <w:sz w:val="21"/>
                <w:szCs w:val="21"/>
                <w:lang w:val="en-US" w:eastAsia="zh-CN"/>
              </w:rPr>
              <w:t>0.2192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527" w:type="pct"/>
            <w:gridSpan w:val="2"/>
            <w:vMerge w:val="continue"/>
            <w:vAlign w:val="center"/>
          </w:tcPr>
          <w:p>
            <w:pPr>
              <w:spacing w:line="240" w:lineRule="auto"/>
              <w:ind w:firstLine="0" w:firstLineChars="0"/>
              <w:jc w:val="center"/>
              <w:rPr>
                <w:rFonts w:cs="Times New Roman"/>
                <w:sz w:val="21"/>
                <w:szCs w:val="21"/>
              </w:rPr>
            </w:pPr>
          </w:p>
        </w:tc>
        <w:tc>
          <w:tcPr>
            <w:tcW w:w="2670" w:type="pct"/>
            <w:gridSpan w:val="3"/>
            <w:vAlign w:val="center"/>
          </w:tcPr>
          <w:p>
            <w:pPr>
              <w:spacing w:line="240" w:lineRule="auto"/>
              <w:ind w:firstLine="0" w:firstLineChars="0"/>
              <w:jc w:val="center"/>
              <w:rPr>
                <w:rFonts w:cs="Times New Roman"/>
                <w:sz w:val="21"/>
                <w:szCs w:val="21"/>
              </w:rPr>
            </w:pPr>
            <w:r>
              <w:rPr>
                <w:rFonts w:hint="eastAsia" w:cs="Times New Roman"/>
                <w:sz w:val="21"/>
                <w:szCs w:val="21"/>
              </w:rPr>
              <w:t>油烟</w:t>
            </w:r>
          </w:p>
        </w:tc>
        <w:tc>
          <w:tcPr>
            <w:tcW w:w="801" w:type="pct"/>
            <w:vAlign w:val="center"/>
          </w:tcPr>
          <w:p>
            <w:pPr>
              <w:pStyle w:val="38"/>
              <w:rPr>
                <w:rFonts w:hint="default" w:eastAsia="宋体"/>
                <w:lang w:val="en-US" w:eastAsia="zh-CN"/>
              </w:rPr>
            </w:pPr>
            <w:r>
              <w:rPr>
                <w:rFonts w:hint="eastAsia"/>
                <w:lang w:val="en-US" w:eastAsia="zh-CN"/>
              </w:rPr>
              <w:t>0.01</w:t>
            </w:r>
          </w:p>
        </w:tc>
      </w:tr>
    </w:tbl>
    <w:p>
      <w:pPr>
        <w:pStyle w:val="39"/>
        <w:ind w:firstLine="482"/>
        <w:rPr>
          <w:rFonts w:ascii="Times New Roman" w:hAnsi="Times New Roman" w:cs="Times New Roman"/>
          <w:b/>
          <w:bCs/>
          <w:lang w:val="en-US"/>
        </w:rPr>
        <w:sectPr>
          <w:pgSz w:w="11906" w:h="16838"/>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pPr>
    </w:p>
    <w:p>
      <w:pPr>
        <w:pStyle w:val="7"/>
        <w:ind w:firstLine="562"/>
      </w:pPr>
      <w:r>
        <w:rPr>
          <w:rFonts w:hint="eastAsia"/>
        </w:rPr>
        <w:t>4.3.3 噪声</w:t>
      </w:r>
    </w:p>
    <w:p>
      <w:pPr>
        <w:widowControl/>
        <w:ind w:firstLine="480"/>
        <w:rPr>
          <w:rFonts w:cs="Times New Roman"/>
        </w:rPr>
      </w:pPr>
      <w:r>
        <w:rPr>
          <w:rFonts w:hint="eastAsia" w:cs="Times New Roman"/>
        </w:rPr>
        <w:t>项目主要噪声源来自破碎机、密炼机、真空泵、空压机、搅拌机等高噪声设备运营过程产生的噪声。</w:t>
      </w:r>
    </w:p>
    <w:p>
      <w:pPr>
        <w:widowControl/>
        <w:ind w:firstLine="0" w:firstLineChars="0"/>
        <w:jc w:val="center"/>
        <w:rPr>
          <w:rFonts w:cs="Times New Roman"/>
          <w:b/>
          <w:bCs/>
        </w:rPr>
      </w:pPr>
      <w:r>
        <w:rPr>
          <w:rFonts w:hint="eastAsia" w:cs="Times New Roman"/>
          <w:b/>
          <w:bCs/>
        </w:rPr>
        <w:t>4.3-10  本项目主要噪声及源强</w:t>
      </w:r>
    </w:p>
    <w:tbl>
      <w:tblPr>
        <w:tblStyle w:val="28"/>
        <w:tblW w:w="50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69"/>
        <w:gridCol w:w="2105"/>
        <w:gridCol w:w="1280"/>
        <w:gridCol w:w="1715"/>
        <w:gridCol w:w="2103"/>
        <w:gridCol w:w="13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12" w:type="pct"/>
            <w:vAlign w:val="center"/>
          </w:tcPr>
          <w:p>
            <w:pPr>
              <w:snapToGrid w:val="0"/>
              <w:spacing w:line="240" w:lineRule="auto"/>
              <w:ind w:firstLine="0" w:firstLineChars="0"/>
              <w:jc w:val="center"/>
              <w:rPr>
                <w:sz w:val="21"/>
                <w:szCs w:val="21"/>
              </w:rPr>
            </w:pPr>
            <w:r>
              <w:rPr>
                <w:sz w:val="21"/>
                <w:szCs w:val="21"/>
              </w:rPr>
              <w:t>序号</w:t>
            </w:r>
          </w:p>
        </w:tc>
        <w:tc>
          <w:tcPr>
            <w:tcW w:w="1154" w:type="pct"/>
            <w:vAlign w:val="center"/>
          </w:tcPr>
          <w:p>
            <w:pPr>
              <w:snapToGrid w:val="0"/>
              <w:spacing w:line="240" w:lineRule="auto"/>
              <w:ind w:firstLine="0" w:firstLineChars="0"/>
              <w:jc w:val="center"/>
              <w:rPr>
                <w:sz w:val="21"/>
                <w:szCs w:val="21"/>
              </w:rPr>
            </w:pPr>
            <w:r>
              <w:rPr>
                <w:sz w:val="21"/>
                <w:szCs w:val="21"/>
              </w:rPr>
              <w:t>噪声源</w:t>
            </w:r>
          </w:p>
        </w:tc>
        <w:tc>
          <w:tcPr>
            <w:tcW w:w="702" w:type="pct"/>
            <w:vAlign w:val="center"/>
          </w:tcPr>
          <w:p>
            <w:pPr>
              <w:snapToGrid w:val="0"/>
              <w:spacing w:line="240" w:lineRule="auto"/>
              <w:ind w:firstLine="0" w:firstLineChars="0"/>
              <w:jc w:val="center"/>
              <w:rPr>
                <w:sz w:val="21"/>
                <w:szCs w:val="21"/>
              </w:rPr>
            </w:pPr>
            <w:r>
              <w:rPr>
                <w:sz w:val="21"/>
                <w:szCs w:val="21"/>
              </w:rPr>
              <w:t>设备台数</w:t>
            </w:r>
          </w:p>
        </w:tc>
        <w:tc>
          <w:tcPr>
            <w:tcW w:w="940" w:type="pct"/>
            <w:vAlign w:val="center"/>
          </w:tcPr>
          <w:p>
            <w:pPr>
              <w:snapToGrid w:val="0"/>
              <w:spacing w:line="240" w:lineRule="auto"/>
              <w:ind w:firstLine="0" w:firstLineChars="0"/>
              <w:jc w:val="center"/>
              <w:rPr>
                <w:sz w:val="21"/>
                <w:szCs w:val="21"/>
              </w:rPr>
            </w:pPr>
            <w:r>
              <w:rPr>
                <w:sz w:val="21"/>
                <w:szCs w:val="21"/>
              </w:rPr>
              <w:t>治理前声</w:t>
            </w:r>
          </w:p>
          <w:p>
            <w:pPr>
              <w:snapToGrid w:val="0"/>
              <w:spacing w:line="240" w:lineRule="auto"/>
              <w:ind w:firstLine="0" w:firstLineChars="0"/>
              <w:jc w:val="center"/>
              <w:rPr>
                <w:sz w:val="21"/>
                <w:szCs w:val="21"/>
              </w:rPr>
            </w:pPr>
            <w:r>
              <w:rPr>
                <w:sz w:val="21"/>
                <w:szCs w:val="21"/>
              </w:rPr>
              <w:t>压级dB</w:t>
            </w:r>
            <w:r>
              <w:rPr>
                <w:rFonts w:hint="eastAsia"/>
                <w:sz w:val="21"/>
                <w:szCs w:val="21"/>
              </w:rPr>
              <w:t>（</w:t>
            </w:r>
            <w:r>
              <w:rPr>
                <w:sz w:val="21"/>
                <w:szCs w:val="21"/>
              </w:rPr>
              <w:t>A</w:t>
            </w:r>
            <w:r>
              <w:rPr>
                <w:rFonts w:hint="eastAsia"/>
                <w:sz w:val="21"/>
                <w:szCs w:val="21"/>
              </w:rPr>
              <w:t>）</w:t>
            </w:r>
          </w:p>
        </w:tc>
        <w:tc>
          <w:tcPr>
            <w:tcW w:w="1153" w:type="pct"/>
            <w:vAlign w:val="center"/>
          </w:tcPr>
          <w:p>
            <w:pPr>
              <w:snapToGrid w:val="0"/>
              <w:spacing w:line="240" w:lineRule="auto"/>
              <w:ind w:firstLine="0" w:firstLineChars="0"/>
              <w:jc w:val="center"/>
              <w:rPr>
                <w:sz w:val="21"/>
                <w:szCs w:val="21"/>
              </w:rPr>
            </w:pPr>
            <w:r>
              <w:rPr>
                <w:sz w:val="21"/>
                <w:szCs w:val="21"/>
              </w:rPr>
              <w:t>治理措施</w:t>
            </w:r>
          </w:p>
        </w:tc>
        <w:tc>
          <w:tcPr>
            <w:tcW w:w="736" w:type="pct"/>
            <w:vAlign w:val="center"/>
          </w:tcPr>
          <w:p>
            <w:pPr>
              <w:snapToGrid w:val="0"/>
              <w:spacing w:line="240" w:lineRule="auto"/>
              <w:ind w:firstLine="0" w:firstLineChars="0"/>
              <w:jc w:val="center"/>
              <w:rPr>
                <w:sz w:val="21"/>
                <w:szCs w:val="21"/>
              </w:rPr>
            </w:pPr>
            <w:r>
              <w:rPr>
                <w:sz w:val="21"/>
                <w:szCs w:val="21"/>
              </w:rPr>
              <w:t>治理后声</w:t>
            </w:r>
          </w:p>
          <w:p>
            <w:pPr>
              <w:snapToGrid w:val="0"/>
              <w:spacing w:line="240" w:lineRule="auto"/>
              <w:ind w:firstLine="0" w:firstLineChars="0"/>
              <w:jc w:val="center"/>
              <w:rPr>
                <w:sz w:val="21"/>
                <w:szCs w:val="21"/>
              </w:rPr>
            </w:pPr>
            <w:r>
              <w:rPr>
                <w:sz w:val="21"/>
                <w:szCs w:val="21"/>
              </w:rPr>
              <w:t>压级dB</w:t>
            </w:r>
            <w:r>
              <w:rPr>
                <w:rFonts w:hint="eastAsia"/>
                <w:sz w:val="21"/>
                <w:szCs w:val="21"/>
              </w:rPr>
              <w:t>（</w:t>
            </w:r>
            <w:r>
              <w:rPr>
                <w:sz w:val="21"/>
                <w:szCs w:val="21"/>
              </w:rPr>
              <w:t>A</w:t>
            </w:r>
            <w:r>
              <w:rPr>
                <w:rFonts w:hint="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12" w:type="pct"/>
            <w:vAlign w:val="center"/>
          </w:tcPr>
          <w:p>
            <w:pPr>
              <w:snapToGrid w:val="0"/>
              <w:spacing w:line="240" w:lineRule="auto"/>
              <w:ind w:firstLine="0" w:firstLineChars="0"/>
              <w:jc w:val="center"/>
              <w:rPr>
                <w:sz w:val="21"/>
                <w:szCs w:val="21"/>
              </w:rPr>
            </w:pPr>
            <w:r>
              <w:rPr>
                <w:rFonts w:hint="eastAsia"/>
                <w:sz w:val="21"/>
                <w:szCs w:val="21"/>
              </w:rPr>
              <w:t>1</w:t>
            </w:r>
          </w:p>
        </w:tc>
        <w:tc>
          <w:tcPr>
            <w:tcW w:w="1154" w:type="pct"/>
            <w:vAlign w:val="center"/>
          </w:tcPr>
          <w:p>
            <w:pPr>
              <w:widowControl/>
              <w:snapToGrid w:val="0"/>
              <w:spacing w:line="240" w:lineRule="auto"/>
              <w:ind w:firstLine="0" w:firstLineChars="0"/>
              <w:jc w:val="center"/>
              <w:rPr>
                <w:kern w:val="0"/>
                <w:sz w:val="21"/>
                <w:szCs w:val="21"/>
              </w:rPr>
            </w:pPr>
            <w:r>
              <w:rPr>
                <w:kern w:val="0"/>
                <w:sz w:val="21"/>
                <w:szCs w:val="21"/>
              </w:rPr>
              <w:t>密炼机</w:t>
            </w:r>
          </w:p>
        </w:tc>
        <w:tc>
          <w:tcPr>
            <w:tcW w:w="702" w:type="pct"/>
            <w:vAlign w:val="center"/>
          </w:tcPr>
          <w:p>
            <w:pPr>
              <w:widowControl/>
              <w:snapToGrid w:val="0"/>
              <w:spacing w:line="240" w:lineRule="auto"/>
              <w:ind w:firstLine="0" w:firstLineChars="0"/>
              <w:jc w:val="center"/>
              <w:rPr>
                <w:kern w:val="0"/>
                <w:sz w:val="21"/>
                <w:szCs w:val="21"/>
              </w:rPr>
            </w:pPr>
            <w:r>
              <w:rPr>
                <w:rFonts w:hint="eastAsia"/>
                <w:kern w:val="0"/>
                <w:sz w:val="21"/>
                <w:szCs w:val="21"/>
              </w:rPr>
              <w:t>2</w:t>
            </w:r>
          </w:p>
        </w:tc>
        <w:tc>
          <w:tcPr>
            <w:tcW w:w="940" w:type="pct"/>
            <w:vAlign w:val="center"/>
          </w:tcPr>
          <w:p>
            <w:pPr>
              <w:snapToGrid w:val="0"/>
              <w:spacing w:line="240" w:lineRule="auto"/>
              <w:ind w:firstLine="0" w:firstLineChars="0"/>
              <w:jc w:val="center"/>
              <w:rPr>
                <w:sz w:val="21"/>
                <w:szCs w:val="21"/>
              </w:rPr>
            </w:pPr>
            <w:r>
              <w:rPr>
                <w:rFonts w:hint="eastAsia"/>
                <w:sz w:val="21"/>
                <w:szCs w:val="21"/>
              </w:rPr>
              <w:t>85</w:t>
            </w:r>
          </w:p>
        </w:tc>
        <w:tc>
          <w:tcPr>
            <w:tcW w:w="1153" w:type="pct"/>
            <w:vMerge w:val="restart"/>
            <w:vAlign w:val="center"/>
          </w:tcPr>
          <w:p>
            <w:pPr>
              <w:spacing w:line="240" w:lineRule="auto"/>
              <w:ind w:firstLine="0" w:firstLineChars="0"/>
              <w:jc w:val="center"/>
              <w:rPr>
                <w:sz w:val="21"/>
                <w:szCs w:val="21"/>
              </w:rPr>
            </w:pPr>
            <w:r>
              <w:rPr>
                <w:rFonts w:hint="eastAsia"/>
                <w:sz w:val="21"/>
                <w:szCs w:val="21"/>
                <w:u w:val="single"/>
                <w:lang w:eastAsia="zh-CN"/>
              </w:rPr>
              <w:t>设备选择</w:t>
            </w:r>
            <w:r>
              <w:rPr>
                <w:rFonts w:hint="default"/>
                <w:sz w:val="21"/>
                <w:szCs w:val="21"/>
                <w:u w:val="single"/>
                <w:lang w:eastAsia="zh-CN"/>
              </w:rPr>
              <w:t>低噪声型号设备，在设备连接处安装减震垫、车间内墙加装隔音棉</w:t>
            </w:r>
          </w:p>
        </w:tc>
        <w:tc>
          <w:tcPr>
            <w:tcW w:w="736" w:type="pct"/>
            <w:vAlign w:val="center"/>
          </w:tcPr>
          <w:p>
            <w:pPr>
              <w:snapToGrid w:val="0"/>
              <w:spacing w:line="240" w:lineRule="auto"/>
              <w:ind w:firstLine="0" w:firstLineChars="0"/>
              <w:jc w:val="center"/>
              <w:rPr>
                <w:sz w:val="21"/>
                <w:szCs w:val="21"/>
              </w:rPr>
            </w:pPr>
            <w:r>
              <w:rPr>
                <w:rFonts w:hint="eastAsia"/>
                <w:sz w:val="21"/>
                <w:szCs w:val="21"/>
              </w:rPr>
              <w:t>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12" w:type="pct"/>
            <w:vAlign w:val="center"/>
          </w:tcPr>
          <w:p>
            <w:pPr>
              <w:snapToGrid w:val="0"/>
              <w:spacing w:line="240" w:lineRule="auto"/>
              <w:ind w:firstLine="0" w:firstLineChars="0"/>
              <w:jc w:val="center"/>
              <w:rPr>
                <w:sz w:val="21"/>
                <w:szCs w:val="21"/>
              </w:rPr>
            </w:pPr>
            <w:r>
              <w:rPr>
                <w:rFonts w:hint="eastAsia"/>
                <w:sz w:val="21"/>
                <w:szCs w:val="21"/>
              </w:rPr>
              <w:t>2</w:t>
            </w:r>
          </w:p>
        </w:tc>
        <w:tc>
          <w:tcPr>
            <w:tcW w:w="1154" w:type="pct"/>
            <w:vAlign w:val="center"/>
          </w:tcPr>
          <w:p>
            <w:pPr>
              <w:widowControl/>
              <w:snapToGrid w:val="0"/>
              <w:spacing w:line="240" w:lineRule="auto"/>
              <w:ind w:firstLine="0" w:firstLineChars="0"/>
              <w:jc w:val="center"/>
              <w:rPr>
                <w:kern w:val="0"/>
                <w:sz w:val="21"/>
                <w:szCs w:val="21"/>
              </w:rPr>
            </w:pPr>
            <w:r>
              <w:rPr>
                <w:rFonts w:hint="eastAsia" w:ascii="宋体" w:hAnsi="宋体" w:cs="宋体"/>
                <w:kern w:val="21"/>
                <w:sz w:val="21"/>
                <w:szCs w:val="21"/>
              </w:rPr>
              <w:t>真空</w:t>
            </w:r>
            <w:r>
              <w:rPr>
                <w:rFonts w:ascii="宋体" w:hAnsi="宋体" w:cs="宋体"/>
                <w:kern w:val="21"/>
                <w:sz w:val="21"/>
                <w:szCs w:val="21"/>
              </w:rPr>
              <w:t>泵</w:t>
            </w:r>
          </w:p>
        </w:tc>
        <w:tc>
          <w:tcPr>
            <w:tcW w:w="702" w:type="pct"/>
            <w:vAlign w:val="center"/>
          </w:tcPr>
          <w:p>
            <w:pPr>
              <w:widowControl/>
              <w:snapToGrid w:val="0"/>
              <w:spacing w:line="240" w:lineRule="auto"/>
              <w:ind w:firstLine="0" w:firstLineChars="0"/>
              <w:jc w:val="center"/>
              <w:rPr>
                <w:kern w:val="0"/>
                <w:sz w:val="21"/>
                <w:szCs w:val="21"/>
              </w:rPr>
            </w:pPr>
            <w:r>
              <w:rPr>
                <w:rFonts w:hint="eastAsia"/>
                <w:kern w:val="0"/>
                <w:sz w:val="21"/>
                <w:szCs w:val="21"/>
              </w:rPr>
              <w:t>6</w:t>
            </w:r>
          </w:p>
        </w:tc>
        <w:tc>
          <w:tcPr>
            <w:tcW w:w="940" w:type="pct"/>
            <w:vAlign w:val="center"/>
          </w:tcPr>
          <w:p>
            <w:pPr>
              <w:snapToGrid w:val="0"/>
              <w:spacing w:line="240" w:lineRule="auto"/>
              <w:ind w:firstLine="0" w:firstLineChars="0"/>
              <w:jc w:val="center"/>
              <w:rPr>
                <w:sz w:val="21"/>
                <w:szCs w:val="21"/>
              </w:rPr>
            </w:pPr>
            <w:r>
              <w:rPr>
                <w:rFonts w:hint="eastAsia"/>
                <w:sz w:val="21"/>
                <w:szCs w:val="21"/>
              </w:rPr>
              <w:t>85</w:t>
            </w:r>
          </w:p>
        </w:tc>
        <w:tc>
          <w:tcPr>
            <w:tcW w:w="1153" w:type="pct"/>
            <w:vMerge w:val="continue"/>
            <w:vAlign w:val="center"/>
          </w:tcPr>
          <w:p>
            <w:pPr>
              <w:spacing w:line="240" w:lineRule="auto"/>
              <w:ind w:firstLine="0" w:firstLineChars="0"/>
              <w:jc w:val="center"/>
              <w:rPr>
                <w:sz w:val="21"/>
                <w:szCs w:val="21"/>
              </w:rPr>
            </w:pPr>
          </w:p>
        </w:tc>
        <w:tc>
          <w:tcPr>
            <w:tcW w:w="736" w:type="pct"/>
            <w:vAlign w:val="center"/>
          </w:tcPr>
          <w:p>
            <w:pPr>
              <w:snapToGrid w:val="0"/>
              <w:spacing w:line="240" w:lineRule="auto"/>
              <w:ind w:firstLine="0" w:firstLineChars="0"/>
              <w:jc w:val="center"/>
              <w:rPr>
                <w:sz w:val="21"/>
                <w:szCs w:val="21"/>
              </w:rPr>
            </w:pPr>
            <w:r>
              <w:rPr>
                <w:rFonts w:hint="eastAsia"/>
                <w:sz w:val="21"/>
                <w:szCs w:val="21"/>
              </w:rPr>
              <w:t>72.76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12" w:type="pct"/>
            <w:vAlign w:val="center"/>
          </w:tcPr>
          <w:p>
            <w:pPr>
              <w:snapToGrid w:val="0"/>
              <w:spacing w:line="240" w:lineRule="auto"/>
              <w:ind w:firstLine="0" w:firstLineChars="0"/>
              <w:jc w:val="center"/>
              <w:rPr>
                <w:sz w:val="21"/>
                <w:szCs w:val="21"/>
              </w:rPr>
            </w:pPr>
            <w:r>
              <w:rPr>
                <w:rFonts w:hint="eastAsia"/>
                <w:sz w:val="21"/>
                <w:szCs w:val="21"/>
              </w:rPr>
              <w:t>3</w:t>
            </w:r>
          </w:p>
        </w:tc>
        <w:tc>
          <w:tcPr>
            <w:tcW w:w="1154" w:type="pct"/>
            <w:vAlign w:val="center"/>
          </w:tcPr>
          <w:p>
            <w:pPr>
              <w:widowControl/>
              <w:snapToGrid w:val="0"/>
              <w:spacing w:line="240" w:lineRule="auto"/>
              <w:ind w:firstLine="0" w:firstLineChars="0"/>
              <w:jc w:val="center"/>
              <w:rPr>
                <w:kern w:val="0"/>
                <w:sz w:val="21"/>
                <w:szCs w:val="21"/>
              </w:rPr>
            </w:pPr>
            <w:r>
              <w:rPr>
                <w:rFonts w:hint="eastAsia" w:ascii="宋体" w:hAnsi="宋体" w:cs="宋体"/>
                <w:kern w:val="21"/>
                <w:sz w:val="21"/>
                <w:szCs w:val="21"/>
              </w:rPr>
              <w:t>空压机</w:t>
            </w:r>
          </w:p>
        </w:tc>
        <w:tc>
          <w:tcPr>
            <w:tcW w:w="702" w:type="pct"/>
            <w:vAlign w:val="center"/>
          </w:tcPr>
          <w:p>
            <w:pPr>
              <w:widowControl/>
              <w:snapToGrid w:val="0"/>
              <w:spacing w:line="240" w:lineRule="auto"/>
              <w:ind w:firstLine="0" w:firstLineChars="0"/>
              <w:jc w:val="center"/>
              <w:rPr>
                <w:kern w:val="0"/>
                <w:sz w:val="21"/>
                <w:szCs w:val="21"/>
              </w:rPr>
            </w:pPr>
            <w:r>
              <w:rPr>
                <w:rFonts w:hint="eastAsia"/>
                <w:kern w:val="0"/>
                <w:sz w:val="21"/>
                <w:szCs w:val="21"/>
              </w:rPr>
              <w:t>3</w:t>
            </w:r>
          </w:p>
        </w:tc>
        <w:tc>
          <w:tcPr>
            <w:tcW w:w="940" w:type="pct"/>
            <w:vAlign w:val="center"/>
          </w:tcPr>
          <w:p>
            <w:pPr>
              <w:snapToGrid w:val="0"/>
              <w:spacing w:line="240" w:lineRule="auto"/>
              <w:ind w:firstLine="0" w:firstLineChars="0"/>
              <w:jc w:val="center"/>
              <w:rPr>
                <w:sz w:val="21"/>
                <w:szCs w:val="21"/>
              </w:rPr>
            </w:pPr>
            <w:r>
              <w:rPr>
                <w:rFonts w:hint="eastAsia"/>
                <w:sz w:val="21"/>
                <w:szCs w:val="21"/>
              </w:rPr>
              <w:t>80</w:t>
            </w:r>
          </w:p>
        </w:tc>
        <w:tc>
          <w:tcPr>
            <w:tcW w:w="1153" w:type="pct"/>
            <w:vMerge w:val="continue"/>
            <w:vAlign w:val="center"/>
          </w:tcPr>
          <w:p>
            <w:pPr>
              <w:spacing w:line="240" w:lineRule="auto"/>
              <w:ind w:firstLine="0" w:firstLineChars="0"/>
              <w:jc w:val="center"/>
              <w:rPr>
                <w:sz w:val="21"/>
                <w:szCs w:val="21"/>
              </w:rPr>
            </w:pPr>
          </w:p>
        </w:tc>
        <w:tc>
          <w:tcPr>
            <w:tcW w:w="736" w:type="pct"/>
            <w:vAlign w:val="center"/>
          </w:tcPr>
          <w:p>
            <w:pPr>
              <w:snapToGrid w:val="0"/>
              <w:spacing w:line="240" w:lineRule="auto"/>
              <w:ind w:firstLine="0" w:firstLineChars="0"/>
              <w:jc w:val="center"/>
              <w:rPr>
                <w:sz w:val="21"/>
                <w:szCs w:val="21"/>
              </w:rPr>
            </w:pPr>
            <w:r>
              <w:rPr>
                <w:rFonts w:hint="eastAsia"/>
                <w:sz w:val="21"/>
                <w:szCs w:val="21"/>
              </w:rPr>
              <w:t>64.76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12" w:type="pct"/>
            <w:vAlign w:val="center"/>
          </w:tcPr>
          <w:p>
            <w:pPr>
              <w:snapToGrid w:val="0"/>
              <w:spacing w:line="240" w:lineRule="auto"/>
              <w:ind w:firstLine="0" w:firstLineChars="0"/>
              <w:jc w:val="center"/>
              <w:rPr>
                <w:sz w:val="21"/>
                <w:szCs w:val="21"/>
              </w:rPr>
            </w:pPr>
            <w:r>
              <w:rPr>
                <w:sz w:val="21"/>
                <w:szCs w:val="21"/>
              </w:rPr>
              <w:t>4</w:t>
            </w:r>
          </w:p>
        </w:tc>
        <w:tc>
          <w:tcPr>
            <w:tcW w:w="1154" w:type="pct"/>
            <w:vAlign w:val="center"/>
          </w:tcPr>
          <w:p>
            <w:pPr>
              <w:widowControl/>
              <w:snapToGrid w:val="0"/>
              <w:spacing w:line="240" w:lineRule="auto"/>
              <w:ind w:firstLine="0" w:firstLineChars="0"/>
              <w:jc w:val="center"/>
              <w:rPr>
                <w:kern w:val="0"/>
                <w:sz w:val="21"/>
                <w:szCs w:val="21"/>
              </w:rPr>
            </w:pPr>
            <w:r>
              <w:rPr>
                <w:rFonts w:hint="eastAsia" w:ascii="宋体" w:hAnsi="宋体" w:cs="宋体"/>
                <w:kern w:val="21"/>
                <w:sz w:val="21"/>
                <w:szCs w:val="21"/>
              </w:rPr>
              <w:t>搅拌机</w:t>
            </w:r>
          </w:p>
        </w:tc>
        <w:tc>
          <w:tcPr>
            <w:tcW w:w="702" w:type="pct"/>
            <w:vAlign w:val="center"/>
          </w:tcPr>
          <w:p>
            <w:pPr>
              <w:widowControl/>
              <w:snapToGrid w:val="0"/>
              <w:spacing w:line="240" w:lineRule="auto"/>
              <w:ind w:firstLine="0" w:firstLineChars="0"/>
              <w:jc w:val="center"/>
              <w:rPr>
                <w:kern w:val="0"/>
                <w:sz w:val="21"/>
                <w:szCs w:val="21"/>
              </w:rPr>
            </w:pPr>
            <w:r>
              <w:rPr>
                <w:rFonts w:hint="eastAsia"/>
                <w:kern w:val="0"/>
                <w:sz w:val="21"/>
                <w:szCs w:val="21"/>
              </w:rPr>
              <w:t>2</w:t>
            </w:r>
          </w:p>
        </w:tc>
        <w:tc>
          <w:tcPr>
            <w:tcW w:w="940" w:type="pct"/>
            <w:vAlign w:val="center"/>
          </w:tcPr>
          <w:p>
            <w:pPr>
              <w:snapToGrid w:val="0"/>
              <w:spacing w:line="240" w:lineRule="auto"/>
              <w:ind w:firstLine="0" w:firstLineChars="0"/>
              <w:jc w:val="center"/>
              <w:rPr>
                <w:sz w:val="21"/>
                <w:szCs w:val="21"/>
              </w:rPr>
            </w:pPr>
            <w:r>
              <w:rPr>
                <w:sz w:val="21"/>
                <w:szCs w:val="21"/>
              </w:rPr>
              <w:t>80</w:t>
            </w:r>
          </w:p>
        </w:tc>
        <w:tc>
          <w:tcPr>
            <w:tcW w:w="1153" w:type="pct"/>
            <w:vMerge w:val="continue"/>
            <w:vAlign w:val="center"/>
          </w:tcPr>
          <w:p>
            <w:pPr>
              <w:spacing w:line="240" w:lineRule="auto"/>
              <w:ind w:firstLine="0" w:firstLineChars="0"/>
              <w:jc w:val="center"/>
              <w:rPr>
                <w:sz w:val="21"/>
                <w:szCs w:val="21"/>
              </w:rPr>
            </w:pPr>
          </w:p>
        </w:tc>
        <w:tc>
          <w:tcPr>
            <w:tcW w:w="736" w:type="pct"/>
            <w:vAlign w:val="center"/>
          </w:tcPr>
          <w:p>
            <w:pPr>
              <w:snapToGrid w:val="0"/>
              <w:spacing w:line="240" w:lineRule="auto"/>
              <w:ind w:firstLine="0" w:firstLineChars="0"/>
              <w:jc w:val="center"/>
              <w:rPr>
                <w:sz w:val="21"/>
                <w:szCs w:val="21"/>
              </w:rPr>
            </w:pPr>
            <w:r>
              <w:rPr>
                <w:rFonts w:hint="eastAsia"/>
                <w:sz w:val="21"/>
                <w:szCs w:val="21"/>
              </w:rPr>
              <w:t>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 w:hRule="atLeast"/>
          <w:jc w:val="center"/>
        </w:trPr>
        <w:tc>
          <w:tcPr>
            <w:tcW w:w="312" w:type="pct"/>
            <w:vAlign w:val="center"/>
          </w:tcPr>
          <w:p>
            <w:pPr>
              <w:snapToGrid w:val="0"/>
              <w:spacing w:line="240" w:lineRule="auto"/>
              <w:ind w:firstLine="0" w:firstLineChars="0"/>
              <w:jc w:val="center"/>
              <w:rPr>
                <w:sz w:val="21"/>
                <w:szCs w:val="21"/>
              </w:rPr>
            </w:pPr>
            <w:r>
              <w:rPr>
                <w:rFonts w:hint="eastAsia"/>
                <w:sz w:val="21"/>
                <w:szCs w:val="21"/>
              </w:rPr>
              <w:t>5</w:t>
            </w:r>
          </w:p>
        </w:tc>
        <w:tc>
          <w:tcPr>
            <w:tcW w:w="1154" w:type="pct"/>
            <w:vAlign w:val="center"/>
          </w:tcPr>
          <w:p>
            <w:pPr>
              <w:widowControl/>
              <w:snapToGrid w:val="0"/>
              <w:spacing w:line="240" w:lineRule="auto"/>
              <w:ind w:firstLine="0" w:firstLineChars="0"/>
              <w:jc w:val="center"/>
              <w:rPr>
                <w:kern w:val="0"/>
                <w:sz w:val="21"/>
                <w:szCs w:val="21"/>
              </w:rPr>
            </w:pPr>
            <w:r>
              <w:rPr>
                <w:rFonts w:hint="eastAsia"/>
                <w:kern w:val="0"/>
                <w:sz w:val="21"/>
                <w:szCs w:val="21"/>
              </w:rPr>
              <w:t>高速分散釜</w:t>
            </w:r>
          </w:p>
        </w:tc>
        <w:tc>
          <w:tcPr>
            <w:tcW w:w="702" w:type="pct"/>
            <w:vAlign w:val="center"/>
          </w:tcPr>
          <w:p>
            <w:pPr>
              <w:widowControl/>
              <w:snapToGrid w:val="0"/>
              <w:spacing w:line="240" w:lineRule="auto"/>
              <w:ind w:firstLine="0" w:firstLineChars="0"/>
              <w:jc w:val="center"/>
              <w:rPr>
                <w:kern w:val="0"/>
                <w:sz w:val="21"/>
                <w:szCs w:val="21"/>
              </w:rPr>
            </w:pPr>
            <w:r>
              <w:rPr>
                <w:rFonts w:hint="eastAsia"/>
                <w:kern w:val="0"/>
                <w:sz w:val="21"/>
                <w:szCs w:val="21"/>
              </w:rPr>
              <w:t>1</w:t>
            </w:r>
          </w:p>
        </w:tc>
        <w:tc>
          <w:tcPr>
            <w:tcW w:w="940" w:type="pct"/>
            <w:vAlign w:val="center"/>
          </w:tcPr>
          <w:p>
            <w:pPr>
              <w:snapToGrid w:val="0"/>
              <w:spacing w:line="240" w:lineRule="auto"/>
              <w:ind w:firstLine="0" w:firstLineChars="0"/>
              <w:jc w:val="center"/>
              <w:rPr>
                <w:sz w:val="21"/>
                <w:szCs w:val="21"/>
              </w:rPr>
            </w:pPr>
            <w:r>
              <w:rPr>
                <w:rFonts w:hint="eastAsia"/>
                <w:sz w:val="21"/>
                <w:szCs w:val="21"/>
              </w:rPr>
              <w:t>80</w:t>
            </w:r>
          </w:p>
        </w:tc>
        <w:tc>
          <w:tcPr>
            <w:tcW w:w="1153" w:type="pct"/>
            <w:vMerge w:val="continue"/>
            <w:vAlign w:val="center"/>
          </w:tcPr>
          <w:p>
            <w:pPr>
              <w:spacing w:line="240" w:lineRule="auto"/>
              <w:ind w:firstLine="0" w:firstLineChars="0"/>
              <w:jc w:val="center"/>
              <w:rPr>
                <w:sz w:val="21"/>
                <w:szCs w:val="21"/>
              </w:rPr>
            </w:pPr>
          </w:p>
        </w:tc>
        <w:tc>
          <w:tcPr>
            <w:tcW w:w="736" w:type="pct"/>
            <w:vAlign w:val="center"/>
          </w:tcPr>
          <w:p>
            <w:pPr>
              <w:snapToGrid w:val="0"/>
              <w:spacing w:line="240" w:lineRule="auto"/>
              <w:ind w:firstLine="0" w:firstLineChars="0"/>
              <w:jc w:val="center"/>
              <w:rPr>
                <w:sz w:val="21"/>
                <w:szCs w:val="21"/>
              </w:rPr>
            </w:pPr>
            <w:r>
              <w:rPr>
                <w:rFonts w:hint="eastAsia"/>
                <w:sz w:val="21"/>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12" w:type="pct"/>
            <w:vAlign w:val="center"/>
          </w:tcPr>
          <w:p>
            <w:pPr>
              <w:snapToGrid w:val="0"/>
              <w:spacing w:line="240" w:lineRule="auto"/>
              <w:ind w:firstLine="0" w:firstLineChars="0"/>
              <w:jc w:val="center"/>
              <w:rPr>
                <w:sz w:val="21"/>
                <w:szCs w:val="21"/>
              </w:rPr>
            </w:pPr>
            <w:r>
              <w:rPr>
                <w:rFonts w:hint="eastAsia"/>
                <w:sz w:val="21"/>
                <w:szCs w:val="21"/>
              </w:rPr>
              <w:t>6</w:t>
            </w:r>
          </w:p>
        </w:tc>
        <w:tc>
          <w:tcPr>
            <w:tcW w:w="1154" w:type="pct"/>
            <w:vAlign w:val="center"/>
          </w:tcPr>
          <w:p>
            <w:pPr>
              <w:widowControl/>
              <w:snapToGrid w:val="0"/>
              <w:spacing w:line="240" w:lineRule="auto"/>
              <w:ind w:firstLine="0" w:firstLineChars="0"/>
              <w:jc w:val="center"/>
              <w:rPr>
                <w:kern w:val="0"/>
                <w:sz w:val="21"/>
                <w:szCs w:val="21"/>
              </w:rPr>
            </w:pPr>
            <w:r>
              <w:rPr>
                <w:rFonts w:hint="eastAsia"/>
                <w:kern w:val="0"/>
                <w:sz w:val="21"/>
                <w:szCs w:val="21"/>
              </w:rPr>
              <w:t>风机</w:t>
            </w:r>
          </w:p>
        </w:tc>
        <w:tc>
          <w:tcPr>
            <w:tcW w:w="702" w:type="pct"/>
            <w:vAlign w:val="center"/>
          </w:tcPr>
          <w:p>
            <w:pPr>
              <w:widowControl/>
              <w:snapToGrid w:val="0"/>
              <w:spacing w:line="240" w:lineRule="auto"/>
              <w:ind w:firstLine="0" w:firstLineChars="0"/>
              <w:jc w:val="center"/>
              <w:rPr>
                <w:kern w:val="0"/>
                <w:sz w:val="21"/>
                <w:szCs w:val="21"/>
              </w:rPr>
            </w:pPr>
            <w:r>
              <w:rPr>
                <w:rFonts w:hint="eastAsia"/>
                <w:kern w:val="0"/>
                <w:sz w:val="21"/>
                <w:szCs w:val="21"/>
              </w:rPr>
              <w:t>2</w:t>
            </w:r>
          </w:p>
        </w:tc>
        <w:tc>
          <w:tcPr>
            <w:tcW w:w="940" w:type="pct"/>
            <w:vAlign w:val="center"/>
          </w:tcPr>
          <w:p>
            <w:pPr>
              <w:snapToGrid w:val="0"/>
              <w:spacing w:line="240" w:lineRule="auto"/>
              <w:ind w:firstLine="0" w:firstLineChars="0"/>
              <w:jc w:val="center"/>
              <w:rPr>
                <w:sz w:val="21"/>
                <w:szCs w:val="21"/>
              </w:rPr>
            </w:pPr>
            <w:r>
              <w:rPr>
                <w:rFonts w:hint="eastAsia"/>
                <w:sz w:val="21"/>
                <w:szCs w:val="21"/>
              </w:rPr>
              <w:t>85</w:t>
            </w:r>
          </w:p>
        </w:tc>
        <w:tc>
          <w:tcPr>
            <w:tcW w:w="1153" w:type="pct"/>
            <w:vMerge w:val="continue"/>
            <w:vAlign w:val="center"/>
          </w:tcPr>
          <w:p>
            <w:pPr>
              <w:spacing w:line="240" w:lineRule="auto"/>
              <w:ind w:firstLine="0" w:firstLineChars="0"/>
              <w:jc w:val="center"/>
              <w:rPr>
                <w:sz w:val="21"/>
                <w:szCs w:val="21"/>
              </w:rPr>
            </w:pPr>
          </w:p>
        </w:tc>
        <w:tc>
          <w:tcPr>
            <w:tcW w:w="736" w:type="pct"/>
            <w:vAlign w:val="center"/>
          </w:tcPr>
          <w:p>
            <w:pPr>
              <w:snapToGrid w:val="0"/>
              <w:spacing w:line="240" w:lineRule="auto"/>
              <w:ind w:firstLine="0" w:firstLineChars="0"/>
              <w:jc w:val="center"/>
              <w:rPr>
                <w:sz w:val="21"/>
                <w:szCs w:val="21"/>
              </w:rPr>
            </w:pPr>
            <w:r>
              <w:rPr>
                <w:rFonts w:hint="eastAsia"/>
                <w:sz w:val="21"/>
                <w:szCs w:val="21"/>
              </w:rPr>
              <w:t>68</w:t>
            </w:r>
          </w:p>
        </w:tc>
      </w:tr>
    </w:tbl>
    <w:p>
      <w:pPr>
        <w:ind w:firstLine="480"/>
        <w:rPr>
          <w:kern w:val="0"/>
          <w:u w:val="single"/>
        </w:rPr>
      </w:pPr>
      <w:r>
        <w:rPr>
          <w:kern w:val="0"/>
          <w:u w:val="single"/>
        </w:rPr>
        <w:t>设计对噪声防治拟采取的措施为：选用</w:t>
      </w:r>
      <w:r>
        <w:rPr>
          <w:rFonts w:hint="eastAsia"/>
          <w:kern w:val="0"/>
          <w:u w:val="single"/>
        </w:rPr>
        <w:t>低噪声型号设备，“闹静分开”和合理布局的设置原则，尽量将高噪声源远离厂界，在设备连接处安装减震垫、车间内墙加装隔音棉，主排风管道增加消音器，厂区种植降噪绿植等治理措施</w:t>
      </w:r>
      <w:r>
        <w:rPr>
          <w:kern w:val="0"/>
          <w:u w:val="single"/>
        </w:rPr>
        <w:t>，可降低噪声10～20dB</w:t>
      </w:r>
      <w:r>
        <w:rPr>
          <w:rFonts w:hint="eastAsia"/>
          <w:kern w:val="0"/>
          <w:u w:val="single"/>
        </w:rPr>
        <w:t>（</w:t>
      </w:r>
      <w:r>
        <w:rPr>
          <w:kern w:val="0"/>
          <w:u w:val="single"/>
        </w:rPr>
        <w:t>A</w:t>
      </w:r>
      <w:r>
        <w:rPr>
          <w:rFonts w:hint="eastAsia"/>
          <w:kern w:val="0"/>
          <w:u w:val="single"/>
        </w:rPr>
        <w:t>）</w:t>
      </w:r>
      <w:r>
        <w:rPr>
          <w:kern w:val="0"/>
          <w:u w:val="single"/>
        </w:rPr>
        <w:t>。</w:t>
      </w:r>
    </w:p>
    <w:p>
      <w:pPr>
        <w:pStyle w:val="7"/>
        <w:ind w:firstLine="562"/>
      </w:pPr>
      <w:bookmarkStart w:id="77" w:name="_Toc28337"/>
      <w:bookmarkStart w:id="78" w:name="_Toc31891"/>
      <w:r>
        <w:rPr>
          <w:rFonts w:hint="eastAsia"/>
        </w:rPr>
        <w:t>4.3.4 固体废物</w:t>
      </w:r>
      <w:bookmarkEnd w:id="77"/>
      <w:bookmarkEnd w:id="78"/>
    </w:p>
    <w:p>
      <w:pPr>
        <w:ind w:firstLine="480"/>
      </w:pPr>
      <w:r>
        <w:t>本项目产生的固体废物主要有</w:t>
      </w:r>
      <w:r>
        <w:rPr>
          <w:rFonts w:hint="eastAsia"/>
        </w:rPr>
        <w:t>一般工业固废、危险固废和生活垃圾</w:t>
      </w:r>
      <w:r>
        <w:t>。</w:t>
      </w:r>
    </w:p>
    <w:p>
      <w:pPr>
        <w:ind w:firstLine="480"/>
      </w:pPr>
      <w:bookmarkStart w:id="79" w:name="_Toc29019"/>
      <w:bookmarkStart w:id="80" w:name="_Toc17052"/>
      <w:r>
        <w:rPr>
          <w:rFonts w:hint="eastAsia"/>
        </w:rPr>
        <w:t>（1）废原材料包装</w:t>
      </w:r>
    </w:p>
    <w:p>
      <w:pPr>
        <w:ind w:firstLine="480"/>
      </w:pPr>
      <w:r>
        <w:rPr>
          <w:rFonts w:hint="eastAsia"/>
          <w:lang w:eastAsia="zh-CN"/>
        </w:rPr>
        <w:t>项目原料包装包含两部分，其中一部分为颗粒、钙粉等包装袋为一般固废，产生量为</w:t>
      </w:r>
      <w:r>
        <w:rPr>
          <w:rFonts w:hint="eastAsia"/>
          <w:lang w:val="en-US" w:eastAsia="zh-CN"/>
        </w:rPr>
        <w:t>7.5t/a，此部分外售资源回收部分；另一部分</w:t>
      </w:r>
      <w:r>
        <w:t>废原料包装袋</w:t>
      </w:r>
      <w:r>
        <w:rPr>
          <w:rFonts w:hint="eastAsia"/>
          <w:lang w:eastAsia="zh-CN"/>
        </w:rPr>
        <w:t>为</w:t>
      </w:r>
      <w:r>
        <w:t>水性树脂、功能材料等各个产品的产生过程中均会产生包装桶。由《国家危险废物名录（2021年版）》（部令第15号），废原料包装材料属于</w:t>
      </w:r>
      <w:r>
        <w:rPr>
          <w:rFonts w:hint="eastAsia"/>
          <w:lang w:eastAsia="zh-CN"/>
        </w:rPr>
        <w:t>“</w:t>
      </w:r>
      <w:r>
        <w:t>HW49非特定行业</w:t>
      </w:r>
      <w:r>
        <w:rPr>
          <w:rFonts w:hint="eastAsia"/>
          <w:lang w:eastAsia="zh-CN"/>
        </w:rPr>
        <w:t>”</w:t>
      </w:r>
      <w:r>
        <w:t>，废物代码</w:t>
      </w:r>
      <w:r>
        <w:rPr>
          <w:rFonts w:hint="eastAsia"/>
          <w:lang w:eastAsia="zh-CN"/>
        </w:rPr>
        <w:t>“</w:t>
      </w:r>
      <w:r>
        <w:t>900-047-49生产</w:t>
      </w:r>
      <w:r>
        <w:rPr>
          <w:rFonts w:hint="eastAsia"/>
          <w:lang w:eastAsia="zh-CN"/>
        </w:rPr>
        <w:t>含有有毒有害物质的</w:t>
      </w:r>
      <w:r>
        <w:t>包装物</w:t>
      </w:r>
      <w:r>
        <w:rPr>
          <w:rFonts w:hint="eastAsia"/>
          <w:lang w:eastAsia="zh-CN"/>
        </w:rPr>
        <w:t>”</w:t>
      </w:r>
      <w:r>
        <w:t>，废染料、助剂包装袋用密封塑料袋盛装，并分区置于危险废物暂存场内。但根据《关于用于原始用途的含有或直接沾染危险废物的包装物、容器是否属于危险废物问题的复函》（环函</w:t>
      </w:r>
      <w:r>
        <w:rPr>
          <w:rFonts w:hint="eastAsia"/>
        </w:rPr>
        <w:t>〔</w:t>
      </w:r>
      <w:r>
        <w:t>2014</w:t>
      </w:r>
      <w:r>
        <w:rPr>
          <w:rFonts w:hint="eastAsia"/>
        </w:rPr>
        <w:t>〕</w:t>
      </w:r>
      <w:r>
        <w:t>126号）和《关于用于原始用途的含有或直接沾染危险废物的包装物、容器属性认定有关问题的复函》（环办政法函</w:t>
      </w:r>
      <w:r>
        <w:rPr>
          <w:rFonts w:hint="eastAsia" w:ascii="宋体" w:hAnsi="宋体" w:cs="宋体"/>
        </w:rPr>
        <w:t>〔</w:t>
      </w:r>
      <w:r>
        <w:t>2017</w:t>
      </w:r>
      <w:r>
        <w:rPr>
          <w:rFonts w:hint="eastAsia" w:ascii="宋体" w:hAnsi="宋体" w:cs="宋体"/>
        </w:rPr>
        <w:t>〕</w:t>
      </w:r>
      <w:r>
        <w:t>573号）相关要求，对于用于原始用途的含有或直接沾染危险废物的包装物、容器不属于固体废物，也不属于危险废物。本项目使用的包装袋和包装桶容量均为20kg~200kg，由于项目产生的包装材料中的大型包装桶是由供应商回收用于原始用途，该部分不属于固体废物，也不属于危险废物，但应按照危险废物相关管理规范，暂存于厂区内</w:t>
      </w:r>
      <w:r>
        <w:rPr>
          <w:rFonts w:hint="eastAsia"/>
        </w:rPr>
        <w:t>；</w:t>
      </w:r>
      <w:r>
        <w:t>剩余的包装袋和小型包装桶按照危险废物相关管理规范，暂存于厂区后，委托有相应资质的危废处置单位进行处理，约3.2t/a。</w:t>
      </w:r>
    </w:p>
    <w:p>
      <w:pPr>
        <w:ind w:firstLine="480"/>
      </w:pPr>
      <w:r>
        <w:t>（</w:t>
      </w:r>
      <w:r>
        <w:rPr>
          <w:rFonts w:hint="eastAsia"/>
        </w:rPr>
        <w:t>2</w:t>
      </w:r>
      <w:r>
        <w:t>）</w:t>
      </w:r>
      <w:bookmarkEnd w:id="79"/>
      <w:bookmarkEnd w:id="80"/>
      <w:r>
        <w:rPr>
          <w:rFonts w:hint="eastAsia"/>
        </w:rPr>
        <w:t>产品滤渣</w:t>
      </w:r>
    </w:p>
    <w:p>
      <w:pPr>
        <w:ind w:firstLine="480"/>
      </w:pPr>
      <w:r>
        <w:t>根据建设单位提供的资料，树脂、功能材料等各产品取样化验合格后，通过过滤机过滤，过滤时会产生滤渣。产品过滤废渣主要是粒度达不到产品质量要求的颗粒，树脂滤渣的主要是分子量达不到产品质量要求的树脂残渣，建设单位应委托有相应资质单位处理。经</w:t>
      </w:r>
      <w:r>
        <w:rPr>
          <w:rFonts w:hint="eastAsia"/>
        </w:rPr>
        <w:t>工程分析</w:t>
      </w:r>
      <w:r>
        <w:t>计算可得滤渣量约</w:t>
      </w:r>
      <w:r>
        <w:rPr>
          <w:rFonts w:hint="eastAsia"/>
          <w:lang w:val="en-US" w:eastAsia="zh-CN"/>
        </w:rPr>
        <w:t>45.715</w:t>
      </w:r>
      <w:r>
        <w:t>t/a。树脂及功能材料滤渣属于《国家危险废物名录（2021年版）》（部令第15号）中编号为</w:t>
      </w:r>
      <w:r>
        <w:rPr>
          <w:rFonts w:hint="eastAsia"/>
          <w:lang w:eastAsia="zh-CN"/>
        </w:rPr>
        <w:t>“</w:t>
      </w:r>
      <w:r>
        <w:t>HW13合成材料制造</w:t>
      </w:r>
      <w:r>
        <w:rPr>
          <w:rFonts w:hint="eastAsia"/>
          <w:lang w:eastAsia="zh-CN"/>
        </w:rPr>
        <w:t>”</w:t>
      </w:r>
      <w:r>
        <w:t>，废物代码</w:t>
      </w:r>
      <w:r>
        <w:rPr>
          <w:rFonts w:hint="eastAsia"/>
          <w:lang w:eastAsia="zh-CN"/>
        </w:rPr>
        <w:t>“</w:t>
      </w:r>
      <w:r>
        <w:t>265-103-13</w:t>
      </w:r>
      <w:r>
        <w:rPr>
          <w:rFonts w:hint="eastAsia"/>
          <w:lang w:eastAsia="zh-CN"/>
        </w:rPr>
        <w:t>”</w:t>
      </w:r>
      <w:r>
        <w:t>树脂危险废物。产品过滤废渣主要是分子量达不到产品质量要求的树脂，建设单位应委托有相应资质单位处理。</w:t>
      </w:r>
    </w:p>
    <w:p>
      <w:pPr>
        <w:ind w:firstLine="480"/>
      </w:pPr>
      <w:bookmarkStart w:id="81" w:name="_Toc23288"/>
      <w:bookmarkStart w:id="82" w:name="_Toc565"/>
      <w:r>
        <w:rPr>
          <w:rFonts w:hint="eastAsia"/>
        </w:rPr>
        <w:t>（3）</w:t>
      </w:r>
      <w:bookmarkEnd w:id="81"/>
      <w:bookmarkEnd w:id="82"/>
      <w:r>
        <w:rPr>
          <w:rFonts w:hint="eastAsia"/>
        </w:rPr>
        <w:t>污水处理站污泥</w:t>
      </w:r>
    </w:p>
    <w:p>
      <w:pPr>
        <w:pStyle w:val="25"/>
        <w:widowControl/>
        <w:spacing w:beforeAutospacing="0" w:afterAutospacing="0"/>
        <w:ind w:firstLine="480"/>
        <w:jc w:val="both"/>
        <w:rPr>
          <w:u w:val="single"/>
        </w:rPr>
      </w:pPr>
      <w:r>
        <w:rPr>
          <w:u w:val="single"/>
        </w:rPr>
        <w:t>参考《集中式污染治理设施产排污系数手册》（环境保护部华南环境科学研究所，2010年修订），化工工业废水集中处理设施絮凝沉淀等过程污泥产生系数为4.53t/t絮凝剂，每处理1t废水投加0.1kg絮凝剂，根据上述水污染物源强计算，废水处理量为</w:t>
      </w:r>
      <w:r>
        <w:rPr>
          <w:rFonts w:hint="eastAsia"/>
          <w:u w:val="single"/>
          <w:lang w:val="en-US" w:eastAsia="zh-CN"/>
        </w:rPr>
        <w:t>11910.0508</w:t>
      </w:r>
      <w:r>
        <w:rPr>
          <w:u w:val="single"/>
        </w:rPr>
        <w:t>m/a，絮凝剂用量约为</w:t>
      </w:r>
      <w:r>
        <w:rPr>
          <w:rFonts w:hint="eastAsia"/>
          <w:u w:val="single"/>
          <w:lang w:val="en-US" w:eastAsia="zh-CN"/>
        </w:rPr>
        <w:t>1.191</w:t>
      </w:r>
      <w:r>
        <w:rPr>
          <w:u w:val="single"/>
        </w:rPr>
        <w:t>t/a，则物化污泥产生量约为</w:t>
      </w:r>
      <w:r>
        <w:rPr>
          <w:rFonts w:hint="eastAsia"/>
          <w:u w:val="single"/>
          <w:lang w:val="en-US" w:eastAsia="zh-CN"/>
        </w:rPr>
        <w:t>5.955</w:t>
      </w:r>
      <w:r>
        <w:rPr>
          <w:u w:val="single"/>
        </w:rPr>
        <w:t>t/a（含水率约80%）。生物处理过程污泥的产生系数为1.25thCODc，每去除1tCODc，则产生1.25t生化污泥，根据水污染物源强计算，生化处理过程CODc的去除量为</w:t>
      </w:r>
      <w:r>
        <w:rPr>
          <w:rFonts w:hint="eastAsia"/>
          <w:u w:val="single"/>
          <w:lang w:val="en-US" w:eastAsia="zh-CN"/>
        </w:rPr>
        <w:t>2.51</w:t>
      </w:r>
      <w:r>
        <w:rPr>
          <w:u w:val="single"/>
        </w:rPr>
        <w:t>t，则生化污泥产生量约为</w:t>
      </w:r>
      <w:r>
        <w:rPr>
          <w:rFonts w:hint="eastAsia"/>
          <w:u w:val="single"/>
          <w:lang w:val="en-US" w:eastAsia="zh-CN"/>
        </w:rPr>
        <w:t>3.318</w:t>
      </w:r>
      <w:r>
        <w:rPr>
          <w:u w:val="single"/>
        </w:rPr>
        <w:t>t/a（含水率约80%）。</w:t>
      </w:r>
    </w:p>
    <w:p>
      <w:pPr>
        <w:pStyle w:val="25"/>
        <w:widowControl/>
        <w:spacing w:beforeAutospacing="0" w:afterAutospacing="0"/>
        <w:ind w:firstLine="480"/>
        <w:jc w:val="both"/>
      </w:pPr>
      <w:r>
        <w:t>混凝沉淀产生的污泥属于《国家危险废物名录（2021年版）》（部令第15号）中编号为</w:t>
      </w:r>
      <w:r>
        <w:rPr>
          <w:rFonts w:hint="eastAsia"/>
          <w:lang w:eastAsia="zh-CN"/>
        </w:rPr>
        <w:t>“</w:t>
      </w:r>
      <w:r>
        <w:t>HW13合成材料制造</w:t>
      </w:r>
      <w:r>
        <w:rPr>
          <w:rFonts w:hint="eastAsia"/>
          <w:lang w:eastAsia="zh-CN"/>
        </w:rPr>
        <w:t>”</w:t>
      </w:r>
      <w:r>
        <w:t>，废物代码</w:t>
      </w:r>
      <w:r>
        <w:rPr>
          <w:rFonts w:hint="eastAsia"/>
          <w:lang w:eastAsia="zh-CN"/>
        </w:rPr>
        <w:t>“</w:t>
      </w:r>
      <w:r>
        <w:t>265-104-13树脂（不包括水性聚氨酯乳液、水性丙烯酸乳液、水性聚氨酯丙烯酸复合乳液）、合成乳胶、增塑剂、胶水/胶合剂合成过程中产生的废水处理污泥（不包括废水生化处理污泥）</w:t>
      </w:r>
      <w:r>
        <w:rPr>
          <w:rFonts w:hint="eastAsia"/>
          <w:lang w:eastAsia="zh-CN"/>
        </w:rPr>
        <w:t>”</w:t>
      </w:r>
      <w:r>
        <w:t>的危险废物，建设单位应委托有相应资质单位处理。</w:t>
      </w:r>
    </w:p>
    <w:p>
      <w:pPr>
        <w:ind w:firstLine="480"/>
      </w:pPr>
      <w:r>
        <w:rPr>
          <w:rFonts w:hint="eastAsia"/>
        </w:rPr>
        <w:t>（4）废气处理固废</w:t>
      </w:r>
    </w:p>
    <w:p>
      <w:pPr>
        <w:pStyle w:val="25"/>
        <w:widowControl/>
        <w:spacing w:beforeAutospacing="0" w:afterAutospacing="0"/>
        <w:ind w:firstLine="480"/>
      </w:pPr>
      <w:r>
        <w:t>本项目生产过程产生的有机废气通过</w:t>
      </w:r>
      <w:r>
        <w:rPr>
          <w:rFonts w:hint="eastAsia"/>
          <w:lang w:eastAsia="zh-CN"/>
        </w:rPr>
        <w:t>“</w:t>
      </w:r>
      <w:r>
        <w:rPr>
          <w:rFonts w:hint="eastAsia"/>
        </w:rPr>
        <w:t>吸附浓缩+催化燃烧</w:t>
      </w:r>
      <w:r>
        <w:t>装置</w:t>
      </w:r>
      <w:r>
        <w:rPr>
          <w:rFonts w:hint="eastAsia"/>
          <w:lang w:eastAsia="zh-CN"/>
        </w:rPr>
        <w:t>”</w:t>
      </w:r>
      <w:r>
        <w:t>处理，其中活性炭吸附装置</w:t>
      </w:r>
      <w:r>
        <w:rPr>
          <w:rFonts w:hint="eastAsia"/>
        </w:rPr>
        <w:t>用于</w:t>
      </w:r>
      <w:r>
        <w:t>吸附</w:t>
      </w:r>
      <w:r>
        <w:rPr>
          <w:rFonts w:hint="eastAsia"/>
        </w:rPr>
        <w:t>和脱附</w:t>
      </w:r>
      <w:r>
        <w:t>有机废气</w:t>
      </w:r>
      <w:r>
        <w:rPr>
          <w:rFonts w:hint="eastAsia"/>
        </w:rPr>
        <w:t>，废气处理过程使用少量的活性炭</w:t>
      </w:r>
      <w:r>
        <w:t>。项目活性炭装置需定期更换，由环保设备厂家及活性炭生产厂家提供资料可知，活性炭更换频率约为</w:t>
      </w:r>
      <w:r>
        <w:rPr>
          <w:rFonts w:hint="eastAsia"/>
        </w:rPr>
        <w:t>1</w:t>
      </w:r>
      <w:r>
        <w:t>次/年，每次更换量为</w:t>
      </w:r>
      <w:r>
        <w:rPr>
          <w:rFonts w:hint="eastAsia"/>
        </w:rPr>
        <w:t>0.5</w:t>
      </w:r>
      <w:r>
        <w:t>t/a</w:t>
      </w:r>
      <w:r>
        <w:rPr>
          <w:rFonts w:hint="eastAsia"/>
        </w:rPr>
        <w:t>，</w:t>
      </w:r>
      <w:r>
        <w:t>废活性炭</w:t>
      </w:r>
      <w:r>
        <w:rPr>
          <w:rFonts w:hint="eastAsia"/>
        </w:rPr>
        <w:t>年产生量为0.5t。</w:t>
      </w:r>
    </w:p>
    <w:p>
      <w:pPr>
        <w:ind w:firstLine="480"/>
      </w:pPr>
      <w:r>
        <w:rPr>
          <w:rFonts w:hint="eastAsia"/>
        </w:rPr>
        <w:t>企业污水处理系统废气，使用二级活性炭吸附装置吸附，根据《挥发性有机物的物化性质与活性炭饱和吸附量的相关性研究》（《化工环保》2007年第27卷第5期）中内容，挥发性有机物活性炭饱和吸附量约为200~300mg/g，本报告有机废气活性炭饱和吸附量以300mg/g计，项目废气吸附量为2.84t/a，则废弃活性炭量为0.852t/a，废弃活性炭属于《国家危险废物名录》（2021年）中危险废物，危废编号HW49：900-039-49。</w:t>
      </w:r>
    </w:p>
    <w:p>
      <w:pPr>
        <w:ind w:firstLine="480"/>
        <w:rPr>
          <w:u w:val="single"/>
        </w:rPr>
      </w:pPr>
      <w:r>
        <w:rPr>
          <w:rFonts w:hint="eastAsia"/>
          <w:u w:val="single"/>
        </w:rPr>
        <w:t>本项目营运后厂区设置1套催化燃烧装置对产品生产过程中产生的有机废气进行燃烧处理，催化燃烧装置所用催化剂为铂贵金属催化剂，其在运行过程中会产生废催化剂。根据环保设备单位提供的经验数据，催化剂更换周期为4～5年，每次更换产生废催化剂2.5t。根据《国家危险废物名录》（2021年版），危废编号HW49：900-039-49。</w:t>
      </w:r>
    </w:p>
    <w:p>
      <w:pPr>
        <w:ind w:firstLine="480"/>
      </w:pPr>
      <w:bookmarkStart w:id="83" w:name="_Toc7030"/>
      <w:bookmarkStart w:id="84" w:name="_Toc24394"/>
      <w:r>
        <w:t>（</w:t>
      </w:r>
      <w:r>
        <w:rPr>
          <w:rFonts w:hint="eastAsia"/>
        </w:rPr>
        <w:t>5</w:t>
      </w:r>
      <w:r>
        <w:t>）</w:t>
      </w:r>
      <w:bookmarkEnd w:id="83"/>
      <w:bookmarkEnd w:id="84"/>
      <w:r>
        <w:rPr>
          <w:rFonts w:hint="eastAsia"/>
        </w:rPr>
        <w:t>废弃边角料</w:t>
      </w:r>
    </w:p>
    <w:p>
      <w:pPr>
        <w:ind w:firstLine="480"/>
      </w:pPr>
      <w:r>
        <w:rPr>
          <w:rFonts w:hint="eastAsia"/>
        </w:rPr>
        <w:t>根据工程分析</w:t>
      </w:r>
      <w:r>
        <w:t>，</w:t>
      </w:r>
      <w:r>
        <w:rPr>
          <w:rFonts w:hint="eastAsia"/>
        </w:rPr>
        <w:t>废弃边角料主要是人工草坪生产工序产生的边角料，产生量为</w:t>
      </w:r>
      <w:r>
        <w:rPr>
          <w:rFonts w:hint="eastAsia"/>
          <w:lang w:val="en-US" w:eastAsia="zh-CN"/>
        </w:rPr>
        <w:t>8.75</w:t>
      </w:r>
      <w:r>
        <w:rPr>
          <w:rFonts w:hint="eastAsia"/>
        </w:rPr>
        <w:t>t/a，EPDM颗粒过滤工序产生的</w:t>
      </w:r>
      <w:r>
        <w:rPr>
          <w:rFonts w:hint="eastAsia" w:cs="Times New Roman"/>
          <w:color w:val="000000"/>
          <w:kern w:val="0"/>
          <w:lang w:bidi="ar"/>
        </w:rPr>
        <w:t>不符合规格产品17.5t/a</w:t>
      </w:r>
      <w:r>
        <w:t>。</w:t>
      </w:r>
      <w:r>
        <w:rPr>
          <w:rFonts w:hint="eastAsia"/>
        </w:rPr>
        <w:t>此部分固废全部外售资源回收部门。</w:t>
      </w:r>
    </w:p>
    <w:p>
      <w:pPr>
        <w:ind w:firstLine="480"/>
      </w:pPr>
      <w:bookmarkStart w:id="85" w:name="_Toc19100"/>
      <w:bookmarkStart w:id="86" w:name="_Toc8813"/>
      <w:r>
        <w:t>（</w:t>
      </w:r>
      <w:r>
        <w:rPr>
          <w:rFonts w:hint="eastAsia"/>
        </w:rPr>
        <w:t>6</w:t>
      </w:r>
      <w:r>
        <w:t>）</w:t>
      </w:r>
      <w:r>
        <w:rPr>
          <w:rFonts w:hint="eastAsia"/>
        </w:rPr>
        <w:t>除尘器卸灰</w:t>
      </w:r>
      <w:bookmarkEnd w:id="85"/>
      <w:bookmarkEnd w:id="86"/>
    </w:p>
    <w:p>
      <w:pPr>
        <w:ind w:firstLine="480"/>
      </w:pPr>
      <w:r>
        <w:rPr>
          <w:rFonts w:hint="eastAsia"/>
        </w:rPr>
        <w:t>根据计算，除尘器卸灰为</w:t>
      </w:r>
      <w:r>
        <w:rPr>
          <w:rFonts w:hint="eastAsia"/>
          <w:lang w:val="en-US" w:eastAsia="zh-CN"/>
        </w:rPr>
        <w:t>1.1</w:t>
      </w:r>
      <w:r>
        <w:rPr>
          <w:rFonts w:hint="eastAsia"/>
        </w:rPr>
        <w:t>t/a，主要成分为粉尘，定期</w:t>
      </w:r>
      <w:r>
        <w:rPr>
          <w:rFonts w:hint="eastAsia"/>
          <w:lang w:eastAsia="zh-CN"/>
        </w:rPr>
        <w:t>由环卫清运</w:t>
      </w:r>
      <w:r>
        <w:rPr>
          <w:rFonts w:hint="eastAsia"/>
        </w:rPr>
        <w:t>。</w:t>
      </w:r>
    </w:p>
    <w:p>
      <w:pPr>
        <w:ind w:firstLine="480"/>
      </w:pPr>
      <w:bookmarkStart w:id="87" w:name="_Toc15972"/>
      <w:bookmarkStart w:id="88" w:name="_Toc13032"/>
      <w:r>
        <w:t>（</w:t>
      </w:r>
      <w:r>
        <w:rPr>
          <w:rFonts w:hint="eastAsia"/>
        </w:rPr>
        <w:t>7</w:t>
      </w:r>
      <w:r>
        <w:t>）</w:t>
      </w:r>
      <w:bookmarkEnd w:id="87"/>
      <w:bookmarkEnd w:id="88"/>
      <w:r>
        <w:rPr>
          <w:rFonts w:hint="eastAsia"/>
        </w:rPr>
        <w:t>喷淋塔沉渣</w:t>
      </w:r>
    </w:p>
    <w:p>
      <w:pPr>
        <w:pStyle w:val="25"/>
        <w:widowControl/>
        <w:spacing w:beforeAutospacing="0" w:afterAutospacing="0"/>
        <w:ind w:firstLine="480"/>
        <w:jc w:val="both"/>
      </w:pPr>
      <w:r>
        <w:t>项目喷淋塔循环水箱中的水在冷却废气时，会有部分</w:t>
      </w:r>
      <w:r>
        <w:rPr>
          <w:rFonts w:hint="eastAsia"/>
        </w:rPr>
        <w:t>颗粒</w:t>
      </w:r>
      <w:r>
        <w:t>烟气经水冷却后，冷凝到水中，经絮凝沉淀后成为沉渣，上层浮油及沉渣需要定期清捞，并补充新鲜水。漂浮物及沉渣每隔5天清理一次，根据工程分析喷淋塔对颗粒的去除量为0.</w:t>
      </w:r>
      <w:r>
        <w:rPr>
          <w:rFonts w:hint="eastAsia"/>
          <w:lang w:val="en-US" w:eastAsia="zh-CN"/>
        </w:rPr>
        <w:t>1</w:t>
      </w:r>
      <w:r>
        <w:rPr>
          <w:rFonts w:hint="eastAsia"/>
        </w:rPr>
        <w:t>27</w:t>
      </w:r>
      <w:r>
        <w:t>t/a，打捞的漂浮物及沉渣含水量约为90%，由此核算漂浮物及沉渣产生量为</w:t>
      </w:r>
      <w:r>
        <w:rPr>
          <w:rFonts w:hint="eastAsia"/>
          <w:lang w:val="en-US" w:eastAsia="zh-CN"/>
        </w:rPr>
        <w:t>1</w:t>
      </w:r>
      <w:r>
        <w:rPr>
          <w:rFonts w:hint="eastAsia"/>
        </w:rPr>
        <w:t>.27</w:t>
      </w:r>
      <w:r>
        <w:t>t/a，属于《国家危险废物名录（2021年版）》（部令第15号）中编号为</w:t>
      </w:r>
      <w:r>
        <w:rPr>
          <w:rFonts w:hint="eastAsia"/>
          <w:lang w:eastAsia="zh-CN"/>
        </w:rPr>
        <w:t>“</w:t>
      </w:r>
      <w:r>
        <w:t>HW13合成材料制造</w:t>
      </w:r>
      <w:r>
        <w:rPr>
          <w:rFonts w:hint="eastAsia"/>
          <w:lang w:eastAsia="zh-CN"/>
        </w:rPr>
        <w:t>”</w:t>
      </w:r>
      <w:r>
        <w:t>，废物代码</w:t>
      </w:r>
      <w:r>
        <w:rPr>
          <w:rFonts w:hint="eastAsia"/>
          <w:lang w:eastAsia="zh-CN"/>
        </w:rPr>
        <w:t>“</w:t>
      </w:r>
      <w:r>
        <w:t>265-104-13树脂（不包括水性聚氨酯乳液、水性丙烯酸乳液、水性聚氨酯丙烯酸复合乳液）、合成乳胶、增塑剂、胶水/胶合剂合成过程中产生的废水处理污泥（不包括废水生化处理污泥）</w:t>
      </w:r>
      <w:r>
        <w:rPr>
          <w:rFonts w:hint="eastAsia"/>
          <w:lang w:eastAsia="zh-CN"/>
        </w:rPr>
        <w:t>”</w:t>
      </w:r>
      <w:r>
        <w:t>的危险废物，建设单位应委托有相应资质单位处理。</w:t>
      </w:r>
    </w:p>
    <w:p>
      <w:pPr>
        <w:ind w:firstLine="480"/>
      </w:pPr>
      <w:bookmarkStart w:id="89" w:name="_Toc26351"/>
      <w:bookmarkStart w:id="90" w:name="_Toc7607"/>
      <w:r>
        <w:t>（</w:t>
      </w:r>
      <w:r>
        <w:rPr>
          <w:rFonts w:hint="eastAsia"/>
        </w:rPr>
        <w:t>8</w:t>
      </w:r>
      <w:r>
        <w:t>）生活垃圾</w:t>
      </w:r>
      <w:bookmarkEnd w:id="89"/>
      <w:bookmarkEnd w:id="90"/>
    </w:p>
    <w:p>
      <w:pPr>
        <w:ind w:firstLine="480"/>
      </w:pPr>
      <w:r>
        <w:t>生活垃圾成分主要是瓜果皮核、饮料包装瓶等，本项目员工</w:t>
      </w:r>
      <w:r>
        <w:rPr>
          <w:rFonts w:hint="eastAsia"/>
        </w:rPr>
        <w:t>100</w:t>
      </w:r>
      <w:r>
        <w:t>人，年工作天数300天，员工垃圾系数为0.5kg/d·人，则该项目产生生活垃圾</w:t>
      </w:r>
      <w:r>
        <w:rPr>
          <w:rFonts w:hint="eastAsia"/>
        </w:rPr>
        <w:t>50</w:t>
      </w:r>
      <w:r>
        <w:t>kg/d，</w:t>
      </w:r>
      <w:r>
        <w:rPr>
          <w:rFonts w:hint="eastAsia"/>
        </w:rPr>
        <w:t>15</w:t>
      </w:r>
      <w:r>
        <w:t>t/a，由环卫部门集中收集后统一处置。</w:t>
      </w:r>
    </w:p>
    <w:p>
      <w:pPr>
        <w:ind w:firstLine="480"/>
      </w:pPr>
      <w:bookmarkStart w:id="91" w:name="_Toc1433"/>
      <w:bookmarkStart w:id="92" w:name="_Toc11037"/>
      <w:r>
        <w:t>（</w:t>
      </w:r>
      <w:r>
        <w:rPr>
          <w:rFonts w:hint="eastAsia"/>
        </w:rPr>
        <w:t>9</w:t>
      </w:r>
      <w:r>
        <w:t>）废机油</w:t>
      </w:r>
      <w:bookmarkEnd w:id="91"/>
      <w:bookmarkEnd w:id="92"/>
    </w:p>
    <w:p>
      <w:pPr>
        <w:ind w:firstLine="480"/>
      </w:pPr>
      <w:r>
        <w:t>本项目设备维修废机油产生量约为0.01t/a，暂存于危废暂存间，定期委托有资质单位处置。危废编号HW</w:t>
      </w:r>
      <w:r>
        <w:rPr>
          <w:rFonts w:hint="eastAsia"/>
        </w:rPr>
        <w:t>08</w:t>
      </w:r>
      <w:r>
        <w:t>：900-214-08。</w:t>
      </w:r>
    </w:p>
    <w:p>
      <w:pPr>
        <w:pStyle w:val="39"/>
        <w:autoSpaceDE w:val="0"/>
        <w:ind w:firstLine="480"/>
        <w:jc w:val="both"/>
        <w:rPr>
          <w:rFonts w:ascii="Times New Roman" w:hAnsi="Times New Roman" w:cs="Times New Roman"/>
          <w:color w:val="000000"/>
          <w:lang w:val="en-US"/>
        </w:rPr>
      </w:pPr>
      <w:r>
        <w:rPr>
          <w:rFonts w:ascii="Times New Roman" w:hAnsi="Times New Roman" w:cs="Times New Roman"/>
          <w:color w:val="000000"/>
          <w:lang w:val="en-US"/>
        </w:rPr>
        <w:t>根据《国家危险废物名录》（2021）的规定，危险废物分析结果如表</w:t>
      </w:r>
      <w:r>
        <w:rPr>
          <w:rFonts w:hint="eastAsia" w:ascii="Times New Roman" w:hAnsi="Times New Roman" w:cs="Times New Roman"/>
          <w:color w:val="000000"/>
          <w:lang w:val="en-US"/>
        </w:rPr>
        <w:t>4.2-11</w:t>
      </w:r>
      <w:r>
        <w:rPr>
          <w:rFonts w:ascii="Times New Roman" w:hAnsi="Times New Roman" w:cs="Times New Roman"/>
          <w:color w:val="000000"/>
          <w:lang w:val="en-US"/>
        </w:rPr>
        <w:t>所示。</w:t>
      </w:r>
    </w:p>
    <w:p>
      <w:pPr>
        <w:pStyle w:val="13"/>
        <w:ind w:firstLine="482"/>
        <w:jc w:val="center"/>
        <w:rPr>
          <w:rFonts w:ascii="Times New Roman" w:hAnsi="Times New Roman" w:cs="Times New Roman"/>
          <w:b/>
          <w:bCs/>
          <w:color w:val="000000"/>
          <w:kern w:val="0"/>
          <w:lang w:val="en-US"/>
        </w:rPr>
      </w:pPr>
    </w:p>
    <w:p>
      <w:pPr>
        <w:rPr>
          <w:lang w:val="en-US"/>
        </w:rPr>
      </w:pPr>
    </w:p>
    <w:p>
      <w:pPr>
        <w:pStyle w:val="13"/>
        <w:ind w:firstLine="482"/>
        <w:jc w:val="center"/>
        <w:rPr>
          <w:rFonts w:ascii="Times New Roman" w:hAnsi="Times New Roman" w:cs="Times New Roman"/>
          <w:b/>
          <w:bCs/>
          <w:color w:val="000000"/>
          <w:kern w:val="0"/>
          <w:lang w:val="en-US"/>
        </w:rPr>
      </w:pPr>
      <w:r>
        <w:rPr>
          <w:rFonts w:ascii="Times New Roman" w:hAnsi="Times New Roman" w:cs="Times New Roman"/>
          <w:b/>
          <w:bCs/>
          <w:color w:val="000000"/>
          <w:kern w:val="0"/>
          <w:lang w:val="en-US"/>
        </w:rPr>
        <w:t>表</w:t>
      </w:r>
      <w:r>
        <w:rPr>
          <w:rFonts w:hint="eastAsia" w:ascii="Times New Roman" w:hAnsi="Times New Roman" w:cs="Times New Roman"/>
          <w:b/>
          <w:bCs/>
          <w:color w:val="000000"/>
          <w:kern w:val="0"/>
          <w:lang w:val="en-US"/>
        </w:rPr>
        <w:t>4.3-11</w:t>
      </w:r>
      <w:r>
        <w:rPr>
          <w:rFonts w:ascii="Times New Roman" w:hAnsi="Times New Roman" w:cs="Times New Roman"/>
          <w:b/>
          <w:bCs/>
          <w:color w:val="000000"/>
          <w:kern w:val="0"/>
          <w:lang w:val="en-US"/>
        </w:rPr>
        <w:t xml:space="preserve">  项目危险废物分析结果汇总表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5"/>
        <w:gridCol w:w="1103"/>
        <w:gridCol w:w="885"/>
        <w:gridCol w:w="947"/>
        <w:gridCol w:w="480"/>
        <w:gridCol w:w="543"/>
        <w:gridCol w:w="468"/>
        <w:gridCol w:w="717"/>
        <w:gridCol w:w="674"/>
        <w:gridCol w:w="620"/>
        <w:gridCol w:w="687"/>
        <w:gridCol w:w="646"/>
        <w:gridCol w:w="10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50" w:type="pct"/>
            <w:vAlign w:val="center"/>
          </w:tcPr>
          <w:p>
            <w:pPr>
              <w:widowControl/>
              <w:spacing w:line="240" w:lineRule="auto"/>
              <w:ind w:firstLine="0" w:firstLineChars="0"/>
              <w:jc w:val="center"/>
              <w:rPr>
                <w:kern w:val="0"/>
                <w:sz w:val="21"/>
                <w:szCs w:val="21"/>
              </w:rPr>
            </w:pPr>
            <w:r>
              <w:rPr>
                <w:kern w:val="0"/>
                <w:sz w:val="21"/>
                <w:szCs w:val="21"/>
              </w:rPr>
              <w:t>序号</w:t>
            </w:r>
          </w:p>
        </w:tc>
        <w:tc>
          <w:tcPr>
            <w:tcW w:w="593" w:type="pct"/>
            <w:vAlign w:val="center"/>
          </w:tcPr>
          <w:p>
            <w:pPr>
              <w:widowControl/>
              <w:spacing w:line="240" w:lineRule="auto"/>
              <w:ind w:firstLine="0" w:firstLineChars="0"/>
              <w:jc w:val="center"/>
              <w:rPr>
                <w:kern w:val="0"/>
                <w:sz w:val="21"/>
                <w:szCs w:val="21"/>
              </w:rPr>
            </w:pPr>
            <w:r>
              <w:rPr>
                <w:kern w:val="0"/>
                <w:sz w:val="21"/>
                <w:szCs w:val="21"/>
              </w:rPr>
              <w:t>危废名称</w:t>
            </w:r>
          </w:p>
        </w:tc>
        <w:tc>
          <w:tcPr>
            <w:tcW w:w="476" w:type="pct"/>
            <w:vAlign w:val="center"/>
          </w:tcPr>
          <w:p>
            <w:pPr>
              <w:widowControl/>
              <w:spacing w:line="240" w:lineRule="auto"/>
              <w:ind w:firstLine="0" w:firstLineChars="0"/>
              <w:jc w:val="center"/>
              <w:rPr>
                <w:kern w:val="0"/>
                <w:sz w:val="21"/>
                <w:szCs w:val="21"/>
              </w:rPr>
            </w:pPr>
            <w:r>
              <w:rPr>
                <w:kern w:val="0"/>
                <w:sz w:val="21"/>
                <w:szCs w:val="21"/>
              </w:rPr>
              <w:t>危废代码</w:t>
            </w:r>
          </w:p>
        </w:tc>
        <w:tc>
          <w:tcPr>
            <w:tcW w:w="509" w:type="pct"/>
            <w:vAlign w:val="center"/>
          </w:tcPr>
          <w:p>
            <w:pPr>
              <w:widowControl/>
              <w:spacing w:line="240" w:lineRule="auto"/>
              <w:ind w:firstLine="0" w:firstLineChars="0"/>
              <w:jc w:val="center"/>
              <w:rPr>
                <w:kern w:val="0"/>
                <w:sz w:val="21"/>
                <w:szCs w:val="21"/>
              </w:rPr>
            </w:pPr>
            <w:r>
              <w:rPr>
                <w:kern w:val="0"/>
                <w:sz w:val="21"/>
                <w:szCs w:val="21"/>
              </w:rPr>
              <w:t>危废类别</w:t>
            </w:r>
          </w:p>
        </w:tc>
        <w:tc>
          <w:tcPr>
            <w:tcW w:w="258" w:type="pct"/>
            <w:vAlign w:val="center"/>
          </w:tcPr>
          <w:p>
            <w:pPr>
              <w:widowControl/>
              <w:spacing w:line="240" w:lineRule="auto"/>
              <w:ind w:firstLine="0" w:firstLineChars="0"/>
              <w:jc w:val="center"/>
              <w:rPr>
                <w:kern w:val="0"/>
                <w:sz w:val="21"/>
                <w:szCs w:val="21"/>
              </w:rPr>
            </w:pPr>
            <w:r>
              <w:rPr>
                <w:kern w:val="0"/>
                <w:sz w:val="21"/>
                <w:szCs w:val="21"/>
              </w:rPr>
              <w:t>属性</w:t>
            </w:r>
          </w:p>
        </w:tc>
        <w:tc>
          <w:tcPr>
            <w:tcW w:w="292" w:type="pct"/>
            <w:vAlign w:val="center"/>
          </w:tcPr>
          <w:p>
            <w:pPr>
              <w:widowControl/>
              <w:spacing w:line="240" w:lineRule="auto"/>
              <w:ind w:firstLine="0" w:firstLineChars="0"/>
              <w:jc w:val="center"/>
              <w:rPr>
                <w:kern w:val="0"/>
                <w:sz w:val="21"/>
                <w:szCs w:val="21"/>
              </w:rPr>
            </w:pPr>
            <w:r>
              <w:rPr>
                <w:kern w:val="0"/>
                <w:sz w:val="21"/>
                <w:szCs w:val="21"/>
              </w:rPr>
              <w:t>产生工序</w:t>
            </w:r>
          </w:p>
        </w:tc>
        <w:tc>
          <w:tcPr>
            <w:tcW w:w="251" w:type="pct"/>
            <w:vAlign w:val="center"/>
          </w:tcPr>
          <w:p>
            <w:pPr>
              <w:widowControl/>
              <w:spacing w:line="240" w:lineRule="auto"/>
              <w:ind w:firstLine="0" w:firstLineChars="0"/>
              <w:jc w:val="center"/>
              <w:rPr>
                <w:kern w:val="0"/>
                <w:sz w:val="21"/>
                <w:szCs w:val="21"/>
              </w:rPr>
            </w:pPr>
            <w:r>
              <w:rPr>
                <w:kern w:val="0"/>
                <w:sz w:val="21"/>
                <w:szCs w:val="21"/>
              </w:rPr>
              <w:t>形态</w:t>
            </w:r>
          </w:p>
        </w:tc>
        <w:tc>
          <w:tcPr>
            <w:tcW w:w="385" w:type="pct"/>
            <w:vAlign w:val="center"/>
          </w:tcPr>
          <w:p>
            <w:pPr>
              <w:widowControl/>
              <w:spacing w:line="240" w:lineRule="auto"/>
              <w:ind w:firstLine="0" w:firstLineChars="0"/>
              <w:jc w:val="center"/>
              <w:rPr>
                <w:kern w:val="0"/>
                <w:sz w:val="21"/>
                <w:szCs w:val="21"/>
              </w:rPr>
            </w:pPr>
            <w:r>
              <w:rPr>
                <w:kern w:val="0"/>
                <w:sz w:val="21"/>
                <w:szCs w:val="21"/>
              </w:rPr>
              <w:t>主要成分</w:t>
            </w:r>
          </w:p>
        </w:tc>
        <w:tc>
          <w:tcPr>
            <w:tcW w:w="362" w:type="pct"/>
            <w:vAlign w:val="center"/>
          </w:tcPr>
          <w:p>
            <w:pPr>
              <w:widowControl/>
              <w:spacing w:line="240" w:lineRule="auto"/>
              <w:ind w:firstLine="0" w:firstLineChars="0"/>
              <w:jc w:val="center"/>
              <w:rPr>
                <w:kern w:val="0"/>
                <w:sz w:val="21"/>
                <w:szCs w:val="21"/>
              </w:rPr>
            </w:pPr>
            <w:r>
              <w:rPr>
                <w:kern w:val="0"/>
                <w:sz w:val="21"/>
                <w:szCs w:val="21"/>
              </w:rPr>
              <w:t>有害成分</w:t>
            </w:r>
          </w:p>
        </w:tc>
        <w:tc>
          <w:tcPr>
            <w:tcW w:w="333" w:type="pct"/>
            <w:vAlign w:val="center"/>
          </w:tcPr>
          <w:p>
            <w:pPr>
              <w:widowControl/>
              <w:spacing w:line="240" w:lineRule="auto"/>
              <w:ind w:firstLine="0" w:firstLineChars="0"/>
              <w:jc w:val="center"/>
              <w:rPr>
                <w:kern w:val="0"/>
                <w:sz w:val="21"/>
                <w:szCs w:val="21"/>
              </w:rPr>
            </w:pPr>
            <w:r>
              <w:rPr>
                <w:kern w:val="0"/>
                <w:sz w:val="21"/>
                <w:szCs w:val="21"/>
              </w:rPr>
              <w:t>产废周期</w:t>
            </w:r>
          </w:p>
        </w:tc>
        <w:tc>
          <w:tcPr>
            <w:tcW w:w="369" w:type="pct"/>
            <w:vAlign w:val="center"/>
          </w:tcPr>
          <w:p>
            <w:pPr>
              <w:widowControl/>
              <w:spacing w:line="240" w:lineRule="auto"/>
              <w:ind w:firstLine="0" w:firstLineChars="0"/>
              <w:jc w:val="center"/>
              <w:rPr>
                <w:kern w:val="0"/>
                <w:sz w:val="21"/>
                <w:szCs w:val="21"/>
              </w:rPr>
            </w:pPr>
            <w:r>
              <w:rPr>
                <w:kern w:val="0"/>
                <w:sz w:val="21"/>
                <w:szCs w:val="21"/>
              </w:rPr>
              <w:t>危险特性</w:t>
            </w:r>
          </w:p>
        </w:tc>
        <w:tc>
          <w:tcPr>
            <w:tcW w:w="347" w:type="pct"/>
            <w:vAlign w:val="center"/>
          </w:tcPr>
          <w:p>
            <w:pPr>
              <w:widowControl/>
              <w:spacing w:line="240" w:lineRule="auto"/>
              <w:ind w:firstLine="0" w:firstLineChars="0"/>
              <w:jc w:val="center"/>
              <w:rPr>
                <w:kern w:val="0"/>
                <w:sz w:val="21"/>
                <w:szCs w:val="21"/>
              </w:rPr>
            </w:pPr>
            <w:r>
              <w:rPr>
                <w:kern w:val="0"/>
                <w:sz w:val="21"/>
                <w:szCs w:val="21"/>
              </w:rPr>
              <w:t>产生量t/a</w:t>
            </w:r>
          </w:p>
        </w:tc>
        <w:tc>
          <w:tcPr>
            <w:tcW w:w="566" w:type="pct"/>
            <w:vAlign w:val="center"/>
          </w:tcPr>
          <w:p>
            <w:pPr>
              <w:widowControl/>
              <w:spacing w:line="240" w:lineRule="auto"/>
              <w:ind w:firstLine="0" w:firstLineChars="0"/>
              <w:jc w:val="center"/>
              <w:rPr>
                <w:kern w:val="0"/>
                <w:sz w:val="21"/>
                <w:szCs w:val="21"/>
              </w:rPr>
            </w:pPr>
            <w:r>
              <w:rPr>
                <w:kern w:val="0"/>
                <w:sz w:val="21"/>
                <w:szCs w:val="21"/>
              </w:rPr>
              <w:t>污染防治措施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50" w:type="pct"/>
            <w:vAlign w:val="center"/>
          </w:tcPr>
          <w:p>
            <w:pPr>
              <w:widowControl/>
              <w:spacing w:line="240" w:lineRule="auto"/>
              <w:ind w:firstLine="0" w:firstLineChars="0"/>
              <w:jc w:val="center"/>
              <w:rPr>
                <w:kern w:val="0"/>
                <w:sz w:val="21"/>
                <w:szCs w:val="21"/>
              </w:rPr>
            </w:pPr>
            <w:r>
              <w:rPr>
                <w:kern w:val="0"/>
                <w:sz w:val="21"/>
                <w:szCs w:val="21"/>
              </w:rPr>
              <w:t>1</w:t>
            </w:r>
          </w:p>
        </w:tc>
        <w:tc>
          <w:tcPr>
            <w:tcW w:w="593" w:type="pct"/>
            <w:vAlign w:val="center"/>
          </w:tcPr>
          <w:p>
            <w:pPr>
              <w:widowControl/>
              <w:spacing w:line="240" w:lineRule="auto"/>
              <w:ind w:firstLine="0" w:firstLineChars="0"/>
              <w:jc w:val="center"/>
              <w:rPr>
                <w:kern w:val="0"/>
                <w:sz w:val="21"/>
                <w:szCs w:val="21"/>
              </w:rPr>
            </w:pPr>
            <w:r>
              <w:rPr>
                <w:kern w:val="0"/>
                <w:sz w:val="21"/>
                <w:szCs w:val="21"/>
              </w:rPr>
              <w:t>废</w:t>
            </w:r>
            <w:r>
              <w:rPr>
                <w:rFonts w:hint="eastAsia"/>
                <w:kern w:val="0"/>
                <w:sz w:val="21"/>
                <w:szCs w:val="21"/>
              </w:rPr>
              <w:t>机油</w:t>
            </w:r>
          </w:p>
        </w:tc>
        <w:tc>
          <w:tcPr>
            <w:tcW w:w="476" w:type="pct"/>
            <w:vAlign w:val="center"/>
          </w:tcPr>
          <w:p>
            <w:pPr>
              <w:widowControl/>
              <w:spacing w:line="240" w:lineRule="auto"/>
              <w:ind w:firstLine="0" w:firstLineChars="0"/>
              <w:jc w:val="center"/>
              <w:rPr>
                <w:kern w:val="0"/>
                <w:sz w:val="21"/>
                <w:szCs w:val="21"/>
              </w:rPr>
            </w:pPr>
            <w:r>
              <w:rPr>
                <w:kern w:val="0"/>
                <w:sz w:val="21"/>
                <w:szCs w:val="21"/>
              </w:rPr>
              <w:t>900-214-08</w:t>
            </w:r>
          </w:p>
        </w:tc>
        <w:tc>
          <w:tcPr>
            <w:tcW w:w="509" w:type="pct"/>
            <w:vAlign w:val="center"/>
          </w:tcPr>
          <w:p>
            <w:pPr>
              <w:widowControl/>
              <w:spacing w:line="240" w:lineRule="auto"/>
              <w:ind w:firstLine="0" w:firstLineChars="0"/>
              <w:jc w:val="center"/>
              <w:rPr>
                <w:kern w:val="0"/>
                <w:sz w:val="21"/>
                <w:szCs w:val="21"/>
              </w:rPr>
            </w:pPr>
            <w:r>
              <w:rPr>
                <w:kern w:val="0"/>
                <w:sz w:val="21"/>
                <w:szCs w:val="21"/>
              </w:rPr>
              <w:t>HW</w:t>
            </w:r>
            <w:r>
              <w:rPr>
                <w:rFonts w:hint="eastAsia"/>
                <w:kern w:val="0"/>
                <w:sz w:val="21"/>
                <w:szCs w:val="21"/>
              </w:rPr>
              <w:t>08</w:t>
            </w:r>
          </w:p>
        </w:tc>
        <w:tc>
          <w:tcPr>
            <w:tcW w:w="258" w:type="pct"/>
            <w:vMerge w:val="restart"/>
            <w:vAlign w:val="center"/>
          </w:tcPr>
          <w:p>
            <w:pPr>
              <w:widowControl/>
              <w:spacing w:line="240" w:lineRule="auto"/>
              <w:ind w:firstLine="0" w:firstLineChars="0"/>
              <w:jc w:val="center"/>
              <w:rPr>
                <w:kern w:val="0"/>
                <w:sz w:val="21"/>
                <w:szCs w:val="21"/>
              </w:rPr>
            </w:pPr>
            <w:r>
              <w:rPr>
                <w:kern w:val="0"/>
                <w:sz w:val="21"/>
                <w:szCs w:val="21"/>
              </w:rPr>
              <w:t>危险</w:t>
            </w:r>
          </w:p>
          <w:p>
            <w:pPr>
              <w:widowControl/>
              <w:spacing w:line="240" w:lineRule="auto"/>
              <w:ind w:firstLine="0" w:firstLineChars="0"/>
              <w:jc w:val="center"/>
              <w:rPr>
                <w:kern w:val="0"/>
                <w:sz w:val="21"/>
                <w:szCs w:val="21"/>
              </w:rPr>
            </w:pPr>
            <w:r>
              <w:rPr>
                <w:kern w:val="0"/>
                <w:sz w:val="21"/>
                <w:szCs w:val="21"/>
              </w:rPr>
              <w:t>废物</w:t>
            </w:r>
          </w:p>
        </w:tc>
        <w:tc>
          <w:tcPr>
            <w:tcW w:w="292" w:type="pct"/>
            <w:vAlign w:val="center"/>
          </w:tcPr>
          <w:p>
            <w:pPr>
              <w:widowControl/>
              <w:spacing w:line="240" w:lineRule="auto"/>
              <w:ind w:firstLine="0" w:firstLineChars="0"/>
              <w:jc w:val="center"/>
              <w:rPr>
                <w:kern w:val="0"/>
                <w:sz w:val="21"/>
                <w:szCs w:val="21"/>
              </w:rPr>
            </w:pPr>
            <w:r>
              <w:rPr>
                <w:rFonts w:hint="eastAsia"/>
                <w:kern w:val="0"/>
                <w:sz w:val="21"/>
                <w:szCs w:val="21"/>
              </w:rPr>
              <w:t>设备维修</w:t>
            </w:r>
          </w:p>
        </w:tc>
        <w:tc>
          <w:tcPr>
            <w:tcW w:w="251" w:type="pct"/>
            <w:vAlign w:val="center"/>
          </w:tcPr>
          <w:p>
            <w:pPr>
              <w:widowControl/>
              <w:spacing w:line="240" w:lineRule="auto"/>
              <w:ind w:firstLine="0" w:firstLineChars="0"/>
              <w:jc w:val="center"/>
              <w:rPr>
                <w:kern w:val="0"/>
                <w:sz w:val="21"/>
                <w:szCs w:val="21"/>
              </w:rPr>
            </w:pPr>
            <w:r>
              <w:rPr>
                <w:rFonts w:hint="eastAsia"/>
                <w:kern w:val="0"/>
                <w:sz w:val="21"/>
                <w:szCs w:val="21"/>
              </w:rPr>
              <w:t>液态</w:t>
            </w:r>
          </w:p>
        </w:tc>
        <w:tc>
          <w:tcPr>
            <w:tcW w:w="385" w:type="pct"/>
            <w:vAlign w:val="center"/>
          </w:tcPr>
          <w:p>
            <w:pPr>
              <w:widowControl/>
              <w:spacing w:line="240" w:lineRule="auto"/>
              <w:ind w:firstLine="0" w:firstLineChars="0"/>
              <w:jc w:val="center"/>
              <w:rPr>
                <w:kern w:val="0"/>
                <w:sz w:val="21"/>
                <w:szCs w:val="21"/>
              </w:rPr>
            </w:pPr>
            <w:r>
              <w:rPr>
                <w:kern w:val="0"/>
                <w:sz w:val="21"/>
                <w:szCs w:val="21"/>
              </w:rPr>
              <w:t>危险化学品</w:t>
            </w:r>
          </w:p>
        </w:tc>
        <w:tc>
          <w:tcPr>
            <w:tcW w:w="362" w:type="pct"/>
            <w:vAlign w:val="center"/>
          </w:tcPr>
          <w:p>
            <w:pPr>
              <w:widowControl/>
              <w:spacing w:line="240" w:lineRule="auto"/>
              <w:ind w:firstLine="0" w:firstLineChars="0"/>
              <w:jc w:val="center"/>
              <w:rPr>
                <w:kern w:val="0"/>
                <w:sz w:val="21"/>
                <w:szCs w:val="21"/>
              </w:rPr>
            </w:pPr>
            <w:r>
              <w:rPr>
                <w:kern w:val="0"/>
                <w:sz w:val="21"/>
                <w:szCs w:val="21"/>
              </w:rPr>
              <w:t>危险化学品</w:t>
            </w:r>
          </w:p>
        </w:tc>
        <w:tc>
          <w:tcPr>
            <w:tcW w:w="333" w:type="pct"/>
            <w:vAlign w:val="center"/>
          </w:tcPr>
          <w:p>
            <w:pPr>
              <w:widowControl/>
              <w:spacing w:line="240" w:lineRule="auto"/>
              <w:ind w:firstLine="0" w:firstLineChars="0"/>
              <w:jc w:val="center"/>
              <w:rPr>
                <w:kern w:val="0"/>
                <w:sz w:val="21"/>
                <w:szCs w:val="21"/>
              </w:rPr>
            </w:pPr>
            <w:r>
              <w:rPr>
                <w:kern w:val="0"/>
                <w:sz w:val="21"/>
                <w:szCs w:val="21"/>
              </w:rPr>
              <w:t>2个月</w:t>
            </w:r>
          </w:p>
        </w:tc>
        <w:tc>
          <w:tcPr>
            <w:tcW w:w="369" w:type="pct"/>
            <w:vAlign w:val="center"/>
          </w:tcPr>
          <w:p>
            <w:pPr>
              <w:widowControl/>
              <w:spacing w:line="240" w:lineRule="auto"/>
              <w:ind w:firstLine="0" w:firstLineChars="0"/>
              <w:jc w:val="center"/>
              <w:rPr>
                <w:kern w:val="0"/>
                <w:sz w:val="21"/>
                <w:szCs w:val="21"/>
              </w:rPr>
            </w:pPr>
            <w:r>
              <w:rPr>
                <w:kern w:val="0"/>
                <w:sz w:val="21"/>
                <w:szCs w:val="21"/>
              </w:rPr>
              <w:t>T</w:t>
            </w:r>
            <w:r>
              <w:rPr>
                <w:rFonts w:hint="eastAsia"/>
                <w:kern w:val="0"/>
                <w:sz w:val="21"/>
                <w:szCs w:val="21"/>
              </w:rPr>
              <w:t>，T</w:t>
            </w:r>
          </w:p>
        </w:tc>
        <w:tc>
          <w:tcPr>
            <w:tcW w:w="347" w:type="pct"/>
            <w:vAlign w:val="center"/>
          </w:tcPr>
          <w:p>
            <w:pPr>
              <w:widowControl/>
              <w:spacing w:line="240" w:lineRule="auto"/>
              <w:ind w:firstLine="0" w:firstLineChars="0"/>
              <w:jc w:val="center"/>
              <w:rPr>
                <w:kern w:val="0"/>
                <w:sz w:val="21"/>
                <w:szCs w:val="21"/>
              </w:rPr>
            </w:pPr>
            <w:r>
              <w:rPr>
                <w:kern w:val="0"/>
                <w:sz w:val="21"/>
                <w:szCs w:val="21"/>
              </w:rPr>
              <w:t>0.</w:t>
            </w:r>
            <w:r>
              <w:rPr>
                <w:rFonts w:hint="eastAsia"/>
                <w:kern w:val="0"/>
                <w:sz w:val="21"/>
                <w:szCs w:val="21"/>
              </w:rPr>
              <w:t>01</w:t>
            </w:r>
          </w:p>
        </w:tc>
        <w:tc>
          <w:tcPr>
            <w:tcW w:w="566" w:type="pct"/>
            <w:vMerge w:val="restart"/>
            <w:vAlign w:val="center"/>
          </w:tcPr>
          <w:p>
            <w:pPr>
              <w:widowControl/>
              <w:spacing w:line="240" w:lineRule="auto"/>
              <w:ind w:firstLine="0" w:firstLineChars="0"/>
              <w:jc w:val="center"/>
              <w:rPr>
                <w:kern w:val="0"/>
                <w:sz w:val="21"/>
                <w:szCs w:val="21"/>
              </w:rPr>
            </w:pPr>
            <w:r>
              <w:rPr>
                <w:kern w:val="0"/>
                <w:sz w:val="21"/>
                <w:szCs w:val="21"/>
              </w:rPr>
              <w:t>厂区暂存，定期交由有资质单位处理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50" w:type="pct"/>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r>
              <w:rPr>
                <w:rFonts w:cs="Times New Roman"/>
                <w:color w:val="000000" w:themeColor="text1"/>
                <w:sz w:val="21"/>
                <w:szCs w:val="21"/>
                <w14:textFill>
                  <w14:solidFill>
                    <w14:schemeClr w14:val="tx1"/>
                  </w14:solidFill>
                </w14:textFill>
              </w:rPr>
              <w:t>2</w:t>
            </w:r>
          </w:p>
        </w:tc>
        <w:tc>
          <w:tcPr>
            <w:tcW w:w="593" w:type="pct"/>
            <w:vAlign w:val="center"/>
          </w:tcPr>
          <w:p>
            <w:pPr>
              <w:spacing w:line="240" w:lineRule="auto"/>
              <w:ind w:firstLine="0" w:firstLineChars="0"/>
              <w:jc w:val="center"/>
              <w:rPr>
                <w:rFonts w:cs="Times New Roman"/>
                <w:color w:val="000000" w:themeColor="text1"/>
                <w:sz w:val="21"/>
                <w:szCs w:val="21"/>
                <w:lang w:bidi="zh-CN"/>
                <w14:textFill>
                  <w14:solidFill>
                    <w14:schemeClr w14:val="tx1"/>
                  </w14:solidFill>
                </w14:textFill>
              </w:rPr>
            </w:pPr>
            <w:r>
              <w:rPr>
                <w:rFonts w:cs="Times New Roman"/>
                <w:color w:val="000000" w:themeColor="text1"/>
                <w:sz w:val="21"/>
                <w:szCs w:val="21"/>
                <w14:textFill>
                  <w14:solidFill>
                    <w14:schemeClr w14:val="tx1"/>
                  </w14:solidFill>
                </w14:textFill>
              </w:rPr>
              <w:t>废活性炭</w:t>
            </w:r>
          </w:p>
        </w:tc>
        <w:tc>
          <w:tcPr>
            <w:tcW w:w="476" w:type="pct"/>
            <w:vAlign w:val="center"/>
          </w:tcPr>
          <w:p>
            <w:pPr>
              <w:spacing w:line="240" w:lineRule="auto"/>
              <w:ind w:firstLine="0" w:firstLineChars="0"/>
              <w:jc w:val="center"/>
              <w:rPr>
                <w:rFonts w:cs="Times New Roman"/>
                <w:color w:val="000000" w:themeColor="text1"/>
                <w:sz w:val="21"/>
                <w:szCs w:val="21"/>
                <w:lang w:bidi="zh-CN"/>
                <w14:textFill>
                  <w14:solidFill>
                    <w14:schemeClr w14:val="tx1"/>
                  </w14:solidFill>
                </w14:textFill>
              </w:rPr>
            </w:pPr>
            <w:r>
              <w:rPr>
                <w:rFonts w:cs="Times New Roman"/>
                <w:color w:val="000000" w:themeColor="text1"/>
                <w:sz w:val="21"/>
                <w:szCs w:val="21"/>
                <w:lang w:bidi="zh-CN"/>
                <w14:textFill>
                  <w14:solidFill>
                    <w14:schemeClr w14:val="tx1"/>
                  </w14:solidFill>
                </w14:textFill>
              </w:rPr>
              <w:t>900-039-49</w:t>
            </w:r>
          </w:p>
        </w:tc>
        <w:tc>
          <w:tcPr>
            <w:tcW w:w="509" w:type="pct"/>
            <w:vAlign w:val="center"/>
          </w:tcPr>
          <w:p>
            <w:pPr>
              <w:spacing w:line="240" w:lineRule="auto"/>
              <w:ind w:firstLine="0" w:firstLineChars="0"/>
              <w:jc w:val="center"/>
              <w:rPr>
                <w:rFonts w:cs="Times New Roman"/>
                <w:color w:val="000000" w:themeColor="text1"/>
                <w:sz w:val="21"/>
                <w:szCs w:val="21"/>
                <w:lang w:bidi="zh-CN"/>
                <w14:textFill>
                  <w14:solidFill>
                    <w14:schemeClr w14:val="tx1"/>
                  </w14:solidFill>
                </w14:textFill>
              </w:rPr>
            </w:pPr>
            <w:r>
              <w:rPr>
                <w:rFonts w:cs="Times New Roman"/>
                <w:color w:val="000000" w:themeColor="text1"/>
                <w:sz w:val="21"/>
                <w:szCs w:val="21"/>
                <w:lang w:bidi="zh-CN"/>
                <w14:textFill>
                  <w14:solidFill>
                    <w14:schemeClr w14:val="tx1"/>
                  </w14:solidFill>
                </w14:textFill>
              </w:rPr>
              <w:t>HW49</w:t>
            </w:r>
          </w:p>
        </w:tc>
        <w:tc>
          <w:tcPr>
            <w:tcW w:w="258" w:type="pct"/>
            <w:vMerge w:val="continue"/>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p>
        </w:tc>
        <w:tc>
          <w:tcPr>
            <w:tcW w:w="292" w:type="pct"/>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r>
              <w:rPr>
                <w:rFonts w:cs="Times New Roman"/>
                <w:color w:val="000000" w:themeColor="text1"/>
                <w:sz w:val="21"/>
                <w:szCs w:val="21"/>
                <w14:textFill>
                  <w14:solidFill>
                    <w14:schemeClr w14:val="tx1"/>
                  </w14:solidFill>
                </w14:textFill>
              </w:rPr>
              <w:t>废气处理</w:t>
            </w:r>
          </w:p>
        </w:tc>
        <w:tc>
          <w:tcPr>
            <w:tcW w:w="251" w:type="pct"/>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r>
              <w:rPr>
                <w:rFonts w:cs="Times New Roman"/>
                <w:color w:val="000000" w:themeColor="text1"/>
                <w:sz w:val="21"/>
                <w:szCs w:val="21"/>
                <w14:textFill>
                  <w14:solidFill>
                    <w14:schemeClr w14:val="tx1"/>
                  </w14:solidFill>
                </w14:textFill>
              </w:rPr>
              <w:t>固</w:t>
            </w:r>
          </w:p>
        </w:tc>
        <w:tc>
          <w:tcPr>
            <w:tcW w:w="385" w:type="pct"/>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r>
              <w:rPr>
                <w:rFonts w:cs="Times New Roman"/>
                <w:color w:val="000000" w:themeColor="text1"/>
                <w:sz w:val="21"/>
                <w:szCs w:val="21"/>
                <w14:textFill>
                  <w14:solidFill>
                    <w14:schemeClr w14:val="tx1"/>
                  </w14:solidFill>
                </w14:textFill>
              </w:rPr>
              <w:t>活性炭</w:t>
            </w:r>
          </w:p>
        </w:tc>
        <w:tc>
          <w:tcPr>
            <w:tcW w:w="362" w:type="pct"/>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r>
              <w:rPr>
                <w:rFonts w:cs="Times New Roman"/>
                <w:color w:val="000000" w:themeColor="text1"/>
                <w:sz w:val="21"/>
                <w:szCs w:val="21"/>
                <w14:textFill>
                  <w14:solidFill>
                    <w14:schemeClr w14:val="tx1"/>
                  </w14:solidFill>
                </w14:textFill>
              </w:rPr>
              <w:t>活性炭</w:t>
            </w:r>
          </w:p>
        </w:tc>
        <w:tc>
          <w:tcPr>
            <w:tcW w:w="333" w:type="pct"/>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半年</w:t>
            </w:r>
          </w:p>
        </w:tc>
        <w:tc>
          <w:tcPr>
            <w:tcW w:w="369" w:type="pct"/>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r>
              <w:rPr>
                <w:rFonts w:cs="Times New Roman"/>
                <w:color w:val="000000" w:themeColor="text1"/>
                <w:sz w:val="21"/>
                <w:szCs w:val="21"/>
                <w14:textFill>
                  <w14:solidFill>
                    <w14:schemeClr w14:val="tx1"/>
                  </w14:solidFill>
                </w14:textFill>
              </w:rPr>
              <w:t>T</w:t>
            </w:r>
          </w:p>
        </w:tc>
        <w:tc>
          <w:tcPr>
            <w:tcW w:w="347" w:type="pct"/>
            <w:vAlign w:val="center"/>
          </w:tcPr>
          <w:p>
            <w:pPr>
              <w:spacing w:line="240" w:lineRule="auto"/>
              <w:ind w:firstLine="0" w:firstLineChars="0"/>
              <w:jc w:val="center"/>
              <w:rPr>
                <w:rFonts w:cs="Times New Roman"/>
                <w:color w:val="000000" w:themeColor="text1"/>
                <w:sz w:val="21"/>
                <w:szCs w:val="21"/>
                <w14:textFill>
                  <w14:solidFill>
                    <w14:schemeClr w14:val="tx1"/>
                  </w14:solidFill>
                </w14:textFill>
              </w:rPr>
            </w:pPr>
            <w:r>
              <w:rPr>
                <w:rFonts w:hint="eastAsia" w:cs="Times New Roman"/>
                <w:color w:val="000000" w:themeColor="text1"/>
                <w:sz w:val="21"/>
                <w:szCs w:val="21"/>
                <w14:textFill>
                  <w14:solidFill>
                    <w14:schemeClr w14:val="tx1"/>
                  </w14:solidFill>
                </w14:textFill>
              </w:rPr>
              <w:t>1.352</w:t>
            </w:r>
          </w:p>
        </w:tc>
        <w:tc>
          <w:tcPr>
            <w:tcW w:w="566" w:type="pct"/>
            <w:vMerge w:val="continue"/>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250" w:type="pct"/>
            <w:vAlign w:val="center"/>
          </w:tcPr>
          <w:p>
            <w:pPr>
              <w:spacing w:line="240" w:lineRule="auto"/>
              <w:ind w:firstLine="0" w:firstLineChars="0"/>
              <w:jc w:val="center"/>
              <w:rPr>
                <w:rFonts w:cs="Times New Roman"/>
                <w:sz w:val="21"/>
                <w:szCs w:val="21"/>
              </w:rPr>
            </w:pPr>
            <w:r>
              <w:rPr>
                <w:rFonts w:hint="eastAsia" w:cs="Times New Roman"/>
                <w:sz w:val="21"/>
                <w:szCs w:val="21"/>
              </w:rPr>
              <w:t>3</w:t>
            </w:r>
          </w:p>
        </w:tc>
        <w:tc>
          <w:tcPr>
            <w:tcW w:w="593" w:type="pct"/>
            <w:vAlign w:val="center"/>
          </w:tcPr>
          <w:p>
            <w:pPr>
              <w:spacing w:line="240" w:lineRule="auto"/>
              <w:ind w:firstLine="0" w:firstLineChars="0"/>
              <w:jc w:val="center"/>
              <w:rPr>
                <w:rFonts w:cs="Times New Roman"/>
                <w:color w:val="000000" w:themeColor="text1"/>
                <w:sz w:val="21"/>
                <w:szCs w:val="21"/>
                <w:u w:val="single"/>
                <w14:textFill>
                  <w14:solidFill>
                    <w14:schemeClr w14:val="tx1"/>
                  </w14:solidFill>
                </w14:textFill>
              </w:rPr>
            </w:pPr>
            <w:r>
              <w:rPr>
                <w:rFonts w:cs="Times New Roman"/>
                <w:color w:val="000000" w:themeColor="text1"/>
                <w:sz w:val="21"/>
                <w:szCs w:val="21"/>
                <w:u w:val="single"/>
                <w14:textFill>
                  <w14:solidFill>
                    <w14:schemeClr w14:val="tx1"/>
                  </w14:solidFill>
                </w14:textFill>
              </w:rPr>
              <w:t>污水处理站污泥</w:t>
            </w:r>
          </w:p>
        </w:tc>
        <w:tc>
          <w:tcPr>
            <w:tcW w:w="476" w:type="pct"/>
            <w:vAlign w:val="center"/>
          </w:tcPr>
          <w:p>
            <w:pPr>
              <w:spacing w:line="240" w:lineRule="auto"/>
              <w:ind w:firstLine="0" w:firstLineChars="0"/>
              <w:jc w:val="center"/>
              <w:rPr>
                <w:rFonts w:cs="Times New Roman"/>
                <w:color w:val="000000" w:themeColor="text1"/>
                <w:sz w:val="21"/>
                <w:szCs w:val="21"/>
                <w:u w:val="single"/>
                <w:lang w:bidi="zh-CN"/>
                <w14:textFill>
                  <w14:solidFill>
                    <w14:schemeClr w14:val="tx1"/>
                  </w14:solidFill>
                </w14:textFill>
              </w:rPr>
            </w:pPr>
            <w:r>
              <w:rPr>
                <w:rFonts w:cs="Times New Roman"/>
                <w:color w:val="000000" w:themeColor="text1"/>
                <w:sz w:val="21"/>
                <w:szCs w:val="21"/>
                <w:u w:val="single"/>
                <w:lang w:bidi="zh-CN"/>
                <w14:textFill>
                  <w14:solidFill>
                    <w14:schemeClr w14:val="tx1"/>
                  </w14:solidFill>
                </w14:textFill>
              </w:rPr>
              <w:t>265-104-13</w:t>
            </w:r>
          </w:p>
        </w:tc>
        <w:tc>
          <w:tcPr>
            <w:tcW w:w="509" w:type="pct"/>
            <w:vAlign w:val="center"/>
          </w:tcPr>
          <w:p>
            <w:pPr>
              <w:spacing w:line="240" w:lineRule="auto"/>
              <w:ind w:firstLine="0" w:firstLineChars="0"/>
              <w:jc w:val="center"/>
              <w:rPr>
                <w:rFonts w:cs="Times New Roman"/>
                <w:color w:val="000000" w:themeColor="text1"/>
                <w:sz w:val="21"/>
                <w:szCs w:val="21"/>
                <w:u w:val="single"/>
                <w:lang w:bidi="zh-CN"/>
                <w14:textFill>
                  <w14:solidFill>
                    <w14:schemeClr w14:val="tx1"/>
                  </w14:solidFill>
                </w14:textFill>
              </w:rPr>
            </w:pPr>
            <w:r>
              <w:rPr>
                <w:rFonts w:hint="eastAsia" w:cs="Times New Roman"/>
                <w:color w:val="000000" w:themeColor="text1"/>
                <w:sz w:val="21"/>
                <w:szCs w:val="21"/>
                <w:u w:val="single"/>
                <w:lang w:bidi="zh-CN"/>
                <w14:textFill>
                  <w14:solidFill>
                    <w14:schemeClr w14:val="tx1"/>
                  </w14:solidFill>
                </w14:textFill>
              </w:rPr>
              <w:t>HW13</w:t>
            </w:r>
          </w:p>
        </w:tc>
        <w:tc>
          <w:tcPr>
            <w:tcW w:w="258" w:type="pct"/>
            <w:vMerge w:val="continue"/>
            <w:vAlign w:val="center"/>
          </w:tcPr>
          <w:p>
            <w:pPr>
              <w:spacing w:line="240" w:lineRule="auto"/>
              <w:ind w:firstLine="0" w:firstLineChars="0"/>
              <w:jc w:val="center"/>
              <w:rPr>
                <w:rFonts w:cs="Times New Roman"/>
                <w:color w:val="000000" w:themeColor="text1"/>
                <w:sz w:val="21"/>
                <w:szCs w:val="21"/>
                <w:u w:val="single"/>
                <w14:textFill>
                  <w14:solidFill>
                    <w14:schemeClr w14:val="tx1"/>
                  </w14:solidFill>
                </w14:textFill>
              </w:rPr>
            </w:pPr>
          </w:p>
        </w:tc>
        <w:tc>
          <w:tcPr>
            <w:tcW w:w="292" w:type="pct"/>
            <w:vAlign w:val="center"/>
          </w:tcPr>
          <w:p>
            <w:pPr>
              <w:spacing w:line="240" w:lineRule="auto"/>
              <w:ind w:firstLine="0" w:firstLineChars="0"/>
              <w:jc w:val="center"/>
              <w:rPr>
                <w:rFonts w:cs="Times New Roman"/>
                <w:color w:val="000000" w:themeColor="text1"/>
                <w:sz w:val="21"/>
                <w:szCs w:val="21"/>
                <w:u w:val="single"/>
                <w14:textFill>
                  <w14:solidFill>
                    <w14:schemeClr w14:val="tx1"/>
                  </w14:solidFill>
                </w14:textFill>
              </w:rPr>
            </w:pPr>
            <w:r>
              <w:rPr>
                <w:rFonts w:cs="Times New Roman"/>
                <w:color w:val="000000" w:themeColor="text1"/>
                <w:sz w:val="21"/>
                <w:szCs w:val="21"/>
                <w:u w:val="single"/>
                <w14:textFill>
                  <w14:solidFill>
                    <w14:schemeClr w14:val="tx1"/>
                  </w14:solidFill>
                </w14:textFill>
              </w:rPr>
              <w:t>废</w:t>
            </w:r>
            <w:r>
              <w:rPr>
                <w:rFonts w:hint="eastAsia" w:cs="Times New Roman"/>
                <w:color w:val="000000" w:themeColor="text1"/>
                <w:sz w:val="21"/>
                <w:szCs w:val="21"/>
                <w:u w:val="single"/>
                <w14:textFill>
                  <w14:solidFill>
                    <w14:schemeClr w14:val="tx1"/>
                  </w14:solidFill>
                </w14:textFill>
              </w:rPr>
              <w:t>水</w:t>
            </w:r>
            <w:r>
              <w:rPr>
                <w:rFonts w:cs="Times New Roman"/>
                <w:color w:val="000000" w:themeColor="text1"/>
                <w:sz w:val="21"/>
                <w:szCs w:val="21"/>
                <w:u w:val="single"/>
                <w14:textFill>
                  <w14:solidFill>
                    <w14:schemeClr w14:val="tx1"/>
                  </w14:solidFill>
                </w14:textFill>
              </w:rPr>
              <w:t>处理</w:t>
            </w:r>
          </w:p>
        </w:tc>
        <w:tc>
          <w:tcPr>
            <w:tcW w:w="251" w:type="pct"/>
            <w:vAlign w:val="center"/>
          </w:tcPr>
          <w:p>
            <w:pPr>
              <w:spacing w:line="240" w:lineRule="auto"/>
              <w:ind w:firstLine="0" w:firstLineChars="0"/>
              <w:jc w:val="center"/>
              <w:rPr>
                <w:rFonts w:cs="Times New Roman"/>
                <w:color w:val="000000" w:themeColor="text1"/>
                <w:sz w:val="21"/>
                <w:szCs w:val="21"/>
                <w:u w:val="single"/>
                <w14:textFill>
                  <w14:solidFill>
                    <w14:schemeClr w14:val="tx1"/>
                  </w14:solidFill>
                </w14:textFill>
              </w:rPr>
            </w:pPr>
            <w:r>
              <w:rPr>
                <w:rFonts w:cs="Times New Roman"/>
                <w:color w:val="000000" w:themeColor="text1"/>
                <w:sz w:val="21"/>
                <w:szCs w:val="21"/>
                <w:u w:val="single"/>
                <w14:textFill>
                  <w14:solidFill>
                    <w14:schemeClr w14:val="tx1"/>
                  </w14:solidFill>
                </w14:textFill>
              </w:rPr>
              <w:t>固</w:t>
            </w:r>
          </w:p>
        </w:tc>
        <w:tc>
          <w:tcPr>
            <w:tcW w:w="385" w:type="pct"/>
            <w:vAlign w:val="center"/>
          </w:tcPr>
          <w:p>
            <w:pPr>
              <w:spacing w:line="240" w:lineRule="auto"/>
              <w:ind w:firstLine="0" w:firstLineChars="0"/>
              <w:jc w:val="center"/>
              <w:rPr>
                <w:rFonts w:cs="Times New Roman"/>
                <w:color w:val="000000" w:themeColor="text1"/>
                <w:sz w:val="21"/>
                <w:szCs w:val="21"/>
                <w:u w:val="single"/>
                <w14:textFill>
                  <w14:solidFill>
                    <w14:schemeClr w14:val="tx1"/>
                  </w14:solidFill>
                </w14:textFill>
              </w:rPr>
            </w:pPr>
            <w:r>
              <w:rPr>
                <w:rFonts w:hint="eastAsia" w:cs="Times New Roman"/>
                <w:color w:val="000000" w:themeColor="text1"/>
                <w:sz w:val="21"/>
                <w:szCs w:val="21"/>
                <w:u w:val="single"/>
                <w14:textFill>
                  <w14:solidFill>
                    <w14:schemeClr w14:val="tx1"/>
                  </w14:solidFill>
                </w14:textFill>
              </w:rPr>
              <w:t>树脂污泥</w:t>
            </w:r>
          </w:p>
        </w:tc>
        <w:tc>
          <w:tcPr>
            <w:tcW w:w="362" w:type="pct"/>
            <w:vAlign w:val="center"/>
          </w:tcPr>
          <w:p>
            <w:pPr>
              <w:spacing w:line="240" w:lineRule="auto"/>
              <w:ind w:firstLine="0" w:firstLineChars="0"/>
              <w:jc w:val="center"/>
              <w:rPr>
                <w:rFonts w:cs="Times New Roman"/>
                <w:color w:val="000000" w:themeColor="text1"/>
                <w:sz w:val="21"/>
                <w:szCs w:val="21"/>
                <w:u w:val="single"/>
                <w14:textFill>
                  <w14:solidFill>
                    <w14:schemeClr w14:val="tx1"/>
                  </w14:solidFill>
                </w14:textFill>
              </w:rPr>
            </w:pPr>
            <w:r>
              <w:rPr>
                <w:rFonts w:hint="eastAsia" w:cs="Times New Roman"/>
                <w:color w:val="000000" w:themeColor="text1"/>
                <w:sz w:val="21"/>
                <w:szCs w:val="21"/>
                <w:u w:val="single"/>
                <w14:textFill>
                  <w14:solidFill>
                    <w14:schemeClr w14:val="tx1"/>
                  </w14:solidFill>
                </w14:textFill>
              </w:rPr>
              <w:t>树脂污泥</w:t>
            </w:r>
          </w:p>
        </w:tc>
        <w:tc>
          <w:tcPr>
            <w:tcW w:w="333" w:type="pct"/>
            <w:vAlign w:val="center"/>
          </w:tcPr>
          <w:p>
            <w:pPr>
              <w:spacing w:line="240" w:lineRule="auto"/>
              <w:ind w:firstLine="0" w:firstLineChars="0"/>
              <w:jc w:val="center"/>
              <w:rPr>
                <w:rFonts w:cs="Times New Roman"/>
                <w:color w:val="000000" w:themeColor="text1"/>
                <w:sz w:val="21"/>
                <w:szCs w:val="21"/>
                <w:u w:val="single"/>
                <w14:textFill>
                  <w14:solidFill>
                    <w14:schemeClr w14:val="tx1"/>
                  </w14:solidFill>
                </w14:textFill>
              </w:rPr>
            </w:pPr>
            <w:r>
              <w:rPr>
                <w:rFonts w:hint="eastAsia" w:cs="Times New Roman"/>
                <w:color w:val="000000" w:themeColor="text1"/>
                <w:sz w:val="21"/>
                <w:szCs w:val="21"/>
                <w:u w:val="single"/>
                <w14:textFill>
                  <w14:solidFill>
                    <w14:schemeClr w14:val="tx1"/>
                  </w14:solidFill>
                </w14:textFill>
              </w:rPr>
              <w:t>1个月</w:t>
            </w:r>
          </w:p>
        </w:tc>
        <w:tc>
          <w:tcPr>
            <w:tcW w:w="369" w:type="pct"/>
            <w:vAlign w:val="center"/>
          </w:tcPr>
          <w:p>
            <w:pPr>
              <w:spacing w:line="240" w:lineRule="auto"/>
              <w:ind w:firstLine="0" w:firstLineChars="0"/>
              <w:jc w:val="center"/>
              <w:rPr>
                <w:rFonts w:cs="Times New Roman"/>
                <w:color w:val="000000" w:themeColor="text1"/>
                <w:sz w:val="21"/>
                <w:szCs w:val="21"/>
                <w:u w:val="single"/>
                <w14:textFill>
                  <w14:solidFill>
                    <w14:schemeClr w14:val="tx1"/>
                  </w14:solidFill>
                </w14:textFill>
              </w:rPr>
            </w:pPr>
            <w:r>
              <w:rPr>
                <w:rFonts w:cs="Times New Roman"/>
                <w:color w:val="000000" w:themeColor="text1"/>
                <w:sz w:val="21"/>
                <w:szCs w:val="21"/>
                <w:u w:val="single"/>
                <w14:textFill>
                  <w14:solidFill>
                    <w14:schemeClr w14:val="tx1"/>
                  </w14:solidFill>
                </w14:textFill>
              </w:rPr>
              <w:t>T</w:t>
            </w:r>
          </w:p>
        </w:tc>
        <w:tc>
          <w:tcPr>
            <w:tcW w:w="347" w:type="pct"/>
            <w:vAlign w:val="center"/>
          </w:tcPr>
          <w:p>
            <w:pPr>
              <w:spacing w:line="240" w:lineRule="auto"/>
              <w:ind w:firstLine="0" w:firstLineChars="0"/>
              <w:jc w:val="center"/>
              <w:rPr>
                <w:rFonts w:hint="default" w:eastAsia="宋体" w:cs="Times New Roman"/>
                <w:color w:val="000000" w:themeColor="text1"/>
                <w:sz w:val="21"/>
                <w:szCs w:val="21"/>
                <w:u w:val="single"/>
                <w:lang w:val="en-US" w:eastAsia="zh-CN"/>
                <w14:textFill>
                  <w14:solidFill>
                    <w14:schemeClr w14:val="tx1"/>
                  </w14:solidFill>
                </w14:textFill>
              </w:rPr>
            </w:pPr>
            <w:r>
              <w:rPr>
                <w:rFonts w:hint="eastAsia" w:cs="Times New Roman"/>
                <w:color w:val="000000" w:themeColor="text1"/>
                <w:sz w:val="21"/>
                <w:szCs w:val="21"/>
                <w:u w:val="single"/>
                <w:lang w:val="en-US" w:eastAsia="zh-CN"/>
                <w14:textFill>
                  <w14:solidFill>
                    <w14:schemeClr w14:val="tx1"/>
                  </w14:solidFill>
                </w14:textFill>
              </w:rPr>
              <w:t>9.273</w:t>
            </w:r>
          </w:p>
        </w:tc>
        <w:tc>
          <w:tcPr>
            <w:tcW w:w="566" w:type="pct"/>
            <w:vMerge w:val="continue"/>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250" w:type="pct"/>
            <w:vAlign w:val="center"/>
          </w:tcPr>
          <w:p>
            <w:pPr>
              <w:spacing w:line="240" w:lineRule="auto"/>
              <w:ind w:firstLine="0" w:firstLineChars="0"/>
              <w:jc w:val="center"/>
              <w:rPr>
                <w:rFonts w:cs="Times New Roman"/>
                <w:sz w:val="21"/>
                <w:szCs w:val="21"/>
              </w:rPr>
            </w:pPr>
            <w:r>
              <w:rPr>
                <w:rFonts w:hint="eastAsia" w:cs="Times New Roman"/>
                <w:sz w:val="21"/>
                <w:szCs w:val="21"/>
              </w:rPr>
              <w:t>4</w:t>
            </w:r>
          </w:p>
        </w:tc>
        <w:tc>
          <w:tcPr>
            <w:tcW w:w="593" w:type="pct"/>
            <w:vAlign w:val="center"/>
          </w:tcPr>
          <w:p>
            <w:pPr>
              <w:spacing w:line="240" w:lineRule="auto"/>
              <w:ind w:firstLine="0" w:firstLineChars="0"/>
              <w:jc w:val="center"/>
              <w:rPr>
                <w:rFonts w:cs="Times New Roman"/>
                <w:sz w:val="21"/>
                <w:szCs w:val="21"/>
              </w:rPr>
            </w:pPr>
            <w:r>
              <w:rPr>
                <w:rFonts w:cs="Times New Roman"/>
                <w:sz w:val="21"/>
                <w:szCs w:val="21"/>
              </w:rPr>
              <w:t>产品滤渣</w:t>
            </w:r>
          </w:p>
        </w:tc>
        <w:tc>
          <w:tcPr>
            <w:tcW w:w="476" w:type="pct"/>
            <w:vAlign w:val="center"/>
          </w:tcPr>
          <w:p>
            <w:pPr>
              <w:spacing w:line="240" w:lineRule="auto"/>
              <w:ind w:firstLine="0" w:firstLineChars="0"/>
              <w:jc w:val="center"/>
              <w:rPr>
                <w:rFonts w:cs="Times New Roman"/>
                <w:color w:val="000000"/>
                <w:sz w:val="21"/>
                <w:szCs w:val="21"/>
                <w:lang w:bidi="zh-CN"/>
              </w:rPr>
            </w:pPr>
            <w:r>
              <w:rPr>
                <w:rFonts w:cs="Times New Roman"/>
                <w:color w:val="000000"/>
                <w:sz w:val="21"/>
                <w:szCs w:val="21"/>
                <w:lang w:bidi="zh-CN"/>
              </w:rPr>
              <w:t>265-104-13</w:t>
            </w:r>
          </w:p>
        </w:tc>
        <w:tc>
          <w:tcPr>
            <w:tcW w:w="509" w:type="pct"/>
            <w:vAlign w:val="center"/>
          </w:tcPr>
          <w:p>
            <w:pPr>
              <w:spacing w:line="240" w:lineRule="auto"/>
              <w:ind w:firstLine="0" w:firstLineChars="0"/>
              <w:jc w:val="center"/>
              <w:rPr>
                <w:rFonts w:cs="Times New Roman"/>
                <w:color w:val="000000"/>
                <w:sz w:val="21"/>
                <w:szCs w:val="21"/>
                <w:lang w:bidi="zh-CN"/>
              </w:rPr>
            </w:pPr>
            <w:r>
              <w:rPr>
                <w:rFonts w:hint="eastAsia" w:cs="Times New Roman"/>
                <w:color w:val="000000"/>
                <w:sz w:val="21"/>
                <w:szCs w:val="21"/>
                <w:lang w:bidi="zh-CN"/>
              </w:rPr>
              <w:t>HW13</w:t>
            </w:r>
          </w:p>
        </w:tc>
        <w:tc>
          <w:tcPr>
            <w:tcW w:w="258" w:type="pct"/>
            <w:vMerge w:val="continue"/>
            <w:vAlign w:val="center"/>
          </w:tcPr>
          <w:p>
            <w:pPr>
              <w:spacing w:line="240" w:lineRule="auto"/>
              <w:ind w:firstLine="0" w:firstLineChars="0"/>
              <w:jc w:val="center"/>
              <w:rPr>
                <w:rFonts w:cs="Times New Roman"/>
                <w:sz w:val="21"/>
                <w:szCs w:val="21"/>
              </w:rPr>
            </w:pPr>
          </w:p>
        </w:tc>
        <w:tc>
          <w:tcPr>
            <w:tcW w:w="292" w:type="pct"/>
            <w:vAlign w:val="center"/>
          </w:tcPr>
          <w:p>
            <w:pPr>
              <w:spacing w:line="240" w:lineRule="auto"/>
              <w:ind w:firstLine="0" w:firstLineChars="0"/>
              <w:jc w:val="center"/>
              <w:rPr>
                <w:rFonts w:cs="Times New Roman"/>
                <w:sz w:val="21"/>
                <w:szCs w:val="21"/>
              </w:rPr>
            </w:pPr>
            <w:r>
              <w:rPr>
                <w:rFonts w:hint="eastAsia" w:cs="Times New Roman"/>
                <w:sz w:val="21"/>
                <w:szCs w:val="21"/>
              </w:rPr>
              <w:t>生产过滤</w:t>
            </w:r>
          </w:p>
        </w:tc>
        <w:tc>
          <w:tcPr>
            <w:tcW w:w="251" w:type="pct"/>
            <w:vAlign w:val="center"/>
          </w:tcPr>
          <w:p>
            <w:pPr>
              <w:spacing w:line="240" w:lineRule="auto"/>
              <w:ind w:firstLine="0" w:firstLineChars="0"/>
              <w:jc w:val="center"/>
              <w:rPr>
                <w:rFonts w:cs="Times New Roman"/>
                <w:sz w:val="21"/>
                <w:szCs w:val="21"/>
              </w:rPr>
            </w:pPr>
            <w:r>
              <w:rPr>
                <w:rFonts w:cs="Times New Roman"/>
                <w:sz w:val="21"/>
                <w:szCs w:val="21"/>
              </w:rPr>
              <w:t>固</w:t>
            </w:r>
          </w:p>
        </w:tc>
        <w:tc>
          <w:tcPr>
            <w:tcW w:w="385" w:type="pct"/>
            <w:vAlign w:val="center"/>
          </w:tcPr>
          <w:p>
            <w:pPr>
              <w:widowControl/>
              <w:spacing w:line="240" w:lineRule="auto"/>
              <w:ind w:firstLine="0" w:firstLineChars="0"/>
              <w:jc w:val="center"/>
              <w:rPr>
                <w:rFonts w:cs="Times New Roman"/>
                <w:sz w:val="21"/>
                <w:szCs w:val="21"/>
              </w:rPr>
            </w:pPr>
            <w:r>
              <w:rPr>
                <w:kern w:val="0"/>
                <w:sz w:val="21"/>
                <w:szCs w:val="21"/>
              </w:rPr>
              <w:t>危险化学品</w:t>
            </w:r>
          </w:p>
        </w:tc>
        <w:tc>
          <w:tcPr>
            <w:tcW w:w="362" w:type="pct"/>
            <w:vAlign w:val="center"/>
          </w:tcPr>
          <w:p>
            <w:pPr>
              <w:widowControl/>
              <w:spacing w:line="240" w:lineRule="auto"/>
              <w:ind w:firstLine="0" w:firstLineChars="0"/>
              <w:jc w:val="center"/>
              <w:rPr>
                <w:rFonts w:cs="Times New Roman"/>
                <w:sz w:val="21"/>
                <w:szCs w:val="21"/>
              </w:rPr>
            </w:pPr>
            <w:r>
              <w:rPr>
                <w:kern w:val="0"/>
                <w:sz w:val="21"/>
                <w:szCs w:val="21"/>
              </w:rPr>
              <w:t>危险化学品</w:t>
            </w:r>
          </w:p>
        </w:tc>
        <w:tc>
          <w:tcPr>
            <w:tcW w:w="333" w:type="pct"/>
            <w:vAlign w:val="center"/>
          </w:tcPr>
          <w:p>
            <w:pPr>
              <w:spacing w:line="240" w:lineRule="auto"/>
              <w:ind w:firstLine="0" w:firstLineChars="0"/>
              <w:jc w:val="center"/>
              <w:rPr>
                <w:rFonts w:cs="Times New Roman"/>
                <w:sz w:val="21"/>
                <w:szCs w:val="21"/>
              </w:rPr>
            </w:pPr>
            <w:r>
              <w:rPr>
                <w:rFonts w:hint="eastAsia" w:cs="Times New Roman"/>
                <w:sz w:val="21"/>
                <w:szCs w:val="21"/>
              </w:rPr>
              <w:t>生产周期</w:t>
            </w:r>
          </w:p>
        </w:tc>
        <w:tc>
          <w:tcPr>
            <w:tcW w:w="369" w:type="pct"/>
            <w:vAlign w:val="center"/>
          </w:tcPr>
          <w:p>
            <w:pPr>
              <w:spacing w:line="240" w:lineRule="auto"/>
              <w:ind w:firstLine="0" w:firstLineChars="0"/>
              <w:jc w:val="center"/>
              <w:rPr>
                <w:rFonts w:cs="Times New Roman"/>
                <w:sz w:val="21"/>
                <w:szCs w:val="21"/>
              </w:rPr>
            </w:pPr>
            <w:r>
              <w:rPr>
                <w:rFonts w:cs="Times New Roman"/>
                <w:sz w:val="21"/>
                <w:szCs w:val="21"/>
              </w:rPr>
              <w:t>T</w:t>
            </w:r>
          </w:p>
        </w:tc>
        <w:tc>
          <w:tcPr>
            <w:tcW w:w="347" w:type="pct"/>
            <w:vAlign w:val="center"/>
          </w:tcPr>
          <w:p>
            <w:pPr>
              <w:spacing w:line="240" w:lineRule="auto"/>
              <w:ind w:firstLine="0" w:firstLineChars="0"/>
              <w:jc w:val="center"/>
              <w:rPr>
                <w:rFonts w:hint="default" w:eastAsia="宋体" w:cs="Times New Roman"/>
                <w:sz w:val="21"/>
                <w:szCs w:val="21"/>
                <w:lang w:val="en-US" w:eastAsia="zh-CN"/>
              </w:rPr>
            </w:pPr>
            <w:r>
              <w:rPr>
                <w:rFonts w:hint="eastAsia" w:cs="Times New Roman"/>
                <w:sz w:val="21"/>
                <w:szCs w:val="21"/>
                <w:lang w:val="en-US" w:eastAsia="zh-CN"/>
              </w:rPr>
              <w:t>45.715</w:t>
            </w:r>
          </w:p>
        </w:tc>
        <w:tc>
          <w:tcPr>
            <w:tcW w:w="566" w:type="pct"/>
            <w:vMerge w:val="continue"/>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250" w:type="pct"/>
            <w:vAlign w:val="center"/>
          </w:tcPr>
          <w:p>
            <w:pPr>
              <w:spacing w:line="240" w:lineRule="auto"/>
              <w:ind w:firstLine="0" w:firstLineChars="0"/>
              <w:jc w:val="center"/>
              <w:rPr>
                <w:rFonts w:cs="Times New Roman"/>
                <w:sz w:val="21"/>
                <w:szCs w:val="21"/>
              </w:rPr>
            </w:pPr>
            <w:r>
              <w:rPr>
                <w:rFonts w:hint="eastAsia" w:cs="Times New Roman"/>
                <w:sz w:val="21"/>
                <w:szCs w:val="21"/>
              </w:rPr>
              <w:t>5</w:t>
            </w:r>
          </w:p>
        </w:tc>
        <w:tc>
          <w:tcPr>
            <w:tcW w:w="593" w:type="pct"/>
            <w:vAlign w:val="center"/>
          </w:tcPr>
          <w:p>
            <w:pPr>
              <w:spacing w:line="240" w:lineRule="auto"/>
              <w:ind w:firstLine="0" w:firstLineChars="0"/>
              <w:jc w:val="center"/>
              <w:rPr>
                <w:rFonts w:cs="Times New Roman"/>
                <w:sz w:val="21"/>
                <w:szCs w:val="21"/>
              </w:rPr>
            </w:pPr>
            <w:r>
              <w:rPr>
                <w:rFonts w:cs="Times New Roman"/>
                <w:sz w:val="21"/>
                <w:szCs w:val="21"/>
              </w:rPr>
              <w:t>废原材料包装</w:t>
            </w:r>
          </w:p>
        </w:tc>
        <w:tc>
          <w:tcPr>
            <w:tcW w:w="476" w:type="pct"/>
            <w:vAlign w:val="center"/>
          </w:tcPr>
          <w:p>
            <w:pPr>
              <w:spacing w:line="240" w:lineRule="auto"/>
              <w:ind w:firstLine="0" w:firstLineChars="0"/>
              <w:jc w:val="center"/>
              <w:rPr>
                <w:rFonts w:cs="Times New Roman"/>
                <w:color w:val="000000"/>
                <w:sz w:val="21"/>
                <w:szCs w:val="21"/>
                <w:lang w:bidi="zh-CN"/>
              </w:rPr>
            </w:pPr>
            <w:r>
              <w:rPr>
                <w:rFonts w:cs="Times New Roman"/>
                <w:color w:val="000000"/>
                <w:sz w:val="21"/>
                <w:szCs w:val="21"/>
                <w:lang w:bidi="zh-CN"/>
              </w:rPr>
              <w:t>900-047-49</w:t>
            </w:r>
          </w:p>
        </w:tc>
        <w:tc>
          <w:tcPr>
            <w:tcW w:w="509" w:type="pct"/>
            <w:vAlign w:val="center"/>
          </w:tcPr>
          <w:p>
            <w:pPr>
              <w:spacing w:line="240" w:lineRule="auto"/>
              <w:ind w:firstLine="0" w:firstLineChars="0"/>
              <w:jc w:val="center"/>
              <w:rPr>
                <w:rFonts w:cs="Times New Roman"/>
                <w:color w:val="000000"/>
                <w:sz w:val="21"/>
                <w:szCs w:val="21"/>
                <w:lang w:bidi="zh-CN"/>
              </w:rPr>
            </w:pPr>
            <w:r>
              <w:rPr>
                <w:rFonts w:cs="Times New Roman"/>
                <w:color w:val="000000"/>
                <w:sz w:val="21"/>
                <w:szCs w:val="21"/>
                <w:lang w:bidi="zh-CN"/>
              </w:rPr>
              <w:t>HW49</w:t>
            </w:r>
          </w:p>
        </w:tc>
        <w:tc>
          <w:tcPr>
            <w:tcW w:w="258" w:type="pct"/>
            <w:vMerge w:val="continue"/>
            <w:vAlign w:val="center"/>
          </w:tcPr>
          <w:p>
            <w:pPr>
              <w:spacing w:line="240" w:lineRule="auto"/>
              <w:ind w:firstLine="0" w:firstLineChars="0"/>
              <w:jc w:val="center"/>
              <w:rPr>
                <w:rFonts w:cs="Times New Roman"/>
                <w:sz w:val="21"/>
                <w:szCs w:val="21"/>
              </w:rPr>
            </w:pPr>
          </w:p>
        </w:tc>
        <w:tc>
          <w:tcPr>
            <w:tcW w:w="292" w:type="pct"/>
            <w:vAlign w:val="center"/>
          </w:tcPr>
          <w:p>
            <w:pPr>
              <w:spacing w:line="240" w:lineRule="auto"/>
              <w:ind w:firstLine="0" w:firstLineChars="0"/>
              <w:jc w:val="center"/>
              <w:rPr>
                <w:rFonts w:cs="Times New Roman"/>
                <w:sz w:val="21"/>
                <w:szCs w:val="21"/>
              </w:rPr>
            </w:pPr>
            <w:r>
              <w:rPr>
                <w:rFonts w:hint="eastAsia" w:cs="Times New Roman"/>
                <w:sz w:val="21"/>
                <w:szCs w:val="21"/>
              </w:rPr>
              <w:t>原料包装</w:t>
            </w:r>
          </w:p>
        </w:tc>
        <w:tc>
          <w:tcPr>
            <w:tcW w:w="251" w:type="pct"/>
            <w:vAlign w:val="center"/>
          </w:tcPr>
          <w:p>
            <w:pPr>
              <w:spacing w:line="240" w:lineRule="auto"/>
              <w:ind w:firstLine="0" w:firstLineChars="0"/>
              <w:jc w:val="center"/>
              <w:rPr>
                <w:rFonts w:cs="Times New Roman"/>
                <w:sz w:val="21"/>
                <w:szCs w:val="21"/>
              </w:rPr>
            </w:pPr>
            <w:r>
              <w:rPr>
                <w:rFonts w:cs="Times New Roman"/>
                <w:sz w:val="21"/>
                <w:szCs w:val="21"/>
              </w:rPr>
              <w:t>固</w:t>
            </w:r>
          </w:p>
        </w:tc>
        <w:tc>
          <w:tcPr>
            <w:tcW w:w="385" w:type="pct"/>
            <w:vAlign w:val="center"/>
          </w:tcPr>
          <w:p>
            <w:pPr>
              <w:widowControl/>
              <w:spacing w:line="240" w:lineRule="auto"/>
              <w:ind w:firstLine="0" w:firstLineChars="0"/>
              <w:jc w:val="center"/>
              <w:rPr>
                <w:rFonts w:cs="Times New Roman"/>
                <w:sz w:val="21"/>
                <w:szCs w:val="21"/>
              </w:rPr>
            </w:pPr>
            <w:r>
              <w:rPr>
                <w:kern w:val="0"/>
                <w:sz w:val="21"/>
                <w:szCs w:val="21"/>
              </w:rPr>
              <w:t>危险化学品</w:t>
            </w:r>
          </w:p>
        </w:tc>
        <w:tc>
          <w:tcPr>
            <w:tcW w:w="362" w:type="pct"/>
            <w:vAlign w:val="center"/>
          </w:tcPr>
          <w:p>
            <w:pPr>
              <w:widowControl/>
              <w:spacing w:line="240" w:lineRule="auto"/>
              <w:ind w:firstLine="0" w:firstLineChars="0"/>
              <w:jc w:val="center"/>
              <w:rPr>
                <w:rFonts w:cs="Times New Roman"/>
                <w:sz w:val="21"/>
                <w:szCs w:val="21"/>
              </w:rPr>
            </w:pPr>
            <w:r>
              <w:rPr>
                <w:kern w:val="0"/>
                <w:sz w:val="21"/>
                <w:szCs w:val="21"/>
              </w:rPr>
              <w:t>危险化学品</w:t>
            </w:r>
          </w:p>
        </w:tc>
        <w:tc>
          <w:tcPr>
            <w:tcW w:w="333" w:type="pct"/>
            <w:vAlign w:val="center"/>
          </w:tcPr>
          <w:p>
            <w:pPr>
              <w:spacing w:line="240" w:lineRule="auto"/>
              <w:ind w:firstLine="0" w:firstLineChars="0"/>
              <w:jc w:val="center"/>
              <w:rPr>
                <w:rFonts w:cs="Times New Roman"/>
                <w:sz w:val="21"/>
                <w:szCs w:val="21"/>
              </w:rPr>
            </w:pPr>
            <w:r>
              <w:rPr>
                <w:rFonts w:hint="eastAsia" w:cs="Times New Roman"/>
                <w:sz w:val="21"/>
                <w:szCs w:val="21"/>
              </w:rPr>
              <w:t>1个月</w:t>
            </w:r>
          </w:p>
        </w:tc>
        <w:tc>
          <w:tcPr>
            <w:tcW w:w="369" w:type="pct"/>
            <w:vAlign w:val="center"/>
          </w:tcPr>
          <w:p>
            <w:pPr>
              <w:spacing w:line="240" w:lineRule="auto"/>
              <w:ind w:firstLine="0" w:firstLineChars="0"/>
              <w:jc w:val="center"/>
              <w:rPr>
                <w:rFonts w:cs="Times New Roman"/>
                <w:sz w:val="21"/>
                <w:szCs w:val="21"/>
              </w:rPr>
            </w:pPr>
            <w:r>
              <w:rPr>
                <w:rFonts w:cs="Times New Roman"/>
                <w:sz w:val="21"/>
                <w:szCs w:val="21"/>
              </w:rPr>
              <w:t>T</w:t>
            </w:r>
          </w:p>
        </w:tc>
        <w:tc>
          <w:tcPr>
            <w:tcW w:w="347" w:type="pct"/>
            <w:vAlign w:val="center"/>
          </w:tcPr>
          <w:p>
            <w:pPr>
              <w:spacing w:line="240" w:lineRule="auto"/>
              <w:ind w:firstLine="0" w:firstLineChars="0"/>
              <w:jc w:val="center"/>
              <w:rPr>
                <w:rFonts w:cs="Times New Roman"/>
                <w:sz w:val="21"/>
                <w:szCs w:val="21"/>
              </w:rPr>
            </w:pPr>
            <w:r>
              <w:rPr>
                <w:rFonts w:hint="eastAsia" w:cs="Times New Roman"/>
                <w:sz w:val="21"/>
                <w:szCs w:val="21"/>
              </w:rPr>
              <w:t>3.2</w:t>
            </w:r>
          </w:p>
        </w:tc>
        <w:tc>
          <w:tcPr>
            <w:tcW w:w="566" w:type="pct"/>
            <w:vMerge w:val="continue"/>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250" w:type="pct"/>
            <w:vAlign w:val="center"/>
          </w:tcPr>
          <w:p>
            <w:pPr>
              <w:spacing w:line="240" w:lineRule="auto"/>
              <w:ind w:firstLine="0" w:firstLineChars="0"/>
              <w:jc w:val="center"/>
              <w:rPr>
                <w:rFonts w:hint="eastAsia" w:eastAsia="宋体" w:cs="Times New Roman"/>
                <w:sz w:val="21"/>
                <w:szCs w:val="21"/>
                <w:lang w:val="en-US" w:eastAsia="zh-CN"/>
              </w:rPr>
            </w:pPr>
            <w:r>
              <w:rPr>
                <w:rFonts w:hint="eastAsia" w:cs="Times New Roman"/>
                <w:sz w:val="21"/>
                <w:szCs w:val="21"/>
                <w:lang w:val="en-US" w:eastAsia="zh-CN"/>
              </w:rPr>
              <w:t>6</w:t>
            </w:r>
          </w:p>
        </w:tc>
        <w:tc>
          <w:tcPr>
            <w:tcW w:w="593" w:type="pct"/>
            <w:vAlign w:val="center"/>
          </w:tcPr>
          <w:p>
            <w:pPr>
              <w:spacing w:line="240" w:lineRule="auto"/>
              <w:ind w:firstLine="0" w:firstLineChars="0"/>
              <w:jc w:val="center"/>
              <w:rPr>
                <w:rFonts w:cs="Times New Roman"/>
                <w:sz w:val="21"/>
                <w:szCs w:val="21"/>
              </w:rPr>
            </w:pPr>
            <w:r>
              <w:rPr>
                <w:rFonts w:hint="eastAsia" w:cs="Times New Roman"/>
                <w:sz w:val="21"/>
                <w:szCs w:val="21"/>
              </w:rPr>
              <w:t>喷淋塔沉渣</w:t>
            </w:r>
          </w:p>
        </w:tc>
        <w:tc>
          <w:tcPr>
            <w:tcW w:w="476" w:type="pct"/>
            <w:vAlign w:val="center"/>
          </w:tcPr>
          <w:p>
            <w:pPr>
              <w:spacing w:line="240" w:lineRule="auto"/>
              <w:ind w:firstLine="0" w:firstLineChars="0"/>
              <w:jc w:val="center"/>
              <w:rPr>
                <w:rFonts w:cs="Times New Roman"/>
                <w:color w:val="000000"/>
                <w:sz w:val="21"/>
                <w:szCs w:val="21"/>
                <w:lang w:bidi="zh-CN"/>
              </w:rPr>
            </w:pPr>
            <w:r>
              <w:rPr>
                <w:rFonts w:cs="Times New Roman"/>
                <w:color w:val="000000"/>
                <w:sz w:val="21"/>
                <w:szCs w:val="21"/>
                <w:lang w:bidi="zh-CN"/>
              </w:rPr>
              <w:t>265-104-13</w:t>
            </w:r>
          </w:p>
        </w:tc>
        <w:tc>
          <w:tcPr>
            <w:tcW w:w="509" w:type="pct"/>
            <w:vAlign w:val="center"/>
          </w:tcPr>
          <w:p>
            <w:pPr>
              <w:spacing w:line="240" w:lineRule="auto"/>
              <w:ind w:firstLine="0" w:firstLineChars="0"/>
              <w:jc w:val="center"/>
              <w:rPr>
                <w:rFonts w:cs="Times New Roman"/>
                <w:color w:val="000000"/>
                <w:sz w:val="21"/>
                <w:szCs w:val="21"/>
                <w:lang w:bidi="zh-CN"/>
              </w:rPr>
            </w:pPr>
            <w:r>
              <w:rPr>
                <w:rFonts w:hint="eastAsia" w:cs="Times New Roman"/>
                <w:color w:val="000000"/>
                <w:sz w:val="21"/>
                <w:szCs w:val="21"/>
                <w:lang w:bidi="zh-CN"/>
              </w:rPr>
              <w:t>HW13</w:t>
            </w:r>
          </w:p>
        </w:tc>
        <w:tc>
          <w:tcPr>
            <w:tcW w:w="258" w:type="pct"/>
            <w:vMerge w:val="continue"/>
            <w:vAlign w:val="center"/>
          </w:tcPr>
          <w:p>
            <w:pPr>
              <w:spacing w:line="240" w:lineRule="auto"/>
              <w:ind w:firstLine="0" w:firstLineChars="0"/>
              <w:jc w:val="center"/>
              <w:rPr>
                <w:rFonts w:cs="Times New Roman"/>
                <w:sz w:val="21"/>
                <w:szCs w:val="21"/>
              </w:rPr>
            </w:pPr>
          </w:p>
        </w:tc>
        <w:tc>
          <w:tcPr>
            <w:tcW w:w="292" w:type="pct"/>
            <w:vAlign w:val="center"/>
          </w:tcPr>
          <w:p>
            <w:pPr>
              <w:spacing w:line="240" w:lineRule="auto"/>
              <w:ind w:firstLine="0" w:firstLineChars="0"/>
              <w:jc w:val="center"/>
              <w:rPr>
                <w:rFonts w:hint="eastAsia" w:cs="Times New Roman"/>
                <w:sz w:val="21"/>
                <w:szCs w:val="21"/>
              </w:rPr>
            </w:pPr>
            <w:r>
              <w:rPr>
                <w:rFonts w:hint="eastAsia" w:cs="Times New Roman"/>
                <w:sz w:val="21"/>
                <w:szCs w:val="21"/>
              </w:rPr>
              <w:t>喷淋塔沉渣</w:t>
            </w:r>
          </w:p>
        </w:tc>
        <w:tc>
          <w:tcPr>
            <w:tcW w:w="251" w:type="pct"/>
            <w:vAlign w:val="center"/>
          </w:tcPr>
          <w:p>
            <w:pPr>
              <w:spacing w:line="240" w:lineRule="auto"/>
              <w:ind w:firstLine="0" w:firstLineChars="0"/>
              <w:jc w:val="center"/>
              <w:rPr>
                <w:rFonts w:cs="Times New Roman"/>
                <w:sz w:val="21"/>
                <w:szCs w:val="21"/>
              </w:rPr>
            </w:pPr>
            <w:r>
              <w:rPr>
                <w:rFonts w:cs="Times New Roman"/>
                <w:sz w:val="21"/>
                <w:szCs w:val="21"/>
              </w:rPr>
              <w:t>固</w:t>
            </w:r>
          </w:p>
        </w:tc>
        <w:tc>
          <w:tcPr>
            <w:tcW w:w="385" w:type="pct"/>
            <w:vAlign w:val="center"/>
          </w:tcPr>
          <w:p>
            <w:pPr>
              <w:widowControl/>
              <w:spacing w:line="240" w:lineRule="auto"/>
              <w:ind w:firstLine="0" w:firstLineChars="0"/>
              <w:jc w:val="center"/>
              <w:rPr>
                <w:kern w:val="0"/>
                <w:sz w:val="21"/>
                <w:szCs w:val="21"/>
              </w:rPr>
            </w:pPr>
            <w:r>
              <w:rPr>
                <w:kern w:val="0"/>
                <w:sz w:val="21"/>
                <w:szCs w:val="21"/>
              </w:rPr>
              <w:t>危险化学品</w:t>
            </w:r>
          </w:p>
        </w:tc>
        <w:tc>
          <w:tcPr>
            <w:tcW w:w="362" w:type="pct"/>
            <w:vAlign w:val="center"/>
          </w:tcPr>
          <w:p>
            <w:pPr>
              <w:widowControl/>
              <w:spacing w:line="240" w:lineRule="auto"/>
              <w:ind w:firstLine="0" w:firstLineChars="0"/>
              <w:jc w:val="center"/>
              <w:rPr>
                <w:kern w:val="0"/>
                <w:sz w:val="21"/>
                <w:szCs w:val="21"/>
              </w:rPr>
            </w:pPr>
            <w:r>
              <w:rPr>
                <w:kern w:val="0"/>
                <w:sz w:val="21"/>
                <w:szCs w:val="21"/>
              </w:rPr>
              <w:t>危险化学品</w:t>
            </w:r>
          </w:p>
        </w:tc>
        <w:tc>
          <w:tcPr>
            <w:tcW w:w="333" w:type="pct"/>
            <w:vAlign w:val="center"/>
          </w:tcPr>
          <w:p>
            <w:pPr>
              <w:spacing w:line="240" w:lineRule="auto"/>
              <w:ind w:firstLine="0" w:firstLineChars="0"/>
              <w:jc w:val="center"/>
              <w:rPr>
                <w:rFonts w:hint="eastAsia" w:cs="Times New Roman"/>
                <w:sz w:val="21"/>
                <w:szCs w:val="21"/>
              </w:rPr>
            </w:pPr>
            <w:r>
              <w:rPr>
                <w:rFonts w:hint="eastAsia" w:cs="Times New Roman"/>
                <w:sz w:val="21"/>
                <w:szCs w:val="21"/>
              </w:rPr>
              <w:t>生产周期</w:t>
            </w:r>
          </w:p>
        </w:tc>
        <w:tc>
          <w:tcPr>
            <w:tcW w:w="369" w:type="pct"/>
            <w:vAlign w:val="center"/>
          </w:tcPr>
          <w:p>
            <w:pPr>
              <w:spacing w:line="240" w:lineRule="auto"/>
              <w:ind w:firstLine="0" w:firstLineChars="0"/>
              <w:jc w:val="center"/>
              <w:rPr>
                <w:rFonts w:cs="Times New Roman"/>
                <w:sz w:val="21"/>
                <w:szCs w:val="21"/>
              </w:rPr>
            </w:pPr>
            <w:r>
              <w:rPr>
                <w:rFonts w:cs="Times New Roman"/>
                <w:sz w:val="21"/>
                <w:szCs w:val="21"/>
              </w:rPr>
              <w:t>T</w:t>
            </w:r>
          </w:p>
        </w:tc>
        <w:tc>
          <w:tcPr>
            <w:tcW w:w="347" w:type="pct"/>
            <w:vAlign w:val="center"/>
          </w:tcPr>
          <w:p>
            <w:pPr>
              <w:spacing w:line="240" w:lineRule="auto"/>
              <w:ind w:firstLine="0" w:firstLineChars="0"/>
              <w:jc w:val="center"/>
              <w:rPr>
                <w:rFonts w:hint="default" w:eastAsia="宋体" w:cs="Times New Roman"/>
                <w:sz w:val="21"/>
                <w:szCs w:val="21"/>
                <w:lang w:val="en-US" w:eastAsia="zh-CN"/>
              </w:rPr>
            </w:pPr>
            <w:r>
              <w:rPr>
                <w:rFonts w:hint="eastAsia" w:cs="Times New Roman"/>
                <w:sz w:val="21"/>
                <w:szCs w:val="21"/>
                <w:lang w:val="en-US" w:eastAsia="zh-CN"/>
              </w:rPr>
              <w:t>1.27</w:t>
            </w:r>
          </w:p>
        </w:tc>
        <w:tc>
          <w:tcPr>
            <w:tcW w:w="566" w:type="pct"/>
            <w:vMerge w:val="continue"/>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250" w:type="pct"/>
            <w:vAlign w:val="center"/>
          </w:tcPr>
          <w:p>
            <w:pPr>
              <w:spacing w:line="240" w:lineRule="auto"/>
              <w:ind w:firstLine="0" w:firstLineChars="0"/>
              <w:jc w:val="center"/>
              <w:rPr>
                <w:rFonts w:hint="default" w:cs="Times New Roman"/>
                <w:sz w:val="21"/>
                <w:szCs w:val="21"/>
                <w:u w:val="single"/>
                <w:lang w:val="en-US" w:eastAsia="zh-CN"/>
              </w:rPr>
            </w:pPr>
            <w:r>
              <w:rPr>
                <w:rFonts w:hint="eastAsia" w:cs="Times New Roman"/>
                <w:sz w:val="21"/>
                <w:szCs w:val="21"/>
                <w:u w:val="single"/>
                <w:lang w:val="en-US" w:eastAsia="zh-CN"/>
              </w:rPr>
              <w:t>7</w:t>
            </w:r>
          </w:p>
        </w:tc>
        <w:tc>
          <w:tcPr>
            <w:tcW w:w="593" w:type="pct"/>
            <w:vAlign w:val="center"/>
          </w:tcPr>
          <w:p>
            <w:pPr>
              <w:spacing w:line="240" w:lineRule="auto"/>
              <w:ind w:firstLine="0" w:firstLineChars="0"/>
              <w:jc w:val="center"/>
              <w:rPr>
                <w:rFonts w:hint="eastAsia" w:cs="Times New Roman"/>
                <w:sz w:val="21"/>
                <w:szCs w:val="21"/>
                <w:u w:val="single"/>
              </w:rPr>
            </w:pPr>
            <w:r>
              <w:rPr>
                <w:rFonts w:hint="eastAsia"/>
                <w:kern w:val="0"/>
                <w:sz w:val="21"/>
                <w:szCs w:val="21"/>
                <w:u w:val="single"/>
              </w:rPr>
              <w:t>废催化剂</w:t>
            </w:r>
          </w:p>
        </w:tc>
        <w:tc>
          <w:tcPr>
            <w:tcW w:w="476" w:type="pct"/>
            <w:vAlign w:val="center"/>
          </w:tcPr>
          <w:p>
            <w:pPr>
              <w:spacing w:line="240" w:lineRule="auto"/>
              <w:ind w:firstLine="0" w:firstLineChars="0"/>
              <w:jc w:val="center"/>
              <w:rPr>
                <w:rFonts w:cs="Times New Roman"/>
                <w:color w:val="000000"/>
                <w:sz w:val="21"/>
                <w:szCs w:val="21"/>
                <w:u w:val="single"/>
                <w:lang w:bidi="zh-CN"/>
              </w:rPr>
            </w:pPr>
            <w:r>
              <w:rPr>
                <w:rFonts w:cs="Times New Roman"/>
                <w:color w:val="000000"/>
                <w:sz w:val="21"/>
                <w:szCs w:val="21"/>
                <w:u w:val="single"/>
                <w:lang w:bidi="zh-CN"/>
              </w:rPr>
              <w:t>900-047-49</w:t>
            </w:r>
          </w:p>
        </w:tc>
        <w:tc>
          <w:tcPr>
            <w:tcW w:w="509" w:type="pct"/>
            <w:vAlign w:val="center"/>
          </w:tcPr>
          <w:p>
            <w:pPr>
              <w:spacing w:line="240" w:lineRule="auto"/>
              <w:ind w:firstLine="0" w:firstLineChars="0"/>
              <w:jc w:val="center"/>
              <w:rPr>
                <w:rFonts w:hint="eastAsia" w:cs="Times New Roman"/>
                <w:color w:val="000000"/>
                <w:sz w:val="21"/>
                <w:szCs w:val="21"/>
                <w:u w:val="single"/>
                <w:lang w:bidi="zh-CN"/>
              </w:rPr>
            </w:pPr>
            <w:r>
              <w:rPr>
                <w:rFonts w:cs="Times New Roman"/>
                <w:color w:val="000000"/>
                <w:sz w:val="21"/>
                <w:szCs w:val="21"/>
                <w:u w:val="single"/>
                <w:lang w:bidi="zh-CN"/>
              </w:rPr>
              <w:t>HW49</w:t>
            </w:r>
          </w:p>
        </w:tc>
        <w:tc>
          <w:tcPr>
            <w:tcW w:w="258" w:type="pct"/>
            <w:vMerge w:val="continue"/>
            <w:vAlign w:val="center"/>
          </w:tcPr>
          <w:p>
            <w:pPr>
              <w:spacing w:line="240" w:lineRule="auto"/>
              <w:ind w:firstLine="0" w:firstLineChars="0"/>
              <w:jc w:val="center"/>
              <w:rPr>
                <w:rFonts w:cs="Times New Roman"/>
                <w:sz w:val="21"/>
                <w:szCs w:val="21"/>
                <w:u w:val="single"/>
              </w:rPr>
            </w:pPr>
          </w:p>
        </w:tc>
        <w:tc>
          <w:tcPr>
            <w:tcW w:w="292"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lang w:eastAsia="zh-CN"/>
              </w:rPr>
              <w:t>废气处理</w:t>
            </w:r>
          </w:p>
        </w:tc>
        <w:tc>
          <w:tcPr>
            <w:tcW w:w="251"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固</w:t>
            </w:r>
          </w:p>
        </w:tc>
        <w:tc>
          <w:tcPr>
            <w:tcW w:w="385" w:type="pct"/>
            <w:vAlign w:val="center"/>
          </w:tcPr>
          <w:p>
            <w:pPr>
              <w:widowControl/>
              <w:spacing w:line="240" w:lineRule="auto"/>
              <w:ind w:firstLine="0" w:firstLineChars="0"/>
              <w:jc w:val="center"/>
              <w:rPr>
                <w:kern w:val="0"/>
                <w:sz w:val="21"/>
                <w:szCs w:val="21"/>
                <w:u w:val="single"/>
              </w:rPr>
            </w:pPr>
            <w:r>
              <w:rPr>
                <w:kern w:val="0"/>
                <w:sz w:val="21"/>
                <w:szCs w:val="21"/>
                <w:u w:val="single"/>
              </w:rPr>
              <w:t>危险化学品</w:t>
            </w:r>
          </w:p>
        </w:tc>
        <w:tc>
          <w:tcPr>
            <w:tcW w:w="362" w:type="pct"/>
            <w:vAlign w:val="center"/>
          </w:tcPr>
          <w:p>
            <w:pPr>
              <w:widowControl/>
              <w:spacing w:line="240" w:lineRule="auto"/>
              <w:ind w:firstLine="0" w:firstLineChars="0"/>
              <w:jc w:val="center"/>
              <w:rPr>
                <w:kern w:val="0"/>
                <w:sz w:val="21"/>
                <w:szCs w:val="21"/>
                <w:u w:val="single"/>
              </w:rPr>
            </w:pPr>
            <w:r>
              <w:rPr>
                <w:kern w:val="0"/>
                <w:sz w:val="21"/>
                <w:szCs w:val="21"/>
                <w:u w:val="single"/>
              </w:rPr>
              <w:t>危险化学品</w:t>
            </w:r>
          </w:p>
        </w:tc>
        <w:tc>
          <w:tcPr>
            <w:tcW w:w="333" w:type="pct"/>
            <w:vAlign w:val="center"/>
          </w:tcPr>
          <w:p>
            <w:pPr>
              <w:spacing w:line="240" w:lineRule="auto"/>
              <w:ind w:firstLine="0" w:firstLineChars="0"/>
              <w:jc w:val="center"/>
              <w:rPr>
                <w:rFonts w:hint="eastAsia" w:cs="Times New Roman"/>
                <w:sz w:val="21"/>
                <w:szCs w:val="21"/>
                <w:u w:val="single"/>
              </w:rPr>
            </w:pPr>
            <w:r>
              <w:rPr>
                <w:rFonts w:hint="eastAsia" w:cs="Times New Roman"/>
                <w:sz w:val="21"/>
                <w:szCs w:val="21"/>
                <w:u w:val="single"/>
              </w:rPr>
              <w:t>生产周期</w:t>
            </w:r>
          </w:p>
        </w:tc>
        <w:tc>
          <w:tcPr>
            <w:tcW w:w="369"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T</w:t>
            </w:r>
          </w:p>
        </w:tc>
        <w:tc>
          <w:tcPr>
            <w:tcW w:w="347" w:type="pct"/>
            <w:vAlign w:val="center"/>
          </w:tcPr>
          <w:p>
            <w:pPr>
              <w:spacing w:line="240" w:lineRule="auto"/>
              <w:ind w:firstLine="0" w:firstLineChars="0"/>
              <w:jc w:val="center"/>
              <w:rPr>
                <w:rFonts w:hint="eastAsia" w:cs="Times New Roman"/>
                <w:sz w:val="21"/>
                <w:szCs w:val="21"/>
                <w:u w:val="single"/>
                <w:lang w:val="en-US" w:eastAsia="zh-CN"/>
              </w:rPr>
            </w:pPr>
            <w:r>
              <w:rPr>
                <w:rFonts w:hint="eastAsia"/>
                <w:kern w:val="0"/>
                <w:sz w:val="21"/>
                <w:szCs w:val="21"/>
                <w:u w:val="single"/>
              </w:rPr>
              <w:t>5</w:t>
            </w:r>
            <w:r>
              <w:rPr>
                <w:kern w:val="0"/>
                <w:sz w:val="21"/>
                <w:szCs w:val="21"/>
                <w:u w:val="single"/>
              </w:rPr>
              <w:t>t/</w:t>
            </w:r>
            <w:r>
              <w:rPr>
                <w:rFonts w:hint="eastAsia"/>
                <w:kern w:val="0"/>
                <w:sz w:val="21"/>
                <w:szCs w:val="21"/>
                <w:u w:val="single"/>
              </w:rPr>
              <w:t>（4~5）</w:t>
            </w:r>
            <w:r>
              <w:rPr>
                <w:kern w:val="0"/>
                <w:sz w:val="21"/>
                <w:szCs w:val="21"/>
                <w:u w:val="single"/>
              </w:rPr>
              <w:t>a</w:t>
            </w:r>
          </w:p>
        </w:tc>
        <w:tc>
          <w:tcPr>
            <w:tcW w:w="566" w:type="pct"/>
            <w:vMerge w:val="continue"/>
            <w:vAlign w:val="center"/>
          </w:tcPr>
          <w:p>
            <w:pPr>
              <w:spacing w:line="240" w:lineRule="auto"/>
              <w:ind w:firstLine="0" w:firstLineChars="0"/>
              <w:jc w:val="center"/>
              <w:rPr>
                <w:rFonts w:cs="Times New Roman"/>
                <w:sz w:val="21"/>
                <w:szCs w:val="21"/>
              </w:rPr>
            </w:pPr>
          </w:p>
        </w:tc>
      </w:tr>
    </w:tbl>
    <w:p>
      <w:pPr>
        <w:pStyle w:val="42"/>
        <w:rPr>
          <w:rFonts w:cs="Times New Roman"/>
          <w:color w:val="auto"/>
          <w:szCs w:val="24"/>
        </w:rPr>
      </w:pPr>
      <w:r>
        <w:rPr>
          <w:rFonts w:cs="Times New Roman"/>
          <w:color w:val="auto"/>
          <w:szCs w:val="24"/>
        </w:rPr>
        <w:t>综上所述，项目固体废物产生情况汇总如下表</w:t>
      </w:r>
      <w:r>
        <w:rPr>
          <w:rFonts w:hint="eastAsia" w:cs="Times New Roman"/>
          <w:color w:val="auto"/>
          <w:szCs w:val="24"/>
        </w:rPr>
        <w:t>4.3-12</w:t>
      </w:r>
      <w:r>
        <w:rPr>
          <w:rFonts w:cs="Times New Roman"/>
          <w:color w:val="auto"/>
          <w:szCs w:val="24"/>
        </w:rPr>
        <w:t>所示。</w:t>
      </w:r>
    </w:p>
    <w:p>
      <w:pPr>
        <w:pStyle w:val="13"/>
        <w:ind w:firstLine="482"/>
        <w:jc w:val="center"/>
        <w:rPr>
          <w:rFonts w:ascii="Times New Roman" w:hAnsi="Times New Roman" w:cs="Times New Roman"/>
          <w:b/>
          <w:bCs/>
          <w:lang w:val="en-US" w:bidi="ar-SA"/>
        </w:rPr>
      </w:pPr>
      <w:r>
        <w:rPr>
          <w:rFonts w:ascii="Times New Roman" w:hAnsi="Times New Roman" w:cs="Times New Roman"/>
          <w:b/>
          <w:bCs/>
          <w:lang w:val="en-US" w:bidi="ar-SA"/>
        </w:rPr>
        <w:t>表</w:t>
      </w:r>
      <w:r>
        <w:rPr>
          <w:rFonts w:hint="eastAsia" w:ascii="Times New Roman" w:hAnsi="Times New Roman" w:cs="Times New Roman"/>
          <w:b/>
          <w:bCs/>
          <w:lang w:val="en-US" w:bidi="ar-SA"/>
        </w:rPr>
        <w:t>4.3-12</w:t>
      </w:r>
      <w:r>
        <w:rPr>
          <w:rFonts w:ascii="Times New Roman" w:hAnsi="Times New Roman" w:cs="Times New Roman"/>
          <w:b/>
          <w:bCs/>
          <w:lang w:val="en-US" w:bidi="ar-SA"/>
        </w:rPr>
        <w:t xml:space="preserve">  项目营运期固体废物分析结果汇总表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414"/>
        <w:gridCol w:w="866"/>
        <w:gridCol w:w="564"/>
        <w:gridCol w:w="990"/>
        <w:gridCol w:w="590"/>
        <w:gridCol w:w="713"/>
        <w:gridCol w:w="645"/>
        <w:gridCol w:w="643"/>
        <w:gridCol w:w="988"/>
        <w:gridCol w:w="1086"/>
        <w:gridCol w:w="1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5" w:type="pct"/>
            <w:vAlign w:val="center"/>
          </w:tcPr>
          <w:p>
            <w:pPr>
              <w:widowControl/>
              <w:spacing w:line="240" w:lineRule="auto"/>
              <w:ind w:firstLine="0" w:firstLineChars="0"/>
              <w:jc w:val="center"/>
              <w:rPr>
                <w:kern w:val="0"/>
                <w:sz w:val="21"/>
                <w:szCs w:val="21"/>
              </w:rPr>
            </w:pPr>
            <w:bookmarkStart w:id="93" w:name="_Toc5888450"/>
            <w:bookmarkStart w:id="94" w:name="_Toc18366"/>
            <w:r>
              <w:rPr>
                <w:kern w:val="0"/>
                <w:sz w:val="21"/>
                <w:szCs w:val="21"/>
              </w:rPr>
              <w:t>编号</w:t>
            </w:r>
          </w:p>
        </w:tc>
        <w:tc>
          <w:tcPr>
            <w:tcW w:w="471" w:type="pct"/>
            <w:vAlign w:val="center"/>
          </w:tcPr>
          <w:p>
            <w:pPr>
              <w:widowControl/>
              <w:spacing w:line="240" w:lineRule="auto"/>
              <w:ind w:firstLine="0" w:firstLineChars="0"/>
              <w:jc w:val="center"/>
              <w:rPr>
                <w:kern w:val="0"/>
                <w:sz w:val="21"/>
                <w:szCs w:val="21"/>
              </w:rPr>
            </w:pPr>
            <w:r>
              <w:rPr>
                <w:kern w:val="0"/>
                <w:sz w:val="21"/>
                <w:szCs w:val="21"/>
              </w:rPr>
              <w:t>固废</w:t>
            </w:r>
          </w:p>
          <w:p>
            <w:pPr>
              <w:widowControl/>
              <w:spacing w:line="240" w:lineRule="auto"/>
              <w:ind w:firstLine="0" w:firstLineChars="0"/>
              <w:jc w:val="center"/>
              <w:rPr>
                <w:kern w:val="0"/>
                <w:sz w:val="21"/>
                <w:szCs w:val="21"/>
              </w:rPr>
            </w:pPr>
            <w:r>
              <w:rPr>
                <w:kern w:val="0"/>
                <w:sz w:val="21"/>
                <w:szCs w:val="21"/>
              </w:rPr>
              <w:t>名称</w:t>
            </w:r>
          </w:p>
        </w:tc>
        <w:tc>
          <w:tcPr>
            <w:tcW w:w="306" w:type="pct"/>
            <w:vAlign w:val="center"/>
          </w:tcPr>
          <w:p>
            <w:pPr>
              <w:widowControl/>
              <w:spacing w:line="240" w:lineRule="auto"/>
              <w:ind w:firstLine="0" w:firstLineChars="0"/>
              <w:jc w:val="center"/>
              <w:rPr>
                <w:kern w:val="0"/>
                <w:sz w:val="21"/>
                <w:szCs w:val="21"/>
              </w:rPr>
            </w:pPr>
            <w:r>
              <w:rPr>
                <w:kern w:val="0"/>
                <w:sz w:val="21"/>
                <w:szCs w:val="21"/>
              </w:rPr>
              <w:t>属性</w:t>
            </w:r>
          </w:p>
        </w:tc>
        <w:tc>
          <w:tcPr>
            <w:tcW w:w="538" w:type="pct"/>
            <w:vAlign w:val="center"/>
          </w:tcPr>
          <w:p>
            <w:pPr>
              <w:widowControl/>
              <w:spacing w:line="240" w:lineRule="auto"/>
              <w:ind w:firstLine="0" w:firstLineChars="0"/>
              <w:jc w:val="center"/>
              <w:rPr>
                <w:kern w:val="0"/>
                <w:sz w:val="21"/>
                <w:szCs w:val="21"/>
              </w:rPr>
            </w:pPr>
            <w:r>
              <w:rPr>
                <w:kern w:val="0"/>
                <w:sz w:val="21"/>
                <w:szCs w:val="21"/>
              </w:rPr>
              <w:t>产生工序</w:t>
            </w:r>
          </w:p>
        </w:tc>
        <w:tc>
          <w:tcPr>
            <w:tcW w:w="321" w:type="pct"/>
            <w:vAlign w:val="center"/>
          </w:tcPr>
          <w:p>
            <w:pPr>
              <w:widowControl/>
              <w:spacing w:line="240" w:lineRule="auto"/>
              <w:ind w:firstLine="0" w:firstLineChars="0"/>
              <w:jc w:val="center"/>
              <w:rPr>
                <w:kern w:val="0"/>
                <w:sz w:val="21"/>
                <w:szCs w:val="21"/>
              </w:rPr>
            </w:pPr>
            <w:r>
              <w:rPr>
                <w:kern w:val="0"/>
                <w:sz w:val="21"/>
                <w:szCs w:val="21"/>
              </w:rPr>
              <w:t>形态</w:t>
            </w:r>
          </w:p>
        </w:tc>
        <w:tc>
          <w:tcPr>
            <w:tcW w:w="388" w:type="pct"/>
            <w:vAlign w:val="center"/>
          </w:tcPr>
          <w:p>
            <w:pPr>
              <w:widowControl/>
              <w:spacing w:line="240" w:lineRule="auto"/>
              <w:ind w:firstLine="0" w:firstLineChars="0"/>
              <w:jc w:val="center"/>
              <w:rPr>
                <w:kern w:val="0"/>
                <w:sz w:val="21"/>
                <w:szCs w:val="21"/>
              </w:rPr>
            </w:pPr>
            <w:r>
              <w:rPr>
                <w:kern w:val="0"/>
                <w:sz w:val="21"/>
                <w:szCs w:val="21"/>
              </w:rPr>
              <w:t>主要</w:t>
            </w:r>
          </w:p>
          <w:p>
            <w:pPr>
              <w:widowControl/>
              <w:spacing w:line="240" w:lineRule="auto"/>
              <w:ind w:firstLine="0" w:firstLineChars="0"/>
              <w:jc w:val="center"/>
              <w:rPr>
                <w:kern w:val="0"/>
                <w:sz w:val="21"/>
                <w:szCs w:val="21"/>
              </w:rPr>
            </w:pPr>
            <w:r>
              <w:rPr>
                <w:kern w:val="0"/>
                <w:sz w:val="21"/>
                <w:szCs w:val="21"/>
              </w:rPr>
              <w:t>成分</w:t>
            </w:r>
          </w:p>
        </w:tc>
        <w:tc>
          <w:tcPr>
            <w:tcW w:w="351" w:type="pct"/>
            <w:vAlign w:val="center"/>
          </w:tcPr>
          <w:p>
            <w:pPr>
              <w:widowControl/>
              <w:spacing w:line="240" w:lineRule="auto"/>
              <w:ind w:firstLine="0" w:firstLineChars="0"/>
              <w:jc w:val="center"/>
              <w:rPr>
                <w:kern w:val="0"/>
                <w:sz w:val="21"/>
                <w:szCs w:val="21"/>
              </w:rPr>
            </w:pPr>
            <w:r>
              <w:rPr>
                <w:kern w:val="0"/>
                <w:sz w:val="21"/>
                <w:szCs w:val="21"/>
              </w:rPr>
              <w:t>危险特性</w:t>
            </w:r>
          </w:p>
        </w:tc>
        <w:tc>
          <w:tcPr>
            <w:tcW w:w="349" w:type="pct"/>
            <w:vAlign w:val="center"/>
          </w:tcPr>
          <w:p>
            <w:pPr>
              <w:widowControl/>
              <w:spacing w:line="240" w:lineRule="auto"/>
              <w:ind w:firstLine="0" w:firstLineChars="0"/>
              <w:jc w:val="center"/>
              <w:rPr>
                <w:kern w:val="0"/>
                <w:sz w:val="21"/>
                <w:szCs w:val="21"/>
              </w:rPr>
            </w:pPr>
            <w:r>
              <w:rPr>
                <w:kern w:val="0"/>
                <w:sz w:val="21"/>
                <w:szCs w:val="21"/>
              </w:rPr>
              <w:t>废物</w:t>
            </w:r>
          </w:p>
          <w:p>
            <w:pPr>
              <w:widowControl/>
              <w:spacing w:line="240" w:lineRule="auto"/>
              <w:ind w:firstLine="0" w:firstLineChars="0"/>
              <w:jc w:val="center"/>
              <w:rPr>
                <w:kern w:val="0"/>
                <w:sz w:val="21"/>
                <w:szCs w:val="21"/>
              </w:rPr>
            </w:pPr>
            <w:r>
              <w:rPr>
                <w:kern w:val="0"/>
                <w:sz w:val="21"/>
                <w:szCs w:val="21"/>
              </w:rPr>
              <w:t>类别</w:t>
            </w:r>
          </w:p>
        </w:tc>
        <w:tc>
          <w:tcPr>
            <w:tcW w:w="537" w:type="pct"/>
            <w:vAlign w:val="center"/>
          </w:tcPr>
          <w:p>
            <w:pPr>
              <w:widowControl/>
              <w:spacing w:line="240" w:lineRule="auto"/>
              <w:ind w:firstLine="0" w:firstLineChars="0"/>
              <w:jc w:val="center"/>
              <w:rPr>
                <w:kern w:val="0"/>
                <w:sz w:val="21"/>
                <w:szCs w:val="21"/>
              </w:rPr>
            </w:pPr>
            <w:r>
              <w:rPr>
                <w:kern w:val="0"/>
                <w:sz w:val="21"/>
                <w:szCs w:val="21"/>
              </w:rPr>
              <w:t>废物代码</w:t>
            </w:r>
          </w:p>
        </w:tc>
        <w:tc>
          <w:tcPr>
            <w:tcW w:w="591" w:type="pct"/>
            <w:vAlign w:val="center"/>
          </w:tcPr>
          <w:p>
            <w:pPr>
              <w:widowControl/>
              <w:spacing w:line="240" w:lineRule="auto"/>
              <w:ind w:firstLine="0" w:firstLineChars="0"/>
              <w:jc w:val="center"/>
              <w:rPr>
                <w:kern w:val="0"/>
                <w:sz w:val="21"/>
                <w:szCs w:val="21"/>
              </w:rPr>
            </w:pPr>
            <w:r>
              <w:rPr>
                <w:kern w:val="0"/>
                <w:sz w:val="21"/>
                <w:szCs w:val="21"/>
              </w:rPr>
              <w:t>产生量</w:t>
            </w:r>
          </w:p>
        </w:tc>
        <w:tc>
          <w:tcPr>
            <w:tcW w:w="918" w:type="pct"/>
            <w:vAlign w:val="center"/>
          </w:tcPr>
          <w:p>
            <w:pPr>
              <w:widowControl/>
              <w:spacing w:line="240" w:lineRule="auto"/>
              <w:ind w:firstLine="0" w:firstLineChars="0"/>
              <w:jc w:val="center"/>
              <w:rPr>
                <w:kern w:val="0"/>
                <w:sz w:val="21"/>
                <w:szCs w:val="21"/>
              </w:rPr>
            </w:pPr>
            <w:r>
              <w:rPr>
                <w:kern w:val="0"/>
                <w:sz w:val="21"/>
                <w:szCs w:val="21"/>
              </w:rPr>
              <w:t>处置方法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28" w:hRule="atLeast"/>
          <w:jc w:val="center"/>
        </w:trPr>
        <w:tc>
          <w:tcPr>
            <w:tcW w:w="225" w:type="pct"/>
            <w:vAlign w:val="center"/>
          </w:tcPr>
          <w:p>
            <w:pPr>
              <w:widowControl/>
              <w:spacing w:line="240" w:lineRule="auto"/>
              <w:ind w:firstLine="0" w:firstLineChars="0"/>
              <w:jc w:val="center"/>
              <w:rPr>
                <w:kern w:val="0"/>
                <w:sz w:val="21"/>
                <w:szCs w:val="21"/>
              </w:rPr>
            </w:pPr>
            <w:r>
              <w:rPr>
                <w:kern w:val="0"/>
                <w:sz w:val="21"/>
                <w:szCs w:val="21"/>
              </w:rPr>
              <w:t>1</w:t>
            </w:r>
          </w:p>
        </w:tc>
        <w:tc>
          <w:tcPr>
            <w:tcW w:w="471" w:type="pct"/>
            <w:vAlign w:val="center"/>
          </w:tcPr>
          <w:p>
            <w:pPr>
              <w:widowControl/>
              <w:spacing w:line="240" w:lineRule="auto"/>
              <w:ind w:firstLine="0" w:firstLineChars="0"/>
              <w:jc w:val="center"/>
              <w:rPr>
                <w:kern w:val="0"/>
                <w:sz w:val="21"/>
                <w:szCs w:val="21"/>
              </w:rPr>
            </w:pPr>
            <w:r>
              <w:rPr>
                <w:rFonts w:hint="eastAsia"/>
                <w:kern w:val="0"/>
                <w:sz w:val="21"/>
                <w:szCs w:val="21"/>
              </w:rPr>
              <w:t>废弃边角料</w:t>
            </w:r>
          </w:p>
        </w:tc>
        <w:tc>
          <w:tcPr>
            <w:tcW w:w="306" w:type="pct"/>
            <w:vMerge w:val="restart"/>
            <w:vAlign w:val="center"/>
          </w:tcPr>
          <w:p>
            <w:pPr>
              <w:widowControl/>
              <w:spacing w:line="240" w:lineRule="auto"/>
              <w:ind w:firstLine="0" w:firstLineChars="0"/>
              <w:jc w:val="center"/>
              <w:rPr>
                <w:kern w:val="0"/>
                <w:sz w:val="21"/>
                <w:szCs w:val="21"/>
              </w:rPr>
            </w:pPr>
            <w:r>
              <w:rPr>
                <w:kern w:val="0"/>
                <w:sz w:val="21"/>
                <w:szCs w:val="21"/>
              </w:rPr>
              <w:t>一般固废</w:t>
            </w:r>
          </w:p>
        </w:tc>
        <w:tc>
          <w:tcPr>
            <w:tcW w:w="538" w:type="pct"/>
            <w:vAlign w:val="center"/>
          </w:tcPr>
          <w:p>
            <w:pPr>
              <w:widowControl/>
              <w:spacing w:line="240" w:lineRule="auto"/>
              <w:ind w:firstLine="0" w:firstLineChars="0"/>
              <w:jc w:val="center"/>
              <w:rPr>
                <w:kern w:val="0"/>
                <w:sz w:val="21"/>
                <w:szCs w:val="21"/>
              </w:rPr>
            </w:pPr>
            <w:r>
              <w:rPr>
                <w:rFonts w:hint="eastAsia"/>
                <w:kern w:val="0"/>
                <w:sz w:val="21"/>
                <w:szCs w:val="21"/>
              </w:rPr>
              <w:t>生产</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kern w:val="0"/>
                <w:sz w:val="21"/>
                <w:szCs w:val="21"/>
              </w:rPr>
            </w:pPr>
            <w:r>
              <w:rPr>
                <w:rFonts w:hint="eastAsia"/>
                <w:kern w:val="0"/>
                <w:sz w:val="21"/>
                <w:szCs w:val="21"/>
              </w:rPr>
              <w:t>塑料</w:t>
            </w:r>
          </w:p>
        </w:tc>
        <w:tc>
          <w:tcPr>
            <w:tcW w:w="351" w:type="pct"/>
            <w:vAlign w:val="center"/>
          </w:tcPr>
          <w:p>
            <w:pPr>
              <w:widowControl/>
              <w:spacing w:line="240" w:lineRule="auto"/>
              <w:ind w:firstLine="0" w:firstLineChars="0"/>
              <w:jc w:val="center"/>
              <w:rPr>
                <w:kern w:val="0"/>
                <w:sz w:val="21"/>
                <w:szCs w:val="21"/>
              </w:rPr>
            </w:pPr>
            <w:r>
              <w:rPr>
                <w:kern w:val="0"/>
                <w:sz w:val="21"/>
                <w:szCs w:val="21"/>
              </w:rPr>
              <w:t>/</w:t>
            </w:r>
          </w:p>
        </w:tc>
        <w:tc>
          <w:tcPr>
            <w:tcW w:w="349" w:type="pct"/>
            <w:vAlign w:val="center"/>
          </w:tcPr>
          <w:p>
            <w:pPr>
              <w:widowControl/>
              <w:spacing w:line="240" w:lineRule="auto"/>
              <w:ind w:firstLine="0" w:firstLineChars="0"/>
              <w:jc w:val="center"/>
              <w:rPr>
                <w:kern w:val="0"/>
                <w:sz w:val="21"/>
                <w:szCs w:val="21"/>
              </w:rPr>
            </w:pPr>
            <w:r>
              <w:rPr>
                <w:kern w:val="0"/>
                <w:sz w:val="21"/>
                <w:szCs w:val="21"/>
              </w:rPr>
              <w:t>/</w:t>
            </w:r>
          </w:p>
        </w:tc>
        <w:tc>
          <w:tcPr>
            <w:tcW w:w="537" w:type="pct"/>
            <w:vAlign w:val="center"/>
          </w:tcPr>
          <w:p>
            <w:pPr>
              <w:widowControl/>
              <w:spacing w:line="240" w:lineRule="auto"/>
              <w:ind w:firstLine="0" w:firstLineChars="0"/>
              <w:jc w:val="center"/>
              <w:rPr>
                <w:kern w:val="0"/>
                <w:sz w:val="21"/>
                <w:szCs w:val="21"/>
              </w:rPr>
            </w:pPr>
            <w:r>
              <w:rPr>
                <w:kern w:val="0"/>
                <w:sz w:val="21"/>
                <w:szCs w:val="21"/>
              </w:rPr>
              <w:t>/</w:t>
            </w:r>
          </w:p>
        </w:tc>
        <w:tc>
          <w:tcPr>
            <w:tcW w:w="591" w:type="pct"/>
            <w:vAlign w:val="center"/>
          </w:tcPr>
          <w:p>
            <w:pPr>
              <w:widowControl/>
              <w:spacing w:line="240" w:lineRule="auto"/>
              <w:ind w:firstLine="0" w:firstLineChars="0"/>
              <w:jc w:val="center"/>
              <w:rPr>
                <w:kern w:val="0"/>
                <w:sz w:val="21"/>
                <w:szCs w:val="21"/>
              </w:rPr>
            </w:pPr>
            <w:r>
              <w:rPr>
                <w:rFonts w:hint="eastAsia"/>
                <w:kern w:val="0"/>
                <w:sz w:val="21"/>
                <w:szCs w:val="21"/>
                <w:lang w:val="en-US" w:eastAsia="zh-CN"/>
              </w:rPr>
              <w:t>26.25</w:t>
            </w:r>
            <w:r>
              <w:rPr>
                <w:kern w:val="0"/>
                <w:sz w:val="21"/>
                <w:szCs w:val="21"/>
              </w:rPr>
              <w:t>t/a</w:t>
            </w:r>
          </w:p>
        </w:tc>
        <w:tc>
          <w:tcPr>
            <w:tcW w:w="918" w:type="pct"/>
            <w:vMerge w:val="restart"/>
            <w:vAlign w:val="center"/>
          </w:tcPr>
          <w:p>
            <w:pPr>
              <w:widowControl/>
              <w:spacing w:line="240" w:lineRule="auto"/>
              <w:ind w:firstLine="0" w:firstLineChars="0"/>
              <w:jc w:val="center"/>
              <w:rPr>
                <w:kern w:val="0"/>
                <w:sz w:val="21"/>
                <w:szCs w:val="21"/>
              </w:rPr>
            </w:pPr>
            <w:r>
              <w:rPr>
                <w:rFonts w:hint="eastAsia"/>
                <w:kern w:val="0"/>
                <w:sz w:val="21"/>
                <w:szCs w:val="21"/>
              </w:rPr>
              <w:t>外售资源部门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06"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2</w:t>
            </w:r>
          </w:p>
        </w:tc>
        <w:tc>
          <w:tcPr>
            <w:tcW w:w="471" w:type="pct"/>
            <w:vAlign w:val="center"/>
          </w:tcPr>
          <w:p>
            <w:pPr>
              <w:widowControl/>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一般</w:t>
            </w:r>
            <w:r>
              <w:rPr>
                <w:rFonts w:hint="eastAsia"/>
                <w:sz w:val="21"/>
                <w:szCs w:val="21"/>
                <w:u w:val="single"/>
              </w:rPr>
              <w:t>废包装</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widowControl/>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原料包装</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rFonts w:hint="eastAsia"/>
                <w:kern w:val="0"/>
                <w:sz w:val="21"/>
                <w:szCs w:val="21"/>
              </w:rPr>
            </w:pPr>
            <w:r>
              <w:rPr>
                <w:rFonts w:hint="eastAsia"/>
                <w:kern w:val="0"/>
                <w:sz w:val="21"/>
                <w:szCs w:val="21"/>
              </w:rPr>
              <w:t>塑料</w:t>
            </w:r>
          </w:p>
        </w:tc>
        <w:tc>
          <w:tcPr>
            <w:tcW w:w="351" w:type="pct"/>
            <w:vAlign w:val="center"/>
          </w:tcPr>
          <w:p>
            <w:pPr>
              <w:widowControl/>
              <w:spacing w:line="240" w:lineRule="auto"/>
              <w:ind w:firstLine="0" w:firstLineChars="0"/>
              <w:jc w:val="center"/>
              <w:rPr>
                <w:kern w:val="0"/>
                <w:sz w:val="21"/>
                <w:szCs w:val="21"/>
              </w:rPr>
            </w:pPr>
            <w:r>
              <w:rPr>
                <w:kern w:val="0"/>
                <w:sz w:val="21"/>
                <w:szCs w:val="21"/>
              </w:rPr>
              <w:t>/</w:t>
            </w:r>
          </w:p>
        </w:tc>
        <w:tc>
          <w:tcPr>
            <w:tcW w:w="349" w:type="pct"/>
            <w:vAlign w:val="center"/>
          </w:tcPr>
          <w:p>
            <w:pPr>
              <w:widowControl/>
              <w:spacing w:line="240" w:lineRule="auto"/>
              <w:ind w:firstLine="0" w:firstLineChars="0"/>
              <w:jc w:val="center"/>
              <w:rPr>
                <w:kern w:val="0"/>
                <w:sz w:val="21"/>
                <w:szCs w:val="21"/>
              </w:rPr>
            </w:pPr>
            <w:r>
              <w:rPr>
                <w:kern w:val="0"/>
                <w:sz w:val="21"/>
                <w:szCs w:val="21"/>
              </w:rPr>
              <w:t>/</w:t>
            </w:r>
          </w:p>
        </w:tc>
        <w:tc>
          <w:tcPr>
            <w:tcW w:w="537" w:type="pct"/>
            <w:vAlign w:val="center"/>
          </w:tcPr>
          <w:p>
            <w:pPr>
              <w:widowControl/>
              <w:spacing w:line="240" w:lineRule="auto"/>
              <w:ind w:firstLine="0" w:firstLineChars="0"/>
              <w:jc w:val="center"/>
              <w:rPr>
                <w:kern w:val="0"/>
                <w:sz w:val="21"/>
                <w:szCs w:val="21"/>
              </w:rPr>
            </w:pPr>
            <w:r>
              <w:rPr>
                <w:kern w:val="0"/>
                <w:sz w:val="21"/>
                <w:szCs w:val="21"/>
              </w:rPr>
              <w:t>/</w:t>
            </w:r>
          </w:p>
        </w:tc>
        <w:tc>
          <w:tcPr>
            <w:tcW w:w="591" w:type="pct"/>
            <w:vAlign w:val="center"/>
          </w:tcPr>
          <w:p>
            <w:pPr>
              <w:widowControl/>
              <w:spacing w:line="240" w:lineRule="auto"/>
              <w:ind w:firstLine="0" w:firstLineChars="0"/>
              <w:jc w:val="center"/>
              <w:rPr>
                <w:rFonts w:hint="default"/>
                <w:kern w:val="0"/>
                <w:sz w:val="21"/>
                <w:szCs w:val="21"/>
                <w:lang w:val="en-US" w:eastAsia="zh-CN"/>
              </w:rPr>
            </w:pPr>
            <w:r>
              <w:rPr>
                <w:rFonts w:hint="eastAsia"/>
                <w:kern w:val="0"/>
                <w:sz w:val="21"/>
                <w:szCs w:val="21"/>
                <w:lang w:val="en-US" w:eastAsia="zh-CN"/>
              </w:rPr>
              <w:t>7.5</w:t>
            </w:r>
            <w:r>
              <w:rPr>
                <w:kern w:val="0"/>
                <w:sz w:val="21"/>
                <w:szCs w:val="21"/>
              </w:rPr>
              <w:t>t/a</w:t>
            </w:r>
          </w:p>
        </w:tc>
        <w:tc>
          <w:tcPr>
            <w:tcW w:w="918" w:type="pct"/>
            <w:vMerge w:val="continue"/>
            <w:vAlign w:val="center"/>
          </w:tcPr>
          <w:p>
            <w:pPr>
              <w:widowControl/>
              <w:spacing w:line="240" w:lineRule="auto"/>
              <w:ind w:firstLine="0" w:firstLineChars="0"/>
              <w:jc w:val="center"/>
              <w:rPr>
                <w:rFonts w:hint="eastAsia"/>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eastAsia="zh-CN"/>
              </w:rPr>
            </w:pPr>
            <w:r>
              <w:rPr>
                <w:rFonts w:hint="eastAsia"/>
                <w:kern w:val="0"/>
                <w:sz w:val="21"/>
                <w:szCs w:val="21"/>
                <w:lang w:val="en-US" w:eastAsia="zh-CN"/>
              </w:rPr>
              <w:t>3</w:t>
            </w:r>
          </w:p>
        </w:tc>
        <w:tc>
          <w:tcPr>
            <w:tcW w:w="471" w:type="pct"/>
            <w:vAlign w:val="center"/>
          </w:tcPr>
          <w:p>
            <w:pPr>
              <w:widowControl/>
              <w:spacing w:line="240" w:lineRule="auto"/>
              <w:ind w:firstLine="0" w:firstLineChars="0"/>
              <w:jc w:val="center"/>
              <w:rPr>
                <w:kern w:val="0"/>
                <w:sz w:val="21"/>
                <w:szCs w:val="21"/>
              </w:rPr>
            </w:pPr>
            <w:r>
              <w:rPr>
                <w:rFonts w:hint="eastAsia"/>
                <w:kern w:val="0"/>
                <w:sz w:val="21"/>
                <w:szCs w:val="21"/>
              </w:rPr>
              <w:t>除尘器卸灰</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widowControl/>
              <w:spacing w:line="240" w:lineRule="auto"/>
              <w:ind w:firstLine="0" w:firstLineChars="0"/>
              <w:jc w:val="center"/>
              <w:rPr>
                <w:kern w:val="0"/>
                <w:sz w:val="21"/>
                <w:szCs w:val="21"/>
              </w:rPr>
            </w:pPr>
            <w:r>
              <w:rPr>
                <w:rFonts w:hint="eastAsia"/>
                <w:kern w:val="0"/>
                <w:sz w:val="21"/>
                <w:szCs w:val="21"/>
              </w:rPr>
              <w:t>废气处理</w:t>
            </w:r>
          </w:p>
        </w:tc>
        <w:tc>
          <w:tcPr>
            <w:tcW w:w="321" w:type="pct"/>
            <w:vAlign w:val="center"/>
          </w:tcPr>
          <w:p>
            <w:pPr>
              <w:widowControl/>
              <w:spacing w:line="240" w:lineRule="auto"/>
              <w:ind w:firstLine="0" w:firstLineChars="0"/>
              <w:jc w:val="center"/>
              <w:rPr>
                <w:kern w:val="0"/>
                <w:sz w:val="21"/>
                <w:szCs w:val="21"/>
              </w:rPr>
            </w:pPr>
            <w:r>
              <w:rPr>
                <w:rFonts w:hint="eastAsia"/>
                <w:kern w:val="0"/>
                <w:sz w:val="21"/>
                <w:szCs w:val="21"/>
              </w:rPr>
              <w:t>固</w:t>
            </w:r>
          </w:p>
        </w:tc>
        <w:tc>
          <w:tcPr>
            <w:tcW w:w="388" w:type="pct"/>
            <w:vAlign w:val="center"/>
          </w:tcPr>
          <w:p>
            <w:pPr>
              <w:widowControl/>
              <w:spacing w:line="240" w:lineRule="auto"/>
              <w:ind w:firstLine="0" w:firstLineChars="0"/>
              <w:jc w:val="center"/>
              <w:rPr>
                <w:kern w:val="0"/>
                <w:sz w:val="21"/>
                <w:szCs w:val="21"/>
              </w:rPr>
            </w:pPr>
            <w:r>
              <w:rPr>
                <w:rFonts w:hint="eastAsia"/>
                <w:kern w:val="0"/>
                <w:sz w:val="21"/>
                <w:szCs w:val="21"/>
              </w:rPr>
              <w:t>粉尘</w:t>
            </w:r>
          </w:p>
        </w:tc>
        <w:tc>
          <w:tcPr>
            <w:tcW w:w="351" w:type="pct"/>
            <w:vAlign w:val="center"/>
          </w:tcPr>
          <w:p>
            <w:pPr>
              <w:widowControl/>
              <w:spacing w:line="240" w:lineRule="auto"/>
              <w:ind w:firstLine="0" w:firstLineChars="0"/>
              <w:jc w:val="center"/>
              <w:rPr>
                <w:kern w:val="0"/>
                <w:sz w:val="21"/>
                <w:szCs w:val="21"/>
              </w:rPr>
            </w:pPr>
            <w:r>
              <w:rPr>
                <w:kern w:val="0"/>
                <w:sz w:val="21"/>
                <w:szCs w:val="21"/>
              </w:rPr>
              <w:t>/</w:t>
            </w:r>
          </w:p>
        </w:tc>
        <w:tc>
          <w:tcPr>
            <w:tcW w:w="349" w:type="pct"/>
            <w:vAlign w:val="center"/>
          </w:tcPr>
          <w:p>
            <w:pPr>
              <w:widowControl/>
              <w:spacing w:line="240" w:lineRule="auto"/>
              <w:ind w:firstLine="0" w:firstLineChars="0"/>
              <w:jc w:val="center"/>
              <w:rPr>
                <w:kern w:val="0"/>
                <w:sz w:val="21"/>
                <w:szCs w:val="21"/>
              </w:rPr>
            </w:pPr>
            <w:r>
              <w:rPr>
                <w:kern w:val="0"/>
                <w:sz w:val="21"/>
                <w:szCs w:val="21"/>
              </w:rPr>
              <w:t>/</w:t>
            </w:r>
          </w:p>
        </w:tc>
        <w:tc>
          <w:tcPr>
            <w:tcW w:w="537" w:type="pct"/>
            <w:vAlign w:val="center"/>
          </w:tcPr>
          <w:p>
            <w:pPr>
              <w:widowControl/>
              <w:spacing w:line="240" w:lineRule="auto"/>
              <w:ind w:firstLine="0" w:firstLineChars="0"/>
              <w:jc w:val="center"/>
              <w:rPr>
                <w:kern w:val="0"/>
                <w:sz w:val="21"/>
                <w:szCs w:val="21"/>
              </w:rPr>
            </w:pPr>
            <w:r>
              <w:rPr>
                <w:kern w:val="0"/>
                <w:sz w:val="21"/>
                <w:szCs w:val="21"/>
              </w:rPr>
              <w:t>/</w:t>
            </w:r>
          </w:p>
        </w:tc>
        <w:tc>
          <w:tcPr>
            <w:tcW w:w="591" w:type="pct"/>
            <w:vAlign w:val="center"/>
          </w:tcPr>
          <w:p>
            <w:pPr>
              <w:widowControl/>
              <w:spacing w:line="240" w:lineRule="auto"/>
              <w:ind w:firstLine="0" w:firstLineChars="0"/>
              <w:jc w:val="center"/>
              <w:rPr>
                <w:kern w:val="0"/>
                <w:sz w:val="21"/>
                <w:szCs w:val="21"/>
              </w:rPr>
            </w:pPr>
            <w:r>
              <w:rPr>
                <w:rFonts w:hint="eastAsia"/>
                <w:kern w:val="0"/>
                <w:sz w:val="21"/>
                <w:szCs w:val="21"/>
                <w:lang w:val="en-US" w:eastAsia="zh-CN"/>
              </w:rPr>
              <w:t>1.1</w:t>
            </w:r>
            <w:r>
              <w:rPr>
                <w:kern w:val="0"/>
                <w:sz w:val="21"/>
                <w:szCs w:val="21"/>
              </w:rPr>
              <w:t>t/a</w:t>
            </w:r>
          </w:p>
        </w:tc>
        <w:tc>
          <w:tcPr>
            <w:tcW w:w="918" w:type="pct"/>
            <w:vMerge w:val="restart"/>
            <w:vAlign w:val="center"/>
          </w:tcPr>
          <w:p>
            <w:pPr>
              <w:pStyle w:val="35"/>
              <w:spacing w:before="0" w:line="240" w:lineRule="auto"/>
              <w:ind w:firstLineChars="0"/>
              <w:jc w:val="center"/>
              <w:rPr>
                <w:color w:val="000000" w:themeColor="text1"/>
                <w:kern w:val="0"/>
                <w:sz w:val="21"/>
                <w:szCs w:val="21"/>
                <w14:textFill>
                  <w14:solidFill>
                    <w14:schemeClr w14:val="tx1"/>
                  </w14:solidFill>
                </w14:textFill>
              </w:rPr>
            </w:pPr>
            <w:r>
              <w:rPr>
                <w:snapToGrid w:val="0"/>
                <w:color w:val="000000" w:themeColor="text1"/>
                <w:kern w:val="0"/>
                <w:sz w:val="21"/>
                <w:szCs w:val="21"/>
                <w14:textFill>
                  <w14:solidFill>
                    <w14:schemeClr w14:val="tx1"/>
                  </w14:solidFill>
                </w14:textFill>
              </w:rPr>
              <w:t>集中收集后交由环卫部门处理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71" w:hRule="atLeast"/>
          <w:jc w:val="center"/>
        </w:trPr>
        <w:tc>
          <w:tcPr>
            <w:tcW w:w="225" w:type="pct"/>
            <w:vAlign w:val="center"/>
          </w:tcPr>
          <w:p>
            <w:pPr>
              <w:widowControl/>
              <w:spacing w:line="240" w:lineRule="auto"/>
              <w:ind w:firstLine="0" w:firstLineChars="0"/>
              <w:jc w:val="center"/>
              <w:rPr>
                <w:rFonts w:hint="eastAsia" w:eastAsia="宋体"/>
                <w:color w:val="000000" w:themeColor="text1"/>
                <w:kern w:val="0"/>
                <w:sz w:val="21"/>
                <w:szCs w:val="21"/>
                <w:lang w:eastAsia="zh-CN"/>
                <w14:textFill>
                  <w14:solidFill>
                    <w14:schemeClr w14:val="tx1"/>
                  </w14:solidFill>
                </w14:textFill>
              </w:rPr>
            </w:pPr>
            <w:r>
              <w:rPr>
                <w:rFonts w:hint="eastAsia"/>
                <w:color w:val="000000" w:themeColor="text1"/>
                <w:kern w:val="0"/>
                <w:sz w:val="21"/>
                <w:szCs w:val="21"/>
                <w:lang w:val="en-US" w:eastAsia="zh-CN"/>
                <w14:textFill>
                  <w14:solidFill>
                    <w14:schemeClr w14:val="tx1"/>
                  </w14:solidFill>
                </w14:textFill>
              </w:rPr>
              <w:t>4</w:t>
            </w:r>
          </w:p>
        </w:tc>
        <w:tc>
          <w:tcPr>
            <w:tcW w:w="471" w:type="pct"/>
            <w:vAlign w:val="center"/>
          </w:tcPr>
          <w:p>
            <w:pPr>
              <w:widowControl/>
              <w:spacing w:line="240" w:lineRule="auto"/>
              <w:ind w:firstLine="0" w:firstLineChars="0"/>
              <w:jc w:val="center"/>
              <w:rPr>
                <w:color w:val="000000" w:themeColor="text1"/>
                <w:kern w:val="0"/>
                <w:sz w:val="21"/>
                <w:szCs w:val="21"/>
                <w14:textFill>
                  <w14:solidFill>
                    <w14:schemeClr w14:val="tx1"/>
                  </w14:solidFill>
                </w14:textFill>
              </w:rPr>
            </w:pPr>
            <w:r>
              <w:rPr>
                <w:color w:val="000000" w:themeColor="text1"/>
                <w:kern w:val="0"/>
                <w:sz w:val="21"/>
                <w:szCs w:val="21"/>
                <w14:textFill>
                  <w14:solidFill>
                    <w14:schemeClr w14:val="tx1"/>
                  </w14:solidFill>
                </w14:textFill>
              </w:rPr>
              <w:t>生活垃圾</w:t>
            </w:r>
          </w:p>
        </w:tc>
        <w:tc>
          <w:tcPr>
            <w:tcW w:w="306" w:type="pct"/>
            <w:vMerge w:val="continue"/>
            <w:vAlign w:val="center"/>
          </w:tcPr>
          <w:p>
            <w:pPr>
              <w:widowControl/>
              <w:spacing w:line="240" w:lineRule="auto"/>
              <w:ind w:firstLine="0" w:firstLineChars="0"/>
              <w:jc w:val="center"/>
              <w:rPr>
                <w:color w:val="000000" w:themeColor="text1"/>
                <w:kern w:val="0"/>
                <w:sz w:val="21"/>
                <w:szCs w:val="21"/>
                <w14:textFill>
                  <w14:solidFill>
                    <w14:schemeClr w14:val="tx1"/>
                  </w14:solidFill>
                </w14:textFill>
              </w:rPr>
            </w:pPr>
          </w:p>
        </w:tc>
        <w:tc>
          <w:tcPr>
            <w:tcW w:w="538" w:type="pct"/>
            <w:vAlign w:val="center"/>
          </w:tcPr>
          <w:p>
            <w:pPr>
              <w:widowControl/>
              <w:spacing w:line="240" w:lineRule="auto"/>
              <w:ind w:firstLine="0" w:firstLineChars="0"/>
              <w:jc w:val="center"/>
              <w:rPr>
                <w:color w:val="000000" w:themeColor="text1"/>
                <w:kern w:val="0"/>
                <w:sz w:val="21"/>
                <w:szCs w:val="21"/>
                <w14:textFill>
                  <w14:solidFill>
                    <w14:schemeClr w14:val="tx1"/>
                  </w14:solidFill>
                </w14:textFill>
              </w:rPr>
            </w:pPr>
            <w:r>
              <w:rPr>
                <w:color w:val="000000" w:themeColor="text1"/>
                <w:kern w:val="0"/>
                <w:sz w:val="21"/>
                <w:szCs w:val="21"/>
                <w14:textFill>
                  <w14:solidFill>
                    <w14:schemeClr w14:val="tx1"/>
                  </w14:solidFill>
                </w14:textFill>
              </w:rPr>
              <w:t>办公生活</w:t>
            </w:r>
          </w:p>
        </w:tc>
        <w:tc>
          <w:tcPr>
            <w:tcW w:w="321" w:type="pct"/>
            <w:vAlign w:val="center"/>
          </w:tcPr>
          <w:p>
            <w:pPr>
              <w:widowControl/>
              <w:spacing w:line="240" w:lineRule="auto"/>
              <w:ind w:firstLine="0" w:firstLineChars="0"/>
              <w:jc w:val="center"/>
              <w:rPr>
                <w:color w:val="000000" w:themeColor="text1"/>
                <w:kern w:val="0"/>
                <w:sz w:val="21"/>
                <w:szCs w:val="21"/>
                <w14:textFill>
                  <w14:solidFill>
                    <w14:schemeClr w14:val="tx1"/>
                  </w14:solidFill>
                </w14:textFill>
              </w:rPr>
            </w:pPr>
            <w:r>
              <w:rPr>
                <w:rFonts w:hint="eastAsia"/>
                <w:color w:val="000000" w:themeColor="text1"/>
                <w:kern w:val="0"/>
                <w:sz w:val="21"/>
                <w:szCs w:val="21"/>
                <w14:textFill>
                  <w14:solidFill>
                    <w14:schemeClr w14:val="tx1"/>
                  </w14:solidFill>
                </w14:textFill>
              </w:rPr>
              <w:t>固</w:t>
            </w:r>
          </w:p>
        </w:tc>
        <w:tc>
          <w:tcPr>
            <w:tcW w:w="388" w:type="pct"/>
            <w:vAlign w:val="center"/>
          </w:tcPr>
          <w:p>
            <w:pPr>
              <w:widowControl/>
              <w:spacing w:line="240" w:lineRule="auto"/>
              <w:ind w:firstLine="0" w:firstLineChars="0"/>
              <w:jc w:val="center"/>
              <w:rPr>
                <w:color w:val="000000" w:themeColor="text1"/>
                <w:kern w:val="0"/>
                <w:sz w:val="21"/>
                <w:szCs w:val="21"/>
                <w14:textFill>
                  <w14:solidFill>
                    <w14:schemeClr w14:val="tx1"/>
                  </w14:solidFill>
                </w14:textFill>
              </w:rPr>
            </w:pPr>
            <w:r>
              <w:rPr>
                <w:rFonts w:hint="eastAsia"/>
                <w:color w:val="000000" w:themeColor="text1"/>
                <w:kern w:val="0"/>
                <w:sz w:val="21"/>
                <w:szCs w:val="21"/>
                <w14:textFill>
                  <w14:solidFill>
                    <w14:schemeClr w14:val="tx1"/>
                  </w14:solidFill>
                </w14:textFill>
              </w:rPr>
              <w:t>/</w:t>
            </w:r>
          </w:p>
        </w:tc>
        <w:tc>
          <w:tcPr>
            <w:tcW w:w="351" w:type="pct"/>
            <w:vAlign w:val="center"/>
          </w:tcPr>
          <w:p>
            <w:pPr>
              <w:widowControl/>
              <w:spacing w:line="240" w:lineRule="auto"/>
              <w:ind w:firstLine="0" w:firstLineChars="0"/>
              <w:jc w:val="center"/>
              <w:rPr>
                <w:color w:val="000000" w:themeColor="text1"/>
                <w:kern w:val="0"/>
                <w:sz w:val="21"/>
                <w:szCs w:val="21"/>
                <w14:textFill>
                  <w14:solidFill>
                    <w14:schemeClr w14:val="tx1"/>
                  </w14:solidFill>
                </w14:textFill>
              </w:rPr>
            </w:pPr>
            <w:r>
              <w:rPr>
                <w:rFonts w:hint="eastAsia"/>
                <w:color w:val="000000" w:themeColor="text1"/>
                <w:kern w:val="0"/>
                <w:sz w:val="21"/>
                <w:szCs w:val="21"/>
                <w14:textFill>
                  <w14:solidFill>
                    <w14:schemeClr w14:val="tx1"/>
                  </w14:solidFill>
                </w14:textFill>
              </w:rPr>
              <w:t>/</w:t>
            </w:r>
          </w:p>
        </w:tc>
        <w:tc>
          <w:tcPr>
            <w:tcW w:w="349" w:type="pct"/>
            <w:vAlign w:val="center"/>
          </w:tcPr>
          <w:p>
            <w:pPr>
              <w:widowControl/>
              <w:spacing w:line="240" w:lineRule="auto"/>
              <w:ind w:firstLine="0" w:firstLineChars="0"/>
              <w:jc w:val="center"/>
              <w:rPr>
                <w:color w:val="000000" w:themeColor="text1"/>
                <w:kern w:val="0"/>
                <w:sz w:val="21"/>
                <w:szCs w:val="21"/>
                <w14:textFill>
                  <w14:solidFill>
                    <w14:schemeClr w14:val="tx1"/>
                  </w14:solidFill>
                </w14:textFill>
              </w:rPr>
            </w:pPr>
            <w:r>
              <w:rPr>
                <w:rFonts w:hint="eastAsia"/>
                <w:color w:val="000000" w:themeColor="text1"/>
                <w:kern w:val="0"/>
                <w:sz w:val="21"/>
                <w:szCs w:val="21"/>
                <w14:textFill>
                  <w14:solidFill>
                    <w14:schemeClr w14:val="tx1"/>
                  </w14:solidFill>
                </w14:textFill>
              </w:rPr>
              <w:t>/</w:t>
            </w:r>
          </w:p>
        </w:tc>
        <w:tc>
          <w:tcPr>
            <w:tcW w:w="537" w:type="pct"/>
            <w:vAlign w:val="center"/>
          </w:tcPr>
          <w:p>
            <w:pPr>
              <w:widowControl/>
              <w:spacing w:line="240" w:lineRule="auto"/>
              <w:ind w:firstLine="0" w:firstLineChars="0"/>
              <w:jc w:val="center"/>
              <w:rPr>
                <w:color w:val="000000" w:themeColor="text1"/>
                <w:kern w:val="0"/>
                <w:sz w:val="21"/>
                <w:szCs w:val="21"/>
                <w14:textFill>
                  <w14:solidFill>
                    <w14:schemeClr w14:val="tx1"/>
                  </w14:solidFill>
                </w14:textFill>
              </w:rPr>
            </w:pPr>
            <w:r>
              <w:rPr>
                <w:rFonts w:hint="eastAsia"/>
                <w:color w:val="000000" w:themeColor="text1"/>
                <w:kern w:val="0"/>
                <w:sz w:val="21"/>
                <w:szCs w:val="21"/>
                <w14:textFill>
                  <w14:solidFill>
                    <w14:schemeClr w14:val="tx1"/>
                  </w14:solidFill>
                </w14:textFill>
              </w:rPr>
              <w:t>/</w:t>
            </w:r>
          </w:p>
        </w:tc>
        <w:tc>
          <w:tcPr>
            <w:tcW w:w="591" w:type="pct"/>
            <w:vAlign w:val="center"/>
          </w:tcPr>
          <w:p>
            <w:pPr>
              <w:widowControl/>
              <w:spacing w:line="240" w:lineRule="auto"/>
              <w:ind w:firstLine="0" w:firstLineChars="0"/>
              <w:jc w:val="center"/>
              <w:rPr>
                <w:color w:val="000000" w:themeColor="text1"/>
                <w:kern w:val="0"/>
                <w:sz w:val="21"/>
                <w:szCs w:val="21"/>
                <w14:textFill>
                  <w14:solidFill>
                    <w14:schemeClr w14:val="tx1"/>
                  </w14:solidFill>
                </w14:textFill>
              </w:rPr>
            </w:pPr>
            <w:r>
              <w:rPr>
                <w:rFonts w:hint="eastAsia"/>
                <w:color w:val="000000" w:themeColor="text1"/>
                <w:kern w:val="0"/>
                <w:sz w:val="21"/>
                <w:szCs w:val="21"/>
                <w:lang w:val="en-US" w:eastAsia="zh-CN"/>
                <w14:textFill>
                  <w14:solidFill>
                    <w14:schemeClr w14:val="tx1"/>
                  </w14:solidFill>
                </w14:textFill>
              </w:rPr>
              <w:t>15</w:t>
            </w:r>
            <w:r>
              <w:rPr>
                <w:color w:val="000000" w:themeColor="text1"/>
                <w:kern w:val="0"/>
                <w:sz w:val="21"/>
                <w:szCs w:val="21"/>
                <w14:textFill>
                  <w14:solidFill>
                    <w14:schemeClr w14:val="tx1"/>
                  </w14:solidFill>
                </w14:textFill>
              </w:rPr>
              <w:t>t/a</w:t>
            </w:r>
          </w:p>
        </w:tc>
        <w:tc>
          <w:tcPr>
            <w:tcW w:w="918" w:type="pct"/>
            <w:vMerge w:val="continue"/>
            <w:vAlign w:val="center"/>
          </w:tcPr>
          <w:p>
            <w:pPr>
              <w:pStyle w:val="35"/>
              <w:spacing w:before="0" w:line="240" w:lineRule="auto"/>
              <w:ind w:firstLineChars="0"/>
              <w:jc w:val="center"/>
              <w:rPr>
                <w:color w:val="000000" w:themeColor="text1"/>
                <w:kern w:val="0"/>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0" w:hRule="atLeast"/>
          <w:jc w:val="center"/>
        </w:trPr>
        <w:tc>
          <w:tcPr>
            <w:tcW w:w="225" w:type="pct"/>
            <w:vAlign w:val="center"/>
          </w:tcPr>
          <w:p>
            <w:pPr>
              <w:widowControl/>
              <w:spacing w:line="240" w:lineRule="auto"/>
              <w:ind w:firstLine="0" w:firstLineChars="0"/>
              <w:jc w:val="center"/>
              <w:rPr>
                <w:rFonts w:hint="eastAsia" w:eastAsia="宋体"/>
                <w:kern w:val="0"/>
                <w:sz w:val="21"/>
                <w:szCs w:val="21"/>
                <w:u w:val="single"/>
                <w:lang w:eastAsia="zh-CN"/>
              </w:rPr>
            </w:pPr>
            <w:r>
              <w:rPr>
                <w:rFonts w:hint="eastAsia"/>
                <w:kern w:val="0"/>
                <w:sz w:val="21"/>
                <w:szCs w:val="21"/>
                <w:u w:val="single"/>
                <w:lang w:val="en-US" w:eastAsia="zh-CN"/>
              </w:rPr>
              <w:t>5</w:t>
            </w:r>
          </w:p>
        </w:tc>
        <w:tc>
          <w:tcPr>
            <w:tcW w:w="471" w:type="pct"/>
            <w:vAlign w:val="center"/>
          </w:tcPr>
          <w:p>
            <w:pPr>
              <w:widowControl/>
              <w:spacing w:line="240" w:lineRule="auto"/>
              <w:ind w:firstLine="0" w:firstLineChars="0"/>
              <w:jc w:val="center"/>
              <w:rPr>
                <w:kern w:val="0"/>
                <w:sz w:val="21"/>
                <w:szCs w:val="21"/>
                <w:u w:val="single"/>
              </w:rPr>
            </w:pPr>
            <w:r>
              <w:rPr>
                <w:rFonts w:hint="eastAsia"/>
                <w:kern w:val="0"/>
                <w:sz w:val="21"/>
                <w:szCs w:val="21"/>
                <w:u w:val="single"/>
              </w:rPr>
              <w:t>废催化剂</w:t>
            </w:r>
          </w:p>
        </w:tc>
        <w:tc>
          <w:tcPr>
            <w:tcW w:w="306" w:type="pct"/>
            <w:vMerge w:val="restart"/>
            <w:vAlign w:val="center"/>
          </w:tcPr>
          <w:p>
            <w:pPr>
              <w:widowControl/>
              <w:spacing w:line="240" w:lineRule="auto"/>
              <w:ind w:firstLine="0" w:firstLineChars="0"/>
              <w:jc w:val="center"/>
              <w:rPr>
                <w:kern w:val="0"/>
                <w:sz w:val="21"/>
                <w:szCs w:val="21"/>
                <w:u w:val="single"/>
              </w:rPr>
            </w:pPr>
            <w:r>
              <w:rPr>
                <w:kern w:val="0"/>
                <w:sz w:val="21"/>
                <w:szCs w:val="21"/>
                <w:u w:val="single"/>
              </w:rPr>
              <w:t>危险废物</w:t>
            </w:r>
          </w:p>
        </w:tc>
        <w:tc>
          <w:tcPr>
            <w:tcW w:w="538" w:type="pct"/>
            <w:vAlign w:val="center"/>
          </w:tcPr>
          <w:p>
            <w:pPr>
              <w:widowControl/>
              <w:spacing w:line="240" w:lineRule="auto"/>
              <w:ind w:firstLine="0" w:firstLineChars="0"/>
              <w:jc w:val="center"/>
              <w:rPr>
                <w:kern w:val="0"/>
                <w:sz w:val="21"/>
                <w:szCs w:val="21"/>
                <w:u w:val="single"/>
              </w:rPr>
            </w:pPr>
            <w:r>
              <w:rPr>
                <w:rFonts w:hint="eastAsia"/>
                <w:kern w:val="0"/>
                <w:sz w:val="21"/>
                <w:szCs w:val="21"/>
                <w:u w:val="single"/>
              </w:rPr>
              <w:t>废气处理</w:t>
            </w:r>
          </w:p>
        </w:tc>
        <w:tc>
          <w:tcPr>
            <w:tcW w:w="321" w:type="pct"/>
            <w:vAlign w:val="center"/>
          </w:tcPr>
          <w:p>
            <w:pPr>
              <w:widowControl/>
              <w:spacing w:line="240" w:lineRule="auto"/>
              <w:ind w:firstLine="0" w:firstLineChars="0"/>
              <w:jc w:val="center"/>
              <w:rPr>
                <w:kern w:val="0"/>
                <w:sz w:val="21"/>
                <w:szCs w:val="21"/>
                <w:u w:val="single"/>
              </w:rPr>
            </w:pPr>
            <w:r>
              <w:rPr>
                <w:kern w:val="0"/>
                <w:sz w:val="21"/>
                <w:szCs w:val="21"/>
                <w:u w:val="single"/>
              </w:rPr>
              <w:t>固</w:t>
            </w:r>
          </w:p>
        </w:tc>
        <w:tc>
          <w:tcPr>
            <w:tcW w:w="388" w:type="pct"/>
            <w:vAlign w:val="center"/>
          </w:tcPr>
          <w:p>
            <w:pPr>
              <w:widowControl/>
              <w:spacing w:line="240" w:lineRule="auto"/>
              <w:ind w:firstLine="0" w:firstLineChars="0"/>
              <w:jc w:val="center"/>
              <w:rPr>
                <w:rFonts w:hint="eastAsia" w:eastAsia="宋体"/>
                <w:kern w:val="0"/>
                <w:sz w:val="21"/>
                <w:szCs w:val="21"/>
                <w:u w:val="single"/>
                <w:lang w:eastAsia="zh-CN"/>
              </w:rPr>
            </w:pPr>
            <w:r>
              <w:rPr>
                <w:rFonts w:hint="eastAsia"/>
                <w:kern w:val="0"/>
                <w:sz w:val="21"/>
                <w:szCs w:val="21"/>
                <w:u w:val="single"/>
                <w:lang w:eastAsia="zh-CN"/>
              </w:rPr>
              <w:t>沾染有机物</w:t>
            </w:r>
          </w:p>
        </w:tc>
        <w:tc>
          <w:tcPr>
            <w:tcW w:w="351" w:type="pct"/>
            <w:vAlign w:val="center"/>
          </w:tcPr>
          <w:p>
            <w:pPr>
              <w:widowControl/>
              <w:spacing w:line="240" w:lineRule="auto"/>
              <w:ind w:firstLine="0" w:firstLineChars="0"/>
              <w:jc w:val="center"/>
              <w:rPr>
                <w:kern w:val="0"/>
                <w:sz w:val="21"/>
                <w:szCs w:val="21"/>
                <w:u w:val="single"/>
              </w:rPr>
            </w:pPr>
            <w:r>
              <w:rPr>
                <w:kern w:val="0"/>
                <w:sz w:val="21"/>
                <w:szCs w:val="21"/>
                <w:u w:val="single"/>
              </w:rPr>
              <w:t>T</w:t>
            </w:r>
          </w:p>
        </w:tc>
        <w:tc>
          <w:tcPr>
            <w:tcW w:w="349" w:type="pct"/>
            <w:vAlign w:val="center"/>
          </w:tcPr>
          <w:p>
            <w:pPr>
              <w:widowControl/>
              <w:spacing w:line="240" w:lineRule="auto"/>
              <w:ind w:firstLine="0" w:firstLineChars="0"/>
              <w:jc w:val="center"/>
              <w:rPr>
                <w:kern w:val="0"/>
                <w:sz w:val="21"/>
                <w:szCs w:val="21"/>
                <w:u w:val="single"/>
              </w:rPr>
            </w:pPr>
            <w:r>
              <w:rPr>
                <w:kern w:val="0"/>
                <w:sz w:val="21"/>
                <w:szCs w:val="21"/>
                <w:u w:val="single"/>
              </w:rPr>
              <w:t>HW49</w:t>
            </w:r>
          </w:p>
        </w:tc>
        <w:tc>
          <w:tcPr>
            <w:tcW w:w="537" w:type="pct"/>
            <w:vAlign w:val="center"/>
          </w:tcPr>
          <w:p>
            <w:pPr>
              <w:widowControl/>
              <w:spacing w:line="240" w:lineRule="auto"/>
              <w:ind w:firstLine="0" w:firstLineChars="0"/>
              <w:jc w:val="center"/>
              <w:rPr>
                <w:kern w:val="0"/>
                <w:sz w:val="21"/>
                <w:szCs w:val="21"/>
                <w:u w:val="single"/>
              </w:rPr>
            </w:pPr>
            <w:r>
              <w:rPr>
                <w:kern w:val="0"/>
                <w:sz w:val="21"/>
                <w:szCs w:val="21"/>
                <w:u w:val="single"/>
              </w:rPr>
              <w:t>900-039-49</w:t>
            </w:r>
          </w:p>
        </w:tc>
        <w:tc>
          <w:tcPr>
            <w:tcW w:w="591" w:type="pct"/>
            <w:vAlign w:val="center"/>
          </w:tcPr>
          <w:p>
            <w:pPr>
              <w:widowControl/>
              <w:spacing w:line="240" w:lineRule="auto"/>
              <w:ind w:firstLine="0" w:firstLineChars="0"/>
              <w:jc w:val="center"/>
              <w:rPr>
                <w:kern w:val="0"/>
                <w:sz w:val="21"/>
                <w:szCs w:val="21"/>
                <w:u w:val="single"/>
              </w:rPr>
            </w:pPr>
            <w:r>
              <w:rPr>
                <w:rFonts w:hint="eastAsia"/>
                <w:kern w:val="0"/>
                <w:sz w:val="21"/>
                <w:szCs w:val="21"/>
                <w:u w:val="single"/>
              </w:rPr>
              <w:t>5</w:t>
            </w:r>
            <w:r>
              <w:rPr>
                <w:kern w:val="0"/>
                <w:sz w:val="21"/>
                <w:szCs w:val="21"/>
                <w:u w:val="single"/>
              </w:rPr>
              <w:t>t/</w:t>
            </w:r>
            <w:r>
              <w:rPr>
                <w:rFonts w:hint="eastAsia"/>
                <w:kern w:val="0"/>
                <w:sz w:val="21"/>
                <w:szCs w:val="21"/>
                <w:u w:val="single"/>
              </w:rPr>
              <w:t>（4~5）</w:t>
            </w:r>
            <w:r>
              <w:rPr>
                <w:kern w:val="0"/>
                <w:sz w:val="21"/>
                <w:szCs w:val="21"/>
                <w:u w:val="single"/>
              </w:rPr>
              <w:t>a</w:t>
            </w:r>
          </w:p>
        </w:tc>
        <w:tc>
          <w:tcPr>
            <w:tcW w:w="918" w:type="pct"/>
            <w:vMerge w:val="restart"/>
            <w:vAlign w:val="center"/>
          </w:tcPr>
          <w:p>
            <w:pPr>
              <w:widowControl/>
              <w:spacing w:line="240" w:lineRule="auto"/>
              <w:ind w:firstLine="0" w:firstLineChars="0"/>
              <w:jc w:val="center"/>
              <w:rPr>
                <w:kern w:val="0"/>
                <w:sz w:val="21"/>
                <w:szCs w:val="21"/>
              </w:rPr>
            </w:pPr>
            <w:r>
              <w:rPr>
                <w:kern w:val="0"/>
                <w:sz w:val="21"/>
                <w:szCs w:val="21"/>
              </w:rPr>
              <w:t>定期交有资质单位处理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6</w:t>
            </w:r>
          </w:p>
        </w:tc>
        <w:tc>
          <w:tcPr>
            <w:tcW w:w="471" w:type="pct"/>
            <w:vAlign w:val="center"/>
          </w:tcPr>
          <w:p>
            <w:pPr>
              <w:widowControl/>
              <w:spacing w:line="240" w:lineRule="auto"/>
              <w:ind w:firstLine="0" w:firstLineChars="0"/>
              <w:jc w:val="center"/>
              <w:rPr>
                <w:kern w:val="0"/>
                <w:sz w:val="21"/>
                <w:szCs w:val="21"/>
              </w:rPr>
            </w:pPr>
            <w:r>
              <w:rPr>
                <w:kern w:val="0"/>
                <w:sz w:val="21"/>
                <w:szCs w:val="21"/>
              </w:rPr>
              <w:t>废</w:t>
            </w:r>
            <w:r>
              <w:rPr>
                <w:rFonts w:hint="eastAsia"/>
                <w:kern w:val="0"/>
                <w:sz w:val="21"/>
                <w:szCs w:val="21"/>
              </w:rPr>
              <w:t>机油</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widowControl/>
              <w:spacing w:line="240" w:lineRule="auto"/>
              <w:ind w:firstLine="0" w:firstLineChars="0"/>
              <w:jc w:val="center"/>
              <w:rPr>
                <w:kern w:val="0"/>
                <w:sz w:val="21"/>
                <w:szCs w:val="21"/>
              </w:rPr>
            </w:pPr>
            <w:r>
              <w:rPr>
                <w:rFonts w:hint="eastAsia"/>
                <w:kern w:val="0"/>
                <w:sz w:val="21"/>
                <w:szCs w:val="21"/>
              </w:rPr>
              <w:t>设备维修</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kern w:val="0"/>
                <w:sz w:val="21"/>
                <w:szCs w:val="21"/>
              </w:rPr>
            </w:pPr>
            <w:r>
              <w:rPr>
                <w:rFonts w:hint="eastAsia" w:cs="Times New Roman"/>
                <w:sz w:val="21"/>
                <w:szCs w:val="21"/>
              </w:rPr>
              <w:t>矿物质油</w:t>
            </w:r>
          </w:p>
        </w:tc>
        <w:tc>
          <w:tcPr>
            <w:tcW w:w="351" w:type="pct"/>
            <w:vAlign w:val="center"/>
          </w:tcPr>
          <w:p>
            <w:pPr>
              <w:widowControl/>
              <w:spacing w:line="240" w:lineRule="auto"/>
              <w:ind w:firstLine="0" w:firstLineChars="0"/>
              <w:jc w:val="center"/>
              <w:rPr>
                <w:kern w:val="0"/>
                <w:sz w:val="21"/>
                <w:szCs w:val="21"/>
              </w:rPr>
            </w:pPr>
            <w:r>
              <w:rPr>
                <w:kern w:val="0"/>
                <w:sz w:val="21"/>
                <w:szCs w:val="21"/>
              </w:rPr>
              <w:t>T</w:t>
            </w:r>
            <w:r>
              <w:rPr>
                <w:rFonts w:hint="eastAsia"/>
                <w:kern w:val="0"/>
                <w:sz w:val="21"/>
                <w:szCs w:val="21"/>
              </w:rPr>
              <w:t>，I</w:t>
            </w:r>
          </w:p>
        </w:tc>
        <w:tc>
          <w:tcPr>
            <w:tcW w:w="349" w:type="pct"/>
            <w:vAlign w:val="center"/>
          </w:tcPr>
          <w:p>
            <w:pPr>
              <w:widowControl/>
              <w:spacing w:line="240" w:lineRule="auto"/>
              <w:ind w:firstLine="0" w:firstLineChars="0"/>
              <w:jc w:val="center"/>
              <w:rPr>
                <w:kern w:val="0"/>
                <w:sz w:val="21"/>
                <w:szCs w:val="21"/>
              </w:rPr>
            </w:pPr>
            <w:r>
              <w:rPr>
                <w:kern w:val="0"/>
                <w:sz w:val="21"/>
                <w:szCs w:val="21"/>
              </w:rPr>
              <w:t>HW</w:t>
            </w:r>
            <w:r>
              <w:rPr>
                <w:rFonts w:hint="eastAsia"/>
                <w:kern w:val="0"/>
                <w:sz w:val="21"/>
                <w:szCs w:val="21"/>
              </w:rPr>
              <w:t>08</w:t>
            </w:r>
          </w:p>
        </w:tc>
        <w:tc>
          <w:tcPr>
            <w:tcW w:w="537" w:type="pct"/>
            <w:vAlign w:val="center"/>
          </w:tcPr>
          <w:p>
            <w:pPr>
              <w:widowControl/>
              <w:spacing w:line="240" w:lineRule="auto"/>
              <w:ind w:firstLine="0" w:firstLineChars="0"/>
              <w:jc w:val="center"/>
              <w:rPr>
                <w:kern w:val="0"/>
                <w:sz w:val="21"/>
                <w:szCs w:val="21"/>
              </w:rPr>
            </w:pPr>
            <w:r>
              <w:rPr>
                <w:rFonts w:hint="eastAsia"/>
                <w:kern w:val="0"/>
                <w:sz w:val="21"/>
                <w:szCs w:val="21"/>
              </w:rPr>
              <w:t>900-214-08</w:t>
            </w:r>
          </w:p>
        </w:tc>
        <w:tc>
          <w:tcPr>
            <w:tcW w:w="591" w:type="pct"/>
            <w:vAlign w:val="center"/>
          </w:tcPr>
          <w:p>
            <w:pPr>
              <w:widowControl/>
              <w:spacing w:line="240" w:lineRule="auto"/>
              <w:ind w:firstLine="0" w:firstLineChars="0"/>
              <w:jc w:val="center"/>
              <w:rPr>
                <w:kern w:val="0"/>
                <w:sz w:val="21"/>
                <w:szCs w:val="21"/>
              </w:rPr>
            </w:pPr>
            <w:r>
              <w:rPr>
                <w:kern w:val="0"/>
                <w:sz w:val="21"/>
                <w:szCs w:val="21"/>
              </w:rPr>
              <w:t>0.</w:t>
            </w:r>
            <w:r>
              <w:rPr>
                <w:rFonts w:hint="eastAsia"/>
                <w:kern w:val="0"/>
                <w:sz w:val="21"/>
                <w:szCs w:val="21"/>
              </w:rPr>
              <w:t>01</w:t>
            </w:r>
            <w:r>
              <w:rPr>
                <w:kern w:val="0"/>
                <w:sz w:val="21"/>
                <w:szCs w:val="21"/>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65"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7</w:t>
            </w:r>
          </w:p>
        </w:tc>
        <w:tc>
          <w:tcPr>
            <w:tcW w:w="471" w:type="pct"/>
            <w:vAlign w:val="center"/>
          </w:tcPr>
          <w:p>
            <w:pPr>
              <w:widowControl/>
              <w:spacing w:line="240" w:lineRule="auto"/>
              <w:ind w:firstLine="0" w:firstLineChars="0"/>
              <w:jc w:val="center"/>
              <w:rPr>
                <w:kern w:val="0"/>
                <w:sz w:val="21"/>
                <w:szCs w:val="21"/>
              </w:rPr>
            </w:pPr>
            <w:r>
              <w:rPr>
                <w:kern w:val="0"/>
                <w:sz w:val="21"/>
                <w:szCs w:val="21"/>
              </w:rPr>
              <w:t>废活性炭</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widowControl/>
              <w:spacing w:line="240" w:lineRule="auto"/>
              <w:ind w:firstLine="0" w:firstLineChars="0"/>
              <w:jc w:val="center"/>
              <w:rPr>
                <w:kern w:val="0"/>
                <w:sz w:val="21"/>
                <w:szCs w:val="21"/>
              </w:rPr>
            </w:pPr>
            <w:r>
              <w:rPr>
                <w:kern w:val="0"/>
                <w:sz w:val="21"/>
                <w:szCs w:val="21"/>
              </w:rPr>
              <w:t>废气处理</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kern w:val="0"/>
                <w:sz w:val="21"/>
                <w:szCs w:val="21"/>
              </w:rPr>
            </w:pPr>
            <w:r>
              <w:rPr>
                <w:kern w:val="0"/>
                <w:sz w:val="21"/>
                <w:szCs w:val="21"/>
              </w:rPr>
              <w:t>活性炭</w:t>
            </w:r>
          </w:p>
        </w:tc>
        <w:tc>
          <w:tcPr>
            <w:tcW w:w="351" w:type="pct"/>
            <w:vAlign w:val="center"/>
          </w:tcPr>
          <w:p>
            <w:pPr>
              <w:widowControl/>
              <w:spacing w:line="240" w:lineRule="auto"/>
              <w:ind w:firstLine="0" w:firstLineChars="0"/>
              <w:jc w:val="center"/>
              <w:rPr>
                <w:kern w:val="0"/>
                <w:sz w:val="21"/>
                <w:szCs w:val="21"/>
              </w:rPr>
            </w:pPr>
            <w:r>
              <w:rPr>
                <w:kern w:val="0"/>
                <w:sz w:val="21"/>
                <w:szCs w:val="21"/>
              </w:rPr>
              <w:t>T</w:t>
            </w:r>
          </w:p>
        </w:tc>
        <w:tc>
          <w:tcPr>
            <w:tcW w:w="349" w:type="pct"/>
            <w:vAlign w:val="center"/>
          </w:tcPr>
          <w:p>
            <w:pPr>
              <w:widowControl/>
              <w:spacing w:line="240" w:lineRule="auto"/>
              <w:ind w:firstLine="0" w:firstLineChars="0"/>
              <w:jc w:val="center"/>
              <w:rPr>
                <w:kern w:val="0"/>
                <w:sz w:val="21"/>
                <w:szCs w:val="21"/>
              </w:rPr>
            </w:pPr>
            <w:r>
              <w:rPr>
                <w:kern w:val="0"/>
                <w:sz w:val="21"/>
                <w:szCs w:val="21"/>
              </w:rPr>
              <w:t>HW49</w:t>
            </w:r>
          </w:p>
        </w:tc>
        <w:tc>
          <w:tcPr>
            <w:tcW w:w="537" w:type="pct"/>
            <w:vAlign w:val="center"/>
          </w:tcPr>
          <w:p>
            <w:pPr>
              <w:widowControl/>
              <w:spacing w:line="240" w:lineRule="auto"/>
              <w:ind w:firstLine="0" w:firstLineChars="0"/>
              <w:jc w:val="center"/>
              <w:rPr>
                <w:kern w:val="0"/>
                <w:sz w:val="21"/>
                <w:szCs w:val="21"/>
              </w:rPr>
            </w:pPr>
            <w:r>
              <w:rPr>
                <w:kern w:val="0"/>
                <w:sz w:val="21"/>
                <w:szCs w:val="21"/>
              </w:rPr>
              <w:t>900-039-49</w:t>
            </w:r>
          </w:p>
        </w:tc>
        <w:tc>
          <w:tcPr>
            <w:tcW w:w="591" w:type="pct"/>
            <w:vAlign w:val="center"/>
          </w:tcPr>
          <w:p>
            <w:pPr>
              <w:widowControl/>
              <w:spacing w:line="240" w:lineRule="auto"/>
              <w:ind w:firstLine="0" w:firstLineChars="0"/>
              <w:jc w:val="center"/>
              <w:rPr>
                <w:kern w:val="0"/>
                <w:sz w:val="21"/>
                <w:szCs w:val="21"/>
              </w:rPr>
            </w:pPr>
            <w:r>
              <w:rPr>
                <w:rFonts w:hint="eastAsia"/>
                <w:kern w:val="0"/>
                <w:sz w:val="21"/>
                <w:szCs w:val="21"/>
              </w:rPr>
              <w:t>1.325</w:t>
            </w:r>
            <w:r>
              <w:rPr>
                <w:kern w:val="0"/>
                <w:sz w:val="21"/>
                <w:szCs w:val="21"/>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6"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val="en-US" w:eastAsia="zh-CN"/>
              </w:rPr>
            </w:pPr>
            <w:bookmarkStart w:id="95" w:name="_Toc2244"/>
            <w:r>
              <w:rPr>
                <w:rFonts w:hint="eastAsia"/>
                <w:kern w:val="0"/>
                <w:sz w:val="21"/>
                <w:szCs w:val="21"/>
                <w:lang w:val="en-US" w:eastAsia="zh-CN"/>
              </w:rPr>
              <w:t>8</w:t>
            </w:r>
          </w:p>
        </w:tc>
        <w:tc>
          <w:tcPr>
            <w:tcW w:w="471" w:type="pct"/>
            <w:vAlign w:val="center"/>
          </w:tcPr>
          <w:p>
            <w:pPr>
              <w:widowControl/>
              <w:spacing w:line="240" w:lineRule="auto"/>
              <w:ind w:firstLine="0" w:firstLineChars="0"/>
              <w:jc w:val="center"/>
              <w:rPr>
                <w:kern w:val="0"/>
                <w:sz w:val="21"/>
                <w:szCs w:val="21"/>
                <w:u w:val="single"/>
              </w:rPr>
            </w:pPr>
            <w:r>
              <w:rPr>
                <w:rFonts w:cs="Times New Roman"/>
                <w:sz w:val="21"/>
                <w:szCs w:val="21"/>
                <w:u w:val="single"/>
              </w:rPr>
              <w:t>污水处理站污泥</w:t>
            </w:r>
          </w:p>
        </w:tc>
        <w:tc>
          <w:tcPr>
            <w:tcW w:w="306" w:type="pct"/>
            <w:vMerge w:val="continue"/>
            <w:vAlign w:val="center"/>
          </w:tcPr>
          <w:p>
            <w:pPr>
              <w:widowControl/>
              <w:spacing w:line="240" w:lineRule="auto"/>
              <w:ind w:firstLine="0" w:firstLineChars="0"/>
              <w:jc w:val="center"/>
              <w:rPr>
                <w:kern w:val="0"/>
                <w:sz w:val="21"/>
                <w:szCs w:val="21"/>
                <w:u w:val="single"/>
              </w:rPr>
            </w:pPr>
          </w:p>
        </w:tc>
        <w:tc>
          <w:tcPr>
            <w:tcW w:w="538" w:type="pct"/>
            <w:vAlign w:val="center"/>
          </w:tcPr>
          <w:p>
            <w:pPr>
              <w:spacing w:line="240" w:lineRule="auto"/>
              <w:ind w:firstLine="0" w:firstLineChars="0"/>
              <w:jc w:val="center"/>
              <w:rPr>
                <w:kern w:val="0"/>
                <w:sz w:val="21"/>
                <w:szCs w:val="21"/>
                <w:u w:val="single"/>
              </w:rPr>
            </w:pPr>
            <w:r>
              <w:rPr>
                <w:rFonts w:cs="Times New Roman"/>
                <w:sz w:val="21"/>
                <w:szCs w:val="21"/>
                <w:u w:val="single"/>
              </w:rPr>
              <w:t>废</w:t>
            </w:r>
            <w:r>
              <w:rPr>
                <w:rFonts w:hint="eastAsia" w:cs="Times New Roman"/>
                <w:sz w:val="21"/>
                <w:szCs w:val="21"/>
                <w:u w:val="single"/>
              </w:rPr>
              <w:t>水</w:t>
            </w:r>
            <w:r>
              <w:rPr>
                <w:rFonts w:cs="Times New Roman"/>
                <w:sz w:val="21"/>
                <w:szCs w:val="21"/>
                <w:u w:val="single"/>
              </w:rPr>
              <w:t>处理</w:t>
            </w:r>
          </w:p>
        </w:tc>
        <w:tc>
          <w:tcPr>
            <w:tcW w:w="321" w:type="pct"/>
            <w:vAlign w:val="center"/>
          </w:tcPr>
          <w:p>
            <w:pPr>
              <w:widowControl/>
              <w:spacing w:line="240" w:lineRule="auto"/>
              <w:ind w:firstLine="0" w:firstLineChars="0"/>
              <w:jc w:val="center"/>
              <w:rPr>
                <w:kern w:val="0"/>
                <w:sz w:val="21"/>
                <w:szCs w:val="21"/>
                <w:u w:val="single"/>
              </w:rPr>
            </w:pPr>
            <w:r>
              <w:rPr>
                <w:kern w:val="0"/>
                <w:sz w:val="21"/>
                <w:szCs w:val="21"/>
                <w:u w:val="single"/>
              </w:rPr>
              <w:t>固</w:t>
            </w:r>
          </w:p>
        </w:tc>
        <w:tc>
          <w:tcPr>
            <w:tcW w:w="388" w:type="pct"/>
            <w:vAlign w:val="center"/>
          </w:tcPr>
          <w:p>
            <w:pPr>
              <w:spacing w:line="240" w:lineRule="auto"/>
              <w:ind w:firstLine="0" w:firstLineChars="0"/>
              <w:jc w:val="center"/>
              <w:rPr>
                <w:kern w:val="0"/>
                <w:sz w:val="21"/>
                <w:szCs w:val="21"/>
                <w:u w:val="single"/>
              </w:rPr>
            </w:pPr>
            <w:r>
              <w:rPr>
                <w:rFonts w:hint="eastAsia" w:cs="Times New Roman"/>
                <w:sz w:val="21"/>
                <w:szCs w:val="21"/>
                <w:u w:val="single"/>
              </w:rPr>
              <w:t>树脂污泥</w:t>
            </w:r>
          </w:p>
        </w:tc>
        <w:tc>
          <w:tcPr>
            <w:tcW w:w="351" w:type="pct"/>
            <w:vAlign w:val="center"/>
          </w:tcPr>
          <w:p>
            <w:pPr>
              <w:widowControl/>
              <w:spacing w:line="240" w:lineRule="auto"/>
              <w:ind w:firstLine="0" w:firstLineChars="0"/>
              <w:jc w:val="center"/>
              <w:rPr>
                <w:kern w:val="0"/>
                <w:sz w:val="21"/>
                <w:szCs w:val="21"/>
                <w:u w:val="single"/>
              </w:rPr>
            </w:pPr>
            <w:r>
              <w:rPr>
                <w:kern w:val="0"/>
                <w:sz w:val="21"/>
                <w:szCs w:val="21"/>
                <w:u w:val="single"/>
              </w:rPr>
              <w:t>T</w:t>
            </w:r>
          </w:p>
        </w:tc>
        <w:tc>
          <w:tcPr>
            <w:tcW w:w="349" w:type="pct"/>
            <w:vAlign w:val="center"/>
          </w:tcPr>
          <w:p>
            <w:pPr>
              <w:spacing w:line="240" w:lineRule="auto"/>
              <w:ind w:firstLine="0" w:firstLineChars="0"/>
              <w:jc w:val="center"/>
              <w:rPr>
                <w:kern w:val="0"/>
                <w:sz w:val="21"/>
                <w:szCs w:val="21"/>
                <w:u w:val="single"/>
              </w:rPr>
            </w:pPr>
            <w:r>
              <w:rPr>
                <w:rFonts w:hint="eastAsia" w:cs="Times New Roman"/>
                <w:color w:val="000000"/>
                <w:sz w:val="21"/>
                <w:szCs w:val="21"/>
                <w:u w:val="single"/>
                <w:lang w:bidi="zh-CN"/>
              </w:rPr>
              <w:t>HW13</w:t>
            </w:r>
          </w:p>
        </w:tc>
        <w:tc>
          <w:tcPr>
            <w:tcW w:w="537" w:type="pct"/>
            <w:vAlign w:val="center"/>
          </w:tcPr>
          <w:p>
            <w:pPr>
              <w:spacing w:line="240" w:lineRule="auto"/>
              <w:ind w:firstLine="0" w:firstLineChars="0"/>
              <w:jc w:val="center"/>
              <w:rPr>
                <w:kern w:val="0"/>
                <w:sz w:val="21"/>
                <w:szCs w:val="21"/>
                <w:u w:val="single"/>
              </w:rPr>
            </w:pPr>
            <w:r>
              <w:rPr>
                <w:rFonts w:cs="Times New Roman"/>
                <w:color w:val="000000"/>
                <w:sz w:val="21"/>
                <w:szCs w:val="21"/>
                <w:u w:val="single"/>
                <w:lang w:bidi="zh-CN"/>
              </w:rPr>
              <w:t>265-104-13</w:t>
            </w:r>
          </w:p>
        </w:tc>
        <w:tc>
          <w:tcPr>
            <w:tcW w:w="591" w:type="pct"/>
            <w:vAlign w:val="center"/>
          </w:tcPr>
          <w:p>
            <w:pPr>
              <w:spacing w:line="240" w:lineRule="auto"/>
              <w:ind w:firstLine="0" w:firstLineChars="0"/>
              <w:jc w:val="center"/>
              <w:rPr>
                <w:kern w:val="0"/>
                <w:sz w:val="21"/>
                <w:szCs w:val="21"/>
                <w:u w:val="single"/>
              </w:rPr>
            </w:pPr>
            <w:r>
              <w:rPr>
                <w:rFonts w:hint="eastAsia" w:cs="Times New Roman"/>
                <w:sz w:val="21"/>
                <w:szCs w:val="21"/>
                <w:u w:val="single"/>
                <w:lang w:val="en-US" w:eastAsia="zh-CN"/>
              </w:rPr>
              <w:t>9.273</w:t>
            </w:r>
            <w:r>
              <w:rPr>
                <w:kern w:val="0"/>
                <w:sz w:val="21"/>
                <w:szCs w:val="21"/>
                <w:u w:val="single"/>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6" w:hRule="atLeast"/>
          <w:jc w:val="center"/>
        </w:trPr>
        <w:tc>
          <w:tcPr>
            <w:tcW w:w="225" w:type="pct"/>
            <w:vAlign w:val="center"/>
          </w:tcPr>
          <w:p>
            <w:pPr>
              <w:spacing w:line="240" w:lineRule="auto"/>
              <w:ind w:firstLine="0" w:firstLineChars="0"/>
              <w:jc w:val="center"/>
              <w:rPr>
                <w:rFonts w:hint="eastAsia" w:eastAsia="宋体"/>
                <w:kern w:val="0"/>
                <w:sz w:val="21"/>
                <w:szCs w:val="21"/>
                <w:lang w:val="en-US" w:eastAsia="zh-CN"/>
              </w:rPr>
            </w:pPr>
            <w:bookmarkStart w:id="96" w:name="_Toc1780"/>
            <w:r>
              <w:rPr>
                <w:rFonts w:hint="eastAsia"/>
                <w:kern w:val="0"/>
                <w:sz w:val="21"/>
                <w:szCs w:val="21"/>
                <w:lang w:val="en-US" w:eastAsia="zh-CN"/>
              </w:rPr>
              <w:t>9</w:t>
            </w:r>
          </w:p>
        </w:tc>
        <w:tc>
          <w:tcPr>
            <w:tcW w:w="471" w:type="pct"/>
            <w:vAlign w:val="center"/>
          </w:tcPr>
          <w:p>
            <w:pPr>
              <w:spacing w:line="240" w:lineRule="auto"/>
              <w:ind w:firstLine="0" w:firstLineChars="0"/>
              <w:jc w:val="center"/>
              <w:rPr>
                <w:kern w:val="0"/>
                <w:sz w:val="21"/>
                <w:szCs w:val="21"/>
              </w:rPr>
            </w:pPr>
            <w:r>
              <w:rPr>
                <w:rFonts w:cs="Times New Roman"/>
                <w:sz w:val="21"/>
                <w:szCs w:val="21"/>
              </w:rPr>
              <w:t>产品滤渣</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spacing w:line="240" w:lineRule="auto"/>
              <w:ind w:firstLine="0" w:firstLineChars="0"/>
              <w:jc w:val="center"/>
              <w:rPr>
                <w:kern w:val="0"/>
                <w:sz w:val="21"/>
                <w:szCs w:val="21"/>
              </w:rPr>
            </w:pPr>
            <w:r>
              <w:rPr>
                <w:rFonts w:hint="eastAsia" w:cs="Times New Roman"/>
                <w:sz w:val="21"/>
                <w:szCs w:val="21"/>
              </w:rPr>
              <w:t>生产过滤</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spacing w:line="240" w:lineRule="auto"/>
              <w:ind w:firstLine="0" w:firstLineChars="0"/>
              <w:jc w:val="center"/>
              <w:rPr>
                <w:kern w:val="0"/>
                <w:sz w:val="21"/>
                <w:szCs w:val="21"/>
              </w:rPr>
            </w:pPr>
            <w:r>
              <w:rPr>
                <w:kern w:val="0"/>
                <w:sz w:val="21"/>
                <w:szCs w:val="21"/>
              </w:rPr>
              <w:t>危险化学品</w:t>
            </w:r>
          </w:p>
        </w:tc>
        <w:tc>
          <w:tcPr>
            <w:tcW w:w="351" w:type="pct"/>
            <w:vAlign w:val="center"/>
          </w:tcPr>
          <w:p>
            <w:pPr>
              <w:widowControl/>
              <w:spacing w:line="240" w:lineRule="auto"/>
              <w:ind w:firstLine="0" w:firstLineChars="0"/>
              <w:jc w:val="center"/>
              <w:rPr>
                <w:kern w:val="0"/>
                <w:sz w:val="21"/>
                <w:szCs w:val="21"/>
              </w:rPr>
            </w:pPr>
            <w:r>
              <w:rPr>
                <w:kern w:val="0"/>
                <w:sz w:val="21"/>
                <w:szCs w:val="21"/>
              </w:rPr>
              <w:t>T</w:t>
            </w:r>
          </w:p>
        </w:tc>
        <w:tc>
          <w:tcPr>
            <w:tcW w:w="349" w:type="pct"/>
            <w:vAlign w:val="center"/>
          </w:tcPr>
          <w:p>
            <w:pPr>
              <w:spacing w:line="240" w:lineRule="auto"/>
              <w:ind w:firstLine="0" w:firstLineChars="0"/>
              <w:jc w:val="center"/>
              <w:rPr>
                <w:kern w:val="0"/>
                <w:sz w:val="21"/>
                <w:szCs w:val="21"/>
              </w:rPr>
            </w:pPr>
            <w:r>
              <w:rPr>
                <w:rFonts w:hint="eastAsia" w:cs="Times New Roman"/>
                <w:color w:val="000000"/>
                <w:sz w:val="21"/>
                <w:szCs w:val="21"/>
                <w:lang w:bidi="zh-CN"/>
              </w:rPr>
              <w:t>HW13</w:t>
            </w:r>
          </w:p>
        </w:tc>
        <w:tc>
          <w:tcPr>
            <w:tcW w:w="537" w:type="pct"/>
            <w:vAlign w:val="center"/>
          </w:tcPr>
          <w:p>
            <w:pPr>
              <w:spacing w:line="240" w:lineRule="auto"/>
              <w:ind w:firstLine="0" w:firstLineChars="0"/>
              <w:jc w:val="center"/>
              <w:rPr>
                <w:kern w:val="0"/>
                <w:sz w:val="21"/>
                <w:szCs w:val="21"/>
              </w:rPr>
            </w:pPr>
            <w:r>
              <w:rPr>
                <w:rFonts w:cs="Times New Roman"/>
                <w:color w:val="000000"/>
                <w:sz w:val="21"/>
                <w:szCs w:val="21"/>
                <w:lang w:bidi="zh-CN"/>
              </w:rPr>
              <w:t>265-104-13</w:t>
            </w:r>
          </w:p>
        </w:tc>
        <w:tc>
          <w:tcPr>
            <w:tcW w:w="591" w:type="pct"/>
            <w:vAlign w:val="center"/>
          </w:tcPr>
          <w:p>
            <w:pPr>
              <w:spacing w:line="240" w:lineRule="auto"/>
              <w:ind w:firstLine="0" w:firstLineChars="0"/>
              <w:jc w:val="center"/>
              <w:rPr>
                <w:kern w:val="0"/>
                <w:sz w:val="21"/>
                <w:szCs w:val="21"/>
              </w:rPr>
            </w:pPr>
            <w:r>
              <w:rPr>
                <w:rFonts w:hint="eastAsia"/>
                <w:kern w:val="0"/>
                <w:sz w:val="21"/>
                <w:szCs w:val="21"/>
                <w:lang w:val="en-US" w:eastAsia="zh-CN"/>
              </w:rPr>
              <w:t>45.715</w:t>
            </w:r>
            <w:r>
              <w:rPr>
                <w:kern w:val="0"/>
                <w:sz w:val="21"/>
                <w:szCs w:val="21"/>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6" w:hRule="atLeast"/>
          <w:jc w:val="center"/>
        </w:trPr>
        <w:tc>
          <w:tcPr>
            <w:tcW w:w="225" w:type="pct"/>
            <w:vAlign w:val="center"/>
          </w:tcPr>
          <w:p>
            <w:pPr>
              <w:widowControl/>
              <w:spacing w:line="240" w:lineRule="auto"/>
              <w:ind w:firstLine="0" w:firstLineChars="0"/>
              <w:jc w:val="center"/>
              <w:rPr>
                <w:rFonts w:hint="default" w:eastAsia="宋体"/>
                <w:kern w:val="0"/>
                <w:sz w:val="21"/>
                <w:szCs w:val="21"/>
                <w:lang w:val="en-US" w:eastAsia="zh-CN"/>
              </w:rPr>
            </w:pPr>
            <w:r>
              <w:rPr>
                <w:rFonts w:hint="eastAsia"/>
                <w:kern w:val="0"/>
                <w:sz w:val="21"/>
                <w:szCs w:val="21"/>
                <w:lang w:val="en-US" w:eastAsia="zh-CN"/>
              </w:rPr>
              <w:t>10</w:t>
            </w:r>
          </w:p>
        </w:tc>
        <w:tc>
          <w:tcPr>
            <w:tcW w:w="471" w:type="pct"/>
            <w:vAlign w:val="center"/>
          </w:tcPr>
          <w:p>
            <w:pPr>
              <w:widowControl/>
              <w:spacing w:line="240" w:lineRule="auto"/>
              <w:ind w:firstLine="0" w:firstLineChars="0"/>
              <w:jc w:val="center"/>
              <w:rPr>
                <w:kern w:val="0"/>
                <w:sz w:val="21"/>
                <w:szCs w:val="21"/>
              </w:rPr>
            </w:pPr>
            <w:r>
              <w:rPr>
                <w:rFonts w:cs="Times New Roman"/>
                <w:sz w:val="21"/>
                <w:szCs w:val="21"/>
              </w:rPr>
              <w:t>废原材料包装</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spacing w:line="240" w:lineRule="auto"/>
              <w:ind w:firstLine="0" w:firstLineChars="0"/>
              <w:jc w:val="center"/>
              <w:rPr>
                <w:kern w:val="0"/>
                <w:sz w:val="21"/>
                <w:szCs w:val="21"/>
              </w:rPr>
            </w:pPr>
            <w:r>
              <w:rPr>
                <w:rFonts w:hint="eastAsia" w:cs="Times New Roman"/>
                <w:sz w:val="21"/>
                <w:szCs w:val="21"/>
              </w:rPr>
              <w:t>原料包装</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kern w:val="0"/>
                <w:sz w:val="21"/>
                <w:szCs w:val="21"/>
              </w:rPr>
            </w:pPr>
            <w:r>
              <w:rPr>
                <w:kern w:val="0"/>
                <w:sz w:val="21"/>
                <w:szCs w:val="21"/>
              </w:rPr>
              <w:t>危险化学品</w:t>
            </w:r>
          </w:p>
        </w:tc>
        <w:tc>
          <w:tcPr>
            <w:tcW w:w="351" w:type="pct"/>
            <w:vAlign w:val="center"/>
          </w:tcPr>
          <w:p>
            <w:pPr>
              <w:widowControl/>
              <w:spacing w:line="240" w:lineRule="auto"/>
              <w:ind w:firstLine="0" w:firstLineChars="0"/>
              <w:jc w:val="center"/>
              <w:rPr>
                <w:kern w:val="0"/>
                <w:sz w:val="21"/>
                <w:szCs w:val="21"/>
              </w:rPr>
            </w:pPr>
            <w:r>
              <w:rPr>
                <w:kern w:val="0"/>
                <w:sz w:val="21"/>
                <w:szCs w:val="21"/>
              </w:rPr>
              <w:t>T</w:t>
            </w:r>
          </w:p>
        </w:tc>
        <w:tc>
          <w:tcPr>
            <w:tcW w:w="349" w:type="pct"/>
            <w:vAlign w:val="center"/>
          </w:tcPr>
          <w:p>
            <w:pPr>
              <w:spacing w:line="240" w:lineRule="auto"/>
              <w:ind w:firstLine="0" w:firstLineChars="0"/>
              <w:jc w:val="center"/>
              <w:rPr>
                <w:kern w:val="0"/>
                <w:sz w:val="21"/>
                <w:szCs w:val="21"/>
              </w:rPr>
            </w:pPr>
            <w:r>
              <w:rPr>
                <w:rFonts w:cs="Times New Roman"/>
                <w:color w:val="000000"/>
                <w:sz w:val="21"/>
                <w:szCs w:val="21"/>
                <w:lang w:bidi="zh-CN"/>
              </w:rPr>
              <w:t>HW49</w:t>
            </w:r>
          </w:p>
        </w:tc>
        <w:tc>
          <w:tcPr>
            <w:tcW w:w="537" w:type="pct"/>
            <w:vAlign w:val="center"/>
          </w:tcPr>
          <w:p>
            <w:pPr>
              <w:spacing w:line="240" w:lineRule="auto"/>
              <w:ind w:firstLine="0" w:firstLineChars="0"/>
              <w:jc w:val="center"/>
              <w:rPr>
                <w:kern w:val="0"/>
                <w:sz w:val="21"/>
                <w:szCs w:val="21"/>
              </w:rPr>
            </w:pPr>
            <w:r>
              <w:rPr>
                <w:rFonts w:cs="Times New Roman"/>
                <w:color w:val="000000"/>
                <w:sz w:val="21"/>
                <w:szCs w:val="21"/>
                <w:lang w:bidi="zh-CN"/>
              </w:rPr>
              <w:t>900-047-49</w:t>
            </w:r>
          </w:p>
        </w:tc>
        <w:tc>
          <w:tcPr>
            <w:tcW w:w="591" w:type="pct"/>
            <w:vAlign w:val="center"/>
          </w:tcPr>
          <w:p>
            <w:pPr>
              <w:spacing w:line="240" w:lineRule="auto"/>
              <w:ind w:firstLine="0" w:firstLineChars="0"/>
              <w:jc w:val="center"/>
              <w:rPr>
                <w:kern w:val="0"/>
                <w:sz w:val="21"/>
                <w:szCs w:val="21"/>
              </w:rPr>
            </w:pPr>
            <w:r>
              <w:rPr>
                <w:rFonts w:hint="eastAsia" w:cs="Times New Roman"/>
                <w:sz w:val="21"/>
                <w:szCs w:val="21"/>
              </w:rPr>
              <w:t>3.2</w:t>
            </w:r>
            <w:r>
              <w:rPr>
                <w:kern w:val="0"/>
                <w:sz w:val="21"/>
                <w:szCs w:val="21"/>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6" w:hRule="atLeast"/>
          <w:jc w:val="center"/>
        </w:trPr>
        <w:tc>
          <w:tcPr>
            <w:tcW w:w="225" w:type="pct"/>
            <w:vAlign w:val="center"/>
          </w:tcPr>
          <w:p>
            <w:pPr>
              <w:widowControl/>
              <w:spacing w:line="240" w:lineRule="auto"/>
              <w:ind w:firstLine="0" w:firstLineChars="0"/>
              <w:jc w:val="center"/>
              <w:rPr>
                <w:rFonts w:hint="default" w:eastAsia="宋体"/>
                <w:kern w:val="0"/>
                <w:sz w:val="21"/>
                <w:szCs w:val="21"/>
                <w:lang w:val="en-US" w:eastAsia="zh-CN"/>
              </w:rPr>
            </w:pPr>
            <w:r>
              <w:rPr>
                <w:rFonts w:hint="eastAsia"/>
                <w:kern w:val="0"/>
                <w:sz w:val="21"/>
                <w:szCs w:val="21"/>
                <w:lang w:val="en-US" w:eastAsia="zh-CN"/>
              </w:rPr>
              <w:t>11</w:t>
            </w:r>
          </w:p>
        </w:tc>
        <w:tc>
          <w:tcPr>
            <w:tcW w:w="471" w:type="pct"/>
            <w:vAlign w:val="center"/>
          </w:tcPr>
          <w:p>
            <w:pPr>
              <w:widowControl/>
              <w:spacing w:line="240" w:lineRule="auto"/>
              <w:ind w:firstLine="0" w:firstLineChars="0"/>
              <w:jc w:val="center"/>
              <w:rPr>
                <w:rFonts w:cs="Times New Roman"/>
                <w:sz w:val="21"/>
                <w:szCs w:val="21"/>
              </w:rPr>
            </w:pPr>
            <w:r>
              <w:rPr>
                <w:rFonts w:hint="eastAsia" w:cs="Times New Roman"/>
                <w:sz w:val="21"/>
                <w:szCs w:val="21"/>
              </w:rPr>
              <w:t>喷淋塔沉渣</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spacing w:line="240" w:lineRule="auto"/>
              <w:ind w:firstLine="0" w:firstLineChars="0"/>
              <w:jc w:val="center"/>
              <w:rPr>
                <w:rFonts w:hint="eastAsia" w:cs="Times New Roman"/>
                <w:sz w:val="21"/>
                <w:szCs w:val="21"/>
              </w:rPr>
            </w:pPr>
            <w:r>
              <w:rPr>
                <w:rFonts w:hint="eastAsia" w:cs="Times New Roman"/>
                <w:sz w:val="21"/>
                <w:szCs w:val="21"/>
              </w:rPr>
              <w:t>喷淋塔沉渣</w:t>
            </w:r>
          </w:p>
        </w:tc>
        <w:tc>
          <w:tcPr>
            <w:tcW w:w="321" w:type="pct"/>
            <w:vAlign w:val="center"/>
          </w:tcPr>
          <w:p>
            <w:pPr>
              <w:spacing w:line="240" w:lineRule="auto"/>
              <w:ind w:firstLine="0" w:firstLineChars="0"/>
              <w:jc w:val="center"/>
              <w:rPr>
                <w:kern w:val="0"/>
                <w:sz w:val="21"/>
                <w:szCs w:val="21"/>
              </w:rPr>
            </w:pPr>
            <w:r>
              <w:rPr>
                <w:rFonts w:cs="Times New Roman"/>
                <w:sz w:val="21"/>
                <w:szCs w:val="21"/>
              </w:rPr>
              <w:t>固</w:t>
            </w:r>
          </w:p>
        </w:tc>
        <w:tc>
          <w:tcPr>
            <w:tcW w:w="388" w:type="pct"/>
            <w:vAlign w:val="center"/>
          </w:tcPr>
          <w:p>
            <w:pPr>
              <w:widowControl/>
              <w:spacing w:line="240" w:lineRule="auto"/>
              <w:ind w:firstLine="0" w:firstLineChars="0"/>
              <w:jc w:val="center"/>
              <w:rPr>
                <w:kern w:val="0"/>
                <w:sz w:val="21"/>
                <w:szCs w:val="21"/>
              </w:rPr>
            </w:pPr>
            <w:r>
              <w:rPr>
                <w:kern w:val="0"/>
                <w:sz w:val="21"/>
                <w:szCs w:val="21"/>
              </w:rPr>
              <w:t>危险化学品</w:t>
            </w:r>
          </w:p>
        </w:tc>
        <w:tc>
          <w:tcPr>
            <w:tcW w:w="351" w:type="pct"/>
            <w:vAlign w:val="center"/>
          </w:tcPr>
          <w:p>
            <w:pPr>
              <w:widowControl/>
              <w:spacing w:line="240" w:lineRule="auto"/>
              <w:ind w:firstLine="0" w:firstLineChars="0"/>
              <w:jc w:val="center"/>
              <w:rPr>
                <w:kern w:val="0"/>
                <w:sz w:val="21"/>
                <w:szCs w:val="21"/>
              </w:rPr>
            </w:pPr>
            <w:r>
              <w:rPr>
                <w:rFonts w:cs="Times New Roman"/>
                <w:sz w:val="21"/>
                <w:szCs w:val="21"/>
              </w:rPr>
              <w:t>T</w:t>
            </w:r>
          </w:p>
        </w:tc>
        <w:tc>
          <w:tcPr>
            <w:tcW w:w="349" w:type="pct"/>
            <w:vAlign w:val="center"/>
          </w:tcPr>
          <w:p>
            <w:pPr>
              <w:spacing w:line="240" w:lineRule="auto"/>
              <w:ind w:firstLine="0" w:firstLineChars="0"/>
              <w:jc w:val="center"/>
              <w:rPr>
                <w:rFonts w:cs="Times New Roman"/>
                <w:color w:val="000000"/>
                <w:sz w:val="21"/>
                <w:szCs w:val="21"/>
                <w:lang w:bidi="zh-CN"/>
              </w:rPr>
            </w:pPr>
            <w:r>
              <w:rPr>
                <w:rFonts w:hint="eastAsia" w:cs="Times New Roman"/>
                <w:color w:val="000000"/>
                <w:sz w:val="21"/>
                <w:szCs w:val="21"/>
                <w:lang w:bidi="zh-CN"/>
              </w:rPr>
              <w:t>HW13</w:t>
            </w:r>
          </w:p>
        </w:tc>
        <w:tc>
          <w:tcPr>
            <w:tcW w:w="537" w:type="pct"/>
            <w:vAlign w:val="center"/>
          </w:tcPr>
          <w:p>
            <w:pPr>
              <w:spacing w:line="240" w:lineRule="auto"/>
              <w:ind w:firstLine="0" w:firstLineChars="0"/>
              <w:jc w:val="center"/>
              <w:rPr>
                <w:rFonts w:ascii="Times New Roman" w:hAnsi="Times New Roman" w:eastAsia="宋体" w:cstheme="minorBidi"/>
                <w:kern w:val="0"/>
                <w:sz w:val="21"/>
                <w:szCs w:val="21"/>
                <w:lang w:val="en-US" w:eastAsia="zh-CN" w:bidi="ar-SA"/>
              </w:rPr>
            </w:pPr>
            <w:r>
              <w:rPr>
                <w:rFonts w:cs="Times New Roman"/>
                <w:color w:val="000000"/>
                <w:sz w:val="21"/>
                <w:szCs w:val="21"/>
                <w:lang w:bidi="zh-CN"/>
              </w:rPr>
              <w:t>265-104-13</w:t>
            </w:r>
          </w:p>
        </w:tc>
        <w:tc>
          <w:tcPr>
            <w:tcW w:w="591" w:type="pct"/>
            <w:vAlign w:val="center"/>
          </w:tcPr>
          <w:p>
            <w:pPr>
              <w:spacing w:line="240" w:lineRule="auto"/>
              <w:ind w:firstLine="0" w:firstLineChars="0"/>
              <w:jc w:val="center"/>
              <w:rPr>
                <w:rFonts w:hint="default" w:cs="Times New Roman"/>
                <w:sz w:val="21"/>
                <w:szCs w:val="21"/>
                <w:lang w:val="en-US"/>
              </w:rPr>
            </w:pPr>
            <w:r>
              <w:rPr>
                <w:rFonts w:hint="eastAsia" w:cs="Times New Roman"/>
                <w:sz w:val="21"/>
                <w:szCs w:val="21"/>
                <w:lang w:val="en-US" w:eastAsia="zh-CN"/>
              </w:rPr>
              <w:t>1.27t/a</w:t>
            </w:r>
          </w:p>
        </w:tc>
        <w:tc>
          <w:tcPr>
            <w:tcW w:w="918" w:type="pct"/>
            <w:vMerge w:val="continue"/>
            <w:vAlign w:val="center"/>
          </w:tcPr>
          <w:p>
            <w:pPr>
              <w:widowControl/>
              <w:spacing w:line="240" w:lineRule="auto"/>
              <w:ind w:firstLine="0" w:firstLineChars="0"/>
              <w:jc w:val="center"/>
              <w:rPr>
                <w:kern w:val="0"/>
                <w:sz w:val="21"/>
                <w:szCs w:val="21"/>
              </w:rPr>
            </w:pPr>
          </w:p>
        </w:tc>
      </w:tr>
    </w:tbl>
    <w:p>
      <w:pPr>
        <w:pStyle w:val="7"/>
        <w:ind w:firstLine="562"/>
      </w:pPr>
      <w:r>
        <w:rPr>
          <w:rFonts w:hint="eastAsia"/>
        </w:rPr>
        <w:t>4.3.5 非正常工况下污染源及污染物分析</w:t>
      </w:r>
      <w:bookmarkEnd w:id="93"/>
      <w:bookmarkEnd w:id="94"/>
      <w:bookmarkEnd w:id="95"/>
      <w:bookmarkEnd w:id="96"/>
    </w:p>
    <w:p>
      <w:pPr>
        <w:ind w:firstLine="480"/>
        <w:rPr>
          <w:szCs w:val="32"/>
        </w:rPr>
      </w:pPr>
      <w:r>
        <w:rPr>
          <w:szCs w:val="32"/>
        </w:rPr>
        <w:t>拟建项目非正常工况下的废气排放主要考虑生产设备在开、停车状态，检修状态或者部分设备未能完全运行的状态下的污染物排放情况，在非正常情况下废气处理系统不能达到正常处理效率时的排放情况。</w:t>
      </w:r>
    </w:p>
    <w:p>
      <w:pPr>
        <w:ind w:firstLine="480"/>
        <w:rPr>
          <w:szCs w:val="32"/>
        </w:rPr>
      </w:pPr>
      <w:r>
        <w:rPr>
          <w:szCs w:val="32"/>
        </w:rPr>
        <w:t>拟建项目生产线粉尘采用</w:t>
      </w:r>
      <w:r>
        <w:rPr>
          <w:rFonts w:hint="eastAsia"/>
          <w:szCs w:val="32"/>
          <w:lang w:eastAsia="zh-CN"/>
        </w:rPr>
        <w:t>“袋式除尘器”</w:t>
      </w:r>
      <w:r>
        <w:rPr>
          <w:szCs w:val="32"/>
        </w:rPr>
        <w:t>进行处理，生产线有机废气采用</w:t>
      </w:r>
      <w:r>
        <w:rPr>
          <w:rFonts w:hint="eastAsia"/>
          <w:szCs w:val="32"/>
          <w:lang w:eastAsia="zh-CN"/>
        </w:rPr>
        <w:t>“</w:t>
      </w:r>
      <w:r>
        <w:rPr>
          <w:rFonts w:hint="eastAsia"/>
          <w:szCs w:val="32"/>
        </w:rPr>
        <w:t>催化燃烧</w:t>
      </w:r>
      <w:r>
        <w:rPr>
          <w:rFonts w:hint="eastAsia"/>
          <w:szCs w:val="32"/>
          <w:lang w:eastAsia="zh-CN"/>
        </w:rPr>
        <w:t>”</w:t>
      </w:r>
      <w:r>
        <w:rPr>
          <w:szCs w:val="32"/>
        </w:rPr>
        <w:t>进行处理</w:t>
      </w:r>
      <w:r>
        <w:rPr>
          <w:rFonts w:hint="eastAsia"/>
          <w:szCs w:val="32"/>
        </w:rPr>
        <w:t>，</w:t>
      </w:r>
      <w:r>
        <w:rPr>
          <w:szCs w:val="32"/>
        </w:rPr>
        <w:t>非正常工况主要考虑开停机时除尘设施未调试到最佳运行状态导致的除尘效率下降，保守计算非正常工况的影响，非正常工况以所有的除尘设备效率降至</w:t>
      </w:r>
      <w:r>
        <w:rPr>
          <w:rFonts w:hint="eastAsia"/>
          <w:szCs w:val="32"/>
        </w:rPr>
        <w:t>50</w:t>
      </w:r>
      <w:r>
        <w:rPr>
          <w:szCs w:val="32"/>
        </w:rPr>
        <w:t>%计，其他特征污染物处理效率降至0计。</w:t>
      </w:r>
    </w:p>
    <w:p>
      <w:pPr>
        <w:ind w:firstLine="480"/>
        <w:rPr>
          <w:szCs w:val="32"/>
        </w:rPr>
      </w:pPr>
      <w:r>
        <w:rPr>
          <w:szCs w:val="32"/>
        </w:rPr>
        <w:t>非正常工况下排放废气源强见表</w:t>
      </w:r>
      <w:r>
        <w:rPr>
          <w:rFonts w:hint="eastAsia"/>
          <w:szCs w:val="32"/>
        </w:rPr>
        <w:t>4.3-13</w:t>
      </w:r>
      <w:r>
        <w:rPr>
          <w:szCs w:val="32"/>
        </w:rPr>
        <w:t>，非正常排放时间取事故发生后30min。</w:t>
      </w:r>
    </w:p>
    <w:p>
      <w:pPr>
        <w:pStyle w:val="27"/>
        <w:spacing w:line="240" w:lineRule="auto"/>
        <w:ind w:left="0" w:leftChars="0" w:firstLine="0" w:firstLineChars="0"/>
        <w:jc w:val="center"/>
        <w:rPr>
          <w:b/>
          <w:bCs/>
          <w:szCs w:val="32"/>
        </w:rPr>
      </w:pPr>
      <w:r>
        <w:rPr>
          <w:b/>
          <w:bCs/>
          <w:szCs w:val="32"/>
        </w:rPr>
        <w:t>表</w:t>
      </w:r>
      <w:r>
        <w:rPr>
          <w:rFonts w:hint="eastAsia"/>
          <w:b/>
          <w:bCs/>
          <w:szCs w:val="32"/>
        </w:rPr>
        <w:t xml:space="preserve">4.3-13  </w:t>
      </w:r>
      <w:r>
        <w:rPr>
          <w:b/>
          <w:bCs/>
          <w:szCs w:val="32"/>
        </w:rPr>
        <w:t>非正常工况下</w:t>
      </w:r>
      <w:r>
        <w:rPr>
          <w:rFonts w:hint="eastAsia"/>
          <w:b/>
          <w:bCs/>
          <w:szCs w:val="32"/>
          <w:lang w:eastAsia="zh-CN"/>
        </w:rPr>
        <w:t>有组织</w:t>
      </w:r>
      <w:r>
        <w:rPr>
          <w:b/>
          <w:bCs/>
          <w:szCs w:val="32"/>
        </w:rPr>
        <w:t>污染源汇总表</w:t>
      </w:r>
    </w:p>
    <w:tbl>
      <w:tblPr>
        <w:tblStyle w:val="29"/>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2"/>
        <w:gridCol w:w="1935"/>
        <w:gridCol w:w="1291"/>
        <w:gridCol w:w="1378"/>
        <w:gridCol w:w="1321"/>
        <w:gridCol w:w="1126"/>
        <w:gridCol w:w="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9" w:type="pct"/>
            <w:vAlign w:val="center"/>
          </w:tcPr>
          <w:p>
            <w:pPr>
              <w:spacing w:line="240" w:lineRule="auto"/>
              <w:ind w:firstLine="0" w:firstLineChars="0"/>
              <w:jc w:val="center"/>
              <w:rPr>
                <w:rFonts w:cs="Times New Roman"/>
                <w:bCs/>
                <w:sz w:val="21"/>
                <w:szCs w:val="21"/>
              </w:rPr>
            </w:pPr>
            <w:bookmarkStart w:id="97" w:name="_Toc28710"/>
            <w:bookmarkStart w:id="98" w:name="_Toc5888451"/>
            <w:bookmarkStart w:id="99" w:name="_Toc3321"/>
            <w:bookmarkStart w:id="100" w:name="_Toc28216"/>
            <w:r>
              <w:rPr>
                <w:rFonts w:cs="Times New Roman"/>
                <w:bCs/>
                <w:sz w:val="21"/>
                <w:szCs w:val="21"/>
              </w:rPr>
              <w:t>排放口编号</w:t>
            </w:r>
          </w:p>
        </w:tc>
        <w:tc>
          <w:tcPr>
            <w:tcW w:w="1042" w:type="pct"/>
            <w:vAlign w:val="center"/>
          </w:tcPr>
          <w:p>
            <w:pPr>
              <w:spacing w:line="240" w:lineRule="auto"/>
              <w:ind w:firstLine="0" w:firstLineChars="0"/>
              <w:jc w:val="center"/>
              <w:rPr>
                <w:rFonts w:cs="Times New Roman"/>
                <w:bCs/>
                <w:sz w:val="21"/>
                <w:szCs w:val="21"/>
              </w:rPr>
            </w:pPr>
            <w:r>
              <w:rPr>
                <w:rFonts w:cs="Times New Roman"/>
                <w:bCs/>
                <w:sz w:val="21"/>
                <w:szCs w:val="21"/>
              </w:rPr>
              <w:t>污染物</w:t>
            </w:r>
          </w:p>
        </w:tc>
        <w:tc>
          <w:tcPr>
            <w:tcW w:w="695" w:type="pct"/>
            <w:vAlign w:val="center"/>
          </w:tcPr>
          <w:p>
            <w:pPr>
              <w:spacing w:line="240" w:lineRule="auto"/>
              <w:ind w:firstLine="0" w:firstLineChars="0"/>
              <w:jc w:val="center"/>
              <w:rPr>
                <w:rFonts w:cs="Times New Roman"/>
                <w:bCs/>
                <w:sz w:val="21"/>
                <w:szCs w:val="21"/>
              </w:rPr>
            </w:pPr>
            <w:r>
              <w:rPr>
                <w:rFonts w:cs="Times New Roman"/>
                <w:bCs/>
                <w:kern w:val="0"/>
                <w:sz w:val="21"/>
                <w:szCs w:val="21"/>
              </w:rPr>
              <w:t>核算排放量（t/a）</w:t>
            </w:r>
          </w:p>
        </w:tc>
        <w:tc>
          <w:tcPr>
            <w:tcW w:w="742" w:type="pct"/>
            <w:vAlign w:val="center"/>
          </w:tcPr>
          <w:p>
            <w:pPr>
              <w:spacing w:line="240" w:lineRule="auto"/>
              <w:ind w:firstLine="0" w:firstLineChars="0"/>
              <w:jc w:val="center"/>
              <w:rPr>
                <w:rFonts w:cs="Times New Roman"/>
                <w:bCs/>
                <w:sz w:val="21"/>
                <w:szCs w:val="21"/>
              </w:rPr>
            </w:pPr>
            <w:r>
              <w:rPr>
                <w:rFonts w:cs="Times New Roman"/>
                <w:bCs/>
                <w:kern w:val="0"/>
                <w:sz w:val="21"/>
                <w:szCs w:val="21"/>
              </w:rPr>
              <w:t>核算排放速率/（kg/h）</w:t>
            </w:r>
          </w:p>
        </w:tc>
        <w:tc>
          <w:tcPr>
            <w:tcW w:w="711" w:type="pct"/>
            <w:vAlign w:val="center"/>
          </w:tcPr>
          <w:p>
            <w:pPr>
              <w:spacing w:line="240" w:lineRule="auto"/>
              <w:ind w:firstLine="0" w:firstLineChars="0"/>
              <w:jc w:val="center"/>
              <w:rPr>
                <w:rFonts w:cs="Times New Roman"/>
                <w:bCs/>
                <w:sz w:val="21"/>
                <w:szCs w:val="21"/>
              </w:rPr>
            </w:pPr>
            <w:r>
              <w:rPr>
                <w:rFonts w:cs="Times New Roman"/>
                <w:bCs/>
                <w:kern w:val="0"/>
                <w:sz w:val="21"/>
                <w:szCs w:val="21"/>
              </w:rPr>
              <w:t>核算排放浓度/（mg/m</w:t>
            </w:r>
            <w:r>
              <w:rPr>
                <w:rFonts w:cs="Times New Roman"/>
                <w:bCs/>
                <w:kern w:val="0"/>
                <w:sz w:val="21"/>
                <w:szCs w:val="21"/>
                <w:vertAlign w:val="superscript"/>
              </w:rPr>
              <w:t>3</w:t>
            </w:r>
            <w:r>
              <w:rPr>
                <w:rFonts w:cs="Times New Roman"/>
                <w:bCs/>
                <w:kern w:val="0"/>
                <w:sz w:val="21"/>
                <w:szCs w:val="21"/>
              </w:rPr>
              <w:t>）</w:t>
            </w:r>
          </w:p>
        </w:tc>
        <w:tc>
          <w:tcPr>
            <w:tcW w:w="606" w:type="pct"/>
            <w:vAlign w:val="center"/>
          </w:tcPr>
          <w:p>
            <w:pPr>
              <w:spacing w:line="240" w:lineRule="auto"/>
              <w:ind w:firstLine="0" w:firstLineChars="0"/>
              <w:jc w:val="center"/>
              <w:rPr>
                <w:rFonts w:cs="Times New Roman"/>
                <w:bCs/>
                <w:kern w:val="0"/>
                <w:sz w:val="21"/>
                <w:szCs w:val="21"/>
              </w:rPr>
            </w:pPr>
            <w:r>
              <w:rPr>
                <w:rFonts w:hint="eastAsia" w:cs="Times New Roman"/>
                <w:bCs/>
                <w:kern w:val="0"/>
                <w:sz w:val="21"/>
                <w:szCs w:val="21"/>
              </w:rPr>
              <w:t>年发生频次</w:t>
            </w:r>
          </w:p>
        </w:tc>
        <w:tc>
          <w:tcPr>
            <w:tcW w:w="532" w:type="pct"/>
            <w:vAlign w:val="center"/>
          </w:tcPr>
          <w:p>
            <w:pPr>
              <w:spacing w:line="240" w:lineRule="auto"/>
              <w:ind w:firstLine="0" w:firstLineChars="0"/>
              <w:jc w:val="center"/>
              <w:rPr>
                <w:rFonts w:cs="Times New Roman"/>
                <w:bCs/>
                <w:kern w:val="0"/>
                <w:sz w:val="21"/>
                <w:szCs w:val="21"/>
              </w:rPr>
            </w:pPr>
            <w:r>
              <w:rPr>
                <w:rFonts w:hint="eastAsia" w:cs="Times New Roman"/>
                <w:bCs/>
                <w:kern w:val="0"/>
                <w:sz w:val="21"/>
                <w:szCs w:val="21"/>
              </w:rPr>
              <w:t>单次排放时间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 w:hRule="atLeast"/>
        </w:trPr>
        <w:tc>
          <w:tcPr>
            <w:tcW w:w="669" w:type="pct"/>
            <w:vMerge w:val="restart"/>
            <w:vAlign w:val="center"/>
          </w:tcPr>
          <w:p>
            <w:pPr>
              <w:spacing w:line="240" w:lineRule="auto"/>
              <w:ind w:firstLine="0" w:firstLineChars="0"/>
              <w:jc w:val="center"/>
              <w:rPr>
                <w:rFonts w:cs="Times New Roman"/>
                <w:sz w:val="21"/>
                <w:szCs w:val="21"/>
              </w:rPr>
            </w:pPr>
            <w:r>
              <w:rPr>
                <w:rFonts w:cs="Times New Roman"/>
                <w:sz w:val="21"/>
                <w:szCs w:val="21"/>
              </w:rPr>
              <w:t>DA001</w:t>
            </w:r>
          </w:p>
        </w:tc>
        <w:tc>
          <w:tcPr>
            <w:tcW w:w="1042"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粉尘</w:t>
            </w:r>
          </w:p>
        </w:tc>
        <w:tc>
          <w:tcPr>
            <w:tcW w:w="1291" w:type="dxa"/>
            <w:vAlign w:val="center"/>
          </w:tcPr>
          <w:p>
            <w:pPr>
              <w:pStyle w:val="39"/>
              <w:spacing w:line="360" w:lineRule="exact"/>
              <w:ind w:firstLine="0" w:firstLineChars="0"/>
              <w:rPr>
                <w:rFonts w:hint="default" w:cs="Times New Roman"/>
                <w:sz w:val="21"/>
                <w:szCs w:val="21"/>
                <w:lang w:val="en-US"/>
              </w:rPr>
            </w:pPr>
            <w:r>
              <w:rPr>
                <w:rFonts w:hint="eastAsia" w:ascii="Times New Roman" w:hAnsi="Times New Roman" w:cs="Times New Roman"/>
                <w:sz w:val="21"/>
                <w:szCs w:val="21"/>
                <w:lang w:val="en-US" w:eastAsia="zh-CN"/>
              </w:rPr>
              <w:t>0.5925</w:t>
            </w:r>
          </w:p>
        </w:tc>
        <w:tc>
          <w:tcPr>
            <w:tcW w:w="1378" w:type="dxa"/>
            <w:vAlign w:val="center"/>
          </w:tcPr>
          <w:p>
            <w:pPr>
              <w:pStyle w:val="39"/>
              <w:spacing w:line="360" w:lineRule="exact"/>
              <w:ind w:firstLine="0" w:firstLineChars="0"/>
              <w:rPr>
                <w:rFonts w:hint="default" w:eastAsia="宋体" w:cs="Times New Roman"/>
                <w:sz w:val="21"/>
                <w:szCs w:val="21"/>
                <w:lang w:val="en-US" w:eastAsia="zh-CN"/>
              </w:rPr>
            </w:pPr>
            <w:r>
              <w:rPr>
                <w:rFonts w:hint="eastAsia" w:ascii="Times New Roman" w:hAnsi="Times New Roman" w:cs="Times New Roman"/>
                <w:sz w:val="21"/>
                <w:szCs w:val="21"/>
                <w:lang w:val="en-US" w:eastAsia="zh-CN"/>
              </w:rPr>
              <w:t>0.2469</w:t>
            </w:r>
          </w:p>
        </w:tc>
        <w:tc>
          <w:tcPr>
            <w:tcW w:w="1321" w:type="dxa"/>
            <w:vAlign w:val="center"/>
          </w:tcPr>
          <w:p>
            <w:pPr>
              <w:pStyle w:val="39"/>
              <w:spacing w:line="360" w:lineRule="exact"/>
              <w:ind w:firstLine="0" w:firstLineChars="0"/>
              <w:rPr>
                <w:rFonts w:hint="default" w:cs="Times New Roman"/>
                <w:sz w:val="21"/>
                <w:szCs w:val="21"/>
                <w:lang w:val="en-US"/>
              </w:rPr>
            </w:pPr>
            <w:r>
              <w:rPr>
                <w:rFonts w:hint="eastAsia" w:ascii="Times New Roman" w:hAnsi="Times New Roman" w:cs="Times New Roman"/>
                <w:sz w:val="21"/>
                <w:szCs w:val="21"/>
                <w:lang w:val="en-US" w:eastAsia="zh-CN"/>
              </w:rPr>
              <w:t>24.69</w:t>
            </w:r>
          </w:p>
        </w:tc>
        <w:tc>
          <w:tcPr>
            <w:tcW w:w="606" w:type="pct"/>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1</w:t>
            </w:r>
          </w:p>
        </w:tc>
        <w:tc>
          <w:tcPr>
            <w:tcW w:w="532" w:type="pct"/>
            <w:vMerge w:val="restart"/>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rPr>
        <w:tc>
          <w:tcPr>
            <w:tcW w:w="669" w:type="pct"/>
            <w:vMerge w:val="continue"/>
            <w:vAlign w:val="center"/>
          </w:tcPr>
          <w:p>
            <w:pPr>
              <w:spacing w:line="240" w:lineRule="auto"/>
              <w:ind w:firstLine="0" w:firstLineChars="0"/>
              <w:jc w:val="center"/>
              <w:rPr>
                <w:rFonts w:cs="Times New Roman"/>
                <w:sz w:val="21"/>
                <w:szCs w:val="21"/>
              </w:rPr>
            </w:pPr>
          </w:p>
        </w:tc>
        <w:tc>
          <w:tcPr>
            <w:tcW w:w="1042" w:type="pct"/>
            <w:vAlign w:val="center"/>
          </w:tcPr>
          <w:p>
            <w:pPr>
              <w:pStyle w:val="39"/>
              <w:spacing w:line="360" w:lineRule="exact"/>
              <w:ind w:firstLine="0" w:firstLineChars="0"/>
              <w:rPr>
                <w:rFonts w:cs="Times New Roman"/>
                <w:sz w:val="21"/>
                <w:szCs w:val="21"/>
              </w:rPr>
            </w:pPr>
            <w:r>
              <w:rPr>
                <w:rFonts w:hint="eastAsia" w:ascii="Times New Roman" w:cs="Times New Roman"/>
                <w:sz w:val="21"/>
                <w:szCs w:val="21"/>
                <w:lang w:val="en-US"/>
              </w:rPr>
              <w:t>非甲烷总烃</w:t>
            </w:r>
          </w:p>
        </w:tc>
        <w:tc>
          <w:tcPr>
            <w:tcW w:w="129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4.131</w:t>
            </w:r>
          </w:p>
        </w:tc>
        <w:tc>
          <w:tcPr>
            <w:tcW w:w="1378"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1.7213</w:t>
            </w:r>
          </w:p>
        </w:tc>
        <w:tc>
          <w:tcPr>
            <w:tcW w:w="132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172.13</w:t>
            </w:r>
          </w:p>
        </w:tc>
        <w:tc>
          <w:tcPr>
            <w:tcW w:w="606"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532"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 w:hRule="atLeast"/>
        </w:trPr>
        <w:tc>
          <w:tcPr>
            <w:tcW w:w="669" w:type="pct"/>
            <w:vMerge w:val="continue"/>
            <w:vAlign w:val="center"/>
          </w:tcPr>
          <w:p>
            <w:pPr>
              <w:spacing w:line="240" w:lineRule="auto"/>
              <w:ind w:firstLine="0" w:firstLineChars="0"/>
              <w:jc w:val="center"/>
              <w:rPr>
                <w:rFonts w:cs="Times New Roman"/>
                <w:sz w:val="21"/>
                <w:szCs w:val="21"/>
              </w:rPr>
            </w:pPr>
          </w:p>
        </w:tc>
        <w:tc>
          <w:tcPr>
            <w:tcW w:w="1042"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硫化氢</w:t>
            </w:r>
          </w:p>
        </w:tc>
        <w:tc>
          <w:tcPr>
            <w:tcW w:w="129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0.0106</w:t>
            </w:r>
          </w:p>
        </w:tc>
        <w:tc>
          <w:tcPr>
            <w:tcW w:w="1378"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0.0044</w:t>
            </w:r>
          </w:p>
        </w:tc>
        <w:tc>
          <w:tcPr>
            <w:tcW w:w="132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0.44</w:t>
            </w:r>
          </w:p>
        </w:tc>
        <w:tc>
          <w:tcPr>
            <w:tcW w:w="606"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532"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9" w:type="pct"/>
            <w:vMerge w:val="restart"/>
            <w:vAlign w:val="center"/>
          </w:tcPr>
          <w:p>
            <w:pPr>
              <w:spacing w:line="240" w:lineRule="auto"/>
              <w:ind w:firstLine="0" w:firstLineChars="0"/>
              <w:jc w:val="center"/>
              <w:rPr>
                <w:rFonts w:cs="Times New Roman"/>
                <w:sz w:val="21"/>
                <w:szCs w:val="21"/>
              </w:rPr>
            </w:pPr>
            <w:r>
              <w:rPr>
                <w:rFonts w:hint="eastAsia" w:cs="Times New Roman"/>
                <w:sz w:val="21"/>
                <w:szCs w:val="21"/>
              </w:rPr>
              <w:t>DA002</w:t>
            </w:r>
          </w:p>
        </w:tc>
        <w:tc>
          <w:tcPr>
            <w:tcW w:w="1042"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粉尘</w:t>
            </w:r>
          </w:p>
        </w:tc>
        <w:tc>
          <w:tcPr>
            <w:tcW w:w="1291" w:type="dxa"/>
            <w:vAlign w:val="center"/>
          </w:tcPr>
          <w:p>
            <w:pPr>
              <w:pStyle w:val="39"/>
              <w:spacing w:line="360" w:lineRule="exact"/>
              <w:ind w:firstLine="0" w:firstLineChars="0"/>
              <w:rPr>
                <w:rFonts w:cs="Times New Roman"/>
                <w:sz w:val="21"/>
                <w:szCs w:val="21"/>
                <w:lang w:val="en-US"/>
              </w:rPr>
            </w:pPr>
            <w:r>
              <w:rPr>
                <w:rFonts w:hint="eastAsia" w:ascii="Times New Roman" w:hAnsi="Times New Roman" w:cs="Times New Roman"/>
                <w:sz w:val="21"/>
                <w:szCs w:val="21"/>
                <w:lang w:val="en-US" w:eastAsia="zh-CN"/>
              </w:rPr>
              <w:t>0.135</w:t>
            </w:r>
          </w:p>
        </w:tc>
        <w:tc>
          <w:tcPr>
            <w:tcW w:w="1378" w:type="dxa"/>
            <w:vAlign w:val="center"/>
          </w:tcPr>
          <w:p>
            <w:pPr>
              <w:pStyle w:val="39"/>
              <w:spacing w:line="360" w:lineRule="exact"/>
              <w:ind w:firstLine="0" w:firstLineChars="0"/>
              <w:rPr>
                <w:rFonts w:cs="Times New Roman"/>
                <w:sz w:val="21"/>
                <w:szCs w:val="21"/>
                <w:lang w:val="en-US"/>
              </w:rPr>
            </w:pPr>
            <w:r>
              <w:rPr>
                <w:rFonts w:hint="eastAsia" w:ascii="Times New Roman" w:hAnsi="Times New Roman" w:cs="Times New Roman"/>
                <w:sz w:val="21"/>
                <w:szCs w:val="21"/>
                <w:lang w:val="en-US" w:eastAsia="zh-CN"/>
              </w:rPr>
              <w:t>0.0188</w:t>
            </w:r>
          </w:p>
        </w:tc>
        <w:tc>
          <w:tcPr>
            <w:tcW w:w="1321" w:type="dxa"/>
            <w:vAlign w:val="center"/>
          </w:tcPr>
          <w:p>
            <w:pPr>
              <w:pStyle w:val="39"/>
              <w:spacing w:line="360" w:lineRule="exact"/>
              <w:ind w:firstLine="0" w:firstLineChars="0"/>
              <w:rPr>
                <w:rFonts w:cs="Times New Roman"/>
                <w:sz w:val="21"/>
                <w:szCs w:val="21"/>
                <w:lang w:val="en-US"/>
              </w:rPr>
            </w:pPr>
            <w:r>
              <w:rPr>
                <w:rFonts w:hint="eastAsia" w:ascii="Times New Roman" w:hAnsi="Times New Roman" w:cs="Times New Roman"/>
                <w:sz w:val="21"/>
                <w:szCs w:val="21"/>
                <w:lang w:val="en-US" w:eastAsia="zh-CN"/>
              </w:rPr>
              <w:t>0.9375</w:t>
            </w:r>
          </w:p>
        </w:tc>
        <w:tc>
          <w:tcPr>
            <w:tcW w:w="606" w:type="pct"/>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1</w:t>
            </w:r>
          </w:p>
        </w:tc>
        <w:tc>
          <w:tcPr>
            <w:tcW w:w="532" w:type="pct"/>
            <w:vMerge w:val="restart"/>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669" w:type="pct"/>
            <w:vMerge w:val="continue"/>
            <w:vAlign w:val="center"/>
          </w:tcPr>
          <w:p>
            <w:pPr>
              <w:spacing w:line="240" w:lineRule="auto"/>
              <w:ind w:firstLine="0" w:firstLineChars="0"/>
              <w:jc w:val="center"/>
              <w:rPr>
                <w:rFonts w:cs="Times New Roman"/>
                <w:sz w:val="21"/>
                <w:szCs w:val="21"/>
              </w:rPr>
            </w:pPr>
          </w:p>
        </w:tc>
        <w:tc>
          <w:tcPr>
            <w:tcW w:w="1042" w:type="pct"/>
            <w:vAlign w:val="center"/>
          </w:tcPr>
          <w:p>
            <w:pPr>
              <w:pStyle w:val="39"/>
              <w:spacing w:line="360" w:lineRule="exact"/>
              <w:ind w:firstLine="0" w:firstLineChars="0"/>
              <w:rPr>
                <w:rFonts w:cs="Times New Roman"/>
                <w:sz w:val="21"/>
                <w:szCs w:val="21"/>
              </w:rPr>
            </w:pPr>
            <w:r>
              <w:rPr>
                <w:rFonts w:hint="eastAsia" w:ascii="Times New Roman" w:cs="Times New Roman"/>
                <w:sz w:val="21"/>
                <w:szCs w:val="21"/>
                <w:lang w:val="en-US"/>
              </w:rPr>
              <w:t>非甲烷总烃</w:t>
            </w:r>
          </w:p>
        </w:tc>
        <w:tc>
          <w:tcPr>
            <w:tcW w:w="129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21.209</w:t>
            </w:r>
          </w:p>
        </w:tc>
        <w:tc>
          <w:tcPr>
            <w:tcW w:w="1378"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2.9457</w:t>
            </w:r>
          </w:p>
        </w:tc>
        <w:tc>
          <w:tcPr>
            <w:tcW w:w="132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147.2847</w:t>
            </w:r>
          </w:p>
        </w:tc>
        <w:tc>
          <w:tcPr>
            <w:tcW w:w="606"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532"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 w:hRule="atLeast"/>
        </w:trPr>
        <w:tc>
          <w:tcPr>
            <w:tcW w:w="669" w:type="pct"/>
            <w:vMerge w:val="continue"/>
            <w:vAlign w:val="center"/>
          </w:tcPr>
          <w:p>
            <w:pPr>
              <w:spacing w:line="240" w:lineRule="auto"/>
              <w:ind w:firstLine="0" w:firstLineChars="0"/>
              <w:jc w:val="center"/>
              <w:rPr>
                <w:rFonts w:cs="Times New Roman"/>
                <w:sz w:val="21"/>
                <w:szCs w:val="21"/>
              </w:rPr>
            </w:pPr>
          </w:p>
        </w:tc>
        <w:tc>
          <w:tcPr>
            <w:tcW w:w="1042" w:type="pct"/>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w:t>
            </w:r>
          </w:p>
        </w:tc>
        <w:tc>
          <w:tcPr>
            <w:tcW w:w="1291"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0.051</w:t>
            </w:r>
          </w:p>
        </w:tc>
        <w:tc>
          <w:tcPr>
            <w:tcW w:w="1378"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0.0071</w:t>
            </w:r>
          </w:p>
        </w:tc>
        <w:tc>
          <w:tcPr>
            <w:tcW w:w="1321"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0.3542</w:t>
            </w:r>
          </w:p>
        </w:tc>
        <w:tc>
          <w:tcPr>
            <w:tcW w:w="606"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532"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 w:hRule="atLeast"/>
        </w:trPr>
        <w:tc>
          <w:tcPr>
            <w:tcW w:w="669" w:type="pct"/>
            <w:vMerge w:val="continue"/>
            <w:vAlign w:val="center"/>
          </w:tcPr>
          <w:p>
            <w:pPr>
              <w:spacing w:line="240" w:lineRule="auto"/>
              <w:ind w:firstLine="0" w:firstLineChars="0"/>
              <w:jc w:val="center"/>
              <w:rPr>
                <w:rFonts w:cs="Times New Roman"/>
                <w:sz w:val="21"/>
                <w:szCs w:val="21"/>
              </w:rPr>
            </w:pPr>
          </w:p>
        </w:tc>
        <w:tc>
          <w:tcPr>
            <w:tcW w:w="1042" w:type="pct"/>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甲基丙烯酸丁酯</w:t>
            </w:r>
          </w:p>
        </w:tc>
        <w:tc>
          <w:tcPr>
            <w:tcW w:w="1291"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0.47</w:t>
            </w:r>
          </w:p>
        </w:tc>
        <w:tc>
          <w:tcPr>
            <w:tcW w:w="1378"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0.0653</w:t>
            </w:r>
          </w:p>
        </w:tc>
        <w:tc>
          <w:tcPr>
            <w:tcW w:w="1321"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3.2639</w:t>
            </w:r>
          </w:p>
        </w:tc>
        <w:tc>
          <w:tcPr>
            <w:tcW w:w="606"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532"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69" w:type="pct"/>
            <w:vMerge w:val="continue"/>
            <w:vAlign w:val="center"/>
          </w:tcPr>
          <w:p>
            <w:pPr>
              <w:spacing w:line="240" w:lineRule="auto"/>
              <w:ind w:firstLine="0" w:firstLineChars="0"/>
              <w:jc w:val="center"/>
              <w:rPr>
                <w:rFonts w:cs="Times New Roman"/>
                <w:sz w:val="21"/>
                <w:szCs w:val="21"/>
              </w:rPr>
            </w:pPr>
          </w:p>
        </w:tc>
        <w:tc>
          <w:tcPr>
            <w:tcW w:w="1042" w:type="pct"/>
            <w:vAlign w:val="center"/>
          </w:tcPr>
          <w:p>
            <w:pPr>
              <w:widowControl/>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丙烯酸丁酯</w:t>
            </w:r>
          </w:p>
        </w:tc>
        <w:tc>
          <w:tcPr>
            <w:tcW w:w="1291"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0.47</w:t>
            </w:r>
          </w:p>
        </w:tc>
        <w:tc>
          <w:tcPr>
            <w:tcW w:w="1378"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0.0653</w:t>
            </w:r>
          </w:p>
        </w:tc>
        <w:tc>
          <w:tcPr>
            <w:tcW w:w="1321"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3.2639</w:t>
            </w:r>
          </w:p>
        </w:tc>
        <w:tc>
          <w:tcPr>
            <w:tcW w:w="606"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532"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trPr>
        <w:tc>
          <w:tcPr>
            <w:tcW w:w="669" w:type="pct"/>
            <w:vMerge w:val="continue"/>
            <w:vAlign w:val="center"/>
          </w:tcPr>
          <w:p>
            <w:pPr>
              <w:spacing w:line="240" w:lineRule="auto"/>
              <w:ind w:firstLine="0" w:firstLineChars="0"/>
              <w:jc w:val="center"/>
              <w:rPr>
                <w:rFonts w:cs="Times New Roman"/>
                <w:sz w:val="21"/>
                <w:szCs w:val="21"/>
              </w:rPr>
            </w:pPr>
          </w:p>
        </w:tc>
        <w:tc>
          <w:tcPr>
            <w:tcW w:w="1042" w:type="pct"/>
            <w:vAlign w:val="center"/>
          </w:tcPr>
          <w:p>
            <w:pPr>
              <w:widowControl/>
              <w:spacing w:line="360" w:lineRule="exact"/>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甲基丙烯酸甲酯</w:t>
            </w:r>
          </w:p>
        </w:tc>
        <w:tc>
          <w:tcPr>
            <w:tcW w:w="1291"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0.0051</w:t>
            </w:r>
          </w:p>
        </w:tc>
        <w:tc>
          <w:tcPr>
            <w:tcW w:w="1378"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0.0021</w:t>
            </w:r>
          </w:p>
        </w:tc>
        <w:tc>
          <w:tcPr>
            <w:tcW w:w="1321" w:type="dxa"/>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0.236</w:t>
            </w:r>
          </w:p>
        </w:tc>
        <w:tc>
          <w:tcPr>
            <w:tcW w:w="606"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532"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9" w:type="pct"/>
            <w:vMerge w:val="restart"/>
            <w:vAlign w:val="center"/>
          </w:tcPr>
          <w:p>
            <w:pPr>
              <w:spacing w:line="240" w:lineRule="auto"/>
              <w:ind w:firstLine="0" w:firstLineChars="0"/>
              <w:jc w:val="center"/>
              <w:rPr>
                <w:rFonts w:hint="eastAsia" w:eastAsia="宋体" w:cs="Times New Roman"/>
                <w:sz w:val="21"/>
                <w:szCs w:val="21"/>
                <w:lang w:eastAsia="zh-CN"/>
              </w:rPr>
            </w:pPr>
            <w:r>
              <w:rPr>
                <w:rFonts w:hint="eastAsia" w:cs="Times New Roman"/>
                <w:sz w:val="21"/>
                <w:szCs w:val="21"/>
                <w:lang w:eastAsia="zh-CN"/>
              </w:rPr>
              <w:t>油烟烟道</w:t>
            </w:r>
          </w:p>
        </w:tc>
        <w:tc>
          <w:tcPr>
            <w:tcW w:w="1042" w:type="pct"/>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油烟</w:t>
            </w:r>
          </w:p>
        </w:tc>
        <w:tc>
          <w:tcPr>
            <w:tcW w:w="129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0.0003</w:t>
            </w:r>
          </w:p>
        </w:tc>
        <w:tc>
          <w:tcPr>
            <w:tcW w:w="1378"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0.0001</w:t>
            </w:r>
          </w:p>
        </w:tc>
        <w:tc>
          <w:tcPr>
            <w:tcW w:w="132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0.014</w:t>
            </w:r>
          </w:p>
        </w:tc>
        <w:tc>
          <w:tcPr>
            <w:tcW w:w="606" w:type="pct"/>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1</w:t>
            </w:r>
          </w:p>
        </w:tc>
        <w:tc>
          <w:tcPr>
            <w:tcW w:w="532" w:type="pct"/>
            <w:vMerge w:val="restart"/>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 w:hRule="atLeast"/>
        </w:trPr>
        <w:tc>
          <w:tcPr>
            <w:tcW w:w="669" w:type="pct"/>
            <w:vMerge w:val="continue"/>
            <w:vAlign w:val="center"/>
          </w:tcPr>
          <w:p>
            <w:pPr>
              <w:spacing w:line="240" w:lineRule="auto"/>
              <w:ind w:firstLine="0" w:firstLineChars="0"/>
              <w:jc w:val="center"/>
              <w:rPr>
                <w:rFonts w:cs="Times New Roman"/>
                <w:sz w:val="21"/>
                <w:szCs w:val="21"/>
              </w:rPr>
            </w:pPr>
          </w:p>
        </w:tc>
        <w:tc>
          <w:tcPr>
            <w:tcW w:w="1042" w:type="pct"/>
            <w:vAlign w:val="center"/>
          </w:tcPr>
          <w:p>
            <w:pPr>
              <w:pStyle w:val="39"/>
              <w:spacing w:line="360" w:lineRule="exact"/>
              <w:ind w:firstLine="0" w:firstLineChars="0"/>
              <w:rPr>
                <w:rFonts w:cs="Times New Roman"/>
                <w:sz w:val="21"/>
                <w:szCs w:val="21"/>
              </w:rPr>
            </w:pPr>
            <w:r>
              <w:rPr>
                <w:rFonts w:hint="eastAsia" w:ascii="Times New Roman" w:cs="Times New Roman"/>
                <w:sz w:val="21"/>
                <w:szCs w:val="21"/>
                <w:lang w:val="en-US"/>
              </w:rPr>
              <w:t>非甲烷总烃</w:t>
            </w:r>
          </w:p>
        </w:tc>
        <w:tc>
          <w:tcPr>
            <w:tcW w:w="129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0.8636</w:t>
            </w:r>
          </w:p>
        </w:tc>
        <w:tc>
          <w:tcPr>
            <w:tcW w:w="1378"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0.1199</w:t>
            </w:r>
          </w:p>
        </w:tc>
        <w:tc>
          <w:tcPr>
            <w:tcW w:w="132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39.981</w:t>
            </w:r>
          </w:p>
        </w:tc>
        <w:tc>
          <w:tcPr>
            <w:tcW w:w="606"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532"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trPr>
        <w:tc>
          <w:tcPr>
            <w:tcW w:w="669" w:type="pct"/>
            <w:vMerge w:val="restart"/>
            <w:vAlign w:val="center"/>
          </w:tcPr>
          <w:p>
            <w:pPr>
              <w:spacing w:line="240" w:lineRule="auto"/>
              <w:ind w:firstLine="0" w:firstLineChars="0"/>
              <w:jc w:val="center"/>
              <w:rPr>
                <w:rFonts w:hint="eastAsia" w:eastAsia="宋体" w:cs="Times New Roman"/>
                <w:sz w:val="21"/>
                <w:szCs w:val="21"/>
                <w:lang w:eastAsia="zh-CN"/>
              </w:rPr>
            </w:pPr>
            <w:r>
              <w:rPr>
                <w:rFonts w:cs="Times New Roman"/>
                <w:sz w:val="21"/>
                <w:szCs w:val="21"/>
              </w:rPr>
              <w:t>DA00</w:t>
            </w:r>
            <w:r>
              <w:rPr>
                <w:rFonts w:hint="eastAsia" w:cs="Times New Roman"/>
                <w:sz w:val="21"/>
                <w:szCs w:val="21"/>
                <w:lang w:val="en-US" w:eastAsia="zh-CN"/>
              </w:rPr>
              <w:t>3</w:t>
            </w:r>
          </w:p>
        </w:tc>
        <w:tc>
          <w:tcPr>
            <w:tcW w:w="1042"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硫化氢</w:t>
            </w:r>
          </w:p>
        </w:tc>
        <w:tc>
          <w:tcPr>
            <w:tcW w:w="129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0.3218</w:t>
            </w:r>
          </w:p>
        </w:tc>
        <w:tc>
          <w:tcPr>
            <w:tcW w:w="1378"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0.0447</w:t>
            </w:r>
          </w:p>
        </w:tc>
        <w:tc>
          <w:tcPr>
            <w:tcW w:w="132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rPr>
              <w:t>14.898</w:t>
            </w:r>
          </w:p>
        </w:tc>
        <w:tc>
          <w:tcPr>
            <w:tcW w:w="606" w:type="pct"/>
            <w:vMerge w:val="restart"/>
            <w:vAlign w:val="center"/>
          </w:tcPr>
          <w:p>
            <w:pPr>
              <w:pStyle w:val="39"/>
              <w:spacing w:line="360" w:lineRule="exact"/>
              <w:ind w:firstLine="0" w:firstLineChars="0"/>
              <w:rPr>
                <w:rFonts w:ascii="Times New Roman" w:hAnsi="Times New Roman" w:cs="Times New Roman"/>
                <w:sz w:val="21"/>
                <w:szCs w:val="21"/>
                <w:lang w:val="en-US"/>
              </w:rPr>
            </w:pPr>
            <w:r>
              <w:rPr>
                <w:rFonts w:hint="eastAsia" w:ascii="Times New Roman" w:hAnsi="Times New Roman" w:cs="Times New Roman"/>
                <w:sz w:val="21"/>
                <w:szCs w:val="21"/>
                <w:lang w:val="en-US"/>
              </w:rPr>
              <w:t>1</w:t>
            </w:r>
          </w:p>
        </w:tc>
        <w:tc>
          <w:tcPr>
            <w:tcW w:w="532" w:type="pct"/>
            <w:vMerge w:val="restart"/>
            <w:vAlign w:val="center"/>
          </w:tcPr>
          <w:p>
            <w:pPr>
              <w:pStyle w:val="39"/>
              <w:spacing w:line="360" w:lineRule="exact"/>
              <w:ind w:firstLine="0" w:firstLineChars="0"/>
              <w:rPr>
                <w:rFonts w:ascii="Times New Roman" w:hAnsi="Times New Roman" w:cs="Times New Roman"/>
                <w:sz w:val="21"/>
                <w:szCs w:val="21"/>
                <w:lang w:val="en-US"/>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9" w:type="pct"/>
            <w:vMerge w:val="continue"/>
            <w:vAlign w:val="center"/>
          </w:tcPr>
          <w:p>
            <w:pPr>
              <w:spacing w:line="240" w:lineRule="auto"/>
              <w:ind w:firstLine="0" w:firstLineChars="0"/>
              <w:jc w:val="center"/>
              <w:rPr>
                <w:rFonts w:cs="Times New Roman"/>
                <w:sz w:val="21"/>
                <w:szCs w:val="21"/>
              </w:rPr>
            </w:pPr>
          </w:p>
        </w:tc>
        <w:tc>
          <w:tcPr>
            <w:tcW w:w="1042"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snapToGrid w:val="0"/>
                <w:kern w:val="18"/>
                <w:sz w:val="21"/>
                <w:szCs w:val="21"/>
              </w:rPr>
              <w:t>氨</w:t>
            </w:r>
          </w:p>
        </w:tc>
        <w:tc>
          <w:tcPr>
            <w:tcW w:w="129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1.185</w:t>
            </w:r>
          </w:p>
        </w:tc>
        <w:tc>
          <w:tcPr>
            <w:tcW w:w="1378"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0.4938</w:t>
            </w:r>
          </w:p>
        </w:tc>
        <w:tc>
          <w:tcPr>
            <w:tcW w:w="1321" w:type="dxa"/>
            <w:vAlign w:val="center"/>
          </w:tcPr>
          <w:p>
            <w:pPr>
              <w:pStyle w:val="39"/>
              <w:spacing w:line="360" w:lineRule="exact"/>
              <w:ind w:firstLine="0" w:firstLineChars="0"/>
              <w:rPr>
                <w:rFonts w:cs="Times New Roman"/>
                <w:sz w:val="21"/>
                <w:szCs w:val="21"/>
              </w:rPr>
            </w:pPr>
            <w:r>
              <w:rPr>
                <w:rFonts w:hint="eastAsia" w:ascii="Times New Roman" w:hAnsi="Times New Roman" w:cs="Times New Roman"/>
                <w:sz w:val="21"/>
                <w:szCs w:val="21"/>
                <w:lang w:val="en-US" w:eastAsia="zh-CN"/>
              </w:rPr>
              <w:t>49.38</w:t>
            </w:r>
          </w:p>
        </w:tc>
        <w:tc>
          <w:tcPr>
            <w:tcW w:w="606"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c>
          <w:tcPr>
            <w:tcW w:w="532" w:type="pct"/>
            <w:vMerge w:val="continue"/>
            <w:vAlign w:val="center"/>
          </w:tcPr>
          <w:p>
            <w:pPr>
              <w:pStyle w:val="39"/>
              <w:spacing w:line="360" w:lineRule="exact"/>
              <w:ind w:firstLine="0" w:firstLineChars="0"/>
              <w:rPr>
                <w:rFonts w:ascii="Times New Roman" w:hAnsi="Times New Roman" w:cs="Times New Roman"/>
                <w:sz w:val="21"/>
                <w:szCs w:val="21"/>
                <w:lang w:val="en-US"/>
              </w:rPr>
            </w:pPr>
          </w:p>
        </w:tc>
      </w:tr>
    </w:tbl>
    <w:p>
      <w:pPr>
        <w:pStyle w:val="27"/>
        <w:spacing w:line="240" w:lineRule="auto"/>
        <w:ind w:left="0" w:leftChars="0" w:firstLine="0" w:firstLineChars="0"/>
        <w:jc w:val="center"/>
        <w:rPr>
          <w:b/>
          <w:bCs/>
          <w:szCs w:val="32"/>
          <w:u w:val="single"/>
        </w:rPr>
      </w:pPr>
      <w:r>
        <w:rPr>
          <w:b/>
          <w:bCs/>
          <w:szCs w:val="32"/>
          <w:u w:val="single"/>
        </w:rPr>
        <w:t>表</w:t>
      </w:r>
      <w:r>
        <w:rPr>
          <w:rFonts w:hint="eastAsia"/>
          <w:b/>
          <w:bCs/>
          <w:szCs w:val="32"/>
          <w:u w:val="single"/>
        </w:rPr>
        <w:t>4.3-1</w:t>
      </w:r>
      <w:r>
        <w:rPr>
          <w:rFonts w:hint="eastAsia"/>
          <w:b/>
          <w:bCs/>
          <w:szCs w:val="32"/>
          <w:u w:val="single"/>
          <w:lang w:val="en-US" w:eastAsia="zh-CN"/>
        </w:rPr>
        <w:t>4</w:t>
      </w:r>
      <w:r>
        <w:rPr>
          <w:rFonts w:hint="eastAsia"/>
          <w:b/>
          <w:bCs/>
          <w:szCs w:val="32"/>
          <w:u w:val="single"/>
        </w:rPr>
        <w:t xml:space="preserve">  </w:t>
      </w:r>
      <w:r>
        <w:rPr>
          <w:b/>
          <w:bCs/>
          <w:szCs w:val="32"/>
          <w:u w:val="single"/>
        </w:rPr>
        <w:t>非正常工况下</w:t>
      </w:r>
      <w:r>
        <w:rPr>
          <w:rFonts w:hint="eastAsia"/>
          <w:b/>
          <w:bCs/>
          <w:szCs w:val="32"/>
          <w:u w:val="single"/>
          <w:lang w:eastAsia="zh-CN"/>
        </w:rPr>
        <w:t>无组织</w:t>
      </w:r>
      <w:r>
        <w:rPr>
          <w:b/>
          <w:bCs/>
          <w:szCs w:val="32"/>
          <w:u w:val="single"/>
        </w:rPr>
        <w:t>污染源汇总表</w:t>
      </w:r>
    </w:p>
    <w:tbl>
      <w:tblPr>
        <w:tblStyle w:val="28"/>
        <w:tblW w:w="50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878"/>
        <w:gridCol w:w="1654"/>
        <w:gridCol w:w="1643"/>
        <w:gridCol w:w="1704"/>
        <w:gridCol w:w="1726"/>
        <w:gridCol w:w="1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restar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污染源</w:t>
            </w:r>
          </w:p>
        </w:tc>
        <w:tc>
          <w:tcPr>
            <w:tcW w:w="897" w:type="pct"/>
            <w:vMerge w:val="restar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污染物</w:t>
            </w:r>
          </w:p>
          <w:p>
            <w:pPr>
              <w:adjustRightInd w:val="0"/>
              <w:snapToGrid w:val="0"/>
              <w:spacing w:line="360" w:lineRule="exact"/>
              <w:ind w:firstLine="0" w:firstLineChars="0"/>
              <w:jc w:val="center"/>
              <w:rPr>
                <w:rFonts w:cs="Times New Roman"/>
                <w:bCs/>
                <w:sz w:val="21"/>
                <w:szCs w:val="21"/>
              </w:rPr>
            </w:pPr>
            <w:r>
              <w:rPr>
                <w:rFonts w:cs="Times New Roman"/>
                <w:bCs/>
                <w:sz w:val="21"/>
                <w:szCs w:val="21"/>
              </w:rPr>
              <w:t>名称</w:t>
            </w:r>
          </w:p>
        </w:tc>
        <w:tc>
          <w:tcPr>
            <w:tcW w:w="1815" w:type="pct"/>
            <w:gridSpan w:val="2"/>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排放情况</w:t>
            </w:r>
          </w:p>
        </w:tc>
        <w:tc>
          <w:tcPr>
            <w:tcW w:w="936" w:type="pct"/>
            <w:vMerge w:val="restart"/>
            <w:vAlign w:val="center"/>
          </w:tcPr>
          <w:p>
            <w:pPr>
              <w:spacing w:line="240" w:lineRule="auto"/>
              <w:ind w:firstLine="0" w:firstLineChars="0"/>
              <w:jc w:val="center"/>
              <w:rPr>
                <w:rFonts w:cs="Times New Roman"/>
                <w:bCs/>
                <w:sz w:val="21"/>
                <w:szCs w:val="21"/>
              </w:rPr>
            </w:pPr>
            <w:r>
              <w:rPr>
                <w:rFonts w:hint="eastAsia" w:cs="Times New Roman"/>
                <w:bCs/>
                <w:kern w:val="0"/>
                <w:sz w:val="21"/>
                <w:szCs w:val="21"/>
              </w:rPr>
              <w:t>年发生频次</w:t>
            </w:r>
          </w:p>
        </w:tc>
        <w:tc>
          <w:tcPr>
            <w:tcW w:w="873" w:type="pct"/>
            <w:vMerge w:val="restart"/>
            <w:vAlign w:val="center"/>
          </w:tcPr>
          <w:p>
            <w:pPr>
              <w:spacing w:line="240" w:lineRule="auto"/>
              <w:ind w:firstLine="0" w:firstLineChars="0"/>
              <w:jc w:val="center"/>
              <w:rPr>
                <w:rFonts w:cs="Times New Roman"/>
                <w:bCs/>
                <w:sz w:val="21"/>
                <w:szCs w:val="21"/>
              </w:rPr>
            </w:pPr>
            <w:r>
              <w:rPr>
                <w:rFonts w:hint="eastAsia" w:cs="Times New Roman"/>
                <w:bCs/>
                <w:kern w:val="0"/>
                <w:sz w:val="21"/>
                <w:szCs w:val="21"/>
              </w:rPr>
              <w:t>单次排放时间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bCs/>
                <w:sz w:val="21"/>
                <w:szCs w:val="21"/>
              </w:rPr>
            </w:pPr>
          </w:p>
        </w:tc>
        <w:tc>
          <w:tcPr>
            <w:tcW w:w="897" w:type="pct"/>
            <w:vMerge w:val="continue"/>
            <w:vAlign w:val="center"/>
          </w:tcPr>
          <w:p>
            <w:pPr>
              <w:adjustRightInd w:val="0"/>
              <w:snapToGrid w:val="0"/>
              <w:spacing w:line="360" w:lineRule="exact"/>
              <w:ind w:firstLine="0" w:firstLineChars="0"/>
              <w:jc w:val="center"/>
              <w:rPr>
                <w:rFonts w:cs="Times New Roman"/>
                <w:bCs/>
                <w:sz w:val="21"/>
                <w:szCs w:val="21"/>
              </w:rPr>
            </w:pPr>
          </w:p>
        </w:tc>
        <w:tc>
          <w:tcPr>
            <w:tcW w:w="891" w:type="pc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速率</w:t>
            </w:r>
            <w:r>
              <w:rPr>
                <w:rFonts w:hint="eastAsia" w:cs="Times New Roman"/>
                <w:bCs/>
                <w:sz w:val="21"/>
                <w:szCs w:val="21"/>
              </w:rPr>
              <w:t>（</w:t>
            </w:r>
            <w:r>
              <w:rPr>
                <w:rFonts w:cs="Times New Roman"/>
                <w:bCs/>
                <w:sz w:val="21"/>
                <w:szCs w:val="21"/>
              </w:rPr>
              <w:t>kg/h</w:t>
            </w:r>
            <w:r>
              <w:rPr>
                <w:rFonts w:hint="eastAsia" w:cs="Times New Roman"/>
                <w:bCs/>
                <w:sz w:val="21"/>
                <w:szCs w:val="21"/>
              </w:rPr>
              <w:t>）</w:t>
            </w:r>
          </w:p>
        </w:tc>
        <w:tc>
          <w:tcPr>
            <w:tcW w:w="924" w:type="pct"/>
            <w:vAlign w:val="center"/>
          </w:tcPr>
          <w:p>
            <w:pPr>
              <w:adjustRightInd w:val="0"/>
              <w:snapToGrid w:val="0"/>
              <w:spacing w:line="360" w:lineRule="exact"/>
              <w:ind w:firstLine="0" w:firstLineChars="0"/>
              <w:jc w:val="center"/>
              <w:rPr>
                <w:rFonts w:cs="Times New Roman"/>
                <w:bCs/>
                <w:sz w:val="21"/>
                <w:szCs w:val="21"/>
              </w:rPr>
            </w:pPr>
            <w:r>
              <w:rPr>
                <w:rFonts w:cs="Times New Roman"/>
                <w:bCs/>
                <w:sz w:val="21"/>
                <w:szCs w:val="21"/>
              </w:rPr>
              <w:t>排放量</w:t>
            </w:r>
            <w:r>
              <w:rPr>
                <w:rFonts w:hint="eastAsia" w:cs="Times New Roman"/>
                <w:bCs/>
                <w:sz w:val="21"/>
                <w:szCs w:val="21"/>
              </w:rPr>
              <w:t>（</w:t>
            </w:r>
            <w:r>
              <w:rPr>
                <w:rFonts w:cs="Times New Roman"/>
                <w:bCs/>
                <w:sz w:val="21"/>
                <w:szCs w:val="21"/>
              </w:rPr>
              <w:t>t/a</w:t>
            </w:r>
            <w:r>
              <w:rPr>
                <w:rFonts w:hint="eastAsia" w:cs="Times New Roman"/>
                <w:bCs/>
                <w:sz w:val="21"/>
                <w:szCs w:val="21"/>
              </w:rPr>
              <w:t>）</w:t>
            </w:r>
          </w:p>
        </w:tc>
        <w:tc>
          <w:tcPr>
            <w:tcW w:w="936" w:type="pct"/>
            <w:vMerge w:val="continue"/>
            <w:vAlign w:val="center"/>
          </w:tcPr>
          <w:p>
            <w:pPr>
              <w:adjustRightInd w:val="0"/>
              <w:snapToGrid w:val="0"/>
              <w:spacing w:line="360" w:lineRule="exact"/>
              <w:ind w:firstLine="0" w:firstLineChars="0"/>
              <w:jc w:val="center"/>
              <w:rPr>
                <w:rFonts w:cs="Times New Roman"/>
                <w:bCs/>
                <w:sz w:val="21"/>
                <w:szCs w:val="21"/>
              </w:rPr>
            </w:pPr>
          </w:p>
        </w:tc>
        <w:tc>
          <w:tcPr>
            <w:tcW w:w="873" w:type="pct"/>
            <w:vMerge w:val="continue"/>
            <w:vAlign w:val="center"/>
          </w:tcPr>
          <w:p>
            <w:pPr>
              <w:adjustRightInd w:val="0"/>
              <w:snapToGrid w:val="0"/>
              <w:spacing w:line="360" w:lineRule="exact"/>
              <w:ind w:firstLine="0" w:firstLineChars="0"/>
              <w:jc w:val="center"/>
              <w:rPr>
                <w:rFonts w:cs="Times New Roman"/>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1#车间</w:t>
            </w: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891"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924"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0.000375</w:t>
            </w:r>
          </w:p>
        </w:tc>
        <w:tc>
          <w:tcPr>
            <w:tcW w:w="1726" w:type="dxa"/>
            <w:vMerge w:val="restart"/>
            <w:vAlign w:val="center"/>
          </w:tcPr>
          <w:p>
            <w:pPr>
              <w:pStyle w:val="39"/>
              <w:spacing w:line="360" w:lineRule="exact"/>
              <w:ind w:firstLine="0" w:firstLineChars="0"/>
              <w:rPr>
                <w:rFonts w:hint="eastAsia" w:cs="Times New Roman"/>
                <w:kern w:val="0"/>
                <w:sz w:val="21"/>
                <w:szCs w:val="21"/>
                <w:lang w:val="en-US" w:eastAsia="zh-CN"/>
              </w:rPr>
            </w:pPr>
            <w:r>
              <w:rPr>
                <w:rFonts w:hint="eastAsia" w:ascii="Times New Roman" w:hAnsi="Times New Roman" w:cs="Times New Roman"/>
                <w:sz w:val="21"/>
                <w:szCs w:val="21"/>
                <w:lang w:val="en-US"/>
              </w:rPr>
              <w:t>1</w:t>
            </w:r>
          </w:p>
        </w:tc>
        <w:tc>
          <w:tcPr>
            <w:tcW w:w="1610" w:type="dxa"/>
            <w:vMerge w:val="restart"/>
            <w:vAlign w:val="center"/>
          </w:tcPr>
          <w:p>
            <w:pPr>
              <w:pStyle w:val="39"/>
              <w:spacing w:line="360" w:lineRule="exact"/>
              <w:ind w:firstLine="0" w:firstLineChars="0"/>
              <w:rPr>
                <w:rFonts w:hint="eastAsia" w:cs="Times New Roman"/>
                <w:kern w:val="0"/>
                <w:sz w:val="21"/>
                <w:szCs w:val="21"/>
                <w:lang w:val="en-US" w:eastAsia="zh-CN"/>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891"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924"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806</w:t>
            </w:r>
          </w:p>
        </w:tc>
        <w:tc>
          <w:tcPr>
            <w:tcW w:w="936"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c>
          <w:tcPr>
            <w:tcW w:w="873"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2#车间</w:t>
            </w: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891"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c>
          <w:tcPr>
            <w:tcW w:w="924"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0.000375</w:t>
            </w:r>
          </w:p>
        </w:tc>
        <w:tc>
          <w:tcPr>
            <w:tcW w:w="1726" w:type="dxa"/>
            <w:vMerge w:val="restart"/>
            <w:vAlign w:val="center"/>
          </w:tcPr>
          <w:p>
            <w:pPr>
              <w:pStyle w:val="39"/>
              <w:spacing w:line="360" w:lineRule="exact"/>
              <w:ind w:firstLine="0" w:firstLineChars="0"/>
              <w:rPr>
                <w:rFonts w:hint="eastAsia" w:cs="Times New Roman"/>
                <w:kern w:val="0"/>
                <w:sz w:val="21"/>
                <w:szCs w:val="21"/>
                <w:lang w:val="en-US" w:eastAsia="zh-CN"/>
              </w:rPr>
            </w:pPr>
            <w:r>
              <w:rPr>
                <w:rFonts w:hint="eastAsia" w:ascii="Times New Roman" w:hAnsi="Times New Roman" w:cs="Times New Roman"/>
                <w:sz w:val="21"/>
                <w:szCs w:val="21"/>
                <w:lang w:val="en-US"/>
              </w:rPr>
              <w:t>1</w:t>
            </w:r>
          </w:p>
        </w:tc>
        <w:tc>
          <w:tcPr>
            <w:tcW w:w="1610" w:type="dxa"/>
            <w:vMerge w:val="restart"/>
            <w:vAlign w:val="center"/>
          </w:tcPr>
          <w:p>
            <w:pPr>
              <w:pStyle w:val="39"/>
              <w:spacing w:line="360" w:lineRule="exact"/>
              <w:ind w:firstLine="0" w:firstLineChars="0"/>
              <w:rPr>
                <w:rFonts w:hint="eastAsia" w:cs="Times New Roman"/>
                <w:kern w:val="0"/>
                <w:sz w:val="21"/>
                <w:szCs w:val="21"/>
                <w:lang w:val="en-US" w:eastAsia="zh-CN"/>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891"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c>
          <w:tcPr>
            <w:tcW w:w="924"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806</w:t>
            </w:r>
          </w:p>
        </w:tc>
        <w:tc>
          <w:tcPr>
            <w:tcW w:w="936"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c>
          <w:tcPr>
            <w:tcW w:w="873"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3#车间</w:t>
            </w: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891"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0.0244</w:t>
            </w:r>
          </w:p>
        </w:tc>
        <w:tc>
          <w:tcPr>
            <w:tcW w:w="924"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0.0585</w:t>
            </w:r>
          </w:p>
        </w:tc>
        <w:tc>
          <w:tcPr>
            <w:tcW w:w="1726" w:type="dxa"/>
            <w:vMerge w:val="restart"/>
            <w:vAlign w:val="center"/>
          </w:tcPr>
          <w:p>
            <w:pPr>
              <w:pStyle w:val="39"/>
              <w:spacing w:line="360" w:lineRule="exact"/>
              <w:ind w:firstLine="0" w:firstLineChars="0"/>
              <w:rPr>
                <w:rFonts w:hint="eastAsia" w:cs="Times New Roman"/>
                <w:kern w:val="0"/>
                <w:sz w:val="21"/>
                <w:szCs w:val="21"/>
                <w:lang w:val="en-US" w:eastAsia="zh-CN"/>
              </w:rPr>
            </w:pPr>
            <w:r>
              <w:rPr>
                <w:rFonts w:hint="eastAsia" w:ascii="Times New Roman" w:hAnsi="Times New Roman" w:cs="Times New Roman"/>
                <w:sz w:val="21"/>
                <w:szCs w:val="21"/>
                <w:lang w:val="en-US"/>
              </w:rPr>
              <w:t>1</w:t>
            </w:r>
          </w:p>
        </w:tc>
        <w:tc>
          <w:tcPr>
            <w:tcW w:w="1610" w:type="dxa"/>
            <w:vMerge w:val="restart"/>
            <w:vAlign w:val="center"/>
          </w:tcPr>
          <w:p>
            <w:pPr>
              <w:pStyle w:val="39"/>
              <w:spacing w:line="360" w:lineRule="exact"/>
              <w:ind w:firstLine="0" w:firstLineChars="0"/>
              <w:rPr>
                <w:rFonts w:hint="eastAsia" w:cs="Times New Roman"/>
                <w:kern w:val="0"/>
                <w:sz w:val="21"/>
                <w:szCs w:val="21"/>
                <w:lang w:val="en-US" w:eastAsia="zh-CN"/>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891"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0.0186</w:t>
            </w:r>
          </w:p>
        </w:tc>
        <w:tc>
          <w:tcPr>
            <w:tcW w:w="924"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0.04</w:t>
            </w:r>
            <w:r>
              <w:rPr>
                <w:rFonts w:hint="eastAsia" w:cs="Times New Roman"/>
                <w:kern w:val="0"/>
                <w:sz w:val="21"/>
                <w:szCs w:val="21"/>
                <w:lang w:val="en-US" w:eastAsia="zh-CN"/>
              </w:rPr>
              <w:t>454</w:t>
            </w:r>
          </w:p>
        </w:tc>
        <w:tc>
          <w:tcPr>
            <w:tcW w:w="936"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c>
          <w:tcPr>
            <w:tcW w:w="873"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硫化氢</w:t>
            </w:r>
          </w:p>
        </w:tc>
        <w:tc>
          <w:tcPr>
            <w:tcW w:w="891"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0.00022</w:t>
            </w:r>
          </w:p>
        </w:tc>
        <w:tc>
          <w:tcPr>
            <w:tcW w:w="924"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53</w:t>
            </w:r>
          </w:p>
        </w:tc>
        <w:tc>
          <w:tcPr>
            <w:tcW w:w="936"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c>
          <w:tcPr>
            <w:tcW w:w="873"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5#车间</w:t>
            </w: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891"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0.0014</w:t>
            </w:r>
          </w:p>
        </w:tc>
        <w:tc>
          <w:tcPr>
            <w:tcW w:w="924"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w:t>
            </w:r>
            <w:r>
              <w:rPr>
                <w:rFonts w:hint="eastAsia" w:cs="Times New Roman"/>
                <w:kern w:val="0"/>
                <w:sz w:val="21"/>
                <w:szCs w:val="21"/>
                <w:lang w:val="en-US" w:eastAsia="zh-CN"/>
              </w:rPr>
              <w:t>51</w:t>
            </w:r>
          </w:p>
        </w:tc>
        <w:tc>
          <w:tcPr>
            <w:tcW w:w="1726" w:type="dxa"/>
            <w:vMerge w:val="restart"/>
            <w:vAlign w:val="center"/>
          </w:tcPr>
          <w:p>
            <w:pPr>
              <w:pStyle w:val="39"/>
              <w:spacing w:line="360" w:lineRule="exact"/>
              <w:ind w:firstLine="0" w:firstLineChars="0"/>
              <w:rPr>
                <w:rFonts w:hint="default" w:cs="Times New Roman"/>
                <w:kern w:val="0"/>
                <w:sz w:val="21"/>
                <w:szCs w:val="21"/>
                <w:lang w:val="en-US" w:eastAsia="zh-CN"/>
              </w:rPr>
            </w:pPr>
            <w:r>
              <w:rPr>
                <w:rFonts w:hint="eastAsia" w:ascii="Times New Roman" w:hAnsi="Times New Roman" w:cs="Times New Roman"/>
                <w:sz w:val="21"/>
                <w:szCs w:val="21"/>
                <w:lang w:val="en-US"/>
              </w:rPr>
              <w:t>1</w:t>
            </w:r>
          </w:p>
        </w:tc>
        <w:tc>
          <w:tcPr>
            <w:tcW w:w="1610" w:type="dxa"/>
            <w:vMerge w:val="restart"/>
            <w:vAlign w:val="center"/>
          </w:tcPr>
          <w:p>
            <w:pPr>
              <w:pStyle w:val="39"/>
              <w:spacing w:line="360" w:lineRule="exact"/>
              <w:ind w:firstLine="0" w:firstLineChars="0"/>
              <w:rPr>
                <w:rFonts w:hint="default" w:cs="Times New Roman"/>
                <w:kern w:val="0"/>
                <w:sz w:val="21"/>
                <w:szCs w:val="21"/>
                <w:lang w:val="en-US" w:eastAsia="zh-CN"/>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891"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0.1292</w:t>
            </w:r>
          </w:p>
        </w:tc>
        <w:tc>
          <w:tcPr>
            <w:tcW w:w="924"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w:t>
            </w:r>
            <w:r>
              <w:rPr>
                <w:rFonts w:hint="eastAsia" w:cs="Times New Roman"/>
                <w:kern w:val="0"/>
                <w:sz w:val="21"/>
                <w:szCs w:val="21"/>
                <w:lang w:val="en-US" w:eastAsia="zh-CN"/>
              </w:rPr>
              <w:t>461</w:t>
            </w:r>
          </w:p>
        </w:tc>
        <w:tc>
          <w:tcPr>
            <w:tcW w:w="936"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c>
          <w:tcPr>
            <w:tcW w:w="873"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6#车间</w:t>
            </w: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891"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0.00023</w:t>
            </w:r>
          </w:p>
        </w:tc>
        <w:tc>
          <w:tcPr>
            <w:tcW w:w="924"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0165</w:t>
            </w:r>
          </w:p>
        </w:tc>
        <w:tc>
          <w:tcPr>
            <w:tcW w:w="1726" w:type="dxa"/>
            <w:vMerge w:val="restart"/>
            <w:vAlign w:val="center"/>
          </w:tcPr>
          <w:p>
            <w:pPr>
              <w:pStyle w:val="39"/>
              <w:spacing w:line="360" w:lineRule="exact"/>
              <w:ind w:firstLine="0" w:firstLineChars="0"/>
              <w:rPr>
                <w:rFonts w:hint="default" w:cs="Times New Roman"/>
                <w:kern w:val="0"/>
                <w:sz w:val="21"/>
                <w:szCs w:val="21"/>
                <w:lang w:val="en-US" w:eastAsia="zh-CN"/>
              </w:rPr>
            </w:pPr>
            <w:r>
              <w:rPr>
                <w:rFonts w:hint="eastAsia" w:ascii="Times New Roman" w:hAnsi="Times New Roman" w:cs="Times New Roman"/>
                <w:sz w:val="21"/>
                <w:szCs w:val="21"/>
                <w:lang w:val="en-US"/>
              </w:rPr>
              <w:t>1</w:t>
            </w:r>
          </w:p>
        </w:tc>
        <w:tc>
          <w:tcPr>
            <w:tcW w:w="1610" w:type="dxa"/>
            <w:vMerge w:val="restart"/>
            <w:vAlign w:val="center"/>
          </w:tcPr>
          <w:p>
            <w:pPr>
              <w:pStyle w:val="39"/>
              <w:spacing w:line="360" w:lineRule="exact"/>
              <w:ind w:firstLine="0" w:firstLineChars="0"/>
              <w:rPr>
                <w:rFonts w:hint="default" w:cs="Times New Roman"/>
                <w:kern w:val="0"/>
                <w:sz w:val="21"/>
                <w:szCs w:val="21"/>
                <w:lang w:val="en-US" w:eastAsia="zh-CN"/>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adjustRightInd w:val="0"/>
              <w:snapToGrid w:val="0"/>
              <w:spacing w:line="360" w:lineRule="exact"/>
              <w:ind w:firstLine="0" w:firstLineChars="0"/>
              <w:jc w:val="center"/>
              <w:rPr>
                <w:color w:val="000000" w:themeColor="text1"/>
                <w:sz w:val="21"/>
                <w:szCs w:val="21"/>
                <w14:textFill>
                  <w14:solidFill>
                    <w14:schemeClr w14:val="tx1"/>
                  </w14:solidFill>
                </w14:textFill>
              </w:rPr>
            </w:pPr>
            <w:r>
              <w:rPr>
                <w:rFonts w:hint="eastAsia" w:cs="Times New Roman"/>
                <w:snapToGrid w:val="0"/>
                <w:kern w:val="18"/>
                <w:sz w:val="21"/>
                <w:szCs w:val="21"/>
              </w:rPr>
              <w:t>非甲烷总烃</w:t>
            </w:r>
          </w:p>
        </w:tc>
        <w:tc>
          <w:tcPr>
            <w:tcW w:w="891"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0.083</w:t>
            </w:r>
          </w:p>
        </w:tc>
        <w:tc>
          <w:tcPr>
            <w:tcW w:w="924"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0.599</w:t>
            </w:r>
          </w:p>
        </w:tc>
        <w:tc>
          <w:tcPr>
            <w:tcW w:w="936" w:type="pct"/>
            <w:vMerge w:val="continue"/>
            <w:vAlign w:val="center"/>
          </w:tcPr>
          <w:p>
            <w:pPr>
              <w:adjustRightInd w:val="0"/>
              <w:snapToGrid w:val="0"/>
              <w:spacing w:line="360" w:lineRule="exact"/>
              <w:ind w:firstLine="0" w:firstLineChars="0"/>
              <w:jc w:val="center"/>
              <w:rPr>
                <w:rFonts w:hint="eastAsia" w:cs="Times New Roman"/>
                <w:kern w:val="0"/>
                <w:sz w:val="21"/>
                <w:szCs w:val="21"/>
                <w:lang w:val="en-US" w:eastAsia="zh-CN"/>
              </w:rPr>
            </w:pPr>
          </w:p>
        </w:tc>
        <w:tc>
          <w:tcPr>
            <w:tcW w:w="873" w:type="pct"/>
            <w:vMerge w:val="continue"/>
            <w:vAlign w:val="center"/>
          </w:tcPr>
          <w:p>
            <w:pPr>
              <w:adjustRightInd w:val="0"/>
              <w:snapToGrid w:val="0"/>
              <w:spacing w:line="360" w:lineRule="exact"/>
              <w:ind w:firstLine="0" w:firstLineChars="0"/>
              <w:jc w:val="center"/>
              <w:rPr>
                <w:rFonts w:hint="eastAsia"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widowControl/>
              <w:spacing w:line="360" w:lineRule="exact"/>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丙烯酸</w:t>
            </w:r>
          </w:p>
        </w:tc>
        <w:tc>
          <w:tcPr>
            <w:tcW w:w="891"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0.00036</w:t>
            </w:r>
          </w:p>
        </w:tc>
        <w:tc>
          <w:tcPr>
            <w:tcW w:w="924" w:type="pct"/>
            <w:vAlign w:val="center"/>
          </w:tcPr>
          <w:p>
            <w:pPr>
              <w:adjustRightInd w:val="0"/>
              <w:snapToGrid w:val="0"/>
              <w:spacing w:line="360" w:lineRule="exact"/>
              <w:ind w:firstLine="0" w:firstLineChars="0"/>
              <w:jc w:val="center"/>
              <w:rPr>
                <w:rFonts w:cs="Times New Roman"/>
                <w:kern w:val="0"/>
                <w:sz w:val="21"/>
                <w:szCs w:val="21"/>
              </w:rPr>
            </w:pPr>
            <w:r>
              <w:rPr>
                <w:rFonts w:hint="default" w:cs="Times New Roman"/>
                <w:kern w:val="0"/>
                <w:sz w:val="21"/>
                <w:szCs w:val="21"/>
                <w:lang w:val="en-US" w:eastAsia="zh-CN"/>
              </w:rPr>
              <w:t>0.0026</w:t>
            </w:r>
          </w:p>
        </w:tc>
        <w:tc>
          <w:tcPr>
            <w:tcW w:w="936"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c>
          <w:tcPr>
            <w:tcW w:w="873"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甲基丙烯酸甲酯</w:t>
            </w:r>
          </w:p>
        </w:tc>
        <w:tc>
          <w:tcPr>
            <w:tcW w:w="891"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924"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c>
          <w:tcPr>
            <w:tcW w:w="936"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c>
          <w:tcPr>
            <w:tcW w:w="873"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widowControl/>
              <w:spacing w:line="360" w:lineRule="exact"/>
              <w:ind w:firstLine="0" w:firstLineChars="0"/>
              <w:jc w:val="center"/>
              <w:rPr>
                <w:rFonts w:cs="Times New Roman"/>
                <w:snapToGrid w:val="0"/>
                <w:kern w:val="18"/>
                <w:sz w:val="21"/>
                <w:szCs w:val="21"/>
              </w:rPr>
            </w:pPr>
            <w:r>
              <w:rPr>
                <w:rFonts w:hint="eastAsia"/>
                <w:color w:val="000000" w:themeColor="text1"/>
                <w:sz w:val="21"/>
                <w:szCs w:val="21"/>
                <w14:textFill>
                  <w14:solidFill>
                    <w14:schemeClr w14:val="tx1"/>
                  </w14:solidFill>
                </w14:textFill>
              </w:rPr>
              <w:t>丙烯酸丁酯</w:t>
            </w:r>
          </w:p>
        </w:tc>
        <w:tc>
          <w:tcPr>
            <w:tcW w:w="891"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0.00326</w:t>
            </w:r>
          </w:p>
        </w:tc>
        <w:tc>
          <w:tcPr>
            <w:tcW w:w="924"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0.0235</w:t>
            </w:r>
          </w:p>
        </w:tc>
        <w:tc>
          <w:tcPr>
            <w:tcW w:w="936"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c>
          <w:tcPr>
            <w:tcW w:w="873" w:type="pct"/>
            <w:vMerge w:val="continue"/>
            <w:vAlign w:val="center"/>
          </w:tcPr>
          <w:p>
            <w:pPr>
              <w:adjustRightInd w:val="0"/>
              <w:snapToGrid w:val="0"/>
              <w:spacing w:line="360" w:lineRule="exact"/>
              <w:ind w:firstLine="0" w:firstLineChars="0"/>
              <w:jc w:val="center"/>
              <w:rPr>
                <w:rFonts w:hint="default" w:cs="Times New Roman"/>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restar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污水处理站</w:t>
            </w: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硫化氢</w:t>
            </w:r>
          </w:p>
        </w:tc>
        <w:tc>
          <w:tcPr>
            <w:tcW w:w="891"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0.1117</w:t>
            </w:r>
          </w:p>
        </w:tc>
        <w:tc>
          <w:tcPr>
            <w:tcW w:w="924" w:type="pct"/>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0.8045</w:t>
            </w:r>
          </w:p>
        </w:tc>
        <w:tc>
          <w:tcPr>
            <w:tcW w:w="1726" w:type="dxa"/>
            <w:vMerge w:val="restart"/>
            <w:vAlign w:val="center"/>
          </w:tcPr>
          <w:p>
            <w:pPr>
              <w:pStyle w:val="39"/>
              <w:spacing w:line="360" w:lineRule="exact"/>
              <w:ind w:firstLine="0" w:firstLineChars="0"/>
              <w:rPr>
                <w:rFonts w:hint="eastAsia" w:cs="Times New Roman"/>
                <w:sz w:val="21"/>
                <w:szCs w:val="21"/>
              </w:rPr>
            </w:pPr>
            <w:r>
              <w:rPr>
                <w:rFonts w:hint="eastAsia" w:ascii="Times New Roman" w:hAnsi="Times New Roman" w:cs="Times New Roman"/>
                <w:sz w:val="21"/>
                <w:szCs w:val="21"/>
                <w:lang w:val="en-US"/>
              </w:rPr>
              <w:t>1</w:t>
            </w:r>
          </w:p>
        </w:tc>
        <w:tc>
          <w:tcPr>
            <w:tcW w:w="1610" w:type="dxa"/>
            <w:vMerge w:val="restart"/>
            <w:vAlign w:val="center"/>
          </w:tcPr>
          <w:p>
            <w:pPr>
              <w:pStyle w:val="39"/>
              <w:spacing w:line="360" w:lineRule="exact"/>
              <w:ind w:firstLine="0" w:firstLineChars="0"/>
              <w:rPr>
                <w:rFonts w:hint="eastAsia" w:cs="Times New Roman"/>
                <w:sz w:val="21"/>
                <w:szCs w:val="21"/>
              </w:rPr>
            </w:pPr>
            <w:r>
              <w:rPr>
                <w:rFonts w:ascii="Times New Roman" w:hAnsi="Times New Roman"/>
                <w:sz w:val="21"/>
                <w:szCs w:val="21"/>
              </w:rPr>
              <w:t>30min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477" w:type="pct"/>
            <w:vMerge w:val="continue"/>
            <w:vAlign w:val="center"/>
          </w:tcPr>
          <w:p>
            <w:pPr>
              <w:adjustRightInd w:val="0"/>
              <w:snapToGrid w:val="0"/>
              <w:spacing w:line="360" w:lineRule="exact"/>
              <w:ind w:firstLine="0" w:firstLineChars="0"/>
              <w:jc w:val="center"/>
              <w:rPr>
                <w:rFonts w:cs="Times New Roman"/>
                <w:snapToGrid w:val="0"/>
                <w:kern w:val="18"/>
                <w:sz w:val="21"/>
                <w:szCs w:val="21"/>
              </w:rPr>
            </w:pPr>
          </w:p>
        </w:tc>
        <w:tc>
          <w:tcPr>
            <w:tcW w:w="897"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氨</w:t>
            </w:r>
          </w:p>
        </w:tc>
        <w:tc>
          <w:tcPr>
            <w:tcW w:w="891"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rPr>
              <w:t>0.0279</w:t>
            </w:r>
          </w:p>
        </w:tc>
        <w:tc>
          <w:tcPr>
            <w:tcW w:w="924" w:type="pct"/>
            <w:vAlign w:val="center"/>
          </w:tcPr>
          <w:p>
            <w:pPr>
              <w:widowControl/>
              <w:spacing w:line="360" w:lineRule="exact"/>
              <w:ind w:firstLine="0" w:firstLineChars="0"/>
              <w:jc w:val="center"/>
              <w:textAlignment w:val="center"/>
              <w:rPr>
                <w:rFonts w:cs="Times New Roman"/>
                <w:sz w:val="21"/>
                <w:szCs w:val="21"/>
              </w:rPr>
            </w:pPr>
            <w:r>
              <w:rPr>
                <w:rFonts w:hint="eastAsia" w:cs="Times New Roman"/>
                <w:sz w:val="21"/>
                <w:szCs w:val="21"/>
              </w:rPr>
              <w:t>0.2011</w:t>
            </w:r>
          </w:p>
        </w:tc>
        <w:tc>
          <w:tcPr>
            <w:tcW w:w="936" w:type="pct"/>
            <w:vMerge w:val="continue"/>
            <w:vAlign w:val="center"/>
          </w:tcPr>
          <w:p>
            <w:pPr>
              <w:widowControl/>
              <w:spacing w:line="360" w:lineRule="exact"/>
              <w:ind w:firstLine="0" w:firstLineChars="0"/>
              <w:jc w:val="center"/>
              <w:textAlignment w:val="center"/>
              <w:rPr>
                <w:rFonts w:hint="eastAsia" w:cs="Times New Roman"/>
                <w:sz w:val="21"/>
                <w:szCs w:val="21"/>
              </w:rPr>
            </w:pPr>
          </w:p>
        </w:tc>
        <w:tc>
          <w:tcPr>
            <w:tcW w:w="873" w:type="pct"/>
            <w:vMerge w:val="continue"/>
            <w:vAlign w:val="center"/>
          </w:tcPr>
          <w:p>
            <w:pPr>
              <w:widowControl/>
              <w:spacing w:line="360" w:lineRule="exact"/>
              <w:ind w:firstLine="0" w:firstLineChars="0"/>
              <w:jc w:val="center"/>
              <w:textAlignment w:val="center"/>
              <w:rPr>
                <w:rFonts w:hint="eastAsia" w:cs="Times New Roman"/>
                <w:sz w:val="21"/>
                <w:szCs w:val="21"/>
              </w:rPr>
            </w:pPr>
          </w:p>
        </w:tc>
      </w:tr>
    </w:tbl>
    <w:p>
      <w:pPr>
        <w:pStyle w:val="7"/>
        <w:ind w:firstLine="562"/>
      </w:pPr>
      <w:r>
        <w:rPr>
          <w:rFonts w:hint="eastAsia"/>
        </w:rPr>
        <w:t>4.3.6项目各污染源汇总</w:t>
      </w:r>
      <w:bookmarkEnd w:id="97"/>
      <w:bookmarkEnd w:id="98"/>
      <w:bookmarkEnd w:id="99"/>
      <w:bookmarkEnd w:id="100"/>
    </w:p>
    <w:p>
      <w:pPr>
        <w:widowControl/>
        <w:ind w:firstLine="480"/>
        <w:jc w:val="left"/>
      </w:pPr>
      <w:r>
        <w:t>根据以上工程分析，拟建项目正常工况下</w:t>
      </w:r>
      <w:r>
        <w:rPr>
          <w:rFonts w:hint="eastAsia"/>
          <w:lang w:eastAsia="zh-CN"/>
        </w:rPr>
        <w:t>“</w:t>
      </w:r>
      <w:r>
        <w:t>三废</w:t>
      </w:r>
      <w:r>
        <w:rPr>
          <w:rFonts w:hint="eastAsia"/>
          <w:lang w:eastAsia="zh-CN"/>
        </w:rPr>
        <w:t>”</w:t>
      </w:r>
      <w:r>
        <w:t>产生及排放情况汇总见表，见表</w:t>
      </w:r>
      <w:r>
        <w:rPr>
          <w:rFonts w:hint="eastAsia"/>
        </w:rPr>
        <w:t>4.2-1</w:t>
      </w:r>
      <w:r>
        <w:rPr>
          <w:rFonts w:hint="eastAsia"/>
          <w:lang w:val="en-US" w:eastAsia="zh-CN"/>
        </w:rPr>
        <w:t>5</w:t>
      </w:r>
      <w:r>
        <w:t>。</w:t>
      </w:r>
    </w:p>
    <w:p>
      <w:pPr>
        <w:pStyle w:val="25"/>
        <w:keepNext w:val="0"/>
        <w:keepLines w:val="0"/>
        <w:pageBreakBefore w:val="0"/>
        <w:widowControl/>
        <w:kinsoku/>
        <w:wordWrap/>
        <w:overflowPunct/>
        <w:topLinePunct w:val="0"/>
        <w:autoSpaceDE/>
        <w:autoSpaceDN/>
        <w:bidi w:val="0"/>
        <w:adjustRightInd/>
        <w:snapToGrid/>
        <w:spacing w:beforeAutospacing="0" w:afterAutospacing="0"/>
        <w:ind w:firstLine="0" w:firstLineChars="0"/>
        <w:jc w:val="center"/>
        <w:textAlignment w:val="auto"/>
        <w:rPr>
          <w:rFonts w:cs="宋体"/>
          <w:b/>
          <w:bCs/>
          <w:color w:val="000000" w:themeColor="text1"/>
          <w:lang w:bidi="zh-CN"/>
          <w14:textFill>
            <w14:solidFill>
              <w14:schemeClr w14:val="tx1"/>
            </w14:solidFill>
          </w14:textFill>
        </w:rPr>
      </w:pPr>
      <w:r>
        <w:rPr>
          <w:rFonts w:hint="eastAsia" w:cs="宋体"/>
          <w:b/>
          <w:bCs/>
          <w:color w:val="000000" w:themeColor="text1"/>
          <w:lang w:bidi="zh-CN"/>
          <w14:textFill>
            <w14:solidFill>
              <w14:schemeClr w14:val="tx1"/>
            </w14:solidFill>
          </w14:textFill>
        </w:rPr>
        <w:t>表4.2-1</w:t>
      </w:r>
      <w:r>
        <w:rPr>
          <w:rFonts w:hint="eastAsia" w:cs="宋体"/>
          <w:b/>
          <w:bCs/>
          <w:color w:val="000000" w:themeColor="text1"/>
          <w:lang w:val="en-US" w:bidi="zh-CN"/>
          <w14:textFill>
            <w14:solidFill>
              <w14:schemeClr w14:val="tx1"/>
            </w14:solidFill>
          </w14:textFill>
        </w:rPr>
        <w:t>5</w:t>
      </w:r>
      <w:r>
        <w:rPr>
          <w:rFonts w:hint="eastAsia" w:cs="宋体"/>
          <w:b/>
          <w:bCs/>
          <w:color w:val="000000" w:themeColor="text1"/>
          <w:lang w:bidi="zh-CN"/>
          <w14:textFill>
            <w14:solidFill>
              <w14:schemeClr w14:val="tx1"/>
            </w14:solidFill>
          </w14:textFill>
        </w:rPr>
        <w:t xml:space="preserve">  拟建项目正常工况下“三废”产生及排放情况汇总见表</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3"/>
        <w:gridCol w:w="1009"/>
        <w:gridCol w:w="62"/>
        <w:gridCol w:w="2101"/>
        <w:gridCol w:w="1427"/>
        <w:gridCol w:w="1633"/>
        <w:gridCol w:w="1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污染源</w:t>
            </w: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污染物</w:t>
            </w:r>
          </w:p>
        </w:tc>
        <w:tc>
          <w:tcPr>
            <w:tcW w:w="768"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产生量t/a</w:t>
            </w:r>
          </w:p>
        </w:tc>
        <w:tc>
          <w:tcPr>
            <w:tcW w:w="879"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削减量t/a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restar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废气</w:t>
            </w:r>
          </w:p>
        </w:tc>
        <w:tc>
          <w:tcPr>
            <w:tcW w:w="576" w:type="pct"/>
            <w:gridSpan w:val="2"/>
            <w:vMerge w:val="restar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有组织废气</w:t>
            </w:r>
          </w:p>
        </w:tc>
        <w:tc>
          <w:tcPr>
            <w:tcW w:w="1131"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sz w:val="21"/>
                <w:szCs w:val="21"/>
              </w:rPr>
            </w:pPr>
            <w:r>
              <w:rPr>
                <w:rFonts w:hint="eastAsia" w:ascii="Times New Roman" w:hAnsi="Times New Roman" w:cs="Times New Roman"/>
                <w:sz w:val="21"/>
                <w:szCs w:val="21"/>
                <w:lang w:val="en-US"/>
              </w:rPr>
              <w:t>粉尘</w:t>
            </w:r>
          </w:p>
        </w:tc>
        <w:tc>
          <w:tcPr>
            <w:tcW w:w="768"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1.32</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1.308</w:t>
            </w:r>
          </w:p>
        </w:tc>
        <w:tc>
          <w:tcPr>
            <w:tcW w:w="892" w:type="pct"/>
            <w:vAlign w:val="center"/>
          </w:tcPr>
          <w:p>
            <w:pPr>
              <w:pStyle w:val="39"/>
              <w:spacing w:line="36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sz w:val="21"/>
                <w:szCs w:val="21"/>
              </w:rPr>
            </w:pPr>
            <w:r>
              <w:rPr>
                <w:rFonts w:hint="eastAsia" w:ascii="Times New Roman" w:cs="Times New Roman"/>
                <w:sz w:val="21"/>
                <w:szCs w:val="21"/>
                <w:lang w:val="en-US"/>
              </w:rPr>
              <w:t>非甲烷总烃</w:t>
            </w:r>
          </w:p>
        </w:tc>
        <w:tc>
          <w:tcPr>
            <w:tcW w:w="768"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25.522</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hint="default" w:ascii="Times New Roman" w:hAnsi="Times New Roman" w:cs="Times New Roman"/>
                <w:sz w:val="21"/>
                <w:szCs w:val="21"/>
                <w:lang w:val="en-US"/>
              </w:rPr>
            </w:pPr>
            <w:r>
              <w:rPr>
                <w:rFonts w:hint="eastAsia" w:ascii="Times New Roman" w:hAnsi="Times New Roman" w:cs="Times New Roman"/>
                <w:sz w:val="21"/>
                <w:szCs w:val="21"/>
                <w:lang w:val="en-US" w:eastAsia="zh-CN"/>
              </w:rPr>
              <w:t>24.2826</w:t>
            </w:r>
          </w:p>
        </w:tc>
        <w:tc>
          <w:tcPr>
            <w:tcW w:w="892" w:type="pct"/>
            <w:vAlign w:val="center"/>
          </w:tcPr>
          <w:p>
            <w:pPr>
              <w:pStyle w:val="39"/>
              <w:spacing w:line="36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1.2394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color w:val="000000" w:themeColor="text1"/>
                <w:sz w:val="21"/>
                <w:szCs w:val="21"/>
                <w14:textFill>
                  <w14:solidFill>
                    <w14:schemeClr w14:val="tx1"/>
                  </w14:solidFill>
                </w14:textFill>
              </w:rPr>
              <w:t>丙烯酸</w:t>
            </w:r>
          </w:p>
        </w:tc>
        <w:tc>
          <w:tcPr>
            <w:tcW w:w="768" w:type="pct"/>
            <w:vAlign w:val="center"/>
          </w:tcPr>
          <w:p>
            <w:pPr>
              <w:pStyle w:val="39"/>
              <w:spacing w:line="360" w:lineRule="exact"/>
              <w:ind w:firstLine="0" w:firstLineChars="0"/>
              <w:rPr>
                <w:sz w:val="21"/>
                <w:szCs w:val="21"/>
              </w:rPr>
            </w:pPr>
            <w:r>
              <w:rPr>
                <w:rFonts w:hint="eastAsia" w:ascii="Times New Roman" w:hAnsi="Times New Roman" w:cs="Times New Roman"/>
                <w:sz w:val="21"/>
                <w:szCs w:val="21"/>
                <w:lang w:val="en-US"/>
              </w:rPr>
              <w:t>0.051</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0.0486</w:t>
            </w:r>
          </w:p>
        </w:tc>
        <w:tc>
          <w:tcPr>
            <w:tcW w:w="892" w:type="pct"/>
            <w:vAlign w:val="center"/>
          </w:tcPr>
          <w:p>
            <w:pPr>
              <w:pStyle w:val="39"/>
              <w:spacing w:line="36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0.0024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丙烯酸丁酯</w:t>
            </w:r>
          </w:p>
        </w:tc>
        <w:tc>
          <w:tcPr>
            <w:tcW w:w="768"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0.47</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0.4477</w:t>
            </w:r>
          </w:p>
        </w:tc>
        <w:tc>
          <w:tcPr>
            <w:tcW w:w="892" w:type="pct"/>
            <w:vAlign w:val="center"/>
          </w:tcPr>
          <w:p>
            <w:pPr>
              <w:pStyle w:val="39"/>
              <w:spacing w:line="36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0.0223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甲基丙烯酸甲酯</w:t>
            </w:r>
          </w:p>
        </w:tc>
        <w:tc>
          <w:tcPr>
            <w:tcW w:w="768"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w:t>
            </w:r>
            <w:r>
              <w:rPr>
                <w:rFonts w:hint="eastAsia" w:ascii="Times New Roman" w:hAnsi="Times New Roman" w:cs="Times New Roman"/>
                <w:sz w:val="21"/>
                <w:szCs w:val="21"/>
                <w:lang w:val="en-US" w:eastAsia="zh-CN"/>
              </w:rPr>
              <w:t>47</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0.4477</w:t>
            </w:r>
          </w:p>
        </w:tc>
        <w:tc>
          <w:tcPr>
            <w:tcW w:w="892" w:type="pct"/>
            <w:vAlign w:val="center"/>
          </w:tcPr>
          <w:p>
            <w:pPr>
              <w:pStyle w:val="39"/>
              <w:spacing w:line="36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0.0223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cs="Times New Roman"/>
                <w:sz w:val="21"/>
                <w:szCs w:val="21"/>
              </w:rPr>
            </w:pPr>
            <w:r>
              <w:rPr>
                <w:rFonts w:hint="eastAsia" w:ascii="Times New Roman" w:hAnsi="Times New Roman" w:cs="Times New Roman"/>
                <w:sz w:val="21"/>
                <w:szCs w:val="21"/>
                <w:lang w:val="en-US"/>
              </w:rPr>
              <w:t>油烟</w:t>
            </w:r>
          </w:p>
        </w:tc>
        <w:tc>
          <w:tcPr>
            <w:tcW w:w="768" w:type="pct"/>
            <w:vAlign w:val="center"/>
          </w:tcPr>
          <w:p>
            <w:pPr>
              <w:pStyle w:val="39"/>
              <w:spacing w:line="360" w:lineRule="exact"/>
              <w:ind w:firstLine="0" w:firstLineChars="0"/>
              <w:rPr>
                <w:rFonts w:hint="default" w:eastAsia="宋体"/>
                <w:sz w:val="21"/>
                <w:szCs w:val="21"/>
                <w:lang w:val="en-US" w:eastAsia="zh-CN"/>
              </w:rPr>
            </w:pPr>
            <w:r>
              <w:rPr>
                <w:rFonts w:hint="eastAsia" w:ascii="Times New Roman" w:hAnsi="Times New Roman" w:cs="Times New Roman"/>
                <w:sz w:val="21"/>
                <w:szCs w:val="21"/>
                <w:lang w:val="en-US" w:eastAsia="zh-CN"/>
              </w:rPr>
              <w:t>0.108</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hint="default" w:ascii="Times New Roman" w:hAnsi="Times New Roman" w:cs="Times New Roman"/>
                <w:sz w:val="21"/>
                <w:szCs w:val="21"/>
                <w:lang w:val="en-US"/>
              </w:rPr>
            </w:pPr>
            <w:r>
              <w:rPr>
                <w:rFonts w:hint="eastAsia" w:ascii="Times New Roman" w:hAnsi="Times New Roman" w:cs="Times New Roman"/>
                <w:sz w:val="21"/>
                <w:szCs w:val="21"/>
                <w:lang w:val="en-US" w:eastAsia="zh-CN"/>
              </w:rPr>
              <w:t>0.098</w:t>
            </w:r>
          </w:p>
        </w:tc>
        <w:tc>
          <w:tcPr>
            <w:tcW w:w="892" w:type="pct"/>
            <w:vAlign w:val="center"/>
          </w:tcPr>
          <w:p>
            <w:pPr>
              <w:pStyle w:val="39"/>
              <w:spacing w:line="360" w:lineRule="exact"/>
              <w:ind w:firstLine="0" w:firstLineChars="0"/>
              <w:rPr>
                <w:rFonts w:hint="eastAsia" w:eastAsia="宋体" w:cs="Times New Roman"/>
                <w:sz w:val="21"/>
                <w:szCs w:val="21"/>
                <w:lang w:eastAsia="zh-CN"/>
              </w:rPr>
            </w:pPr>
            <w:r>
              <w:rPr>
                <w:rFonts w:hint="eastAsia" w:ascii="Times New Roman" w:hAnsi="Times New Roman" w:cs="Times New Roman"/>
                <w:sz w:val="21"/>
                <w:szCs w:val="21"/>
                <w:lang w:val="en-US"/>
              </w:rPr>
              <w:t>0.0</w:t>
            </w:r>
            <w:r>
              <w:rPr>
                <w:rFonts w:hint="eastAsia" w:ascii="Times New Roman" w:hAnsi="Times New Roman" w:cs="Times New Roman"/>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cs="Times New Roman"/>
                <w:sz w:val="21"/>
                <w:szCs w:val="21"/>
              </w:rPr>
            </w:pPr>
            <w:r>
              <w:rPr>
                <w:rFonts w:hint="eastAsia" w:cs="Times New Roman"/>
                <w:snapToGrid w:val="0"/>
                <w:kern w:val="18"/>
                <w:sz w:val="21"/>
                <w:szCs w:val="21"/>
              </w:rPr>
              <w:t>硫化氢</w:t>
            </w:r>
          </w:p>
        </w:tc>
        <w:tc>
          <w:tcPr>
            <w:tcW w:w="768"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0.8641</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0.8446</w:t>
            </w:r>
          </w:p>
        </w:tc>
        <w:tc>
          <w:tcPr>
            <w:tcW w:w="892" w:type="pct"/>
            <w:vAlign w:val="center"/>
          </w:tcPr>
          <w:p>
            <w:pPr>
              <w:pStyle w:val="39"/>
              <w:spacing w:line="360" w:lineRule="exact"/>
              <w:ind w:firstLine="0" w:firstLineChars="0"/>
              <w:rPr>
                <w:rFonts w:hint="eastAsia" w:cs="Times New Roman"/>
                <w:sz w:val="21"/>
                <w:szCs w:val="21"/>
              </w:rPr>
            </w:pPr>
            <w:r>
              <w:rPr>
                <w:rFonts w:hint="eastAsia" w:ascii="Times New Roman" w:hAnsi="Times New Roman" w:cs="Times New Roman"/>
                <w:sz w:val="21"/>
                <w:szCs w:val="21"/>
                <w:lang w:val="en-US"/>
              </w:rPr>
              <w:t>0.0</w:t>
            </w:r>
            <w:r>
              <w:rPr>
                <w:rFonts w:hint="eastAsia" w:ascii="Times New Roman" w:hAnsi="Times New Roman" w:cs="Times New Roman"/>
                <w:sz w:val="21"/>
                <w:szCs w:val="21"/>
                <w:lang w:val="en-US" w:eastAsia="zh-CN"/>
              </w:rPr>
              <w:t>195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cs="Times New Roman"/>
                <w:sz w:val="21"/>
                <w:szCs w:val="21"/>
              </w:rPr>
            </w:pPr>
            <w:r>
              <w:rPr>
                <w:rFonts w:hint="eastAsia" w:cs="Times New Roman"/>
                <w:snapToGrid w:val="0"/>
                <w:kern w:val="18"/>
                <w:sz w:val="21"/>
                <w:szCs w:val="21"/>
              </w:rPr>
              <w:t>氨</w:t>
            </w:r>
          </w:p>
        </w:tc>
        <w:tc>
          <w:tcPr>
            <w:tcW w:w="768" w:type="pct"/>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0.3218</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6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0.3037</w:t>
            </w:r>
          </w:p>
        </w:tc>
        <w:tc>
          <w:tcPr>
            <w:tcW w:w="892" w:type="pct"/>
            <w:vAlign w:val="center"/>
          </w:tcPr>
          <w:p>
            <w:pPr>
              <w:pStyle w:val="39"/>
              <w:spacing w:line="360" w:lineRule="exact"/>
              <w:ind w:firstLine="0" w:firstLineChars="0"/>
              <w:rPr>
                <w:rFonts w:hint="eastAsia" w:cs="Times New Roman"/>
                <w:sz w:val="21"/>
                <w:szCs w:val="21"/>
              </w:rPr>
            </w:pPr>
            <w:r>
              <w:rPr>
                <w:rFonts w:hint="eastAsia" w:ascii="Times New Roman" w:hAnsi="Times New Roman" w:cs="Times New Roman"/>
                <w:sz w:val="21"/>
                <w:szCs w:val="21"/>
                <w:lang w:val="en-US"/>
              </w:rPr>
              <w:t>0.0181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restar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无组织废气</w:t>
            </w:r>
          </w:p>
        </w:tc>
        <w:tc>
          <w:tcPr>
            <w:tcW w:w="1131"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eastAsia" w:cs="Times New Roman"/>
                <w:snapToGrid w:val="0"/>
                <w:kern w:val="18"/>
                <w:sz w:val="21"/>
                <w:szCs w:val="21"/>
              </w:rPr>
              <w:t>颗粒物</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eastAsia" w:cs="Times New Roman"/>
                <w:sz w:val="21"/>
                <w:szCs w:val="21"/>
                <w:lang w:val="en-US" w:eastAsia="zh-CN"/>
              </w:rPr>
              <w:t>0.066</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lang w:val="en-US" w:eastAsia="zh-CN"/>
              </w:rPr>
              <w:t>0.066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eastAsia" w:cs="Times New Roman"/>
                <w:snapToGrid w:val="0"/>
                <w:kern w:val="18"/>
                <w:sz w:val="21"/>
                <w:szCs w:val="21"/>
              </w:rPr>
              <w:t>非甲烷总烃</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eastAsia" w:cs="Times New Roman"/>
                <w:sz w:val="21"/>
                <w:szCs w:val="21"/>
                <w:lang w:val="en-US" w:eastAsia="zh-CN"/>
              </w:rPr>
              <w:t>1.2657</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lang w:val="en-US" w:eastAsia="zh-CN"/>
              </w:rPr>
              <w:t>1.2657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color w:val="000000" w:themeColor="text1"/>
                <w:sz w:val="21"/>
                <w:szCs w:val="21"/>
                <w14:textFill>
                  <w14:solidFill>
                    <w14:schemeClr w14:val="tx1"/>
                  </w14:solidFill>
                </w14:textFill>
              </w:rPr>
              <w:t>丙烯酸</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default" w:cs="Times New Roman"/>
                <w:kern w:val="0"/>
                <w:sz w:val="21"/>
                <w:szCs w:val="21"/>
                <w:lang w:val="en-US" w:eastAsia="zh-CN"/>
              </w:rPr>
              <w:t>0.0026</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default" w:cs="Times New Roman"/>
                <w:kern w:val="0"/>
                <w:sz w:val="21"/>
                <w:szCs w:val="21"/>
                <w:lang w:val="en-US" w:eastAsia="zh-CN"/>
              </w:rPr>
              <w:t>0.0026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color w:val="000000" w:themeColor="text1"/>
                <w:sz w:val="21"/>
                <w:szCs w:val="21"/>
                <w14:textFill>
                  <w14:solidFill>
                    <w14:schemeClr w14:val="tx1"/>
                  </w14:solidFill>
                </w14:textFill>
              </w:rPr>
              <w:t>丙烯酸丁酯</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default" w:cs="Times New Roman"/>
                <w:kern w:val="0"/>
                <w:sz w:val="21"/>
                <w:szCs w:val="21"/>
                <w:lang w:val="en-US" w:eastAsia="zh-CN"/>
              </w:rPr>
              <w:t>0.0235</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color w:val="000000" w:themeColor="text1"/>
                <w:sz w:val="21"/>
                <w:szCs w:val="21"/>
                <w14:textFill>
                  <w14:solidFill>
                    <w14:schemeClr w14:val="tx1"/>
                  </w14:solidFill>
                </w14:textFill>
              </w:rPr>
              <w:t>甲基丙烯酸甲酯</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default" w:cs="Times New Roman"/>
                <w:kern w:val="0"/>
                <w:sz w:val="21"/>
                <w:szCs w:val="21"/>
                <w:lang w:val="en-US" w:eastAsia="zh-CN"/>
              </w:rPr>
              <w:t>0.0235</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eastAsia" w:cs="Times New Roman"/>
                <w:snapToGrid w:val="0"/>
                <w:kern w:val="18"/>
                <w:sz w:val="21"/>
                <w:szCs w:val="21"/>
              </w:rPr>
              <w:t>硫化氢</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center"/>
              <w:rPr>
                <w:sz w:val="21"/>
                <w:szCs w:val="21"/>
              </w:rPr>
            </w:pPr>
            <w:r>
              <w:rPr>
                <w:rFonts w:hint="eastAsia" w:cs="Times New Roman"/>
                <w:sz w:val="21"/>
                <w:szCs w:val="21"/>
              </w:rPr>
              <w:t>0.8045</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center"/>
              <w:rPr>
                <w:rFonts w:hint="eastAsia" w:cs="Times New Roman"/>
                <w:sz w:val="21"/>
                <w:szCs w:val="21"/>
              </w:rPr>
            </w:pPr>
            <w:r>
              <w:rPr>
                <w:rFonts w:hint="eastAsia" w:cs="Times New Roman"/>
                <w:sz w:val="21"/>
                <w:szCs w:val="21"/>
              </w:rPr>
              <w:t>0.8045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76" w:type="pct"/>
            <w:gridSpan w:val="2"/>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1131"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eastAsia" w:cs="Times New Roman"/>
                <w:snapToGrid w:val="0"/>
                <w:kern w:val="18"/>
                <w:sz w:val="21"/>
                <w:szCs w:val="21"/>
              </w:rPr>
              <w:t>氨</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center"/>
              <w:rPr>
                <w:sz w:val="21"/>
                <w:szCs w:val="21"/>
              </w:rPr>
            </w:pPr>
            <w:r>
              <w:rPr>
                <w:rFonts w:hint="eastAsia" w:cs="Times New Roman"/>
                <w:sz w:val="21"/>
                <w:szCs w:val="21"/>
              </w:rPr>
              <w:t>0.2011</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textAlignment w:val="center"/>
              <w:rPr>
                <w:rFonts w:hint="eastAsia" w:cs="Times New Roman"/>
                <w:sz w:val="21"/>
                <w:szCs w:val="21"/>
              </w:rPr>
            </w:pPr>
            <w:r>
              <w:rPr>
                <w:rFonts w:hint="eastAsia" w:cs="Times New Roman"/>
                <w:sz w:val="21"/>
                <w:szCs w:val="21"/>
              </w:rPr>
              <w:t>0.2011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restart"/>
            <w:vAlign w:val="center"/>
          </w:tcPr>
          <w:p>
            <w:pPr>
              <w:pStyle w:val="38"/>
              <w:keepNext w:val="0"/>
              <w:keepLines w:val="0"/>
              <w:pageBreakBefore w:val="0"/>
              <w:kinsoku/>
              <w:wordWrap/>
              <w:overflowPunct/>
              <w:topLinePunct w:val="0"/>
              <w:autoSpaceDE/>
              <w:autoSpaceDN/>
              <w:bidi w:val="0"/>
              <w:adjustRightInd/>
              <w:snapToGrid/>
              <w:spacing w:line="360" w:lineRule="exact"/>
              <w:rPr>
                <w:rFonts w:hint="eastAsia" w:eastAsia="宋体"/>
                <w:color w:val="000000" w:themeColor="text1"/>
                <w:sz w:val="21"/>
                <w:szCs w:val="21"/>
                <w:lang w:eastAsia="zh-CN"/>
                <w14:textFill>
                  <w14:solidFill>
                    <w14:schemeClr w14:val="tx1"/>
                  </w14:solidFill>
                </w14:textFill>
              </w:rPr>
            </w:pPr>
            <w:r>
              <w:rPr>
                <w:color w:val="000000" w:themeColor="text1"/>
                <w:sz w:val="21"/>
                <w:szCs w:val="21"/>
                <w14:textFill>
                  <w14:solidFill>
                    <w14:schemeClr w14:val="tx1"/>
                  </w14:solidFill>
                </w14:textFill>
              </w:rPr>
              <w:t>废水（</w:t>
            </w:r>
            <w:r>
              <w:rPr>
                <w:rFonts w:hint="eastAsia"/>
                <w:color w:val="000000" w:themeColor="text1"/>
                <w:sz w:val="21"/>
                <w:szCs w:val="21"/>
                <w:lang w:eastAsia="zh-CN"/>
                <w14:textFill>
                  <w14:solidFill>
                    <w14:schemeClr w14:val="tx1"/>
                  </w14:solidFill>
                </w14:textFill>
              </w:rPr>
              <w:t>11910.0508</w:t>
            </w:r>
          </w:p>
          <w:p>
            <w:pPr>
              <w:pStyle w:val="38"/>
              <w:keepNext w:val="0"/>
              <w:keepLines w:val="0"/>
              <w:pageBreakBefore w:val="0"/>
              <w:kinsoku/>
              <w:wordWrap/>
              <w:overflowPunct/>
              <w:topLinePunct w:val="0"/>
              <w:autoSpaceDE/>
              <w:autoSpaceDN/>
              <w:bidi w:val="0"/>
              <w:adjustRightInd/>
              <w:snapToGrid/>
              <w:spacing w:line="360" w:lineRule="exact"/>
              <w:rPr>
                <w:rFonts w:hint="default"/>
                <w:color w:val="FF0000"/>
                <w:sz w:val="21"/>
                <w:szCs w:val="21"/>
              </w:rPr>
            </w:pPr>
            <w:r>
              <w:rPr>
                <w:color w:val="000000" w:themeColor="text1"/>
                <w:sz w:val="21"/>
                <w:szCs w:val="21"/>
                <w14:textFill>
                  <w14:solidFill>
                    <w14:schemeClr w14:val="tx1"/>
                  </w14:solidFill>
                </w14:textFill>
              </w:rPr>
              <w:t>m</w:t>
            </w:r>
            <w:r>
              <w:rPr>
                <w:color w:val="000000" w:themeColor="text1"/>
                <w:sz w:val="21"/>
                <w:szCs w:val="21"/>
                <w:vertAlign w:val="superscript"/>
                <w14:textFill>
                  <w14:solidFill>
                    <w14:schemeClr w14:val="tx1"/>
                  </w14:solidFill>
                </w14:textFill>
              </w:rPr>
              <w:t>3</w:t>
            </w:r>
            <w:r>
              <w:rPr>
                <w:color w:val="000000" w:themeColor="text1"/>
                <w:sz w:val="21"/>
                <w:szCs w:val="21"/>
                <w14:textFill>
                  <w14:solidFill>
                    <w14:schemeClr w14:val="tx1"/>
                  </w14:solidFill>
                </w14:textFill>
              </w:rPr>
              <w:t>/a）</w:t>
            </w: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auto"/>
                <w:sz w:val="21"/>
                <w:szCs w:val="21"/>
              </w:rPr>
            </w:pPr>
            <w:r>
              <w:rPr>
                <w:rFonts w:hint="default"/>
                <w:color w:val="auto"/>
                <w:sz w:val="21"/>
                <w:szCs w:val="21"/>
              </w:rPr>
              <w:t>COD</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1.79</w:t>
            </w:r>
          </w:p>
        </w:tc>
        <w:tc>
          <w:tcPr>
            <w:tcW w:w="879"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1.45</w:t>
            </w:r>
          </w:p>
        </w:tc>
        <w:tc>
          <w:tcPr>
            <w:tcW w:w="892"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auto"/>
                <w:sz w:val="21"/>
                <w:szCs w:val="21"/>
              </w:rPr>
            </w:pPr>
            <w:r>
              <w:rPr>
                <w:rFonts w:hint="default"/>
                <w:color w:val="auto"/>
                <w:sz w:val="21"/>
                <w:szCs w:val="21"/>
              </w:rPr>
              <w:t>BOD</w:t>
            </w:r>
            <w:r>
              <w:rPr>
                <w:rFonts w:hint="default"/>
                <w:color w:val="auto"/>
                <w:sz w:val="21"/>
                <w:szCs w:val="21"/>
                <w:vertAlign w:val="subscript"/>
              </w:rPr>
              <w:t>5</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0.7</w:t>
            </w:r>
          </w:p>
        </w:tc>
        <w:tc>
          <w:tcPr>
            <w:tcW w:w="879"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0.61</w:t>
            </w:r>
          </w:p>
        </w:tc>
        <w:tc>
          <w:tcPr>
            <w:tcW w:w="892"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auto"/>
                <w:sz w:val="21"/>
                <w:szCs w:val="21"/>
              </w:rPr>
            </w:pPr>
            <w:r>
              <w:rPr>
                <w:rFonts w:hint="default"/>
                <w:color w:val="auto"/>
                <w:sz w:val="21"/>
                <w:szCs w:val="21"/>
              </w:rPr>
              <w:t>SS</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1.28</w:t>
            </w:r>
          </w:p>
        </w:tc>
        <w:tc>
          <w:tcPr>
            <w:tcW w:w="879"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1.12</w:t>
            </w:r>
          </w:p>
        </w:tc>
        <w:tc>
          <w:tcPr>
            <w:tcW w:w="892"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auto"/>
                <w:sz w:val="21"/>
                <w:szCs w:val="21"/>
              </w:rPr>
            </w:pPr>
            <w:r>
              <w:rPr>
                <w:rFonts w:hint="default"/>
                <w:color w:val="auto"/>
                <w:sz w:val="21"/>
                <w:szCs w:val="21"/>
              </w:rPr>
              <w:t>NH</w:t>
            </w:r>
            <w:r>
              <w:rPr>
                <w:rFonts w:hint="default"/>
                <w:color w:val="auto"/>
                <w:sz w:val="21"/>
                <w:szCs w:val="21"/>
                <w:vertAlign w:val="subscript"/>
              </w:rPr>
              <w:t>3</w:t>
            </w:r>
            <w:r>
              <w:rPr>
                <w:rFonts w:hint="default"/>
                <w:color w:val="auto"/>
                <w:sz w:val="21"/>
                <w:szCs w:val="21"/>
              </w:rPr>
              <w:t>-N</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0.19</w:t>
            </w:r>
          </w:p>
        </w:tc>
        <w:tc>
          <w:tcPr>
            <w:tcW w:w="879"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0.13</w:t>
            </w:r>
          </w:p>
        </w:tc>
        <w:tc>
          <w:tcPr>
            <w:tcW w:w="892"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auto"/>
                <w:sz w:val="21"/>
                <w:szCs w:val="21"/>
              </w:rPr>
            </w:pPr>
            <w:r>
              <w:rPr>
                <w:color w:val="auto"/>
                <w:sz w:val="21"/>
                <w:szCs w:val="21"/>
              </w:rPr>
              <w:t>动植物油</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0.1</w:t>
            </w:r>
          </w:p>
        </w:tc>
        <w:tc>
          <w:tcPr>
            <w:tcW w:w="879"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0.03</w:t>
            </w:r>
          </w:p>
        </w:tc>
        <w:tc>
          <w:tcPr>
            <w:tcW w:w="892"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eastAsia="宋体"/>
                <w:color w:val="auto"/>
                <w:sz w:val="21"/>
                <w:szCs w:val="21"/>
                <w:lang w:val="en-US" w:eastAsia="zh-CN"/>
              </w:rPr>
            </w:pPr>
            <w:r>
              <w:rPr>
                <w:rFonts w:hint="eastAsia"/>
                <w:color w:val="auto"/>
                <w:sz w:val="21"/>
                <w:szCs w:val="21"/>
                <w:lang w:val="en-US" w:eastAsia="zh-CN"/>
              </w:rPr>
              <w:t>TN</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0.11</w:t>
            </w:r>
          </w:p>
        </w:tc>
        <w:tc>
          <w:tcPr>
            <w:tcW w:w="879"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0.06</w:t>
            </w:r>
          </w:p>
        </w:tc>
        <w:tc>
          <w:tcPr>
            <w:tcW w:w="892"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eastAsia="宋体"/>
                <w:color w:val="auto"/>
                <w:sz w:val="21"/>
                <w:szCs w:val="21"/>
                <w:lang w:val="en-US" w:eastAsia="zh-CN"/>
              </w:rPr>
            </w:pPr>
            <w:r>
              <w:rPr>
                <w:rFonts w:hint="eastAsia"/>
                <w:color w:val="auto"/>
                <w:sz w:val="21"/>
                <w:szCs w:val="21"/>
                <w:lang w:val="en-US" w:eastAsia="zh-CN"/>
              </w:rPr>
              <w:t>TP</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0.07</w:t>
            </w:r>
          </w:p>
        </w:tc>
        <w:tc>
          <w:tcPr>
            <w:tcW w:w="879" w:type="pct"/>
            <w:vAlign w:val="bottom"/>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0.05</w:t>
            </w:r>
          </w:p>
        </w:tc>
        <w:tc>
          <w:tcPr>
            <w:tcW w:w="892"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hint="eastAsia"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噪声</w:t>
            </w: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破碎机、密炼机、真空泵、空压机、搅拌机</w:t>
            </w:r>
          </w:p>
        </w:tc>
        <w:tc>
          <w:tcPr>
            <w:tcW w:w="768"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80-85dB（A）</w:t>
            </w:r>
          </w:p>
        </w:tc>
        <w:tc>
          <w:tcPr>
            <w:tcW w:w="879"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60-70dB（A）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 w:hRule="atLeast"/>
          <w:jc w:val="center"/>
        </w:trPr>
        <w:tc>
          <w:tcPr>
            <w:tcW w:w="750" w:type="pct"/>
            <w:vMerge w:val="restar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固废</w:t>
            </w:r>
          </w:p>
        </w:tc>
        <w:tc>
          <w:tcPr>
            <w:tcW w:w="543" w:type="pct"/>
            <w:vMerge w:val="restar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eastAsia="宋体"/>
                <w:sz w:val="21"/>
                <w:szCs w:val="21"/>
                <w:lang w:eastAsia="zh-CN"/>
              </w:rPr>
            </w:pPr>
            <w:r>
              <w:rPr>
                <w:rFonts w:hint="eastAsia"/>
                <w:sz w:val="21"/>
                <w:szCs w:val="21"/>
                <w:lang w:eastAsia="zh-CN"/>
              </w:rPr>
              <w:t>一般固废</w:t>
            </w: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kern w:val="0"/>
                <w:sz w:val="21"/>
                <w:szCs w:val="21"/>
              </w:rPr>
            </w:pPr>
            <w:r>
              <w:rPr>
                <w:rFonts w:hint="eastAsia"/>
                <w:kern w:val="0"/>
                <w:sz w:val="21"/>
                <w:szCs w:val="21"/>
              </w:rPr>
              <w:t>废弃边角料</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26.25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26.25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sz w:val="21"/>
                <w:szCs w:val="21"/>
              </w:rPr>
            </w:pPr>
          </w:p>
        </w:tc>
        <w:tc>
          <w:tcPr>
            <w:tcW w:w="543" w:type="pct"/>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sz w:val="21"/>
                <w:szCs w:val="21"/>
                <w:lang w:eastAsia="zh-CN"/>
              </w:rPr>
            </w:pP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eastAsia="宋体"/>
                <w:kern w:val="0"/>
                <w:sz w:val="21"/>
                <w:szCs w:val="21"/>
                <w:lang w:eastAsia="zh-CN"/>
              </w:rPr>
            </w:pPr>
            <w:r>
              <w:rPr>
                <w:rFonts w:hint="eastAsia"/>
                <w:kern w:val="0"/>
                <w:sz w:val="21"/>
                <w:szCs w:val="21"/>
                <w:lang w:eastAsia="zh-CN"/>
              </w:rPr>
              <w:t>一般废包装</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default"/>
                <w:kern w:val="0"/>
                <w:sz w:val="21"/>
                <w:szCs w:val="21"/>
                <w:lang w:val="en-US" w:eastAsia="zh-CN"/>
              </w:rPr>
            </w:pPr>
            <w:r>
              <w:rPr>
                <w:rFonts w:hint="eastAsia"/>
                <w:kern w:val="0"/>
                <w:sz w:val="21"/>
                <w:szCs w:val="21"/>
                <w:lang w:val="en-US" w:eastAsia="zh-CN"/>
              </w:rPr>
              <w:t>7.5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kern w:val="0"/>
                <w:sz w:val="21"/>
                <w:szCs w:val="21"/>
                <w:lang w:val="en-US" w:eastAsia="zh-CN"/>
              </w:rPr>
            </w:pPr>
            <w:r>
              <w:rPr>
                <w:rFonts w:hint="eastAsia"/>
                <w:kern w:val="0"/>
                <w:sz w:val="21"/>
                <w:szCs w:val="21"/>
                <w:lang w:val="en-US" w:eastAsia="zh-CN"/>
              </w:rPr>
              <w:t>7.5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eastAsia" w:eastAsia="宋体"/>
                <w:sz w:val="21"/>
                <w:szCs w:val="21"/>
                <w:lang w:val="en-US" w:eastAsia="zh-CN"/>
              </w:rPr>
            </w:pP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43" w:type="pct"/>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kern w:val="0"/>
                <w:sz w:val="21"/>
                <w:szCs w:val="21"/>
              </w:rPr>
            </w:pPr>
            <w:r>
              <w:rPr>
                <w:rFonts w:hint="eastAsia"/>
                <w:kern w:val="0"/>
                <w:sz w:val="21"/>
                <w:szCs w:val="21"/>
              </w:rPr>
              <w:t>除尘器卸灰</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1.1</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1.1</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43" w:type="pct"/>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r>
              <w:rPr>
                <w:kern w:val="0"/>
                <w:sz w:val="21"/>
                <w:szCs w:val="21"/>
              </w:rPr>
              <w:t>生活垃圾</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15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15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43" w:type="pct"/>
            <w:vMerge w:val="restar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eastAsia="宋体"/>
                <w:kern w:val="0"/>
                <w:sz w:val="21"/>
                <w:szCs w:val="21"/>
                <w:lang w:eastAsia="zh-CN"/>
              </w:rPr>
            </w:pPr>
            <w:r>
              <w:rPr>
                <w:rFonts w:hint="eastAsia"/>
                <w:kern w:val="0"/>
                <w:sz w:val="21"/>
                <w:szCs w:val="21"/>
                <w:lang w:eastAsia="zh-CN"/>
              </w:rPr>
              <w:t>危险固废</w:t>
            </w: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kern w:val="0"/>
                <w:sz w:val="21"/>
                <w:szCs w:val="21"/>
              </w:rPr>
            </w:pPr>
            <w:r>
              <w:rPr>
                <w:rFonts w:hint="eastAsia"/>
                <w:kern w:val="0"/>
                <w:sz w:val="21"/>
                <w:szCs w:val="21"/>
              </w:rPr>
              <w:t>废催化剂</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rPr>
              <w:t>5</w:t>
            </w:r>
            <w:r>
              <w:rPr>
                <w:kern w:val="0"/>
                <w:sz w:val="21"/>
                <w:szCs w:val="21"/>
              </w:rPr>
              <w:t>t/</w:t>
            </w:r>
            <w:r>
              <w:rPr>
                <w:rFonts w:hint="eastAsia"/>
                <w:kern w:val="0"/>
                <w:sz w:val="21"/>
                <w:szCs w:val="21"/>
              </w:rPr>
              <w:t>（4~5）</w:t>
            </w:r>
            <w:r>
              <w:rPr>
                <w:kern w:val="0"/>
                <w:sz w:val="21"/>
                <w:szCs w:val="21"/>
              </w:rPr>
              <w: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rPr>
              <w:t>5</w:t>
            </w:r>
            <w:r>
              <w:rPr>
                <w:kern w:val="0"/>
                <w:sz w:val="21"/>
                <w:szCs w:val="21"/>
              </w:rPr>
              <w:t>t/</w:t>
            </w:r>
            <w:r>
              <w:rPr>
                <w:rFonts w:hint="eastAsia"/>
                <w:kern w:val="0"/>
                <w:sz w:val="21"/>
                <w:szCs w:val="21"/>
              </w:rPr>
              <w:t>（4~5）</w:t>
            </w:r>
            <w:r>
              <w:rPr>
                <w:kern w:val="0"/>
                <w:sz w:val="21"/>
                <w:szCs w:val="21"/>
              </w:rPr>
              <w: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43" w:type="pct"/>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eastAsia="宋体"/>
                <w:kern w:val="0"/>
                <w:sz w:val="21"/>
                <w:szCs w:val="21"/>
                <w:lang w:eastAsia="zh-CN"/>
              </w:rPr>
            </w:pP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r>
              <w:rPr>
                <w:kern w:val="0"/>
                <w:sz w:val="21"/>
                <w:szCs w:val="21"/>
              </w:rPr>
              <w:t>废</w:t>
            </w:r>
            <w:r>
              <w:rPr>
                <w:rFonts w:hint="eastAsia"/>
                <w:kern w:val="0"/>
                <w:sz w:val="21"/>
                <w:szCs w:val="21"/>
              </w:rPr>
              <w:t>机油</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r>
              <w:rPr>
                <w:kern w:val="0"/>
                <w:sz w:val="21"/>
                <w:szCs w:val="21"/>
              </w:rPr>
              <w:t>0.</w:t>
            </w:r>
            <w:r>
              <w:rPr>
                <w:rFonts w:hint="eastAsia"/>
                <w:kern w:val="0"/>
                <w:sz w:val="21"/>
                <w:szCs w:val="21"/>
              </w:rPr>
              <w:t>01</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r>
              <w:rPr>
                <w:kern w:val="0"/>
                <w:sz w:val="21"/>
                <w:szCs w:val="21"/>
              </w:rPr>
              <w:t>0.</w:t>
            </w:r>
            <w:r>
              <w:rPr>
                <w:rFonts w:hint="eastAsia"/>
                <w:kern w:val="0"/>
                <w:sz w:val="21"/>
                <w:szCs w:val="21"/>
              </w:rPr>
              <w:t>01</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43" w:type="pct"/>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r>
              <w:rPr>
                <w:kern w:val="0"/>
                <w:sz w:val="21"/>
                <w:szCs w:val="21"/>
              </w:rPr>
              <w:t>废活性炭</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rPr>
              <w:t>1.325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rPr>
              <w:t>1.325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43" w:type="pct"/>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cs="Times New Roman"/>
                <w:sz w:val="21"/>
                <w:szCs w:val="21"/>
                <w:u w:val="single"/>
              </w:rPr>
            </w:pPr>
            <w:r>
              <w:rPr>
                <w:rFonts w:cs="Times New Roman"/>
                <w:sz w:val="21"/>
                <w:szCs w:val="21"/>
                <w:u w:val="single"/>
              </w:rPr>
              <w:t>污水处理站污泥</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u w:val="single"/>
              </w:rPr>
            </w:pPr>
            <w:r>
              <w:rPr>
                <w:rFonts w:hint="eastAsia" w:cs="Times New Roman"/>
                <w:sz w:val="21"/>
                <w:szCs w:val="21"/>
                <w:u w:val="single"/>
                <w:lang w:val="en-US" w:eastAsia="zh-CN"/>
              </w:rPr>
              <w:t>9.273</w:t>
            </w:r>
            <w:r>
              <w:rPr>
                <w:kern w:val="0"/>
                <w:sz w:val="21"/>
                <w:szCs w:val="21"/>
                <w:u w:val="single"/>
              </w:rPr>
              <w:t>t/a</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u w:val="single"/>
              </w:rPr>
            </w:pPr>
            <w:r>
              <w:rPr>
                <w:rFonts w:hint="eastAsia" w:cs="Times New Roman"/>
                <w:sz w:val="21"/>
                <w:szCs w:val="21"/>
                <w:u w:val="single"/>
                <w:lang w:val="en-US" w:eastAsia="zh-CN"/>
              </w:rPr>
              <w:t>9.273</w:t>
            </w:r>
            <w:r>
              <w:rPr>
                <w:kern w:val="0"/>
                <w:sz w:val="21"/>
                <w:szCs w:val="21"/>
                <w:u w:val="single"/>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u w:val="single"/>
              </w:rPr>
            </w:pPr>
            <w:r>
              <w:rPr>
                <w:sz w:val="21"/>
                <w:szCs w:val="21"/>
                <w:u w:val="singl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43" w:type="pct"/>
            <w:vMerge w:val="continue"/>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p>
        </w:tc>
        <w:tc>
          <w:tcPr>
            <w:tcW w:w="1165" w:type="pct"/>
            <w:gridSpan w:val="2"/>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cs="Times New Roman"/>
                <w:sz w:val="21"/>
                <w:szCs w:val="21"/>
              </w:rPr>
            </w:pPr>
            <w:r>
              <w:rPr>
                <w:rFonts w:cs="Times New Roman"/>
                <w:sz w:val="21"/>
                <w:szCs w:val="21"/>
              </w:rPr>
              <w:t>产品滤渣</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45.715</w:t>
            </w:r>
            <w:r>
              <w:rPr>
                <w:kern w:val="0"/>
                <w:sz w:val="21"/>
                <w:szCs w:val="21"/>
              </w:rPr>
              <w:t>t/a</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45.715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43" w:type="pct"/>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cs="Times New Roman"/>
                <w:sz w:val="21"/>
                <w:szCs w:val="21"/>
              </w:rPr>
            </w:pPr>
            <w:r>
              <w:rPr>
                <w:rFonts w:cs="Times New Roman"/>
                <w:sz w:val="21"/>
                <w:szCs w:val="21"/>
              </w:rPr>
              <w:t>废原材料包装</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cs="Times New Roman"/>
                <w:sz w:val="21"/>
                <w:szCs w:val="21"/>
              </w:rPr>
              <w:t>3.2</w:t>
            </w:r>
            <w:r>
              <w:rPr>
                <w:kern w:val="0"/>
                <w:sz w:val="21"/>
                <w:szCs w:val="21"/>
              </w:rPr>
              <w:t>t/a</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cs="Times New Roman"/>
                <w:sz w:val="21"/>
                <w:szCs w:val="21"/>
              </w:rPr>
              <w:t>3.2</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p>
        </w:tc>
        <w:tc>
          <w:tcPr>
            <w:tcW w:w="543" w:type="pct"/>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p>
        </w:tc>
        <w:tc>
          <w:tcPr>
            <w:tcW w:w="1165" w:type="pct"/>
            <w:gridSpan w:val="2"/>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rPr>
              <w:t>喷淋塔沉渣</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cs="Times New Roman"/>
                <w:sz w:val="21"/>
                <w:szCs w:val="21"/>
                <w:lang w:val="en-US" w:eastAsia="zh-CN"/>
              </w:rPr>
              <w:t>1.27</w:t>
            </w:r>
            <w:r>
              <w:rPr>
                <w:kern w:val="0"/>
                <w:sz w:val="21"/>
                <w:szCs w:val="21"/>
              </w:rPr>
              <w:t>t/a</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cs="Times New Roman"/>
                <w:sz w:val="21"/>
                <w:szCs w:val="21"/>
                <w:lang w:val="en-US" w:eastAsia="zh-CN"/>
              </w:rPr>
              <w:t>1.27</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rPr>
                <w:rFonts w:hint="default"/>
                <w:sz w:val="21"/>
                <w:szCs w:val="21"/>
              </w:rPr>
            </w:pPr>
            <w:r>
              <w:rPr>
                <w:sz w:val="21"/>
                <w:szCs w:val="21"/>
              </w:rPr>
              <w:t>0</w:t>
            </w:r>
          </w:p>
        </w:tc>
      </w:tr>
    </w:tbl>
    <w:p>
      <w:pPr>
        <w:pStyle w:val="25"/>
        <w:widowControl/>
        <w:spacing w:beforeAutospacing="0" w:afterAutospacing="0"/>
        <w:ind w:firstLine="480"/>
        <w:jc w:val="both"/>
      </w:pPr>
    </w:p>
    <w:p>
      <w:pPr>
        <w:pStyle w:val="25"/>
        <w:widowControl/>
        <w:spacing w:beforeAutospacing="0" w:afterAutospacing="0"/>
        <w:ind w:firstLine="480"/>
        <w:jc w:val="both"/>
        <w:sectPr>
          <w:pgSz w:w="11906" w:h="16838"/>
          <w:pgMar w:top="1417" w:right="1417" w:bottom="1417" w:left="1417" w:header="851" w:footer="850" w:gutter="0"/>
          <w:pgBorders>
            <w:top w:val="none" w:sz="0" w:space="0"/>
            <w:left w:val="none" w:sz="0" w:space="0"/>
            <w:bottom w:val="none" w:sz="0" w:space="0"/>
            <w:right w:val="none" w:sz="0" w:space="0"/>
          </w:pgBorders>
          <w:cols w:space="425" w:num="1"/>
          <w:docGrid w:type="lines" w:linePitch="312" w:charSpace="0"/>
        </w:sectPr>
      </w:pPr>
    </w:p>
    <w:p>
      <w:pPr>
        <w:pStyle w:val="5"/>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bookmarkStart w:id="101" w:name="_Toc29413"/>
      <w:bookmarkStart w:id="102" w:name="_Toc21185"/>
      <w:bookmarkStart w:id="103" w:name="_Toc15992"/>
      <w:r>
        <w:t>第五章 环境现状调查与评价</w:t>
      </w:r>
      <w:bookmarkEnd w:id="101"/>
      <w:bookmarkEnd w:id="102"/>
      <w:bookmarkEnd w:id="103"/>
    </w:p>
    <w:p>
      <w:pPr>
        <w:pStyle w:val="6"/>
        <w:ind w:firstLine="0" w:firstLineChars="0"/>
      </w:pPr>
      <w:bookmarkStart w:id="104" w:name="_Toc12637"/>
      <w:bookmarkStart w:id="105" w:name="_Toc14815"/>
      <w:bookmarkStart w:id="106" w:name="_Toc10721"/>
      <w:r>
        <w:rPr>
          <w:rFonts w:hint="eastAsia"/>
          <w:lang w:val="en-US"/>
        </w:rPr>
        <w:t>5</w:t>
      </w:r>
      <w:r>
        <w:rPr>
          <w:lang w:val="en-US"/>
        </w:rPr>
        <w:t xml:space="preserve">.1 </w:t>
      </w:r>
      <w:r>
        <w:rPr>
          <w:rFonts w:hint="eastAsia"/>
          <w:lang w:val="en-US"/>
        </w:rPr>
        <w:t>自然环境概况</w:t>
      </w:r>
      <w:bookmarkEnd w:id="104"/>
      <w:bookmarkEnd w:id="105"/>
      <w:bookmarkEnd w:id="106"/>
    </w:p>
    <w:p>
      <w:pPr>
        <w:pStyle w:val="7"/>
        <w:ind w:firstLine="562"/>
      </w:pPr>
      <w:r>
        <w:rPr>
          <w:rFonts w:hint="eastAsia"/>
        </w:rPr>
        <w:t>5</w:t>
      </w:r>
      <w:r>
        <w:t>.1.1 地理位置</w:t>
      </w:r>
    </w:p>
    <w:p>
      <w:pPr>
        <w:ind w:firstLine="480"/>
      </w:pPr>
      <w:r>
        <w:rPr>
          <w:rFonts w:hint="eastAsia"/>
        </w:rPr>
        <w:t>平顶山市位于河南省中南部，中国煤炭工业城市，西靠伏牛山，并连接洛阳；东接黄淮平原和漯河市；南与驻马店市、南阳市为邻；北与郑州市、许昌市相接。现辖汝州市、舞钢市、宝丰县、叶县、鲁山县、郏县和新华、卫东、湛河、石龙、新城五个区，总面积7882平方公里，地理坐标为北纬33°08′～34°20′、东经112°14′～113°45′。全境西高东低，呈阶梯状递降，海拔最高2153米，最低68.5米；东西长150公里，南北宽140公里，现已成为以能源、原材料工业为主体，煤炭、电力、钢铁、纺织、化工等工业综合发展的新兴工业城市，以其得天独厚的地理位置、丰富的自然资源、雄厚的经济实力以及源远流长的灿烂文化，越来越为中外所瞩目。平顶山地处京广、焦枝两大铁路干线之间，并有漯宝铁路与两大干线相连。</w:t>
      </w:r>
    </w:p>
    <w:p>
      <w:pPr>
        <w:ind w:firstLine="480"/>
      </w:pPr>
      <w:r>
        <w:rPr>
          <w:rFonts w:hint="eastAsia"/>
        </w:rPr>
        <w:t>叶县位于河南省中部偏西南，地处黄淮平原与伏牛山余脉结合部，隶属平顶山市，总面积</w:t>
      </w:r>
      <w:r>
        <w:t>1387</w:t>
      </w:r>
      <w:r>
        <w:rPr>
          <w:rFonts w:hint="eastAsia"/>
        </w:rPr>
        <w:t>平方公里。叶县东邻舞阳县和舞钢市，西接鲁山县，南与方城县接壤，北靠平顶山市区和襄城县，距平顶山市中心</w:t>
      </w:r>
      <w:r>
        <w:t>22</w:t>
      </w:r>
      <w:r>
        <w:rPr>
          <w:rFonts w:hint="eastAsia"/>
        </w:rPr>
        <w:t>公里，距郑州市</w:t>
      </w:r>
      <w:r>
        <w:t>145</w:t>
      </w:r>
      <w:r>
        <w:rPr>
          <w:rFonts w:hint="eastAsia"/>
        </w:rPr>
        <w:t>公里，距洛阳市</w:t>
      </w:r>
      <w:r>
        <w:t>150</w:t>
      </w:r>
      <w:r>
        <w:rPr>
          <w:rFonts w:hint="eastAsia"/>
        </w:rPr>
        <w:t>公里，距南阳市</w:t>
      </w:r>
      <w:r>
        <w:t>110</w:t>
      </w:r>
      <w:r>
        <w:rPr>
          <w:rFonts w:hint="eastAsia"/>
        </w:rPr>
        <w:t>公里，距漯河市</w:t>
      </w:r>
      <w:r>
        <w:t>65</w:t>
      </w:r>
      <w:r>
        <w:rPr>
          <w:rFonts w:hint="eastAsia"/>
        </w:rPr>
        <w:t>公里。</w:t>
      </w:r>
    </w:p>
    <w:p>
      <w:pPr>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平顶山尼龙新材料产业集聚区规划包括东区与西区，东区为规划的化工园区，规划范围东至国道G311，西至希望大道，北至沙河一路和发展二路，南至南外环路，规划用地面积约23.16平方公里；西区为规划的生活服务区，规划用地面积约6.65平方公里，总规划面积29.81平方公里。</w:t>
      </w:r>
    </w:p>
    <w:p>
      <w:pPr>
        <w:ind w:firstLine="480"/>
        <w:rPr>
          <w:color w:val="000000" w:themeColor="text1"/>
          <w14:textFill>
            <w14:solidFill>
              <w14:schemeClr w14:val="tx1"/>
            </w14:solidFill>
          </w14:textFill>
        </w:rPr>
      </w:pPr>
      <w:r>
        <w:rPr>
          <w:rFonts w:hint="eastAsia"/>
          <w:color w:val="000000" w:themeColor="text1"/>
          <w14:textFill>
            <w14:solidFill>
              <w14:schemeClr w14:val="tx1"/>
            </w14:solidFill>
          </w14:textFill>
        </w:rPr>
        <w:t>本项目位于</w:t>
      </w:r>
      <w:r>
        <w:rPr>
          <w:rFonts w:hint="eastAsia"/>
          <w:color w:val="000000" w:themeColor="text1"/>
          <w:lang w:eastAsia="zh-CN"/>
          <w14:textFill>
            <w14:solidFill>
              <w14:schemeClr w14:val="tx1"/>
            </w14:solidFill>
          </w14:textFill>
        </w:rPr>
        <w:t>平顶山市尼龙新材料产业集聚区</w:t>
      </w:r>
      <w:r>
        <w:rPr>
          <w:rFonts w:hint="eastAsia"/>
          <w:color w:val="000000" w:themeColor="text1"/>
          <w14:textFill>
            <w14:solidFill>
              <w14:schemeClr w14:val="tx1"/>
            </w14:solidFill>
          </w14:textFill>
        </w:rPr>
        <w:t>，西南距叶县城区</w:t>
      </w:r>
      <w:r>
        <w:rPr>
          <w:rFonts w:hint="eastAsia"/>
          <w:color w:val="000000" w:themeColor="text1"/>
          <w:lang w:val="en-US" w:eastAsia="zh-CN"/>
          <w14:textFill>
            <w14:solidFill>
              <w14:schemeClr w14:val="tx1"/>
            </w14:solidFill>
          </w14:textFill>
        </w:rPr>
        <w:t>6</w:t>
      </w:r>
      <w:r>
        <w:rPr>
          <w:rFonts w:hint="eastAsia"/>
          <w:color w:val="000000" w:themeColor="text1"/>
          <w14:textFill>
            <w14:solidFill>
              <w14:schemeClr w14:val="tx1"/>
            </w14:solidFill>
          </w14:textFill>
        </w:rPr>
        <w:t>.7</w:t>
      </w:r>
      <w:r>
        <w:rPr>
          <w:color w:val="000000" w:themeColor="text1"/>
          <w14:textFill>
            <w14:solidFill>
              <w14:schemeClr w14:val="tx1"/>
            </w14:solidFill>
          </w14:textFill>
        </w:rPr>
        <w:t>km</w:t>
      </w:r>
      <w:r>
        <w:rPr>
          <w:rFonts w:hint="eastAsia"/>
          <w:color w:val="000000" w:themeColor="text1"/>
          <w14:textFill>
            <w14:solidFill>
              <w14:schemeClr w14:val="tx1"/>
            </w14:solidFill>
          </w14:textFill>
        </w:rPr>
        <w:t>，西北距平顶山市区6.4</w:t>
      </w:r>
      <w:r>
        <w:rPr>
          <w:color w:val="000000" w:themeColor="text1"/>
          <w14:textFill>
            <w14:solidFill>
              <w14:schemeClr w14:val="tx1"/>
            </w14:solidFill>
          </w14:textFill>
        </w:rPr>
        <w:t>km</w:t>
      </w:r>
      <w:r>
        <w:rPr>
          <w:rFonts w:hint="eastAsia"/>
          <w:color w:val="000000" w:themeColor="text1"/>
          <w14:textFill>
            <w14:solidFill>
              <w14:schemeClr w14:val="tx1"/>
            </w14:solidFill>
          </w14:textFill>
        </w:rPr>
        <w:t>处。具体位置见附图一。</w:t>
      </w:r>
    </w:p>
    <w:p>
      <w:pPr>
        <w:ind w:firstLine="480"/>
        <w:rPr>
          <w:color w:val="000000" w:themeColor="text1"/>
          <w14:textFill>
            <w14:solidFill>
              <w14:schemeClr w14:val="tx1"/>
            </w14:solidFill>
          </w14:textFill>
        </w:rPr>
      </w:pPr>
      <w:r>
        <w:rPr>
          <w:rFonts w:hint="eastAsia"/>
        </w:rPr>
        <w:t>其周围环</w:t>
      </w:r>
      <w:r>
        <w:rPr>
          <w:rFonts w:hint="eastAsia"/>
          <w:color w:val="000000" w:themeColor="text1"/>
          <w14:textFill>
            <w14:solidFill>
              <w14:schemeClr w14:val="tx1"/>
            </w14:solidFill>
          </w14:textFill>
        </w:rPr>
        <w:t>境示意图见附图二。</w:t>
      </w:r>
    </w:p>
    <w:p>
      <w:pPr>
        <w:pStyle w:val="7"/>
        <w:ind w:firstLine="562"/>
      </w:pPr>
      <w:r>
        <w:rPr>
          <w:rFonts w:hint="eastAsia"/>
        </w:rPr>
        <w:t>5.1</w:t>
      </w:r>
      <w:r>
        <w:t xml:space="preserve">.2 </w:t>
      </w:r>
      <w:r>
        <w:rPr>
          <w:rFonts w:hint="eastAsia"/>
        </w:rPr>
        <w:t>地形地貌</w:t>
      </w:r>
    </w:p>
    <w:p>
      <w:pPr>
        <w:widowControl/>
        <w:ind w:firstLine="480"/>
      </w:pPr>
      <w:r>
        <w:rPr>
          <w:rFonts w:hint="eastAsia" w:ascii="宋体" w:hAnsi="宋体" w:cs="宋体"/>
          <w:color w:val="000000"/>
          <w:kern w:val="0"/>
          <w:lang w:bidi="ar"/>
        </w:rPr>
        <w:t>叶县地属外方山东麓浅山丘陵区，由西往东为山地向黄淮平原过渡的丘陵起伏地带，由北向南则是河川、岭岗相间；西、南、东三面环山，北面是临河的平原和岗丘，中部为丘陵、平原、洼地交错，县城及其附近属平原区，地势平坦开阔。其中山区占总面积的</w:t>
      </w:r>
      <w:r>
        <w:rPr>
          <w:rFonts w:cs="Times New Roman"/>
          <w:color w:val="000000"/>
          <w:kern w:val="0"/>
          <w:lang w:bidi="ar"/>
        </w:rPr>
        <w:t>19.4%</w:t>
      </w:r>
      <w:r>
        <w:rPr>
          <w:rFonts w:hint="eastAsia" w:ascii="宋体" w:hAnsi="宋体" w:cs="宋体"/>
          <w:color w:val="000000"/>
          <w:kern w:val="0"/>
          <w:lang w:bidi="ar"/>
        </w:rPr>
        <w:t>，丘陵占</w:t>
      </w:r>
      <w:r>
        <w:rPr>
          <w:rFonts w:cs="Times New Roman"/>
          <w:color w:val="000000"/>
          <w:kern w:val="0"/>
          <w:lang w:bidi="ar"/>
        </w:rPr>
        <w:t>42.0%</w:t>
      </w:r>
      <w:r>
        <w:rPr>
          <w:rFonts w:hint="eastAsia" w:ascii="宋体" w:hAnsi="宋体" w:cs="宋体"/>
          <w:color w:val="000000"/>
          <w:kern w:val="0"/>
          <w:lang w:bidi="ar"/>
        </w:rPr>
        <w:t>，平原占</w:t>
      </w:r>
      <w:r>
        <w:rPr>
          <w:rFonts w:cs="Times New Roman"/>
          <w:color w:val="000000"/>
          <w:kern w:val="0"/>
          <w:lang w:bidi="ar"/>
        </w:rPr>
        <w:t>38.6%</w:t>
      </w:r>
      <w:r>
        <w:rPr>
          <w:rFonts w:hint="eastAsia" w:ascii="宋体" w:hAnsi="宋体" w:cs="宋体"/>
          <w:color w:val="000000"/>
          <w:kern w:val="0"/>
          <w:lang w:bidi="ar"/>
        </w:rPr>
        <w:t>。全县地势西北高东南低，境内有山峰</w:t>
      </w:r>
      <w:r>
        <w:rPr>
          <w:rFonts w:cs="Times New Roman"/>
          <w:color w:val="000000"/>
          <w:kern w:val="0"/>
          <w:lang w:bidi="ar"/>
        </w:rPr>
        <w:t>85</w:t>
      </w:r>
      <w:r>
        <w:rPr>
          <w:rFonts w:hint="eastAsia" w:ascii="宋体" w:hAnsi="宋体" w:cs="宋体"/>
          <w:color w:val="000000"/>
          <w:kern w:val="0"/>
          <w:lang w:bidi="ar"/>
        </w:rPr>
        <w:t>个，平均海拔</w:t>
      </w:r>
      <w:r>
        <w:rPr>
          <w:rFonts w:cs="Times New Roman"/>
          <w:color w:val="000000"/>
          <w:kern w:val="0"/>
          <w:lang w:bidi="ar"/>
        </w:rPr>
        <w:t>167m</w:t>
      </w:r>
      <w:r>
        <w:rPr>
          <w:rFonts w:hint="eastAsia" w:ascii="宋体" w:hAnsi="宋体" w:cs="宋体"/>
          <w:color w:val="000000"/>
          <w:kern w:val="0"/>
          <w:lang w:bidi="ar"/>
        </w:rPr>
        <w:t>，最高处为西部观音堂乡的无名山，海拔</w:t>
      </w:r>
      <w:r>
        <w:rPr>
          <w:rFonts w:cs="Times New Roman"/>
          <w:color w:val="000000"/>
          <w:kern w:val="0"/>
          <w:lang w:bidi="ar"/>
        </w:rPr>
        <w:t>740m</w:t>
      </w:r>
      <w:r>
        <w:rPr>
          <w:rFonts w:hint="eastAsia" w:ascii="宋体" w:hAnsi="宋体" w:cs="宋体"/>
          <w:color w:val="000000"/>
          <w:kern w:val="0"/>
          <w:lang w:bidi="ar"/>
        </w:rPr>
        <w:t>，东部最高山峰为擂鼓台，海拔</w:t>
      </w:r>
      <w:r>
        <w:rPr>
          <w:rFonts w:cs="Times New Roman"/>
          <w:color w:val="000000"/>
          <w:kern w:val="0"/>
          <w:lang w:bidi="ar"/>
        </w:rPr>
        <w:t>505m</w:t>
      </w:r>
      <w:r>
        <w:rPr>
          <w:rFonts w:hint="eastAsia" w:ascii="宋体" w:hAnsi="宋体" w:cs="宋体"/>
          <w:color w:val="000000"/>
          <w:kern w:val="0"/>
          <w:lang w:bidi="ar"/>
        </w:rPr>
        <w:t>，最低处为东部闹店乡洪寺营村，海拔</w:t>
      </w:r>
      <w:r>
        <w:rPr>
          <w:rFonts w:cs="Times New Roman"/>
          <w:color w:val="000000"/>
          <w:kern w:val="0"/>
          <w:lang w:bidi="ar"/>
        </w:rPr>
        <w:t>98m</w:t>
      </w:r>
      <w:r>
        <w:rPr>
          <w:rFonts w:hint="eastAsia" w:ascii="宋体" w:hAnsi="宋体" w:cs="宋体"/>
          <w:color w:val="000000"/>
          <w:kern w:val="0"/>
          <w:lang w:bidi="ar"/>
        </w:rPr>
        <w:t>，一般地面坡降为</w:t>
      </w:r>
      <w:r>
        <w:rPr>
          <w:rFonts w:cs="Times New Roman"/>
          <w:color w:val="000000"/>
          <w:kern w:val="0"/>
          <w:lang w:bidi="ar"/>
        </w:rPr>
        <w:t>1/400</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本项目场地较平坦，利于项目建设。</w:t>
      </w:r>
    </w:p>
    <w:p>
      <w:pPr>
        <w:pStyle w:val="7"/>
        <w:ind w:firstLine="562"/>
      </w:pPr>
      <w:r>
        <w:rPr>
          <w:rFonts w:hint="eastAsia"/>
        </w:rPr>
        <w:t>5</w:t>
      </w:r>
      <w:r>
        <w:t>.1.3 气候气象</w:t>
      </w:r>
    </w:p>
    <w:p>
      <w:pPr>
        <w:widowControl/>
        <w:ind w:firstLine="480"/>
      </w:pPr>
      <w:r>
        <w:rPr>
          <w:rFonts w:hint="eastAsia" w:ascii="宋体" w:hAnsi="宋体" w:cs="宋体"/>
          <w:color w:val="000000"/>
          <w:kern w:val="0"/>
          <w:lang w:bidi="ar"/>
        </w:rPr>
        <w:t>叶县属暖温带大陆性季风气候，四季分明，降雨量年际变率大，形成了以干旱为主的气候特点。夏季常处于太平洋副热带高压后部，多吹偏东北风，暖湿气流势力较强，容易产生阵性降水，为全年的主要降水季节；冬季常受西伯利亚冷空气团南下影响，多吹偏西风，气候寒冷，空气干燥，降水稀少。根据叶县气象站提供的近</w:t>
      </w:r>
      <w:r>
        <w:rPr>
          <w:rFonts w:cs="Times New Roman"/>
          <w:color w:val="000000"/>
          <w:kern w:val="0"/>
          <w:lang w:bidi="ar"/>
        </w:rPr>
        <w:t>20</w:t>
      </w:r>
      <w:r>
        <w:rPr>
          <w:rFonts w:hint="eastAsia" w:ascii="宋体" w:hAnsi="宋体" w:cs="宋体"/>
          <w:color w:val="000000"/>
          <w:kern w:val="0"/>
          <w:lang w:bidi="ar"/>
        </w:rPr>
        <w:t>年气象资料统计，叶县主要气象气候参数列于表</w:t>
      </w:r>
      <w:r>
        <w:rPr>
          <w:rFonts w:cs="Times New Roman"/>
          <w:color w:val="000000"/>
          <w:kern w:val="0"/>
          <w:lang w:bidi="ar"/>
        </w:rPr>
        <w:t>5.1-1</w:t>
      </w:r>
      <w:r>
        <w:rPr>
          <w:rFonts w:hint="eastAsia" w:ascii="宋体" w:hAnsi="宋体" w:cs="宋体"/>
          <w:color w:val="000000"/>
          <w:kern w:val="0"/>
          <w:lang w:bidi="ar"/>
        </w:rPr>
        <w:t>。</w:t>
      </w:r>
    </w:p>
    <w:p>
      <w:pPr>
        <w:ind w:firstLine="0" w:firstLineChars="0"/>
        <w:jc w:val="center"/>
        <w:rPr>
          <w:b/>
          <w:bCs/>
        </w:rPr>
      </w:pPr>
      <w:r>
        <w:rPr>
          <w:b/>
          <w:bCs/>
        </w:rPr>
        <w:t xml:space="preserve">表5.1-1 </w:t>
      </w:r>
      <w:r>
        <w:rPr>
          <w:rFonts w:hint="eastAsia"/>
          <w:b/>
          <w:bCs/>
        </w:rPr>
        <w:t xml:space="preserve"> 区域气象气候参数一览表</w:t>
      </w:r>
    </w:p>
    <w:tbl>
      <w:tblPr>
        <w:tblStyle w:val="2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2"/>
        <w:gridCol w:w="2322"/>
        <w:gridCol w:w="2322"/>
        <w:gridCol w:w="23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类别</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参数</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单位</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Merge w:val="restar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气温</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年平均气温</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14.8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Merge w:val="continue"/>
            <w:vAlign w:val="center"/>
          </w:tcPr>
          <w:p>
            <w:pPr>
              <w:widowControl/>
              <w:spacing w:line="240" w:lineRule="auto"/>
              <w:ind w:firstLine="0" w:firstLineChars="0"/>
              <w:jc w:val="center"/>
              <w:rPr>
                <w:sz w:val="21"/>
                <w:szCs w:val="21"/>
              </w:rPr>
            </w:pP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极端最高气温</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42.3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Merge w:val="continue"/>
            <w:vAlign w:val="center"/>
          </w:tcPr>
          <w:p>
            <w:pPr>
              <w:widowControl/>
              <w:spacing w:line="240" w:lineRule="auto"/>
              <w:ind w:firstLine="0" w:firstLineChars="0"/>
              <w:jc w:val="center"/>
              <w:rPr>
                <w:sz w:val="21"/>
                <w:szCs w:val="21"/>
              </w:rPr>
            </w:pP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极端最低气温</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-14.8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气压</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年平均气压</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hPa</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1008.7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Merge w:val="restar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降水量</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年平均降水量</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mm</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800.1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Merge w:val="continue"/>
            <w:vAlign w:val="center"/>
          </w:tcPr>
          <w:p>
            <w:pPr>
              <w:widowControl/>
              <w:spacing w:line="240" w:lineRule="auto"/>
              <w:ind w:firstLine="0" w:firstLineChars="0"/>
              <w:jc w:val="center"/>
              <w:rPr>
                <w:sz w:val="21"/>
                <w:szCs w:val="21"/>
              </w:rPr>
            </w:pP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年最大降水量</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mm</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1323.6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Merge w:val="continue"/>
            <w:vAlign w:val="center"/>
          </w:tcPr>
          <w:p>
            <w:pPr>
              <w:widowControl/>
              <w:spacing w:line="240" w:lineRule="auto"/>
              <w:ind w:firstLine="0" w:firstLineChars="0"/>
              <w:jc w:val="center"/>
              <w:rPr>
                <w:sz w:val="21"/>
                <w:szCs w:val="21"/>
              </w:rPr>
            </w:pP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年最小降水量</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mm</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373.9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蒸发量</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年平均蒸发量</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mm</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2825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湿度</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年相对湿度</w:t>
            </w:r>
          </w:p>
        </w:tc>
        <w:tc>
          <w:tcPr>
            <w:tcW w:w="1250" w:type="pct"/>
            <w:vAlign w:val="center"/>
          </w:tcPr>
          <w:p>
            <w:pPr>
              <w:widowControl/>
              <w:spacing w:line="240" w:lineRule="auto"/>
              <w:ind w:firstLine="0" w:firstLineChars="0"/>
              <w:jc w:val="center"/>
              <w:rPr>
                <w:sz w:val="21"/>
                <w:szCs w:val="21"/>
              </w:rPr>
            </w:pPr>
            <w:r>
              <w:rPr>
                <w:rFonts w:hint="eastAsia"/>
                <w:sz w:val="21"/>
                <w:szCs w:val="21"/>
              </w:rPr>
              <w:t>%</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日照</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年平均年日照时数</w:t>
            </w:r>
          </w:p>
        </w:tc>
        <w:tc>
          <w:tcPr>
            <w:tcW w:w="1250" w:type="pct"/>
            <w:vAlign w:val="center"/>
          </w:tcPr>
          <w:p>
            <w:pPr>
              <w:widowControl/>
              <w:spacing w:line="240" w:lineRule="auto"/>
              <w:ind w:firstLine="0" w:firstLineChars="0"/>
              <w:jc w:val="center"/>
              <w:rPr>
                <w:sz w:val="21"/>
                <w:szCs w:val="21"/>
              </w:rPr>
            </w:pPr>
            <w:r>
              <w:rPr>
                <w:rFonts w:hint="eastAsia"/>
                <w:sz w:val="21"/>
                <w:szCs w:val="21"/>
              </w:rPr>
              <w:t>h</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2145.9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Merge w:val="restar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风速</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多年平均风速</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m/s</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Merge w:val="continue"/>
            <w:vAlign w:val="center"/>
          </w:tcPr>
          <w:p>
            <w:pPr>
              <w:widowControl/>
              <w:spacing w:line="240" w:lineRule="auto"/>
              <w:ind w:firstLine="0" w:firstLineChars="0"/>
              <w:jc w:val="center"/>
              <w:rPr>
                <w:sz w:val="21"/>
                <w:szCs w:val="21"/>
              </w:rPr>
            </w:pP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年最大风速</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m/s</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24.0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风向</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年主导风向</w:t>
            </w:r>
          </w:p>
        </w:tc>
        <w:tc>
          <w:tcPr>
            <w:tcW w:w="1250" w:type="pct"/>
            <w:vAlign w:val="center"/>
          </w:tcPr>
          <w:p>
            <w:pPr>
              <w:widowControl/>
              <w:spacing w:line="240" w:lineRule="auto"/>
              <w:ind w:firstLine="0" w:firstLineChars="0"/>
              <w:jc w:val="center"/>
              <w:rPr>
                <w:sz w:val="21"/>
                <w:szCs w:val="21"/>
              </w:rPr>
            </w:pPr>
            <w:r>
              <w:rPr>
                <w:rFonts w:hint="eastAsia"/>
                <w:sz w:val="21"/>
                <w:szCs w:val="21"/>
              </w:rPr>
              <w:t>/</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NE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无霜期</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年平均无霜期</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d</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217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冰冻期</w:t>
            </w:r>
          </w:p>
        </w:tc>
        <w:tc>
          <w:tcPr>
            <w:tcW w:w="1250" w:type="pct"/>
            <w:vAlign w:val="center"/>
          </w:tcPr>
          <w:p>
            <w:pPr>
              <w:widowControl/>
              <w:spacing w:line="240" w:lineRule="auto"/>
              <w:ind w:firstLine="0" w:firstLineChars="0"/>
              <w:jc w:val="center"/>
              <w:rPr>
                <w:sz w:val="21"/>
                <w:szCs w:val="21"/>
              </w:rPr>
            </w:pPr>
            <w:r>
              <w:rPr>
                <w:rFonts w:hint="eastAsia" w:cs="宋体"/>
                <w:color w:val="000000"/>
                <w:kern w:val="0"/>
                <w:sz w:val="21"/>
                <w:szCs w:val="21"/>
                <w:lang w:bidi="ar"/>
              </w:rPr>
              <w:t>年平均冰冻期</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d</w:t>
            </w:r>
          </w:p>
        </w:tc>
        <w:tc>
          <w:tcPr>
            <w:tcW w:w="1250" w:type="pct"/>
            <w:vAlign w:val="center"/>
          </w:tcPr>
          <w:p>
            <w:pPr>
              <w:widowControl/>
              <w:spacing w:line="240" w:lineRule="auto"/>
              <w:ind w:firstLine="0" w:firstLineChars="0"/>
              <w:jc w:val="center"/>
              <w:rPr>
                <w:sz w:val="21"/>
                <w:szCs w:val="21"/>
              </w:rPr>
            </w:pPr>
            <w:r>
              <w:rPr>
                <w:rFonts w:cs="Times New Roman"/>
                <w:color w:val="000000"/>
                <w:kern w:val="0"/>
                <w:sz w:val="21"/>
                <w:szCs w:val="21"/>
                <w:lang w:bidi="ar"/>
              </w:rPr>
              <w:t>70</w:t>
            </w:r>
          </w:p>
        </w:tc>
      </w:tr>
    </w:tbl>
    <w:p>
      <w:pPr>
        <w:pStyle w:val="7"/>
        <w:ind w:firstLine="562"/>
      </w:pPr>
      <w:r>
        <w:rPr>
          <w:rFonts w:hint="eastAsia"/>
        </w:rPr>
        <w:t>5</w:t>
      </w:r>
      <w:r>
        <w:t>.1.4 水文水系</w:t>
      </w:r>
    </w:p>
    <w:p>
      <w:pPr>
        <w:widowControl/>
        <w:ind w:firstLine="480"/>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）地表水</w:t>
      </w:r>
    </w:p>
    <w:p>
      <w:pPr>
        <w:widowControl/>
        <w:ind w:firstLine="480"/>
        <w:jc w:val="left"/>
      </w:pPr>
      <w:r>
        <w:rPr>
          <w:rFonts w:hint="eastAsia" w:ascii="宋体" w:hAnsi="宋体" w:cs="宋体"/>
          <w:color w:val="000000"/>
          <w:kern w:val="0"/>
          <w:lang w:bidi="ar"/>
        </w:rPr>
        <w:t>叶县境内河流均属于淮河流域，颍河水系，较大的河流有汝河、湛河、沙河、灰河、澧河、甘江河</w:t>
      </w:r>
      <w:r>
        <w:rPr>
          <w:rFonts w:cs="Times New Roman"/>
          <w:color w:val="000000"/>
          <w:kern w:val="0"/>
          <w:lang w:bidi="ar"/>
        </w:rPr>
        <w:t>6</w:t>
      </w:r>
      <w:r>
        <w:rPr>
          <w:rFonts w:hint="eastAsia" w:ascii="宋体" w:hAnsi="宋体" w:cs="宋体"/>
          <w:color w:val="000000"/>
          <w:kern w:val="0"/>
          <w:lang w:bidi="ar"/>
        </w:rPr>
        <w:t>条河流。境内总流长</w:t>
      </w:r>
      <w:r>
        <w:rPr>
          <w:rFonts w:cs="Times New Roman"/>
          <w:color w:val="000000"/>
          <w:kern w:val="0"/>
          <w:lang w:bidi="ar"/>
        </w:rPr>
        <w:t>191km</w:t>
      </w:r>
      <w:r>
        <w:rPr>
          <w:rFonts w:hint="eastAsia" w:ascii="宋体" w:hAnsi="宋体" w:cs="宋体"/>
          <w:color w:val="000000"/>
          <w:kern w:val="0"/>
          <w:lang w:bidi="ar"/>
        </w:rPr>
        <w:t>，流域面积</w:t>
      </w:r>
      <w:r>
        <w:rPr>
          <w:rFonts w:cs="Times New Roman"/>
          <w:color w:val="000000"/>
          <w:kern w:val="0"/>
          <w:lang w:bidi="ar"/>
        </w:rPr>
        <w:t>1203km</w:t>
      </w:r>
      <w:r>
        <w:rPr>
          <w:rFonts w:cs="Times New Roman"/>
          <w:color w:val="000000"/>
          <w:kern w:val="0"/>
          <w:vertAlign w:val="superscript"/>
          <w:lang w:bidi="ar"/>
        </w:rPr>
        <w:t>2</w:t>
      </w:r>
      <w:r>
        <w:rPr>
          <w:rFonts w:hint="eastAsia" w:ascii="宋体" w:hAnsi="宋体" w:cs="宋体"/>
          <w:color w:val="000000"/>
          <w:kern w:val="0"/>
          <w:lang w:bidi="ar"/>
        </w:rPr>
        <w:t>，全县径流量</w:t>
      </w:r>
      <w:r>
        <w:rPr>
          <w:rFonts w:cs="Times New Roman"/>
          <w:color w:val="000000"/>
          <w:kern w:val="0"/>
          <w:lang w:bidi="ar"/>
        </w:rPr>
        <w:t>4.92</w:t>
      </w:r>
      <w:r>
        <w:rPr>
          <w:rFonts w:hint="eastAsia" w:ascii="宋体" w:hAnsi="宋体" w:cs="宋体"/>
          <w:color w:val="000000"/>
          <w:kern w:val="0"/>
          <w:lang w:bidi="ar"/>
        </w:rPr>
        <w:t>亿</w:t>
      </w:r>
      <w:r>
        <w:rPr>
          <w:rFonts w:cs="Times New Roman"/>
          <w:color w:val="000000"/>
          <w:kern w:val="0"/>
          <w:lang w:bidi="ar"/>
        </w:rPr>
        <w:t>m</w:t>
      </w:r>
      <w:r>
        <w:rPr>
          <w:rFonts w:cs="Times New Roman"/>
          <w:color w:val="000000"/>
          <w:kern w:val="0"/>
          <w:vertAlign w:val="superscript"/>
          <w:lang w:bidi="ar"/>
        </w:rPr>
        <w:t>3</w:t>
      </w:r>
      <w:r>
        <w:rPr>
          <w:rFonts w:hint="eastAsia" w:ascii="宋体" w:hAnsi="宋体" w:cs="宋体"/>
          <w:color w:val="000000"/>
          <w:kern w:val="0"/>
          <w:lang w:bidi="ar"/>
        </w:rPr>
        <w:t>。</w:t>
      </w:r>
    </w:p>
    <w:p>
      <w:pPr>
        <w:widowControl/>
        <w:ind w:firstLine="480"/>
        <w:jc w:val="left"/>
      </w:pPr>
      <w:r>
        <w:rPr>
          <w:rFonts w:hint="eastAsia" w:ascii="宋体" w:hAnsi="宋体" w:cs="宋体"/>
          <w:color w:val="000000"/>
          <w:kern w:val="0"/>
          <w:lang w:bidi="ar"/>
        </w:rPr>
        <w:t>沙河是流经叶县境内的一条大河，发源于鲁山县尧山，流经鲁山、沙河区、叶县进入舞阳县境，境内流长</w:t>
      </w:r>
      <w:r>
        <w:rPr>
          <w:rFonts w:cs="Times New Roman"/>
          <w:color w:val="000000"/>
          <w:kern w:val="0"/>
          <w:lang w:bidi="ar"/>
        </w:rPr>
        <w:t>175.8km</w:t>
      </w:r>
      <w:r>
        <w:rPr>
          <w:rFonts w:hint="eastAsia" w:ascii="宋体" w:hAnsi="宋体" w:cs="宋体"/>
          <w:color w:val="000000"/>
          <w:kern w:val="0"/>
          <w:lang w:bidi="ar"/>
        </w:rPr>
        <w:t>，流域面积</w:t>
      </w:r>
      <w:r>
        <w:rPr>
          <w:rFonts w:cs="Times New Roman"/>
          <w:color w:val="000000"/>
          <w:kern w:val="0"/>
          <w:lang w:bidi="ar"/>
        </w:rPr>
        <w:t>3910.46km</w:t>
      </w:r>
      <w:r>
        <w:rPr>
          <w:rFonts w:cs="Times New Roman"/>
          <w:color w:val="000000"/>
          <w:kern w:val="0"/>
          <w:vertAlign w:val="superscript"/>
          <w:lang w:bidi="ar"/>
        </w:rPr>
        <w:t>2</w:t>
      </w:r>
      <w:r>
        <w:rPr>
          <w:rFonts w:hint="eastAsia" w:ascii="宋体" w:hAnsi="宋体" w:cs="宋体"/>
          <w:color w:val="000000"/>
          <w:kern w:val="0"/>
          <w:lang w:bidi="ar"/>
        </w:rPr>
        <w:t>，多年平均径流量为</w:t>
      </w:r>
      <w:r>
        <w:rPr>
          <w:rFonts w:cs="Times New Roman"/>
          <w:color w:val="000000"/>
          <w:kern w:val="0"/>
          <w:lang w:bidi="ar"/>
        </w:rPr>
        <w:t>11.2</w:t>
      </w:r>
      <w:r>
        <w:rPr>
          <w:rFonts w:hint="eastAsia" w:ascii="宋体" w:hAnsi="宋体" w:cs="宋体"/>
          <w:color w:val="000000"/>
          <w:kern w:val="0"/>
          <w:lang w:bidi="ar"/>
        </w:rPr>
        <w:t>亿</w:t>
      </w:r>
      <w:r>
        <w:rPr>
          <w:rFonts w:cs="Times New Roman"/>
          <w:color w:val="000000"/>
          <w:kern w:val="0"/>
          <w:lang w:bidi="ar"/>
        </w:rPr>
        <w:t>m</w:t>
      </w:r>
      <w:r>
        <w:rPr>
          <w:rFonts w:cs="Times New Roman"/>
          <w:color w:val="000000"/>
          <w:kern w:val="0"/>
          <w:vertAlign w:val="superscript"/>
          <w:lang w:bidi="ar"/>
        </w:rPr>
        <w:t>3</w:t>
      </w:r>
      <w:r>
        <w:rPr>
          <w:rFonts w:hint="eastAsia" w:ascii="宋体" w:hAnsi="宋体" w:cs="宋体"/>
          <w:color w:val="000000"/>
          <w:kern w:val="0"/>
          <w:lang w:bidi="ar"/>
        </w:rPr>
        <w:t>。在干流上建有昭平台、白龟山两座大型水库。灰河距城区最近，是城区生活污水和工业废水的接纳河流，灰河在叶县境内分南北两条河，北为老灰河，南为新灰河。该河发源于鲁山县樱桃山，流经叶县、舞阳，干流长</w:t>
      </w:r>
      <w:r>
        <w:rPr>
          <w:rFonts w:cs="Times New Roman"/>
          <w:color w:val="000000"/>
          <w:kern w:val="0"/>
          <w:lang w:bidi="ar"/>
        </w:rPr>
        <w:t>81.9km</w:t>
      </w:r>
      <w:r>
        <w:rPr>
          <w:rFonts w:hint="eastAsia" w:ascii="宋体" w:hAnsi="宋体" w:cs="宋体"/>
          <w:color w:val="000000"/>
          <w:kern w:val="0"/>
          <w:lang w:bidi="ar"/>
        </w:rPr>
        <w:t>，总流域面积</w:t>
      </w:r>
      <w:r>
        <w:rPr>
          <w:rFonts w:cs="Times New Roman"/>
          <w:color w:val="000000"/>
          <w:kern w:val="0"/>
          <w:lang w:bidi="ar"/>
        </w:rPr>
        <w:t>505km</w:t>
      </w:r>
      <w:r>
        <w:rPr>
          <w:rFonts w:cs="Times New Roman"/>
          <w:color w:val="000000"/>
          <w:kern w:val="0"/>
          <w:vertAlign w:val="superscript"/>
          <w:lang w:bidi="ar"/>
        </w:rPr>
        <w:t>2</w:t>
      </w:r>
      <w:r>
        <w:rPr>
          <w:rFonts w:hint="eastAsia" w:ascii="宋体" w:hAnsi="宋体" w:cs="宋体"/>
          <w:color w:val="000000"/>
          <w:kern w:val="0"/>
          <w:lang w:bidi="ar"/>
        </w:rPr>
        <w:t>，在叶县境内自西向东长约</w:t>
      </w:r>
      <w:r>
        <w:rPr>
          <w:rFonts w:cs="Times New Roman"/>
          <w:color w:val="000000"/>
          <w:kern w:val="0"/>
          <w:lang w:bidi="ar"/>
        </w:rPr>
        <w:t>42km</w:t>
      </w:r>
      <w:r>
        <w:rPr>
          <w:rFonts w:hint="eastAsia" w:ascii="宋体" w:hAnsi="宋体" w:cs="宋体"/>
          <w:color w:val="000000"/>
          <w:kern w:val="0"/>
          <w:lang w:bidi="ar"/>
        </w:rPr>
        <w:t>，最终在漯河市舞阳北舞渡镇注入沙河。</w:t>
      </w:r>
    </w:p>
    <w:p>
      <w:pPr>
        <w:widowControl/>
        <w:ind w:firstLine="480"/>
        <w:jc w:val="left"/>
      </w:pPr>
      <w:r>
        <w:rPr>
          <w:rFonts w:hint="eastAsia" w:ascii="宋体" w:hAnsi="宋体" w:cs="宋体"/>
          <w:color w:val="000000"/>
          <w:kern w:val="0"/>
          <w:lang w:bidi="ar"/>
        </w:rPr>
        <w:t>孤石滩水库是淮河支流澧河的发源地，平顶山市第三大水库，水库面积</w:t>
      </w:r>
      <w:r>
        <w:rPr>
          <w:rFonts w:cs="Times New Roman"/>
          <w:color w:val="000000"/>
          <w:kern w:val="0"/>
          <w:lang w:bidi="ar"/>
        </w:rPr>
        <w:t>1.035</w:t>
      </w:r>
      <w:r>
        <w:rPr>
          <w:rFonts w:hint="eastAsia" w:ascii="宋体" w:hAnsi="宋体" w:cs="宋体"/>
          <w:color w:val="000000"/>
          <w:kern w:val="0"/>
          <w:lang w:bidi="ar"/>
        </w:rPr>
        <w:t>万亩，平均水深</w:t>
      </w:r>
      <w:r>
        <w:rPr>
          <w:rFonts w:cs="Times New Roman"/>
          <w:color w:val="000000"/>
          <w:kern w:val="0"/>
          <w:lang w:bidi="ar"/>
        </w:rPr>
        <w:t>7.97</w:t>
      </w:r>
      <w:r>
        <w:rPr>
          <w:rFonts w:hint="eastAsia" w:ascii="宋体" w:hAnsi="宋体" w:cs="宋体"/>
          <w:color w:val="000000"/>
          <w:kern w:val="0"/>
          <w:lang w:bidi="ar"/>
        </w:rPr>
        <w:t>米。设计大坝为粘土心墙砂卵石坝，最大坝高</w:t>
      </w:r>
      <w:r>
        <w:rPr>
          <w:rFonts w:cs="Times New Roman"/>
          <w:color w:val="000000"/>
          <w:kern w:val="0"/>
          <w:lang w:bidi="ar"/>
        </w:rPr>
        <w:t>30.3</w:t>
      </w:r>
      <w:r>
        <w:rPr>
          <w:rFonts w:hint="eastAsia" w:ascii="宋体" w:hAnsi="宋体" w:cs="宋体"/>
          <w:color w:val="000000"/>
          <w:kern w:val="0"/>
          <w:lang w:bidi="ar"/>
        </w:rPr>
        <w:t>米，坝顶高程</w:t>
      </w:r>
      <w:r>
        <w:rPr>
          <w:rFonts w:cs="Times New Roman"/>
          <w:color w:val="000000"/>
          <w:kern w:val="0"/>
          <w:lang w:bidi="ar"/>
        </w:rPr>
        <w:t>160.3</w:t>
      </w:r>
      <w:r>
        <w:rPr>
          <w:rFonts w:hint="eastAsia" w:ascii="宋体" w:hAnsi="宋体" w:cs="宋体"/>
          <w:color w:val="000000"/>
          <w:kern w:val="0"/>
          <w:lang w:bidi="ar"/>
        </w:rPr>
        <w:t>米，防浪墙高</w:t>
      </w:r>
      <w:r>
        <w:rPr>
          <w:rFonts w:cs="Times New Roman"/>
          <w:color w:val="000000"/>
          <w:kern w:val="0"/>
          <w:lang w:bidi="ar"/>
        </w:rPr>
        <w:t>1.2</w:t>
      </w:r>
      <w:r>
        <w:rPr>
          <w:rFonts w:hint="eastAsia" w:ascii="宋体" w:hAnsi="宋体" w:cs="宋体"/>
          <w:color w:val="000000"/>
          <w:kern w:val="0"/>
          <w:lang w:bidi="ar"/>
        </w:rPr>
        <w:t>米，坝长</w:t>
      </w:r>
      <w:r>
        <w:rPr>
          <w:rFonts w:cs="Times New Roman"/>
          <w:color w:val="000000"/>
          <w:kern w:val="0"/>
          <w:lang w:bidi="ar"/>
        </w:rPr>
        <w:t>494</w:t>
      </w:r>
      <w:r>
        <w:rPr>
          <w:rFonts w:hint="eastAsia" w:ascii="宋体" w:hAnsi="宋体" w:cs="宋体"/>
          <w:color w:val="000000"/>
          <w:kern w:val="0"/>
          <w:lang w:bidi="ar"/>
        </w:rPr>
        <w:t>米，台地坝基表层为砂卵石，厚</w:t>
      </w:r>
      <w:r>
        <w:rPr>
          <w:rFonts w:cs="Times New Roman"/>
          <w:color w:val="000000"/>
          <w:kern w:val="0"/>
          <w:lang w:bidi="ar"/>
        </w:rPr>
        <w:t>6</w:t>
      </w:r>
      <w:r>
        <w:rPr>
          <w:rFonts w:hint="eastAsia" w:ascii="宋体" w:hAnsi="宋体" w:cs="宋体"/>
          <w:color w:val="000000"/>
          <w:kern w:val="0"/>
          <w:lang w:bidi="ar"/>
        </w:rPr>
        <w:t>～</w:t>
      </w:r>
      <w:r>
        <w:rPr>
          <w:rFonts w:cs="Times New Roman"/>
          <w:color w:val="000000"/>
          <w:kern w:val="0"/>
          <w:lang w:bidi="ar"/>
        </w:rPr>
        <w:t>8</w:t>
      </w:r>
      <w:r>
        <w:rPr>
          <w:rFonts w:hint="eastAsia" w:ascii="宋体" w:hAnsi="宋体" w:cs="宋体"/>
          <w:color w:val="000000"/>
          <w:kern w:val="0"/>
          <w:lang w:bidi="ar"/>
        </w:rPr>
        <w:t>米。采取粘土截水槽防渗；左坝头表层为沉积层，其下岩石有溶洞，做粘土包山铺盖处理。主溢洪道与右坝头相连，傍山开槽，建泄洪闸</w:t>
      </w:r>
      <w:r>
        <w:rPr>
          <w:rFonts w:cs="Times New Roman"/>
          <w:color w:val="000000"/>
          <w:kern w:val="0"/>
          <w:lang w:bidi="ar"/>
        </w:rPr>
        <w:t>3</w:t>
      </w:r>
      <w:r>
        <w:rPr>
          <w:rFonts w:hint="eastAsia" w:ascii="宋体" w:hAnsi="宋体" w:cs="宋体"/>
          <w:color w:val="000000"/>
          <w:kern w:val="0"/>
          <w:lang w:bidi="ar"/>
        </w:rPr>
        <w:t>孔，宽</w:t>
      </w:r>
      <w:r>
        <w:rPr>
          <w:rFonts w:cs="Times New Roman"/>
          <w:color w:val="000000"/>
          <w:kern w:val="0"/>
          <w:lang w:bidi="ar"/>
        </w:rPr>
        <w:t>10</w:t>
      </w:r>
      <w:r>
        <w:rPr>
          <w:rFonts w:hint="eastAsia" w:ascii="宋体" w:hAnsi="宋体" w:cs="宋体"/>
          <w:color w:val="000000"/>
          <w:kern w:val="0"/>
          <w:lang w:bidi="ar"/>
        </w:rPr>
        <w:t>米，高</w:t>
      </w:r>
      <w:r>
        <w:rPr>
          <w:rFonts w:cs="Times New Roman"/>
          <w:color w:val="000000"/>
          <w:kern w:val="0"/>
          <w:lang w:bidi="ar"/>
        </w:rPr>
        <w:t>6</w:t>
      </w:r>
      <w:r>
        <w:rPr>
          <w:rFonts w:hint="eastAsia" w:ascii="宋体" w:hAnsi="宋体" w:cs="宋体"/>
          <w:color w:val="000000"/>
          <w:kern w:val="0"/>
          <w:lang w:bidi="ar"/>
        </w:rPr>
        <w:t>米，最大泄量</w:t>
      </w:r>
      <w:r>
        <w:rPr>
          <w:rFonts w:cs="Times New Roman"/>
          <w:color w:val="000000"/>
          <w:kern w:val="0"/>
          <w:lang w:bidi="ar"/>
        </w:rPr>
        <w:t>2188</w:t>
      </w:r>
      <w:r>
        <w:rPr>
          <w:rFonts w:hint="eastAsia" w:ascii="宋体" w:hAnsi="宋体" w:cs="宋体"/>
          <w:color w:val="000000"/>
          <w:kern w:val="0"/>
          <w:lang w:bidi="ar"/>
        </w:rPr>
        <w:t>立方米</w:t>
      </w:r>
      <w:r>
        <w:rPr>
          <w:rFonts w:cs="Times New Roman"/>
          <w:color w:val="000000"/>
          <w:kern w:val="0"/>
          <w:lang w:bidi="ar"/>
        </w:rPr>
        <w:t>/</w:t>
      </w:r>
      <w:r>
        <w:rPr>
          <w:rFonts w:hint="eastAsia" w:ascii="宋体" w:hAnsi="宋体" w:cs="宋体"/>
          <w:color w:val="000000"/>
          <w:kern w:val="0"/>
          <w:lang w:bidi="ar"/>
        </w:rPr>
        <w:t>秒。副溢洪道位于坝左侧山坳中，底宽</w:t>
      </w:r>
      <w:r>
        <w:rPr>
          <w:rFonts w:cs="Times New Roman"/>
          <w:color w:val="000000"/>
          <w:kern w:val="0"/>
          <w:lang w:bidi="ar"/>
        </w:rPr>
        <w:t>15</w:t>
      </w:r>
      <w:r>
        <w:rPr>
          <w:rFonts w:hint="eastAsia" w:ascii="宋体" w:hAnsi="宋体" w:cs="宋体"/>
          <w:color w:val="000000"/>
          <w:kern w:val="0"/>
          <w:lang w:bidi="ar"/>
        </w:rPr>
        <w:t>米，最大泄量</w:t>
      </w:r>
      <w:r>
        <w:rPr>
          <w:rFonts w:cs="Times New Roman"/>
          <w:color w:val="000000"/>
          <w:kern w:val="0"/>
          <w:lang w:bidi="ar"/>
        </w:rPr>
        <w:t>748</w:t>
      </w:r>
      <w:r>
        <w:rPr>
          <w:rFonts w:hint="eastAsia" w:ascii="宋体" w:hAnsi="宋体" w:cs="宋体"/>
          <w:color w:val="000000"/>
          <w:kern w:val="0"/>
          <w:lang w:bidi="ar"/>
        </w:rPr>
        <w:t>立方米</w:t>
      </w:r>
      <w:r>
        <w:rPr>
          <w:rFonts w:cs="Times New Roman"/>
          <w:color w:val="000000"/>
          <w:kern w:val="0"/>
          <w:lang w:bidi="ar"/>
        </w:rPr>
        <w:t>/</w:t>
      </w:r>
      <w:r>
        <w:rPr>
          <w:rFonts w:hint="eastAsia" w:ascii="宋体" w:hAnsi="宋体" w:cs="宋体"/>
          <w:color w:val="000000"/>
          <w:kern w:val="0"/>
          <w:lang w:bidi="ar"/>
        </w:rPr>
        <w:t>秒。</w:t>
      </w:r>
      <w:r>
        <w:rPr>
          <w:rFonts w:cs="Times New Roman"/>
          <w:color w:val="000000"/>
          <w:kern w:val="0"/>
          <w:lang w:bidi="ar"/>
        </w:rPr>
        <w:t>1970</w:t>
      </w:r>
      <w:r>
        <w:rPr>
          <w:rFonts w:hint="eastAsia" w:ascii="宋体" w:hAnsi="宋体" w:cs="宋体"/>
          <w:color w:val="000000"/>
          <w:kern w:val="0"/>
          <w:lang w:bidi="ar"/>
        </w:rPr>
        <w:t>年</w:t>
      </w:r>
      <w:r>
        <w:rPr>
          <w:rFonts w:cs="Times New Roman"/>
          <w:color w:val="000000"/>
          <w:kern w:val="0"/>
          <w:lang w:bidi="ar"/>
        </w:rPr>
        <w:t>4</w:t>
      </w:r>
      <w:r>
        <w:rPr>
          <w:rFonts w:hint="eastAsia" w:ascii="宋体" w:hAnsi="宋体" w:cs="宋体"/>
          <w:color w:val="000000"/>
          <w:kern w:val="0"/>
          <w:lang w:bidi="ar"/>
        </w:rPr>
        <w:t>月开工，</w:t>
      </w:r>
      <w:r>
        <w:rPr>
          <w:rFonts w:cs="Times New Roman"/>
          <w:color w:val="000000"/>
          <w:kern w:val="0"/>
          <w:lang w:bidi="ar"/>
        </w:rPr>
        <w:t>1974</w:t>
      </w:r>
      <w:r>
        <w:rPr>
          <w:rFonts w:hint="eastAsia" w:ascii="宋体" w:hAnsi="宋体" w:cs="宋体"/>
          <w:color w:val="000000"/>
          <w:kern w:val="0"/>
          <w:lang w:bidi="ar"/>
        </w:rPr>
        <w:t>年</w:t>
      </w:r>
      <w:r>
        <w:rPr>
          <w:rFonts w:cs="Times New Roman"/>
          <w:color w:val="000000"/>
          <w:kern w:val="0"/>
          <w:lang w:bidi="ar"/>
        </w:rPr>
        <w:t>8</w:t>
      </w:r>
      <w:r>
        <w:rPr>
          <w:rFonts w:hint="eastAsia" w:ascii="宋体" w:hAnsi="宋体" w:cs="宋体"/>
          <w:color w:val="000000"/>
          <w:kern w:val="0"/>
          <w:lang w:bidi="ar"/>
        </w:rPr>
        <w:t>月完成。</w:t>
      </w:r>
      <w:r>
        <w:rPr>
          <w:rFonts w:cs="Times New Roman"/>
          <w:color w:val="000000"/>
          <w:kern w:val="0"/>
          <w:lang w:bidi="ar"/>
        </w:rPr>
        <w:t>1976</w:t>
      </w:r>
      <w:r>
        <w:rPr>
          <w:rFonts w:hint="eastAsia" w:ascii="宋体" w:hAnsi="宋体" w:cs="宋体"/>
          <w:color w:val="000000"/>
          <w:kern w:val="0"/>
          <w:lang w:bidi="ar"/>
        </w:rPr>
        <w:t>年副溢洪道底宽由</w:t>
      </w:r>
      <w:r>
        <w:rPr>
          <w:rFonts w:cs="Times New Roman"/>
          <w:color w:val="000000"/>
          <w:kern w:val="0"/>
          <w:lang w:bidi="ar"/>
        </w:rPr>
        <w:t>15</w:t>
      </w:r>
      <w:r>
        <w:rPr>
          <w:rFonts w:hint="eastAsia" w:ascii="宋体" w:hAnsi="宋体" w:cs="宋体"/>
          <w:color w:val="000000"/>
          <w:kern w:val="0"/>
          <w:lang w:bidi="ar"/>
        </w:rPr>
        <w:t>米扩至</w:t>
      </w:r>
      <w:r>
        <w:rPr>
          <w:rFonts w:cs="Times New Roman"/>
          <w:color w:val="000000"/>
          <w:kern w:val="0"/>
          <w:lang w:bidi="ar"/>
        </w:rPr>
        <w:t>40</w:t>
      </w:r>
      <w:r>
        <w:rPr>
          <w:rFonts w:hint="eastAsia" w:ascii="宋体" w:hAnsi="宋体" w:cs="宋体"/>
          <w:color w:val="000000"/>
          <w:kern w:val="0"/>
          <w:lang w:bidi="ar"/>
        </w:rPr>
        <w:t>米，底高降低</w:t>
      </w:r>
      <w:r>
        <w:rPr>
          <w:rFonts w:cs="Times New Roman"/>
          <w:color w:val="000000"/>
          <w:kern w:val="0"/>
          <w:lang w:bidi="ar"/>
        </w:rPr>
        <w:t>2</w:t>
      </w:r>
      <w:r>
        <w:rPr>
          <w:rFonts w:hint="eastAsia" w:ascii="宋体" w:hAnsi="宋体" w:cs="宋体"/>
          <w:color w:val="000000"/>
          <w:kern w:val="0"/>
          <w:lang w:bidi="ar"/>
        </w:rPr>
        <w:t>米，可防御</w:t>
      </w:r>
      <w:r>
        <w:rPr>
          <w:rFonts w:cs="Times New Roman"/>
          <w:color w:val="000000"/>
          <w:kern w:val="0"/>
          <w:lang w:bidi="ar"/>
        </w:rPr>
        <w:t>2000</w:t>
      </w:r>
      <w:r>
        <w:rPr>
          <w:rFonts w:hint="eastAsia" w:ascii="宋体" w:hAnsi="宋体" w:cs="宋体"/>
          <w:color w:val="000000"/>
          <w:kern w:val="0"/>
          <w:lang w:bidi="ar"/>
        </w:rPr>
        <w:t>年一遇洪水，</w:t>
      </w:r>
      <w:r>
        <w:rPr>
          <w:rFonts w:cs="Times New Roman"/>
          <w:color w:val="000000"/>
          <w:kern w:val="0"/>
          <w:lang w:bidi="ar"/>
        </w:rPr>
        <w:t>1977</w:t>
      </w:r>
      <w:r>
        <w:rPr>
          <w:rFonts w:hint="eastAsia" w:ascii="宋体" w:hAnsi="宋体" w:cs="宋体"/>
          <w:color w:val="000000"/>
          <w:kern w:val="0"/>
          <w:lang w:bidi="ar"/>
        </w:rPr>
        <w:t>年</w:t>
      </w:r>
      <w:r>
        <w:rPr>
          <w:rFonts w:cs="Times New Roman"/>
          <w:color w:val="000000"/>
          <w:kern w:val="0"/>
          <w:lang w:bidi="ar"/>
        </w:rPr>
        <w:t>10</w:t>
      </w:r>
      <w:r>
        <w:rPr>
          <w:rFonts w:hint="eastAsia" w:ascii="宋体" w:hAnsi="宋体" w:cs="宋体"/>
          <w:color w:val="000000"/>
          <w:kern w:val="0"/>
          <w:lang w:bidi="ar"/>
        </w:rPr>
        <w:t>月完成。</w:t>
      </w:r>
    </w:p>
    <w:p>
      <w:pPr>
        <w:widowControl/>
        <w:ind w:firstLine="480"/>
        <w:jc w:val="left"/>
      </w:pPr>
      <w:r>
        <w:rPr>
          <w:rFonts w:hint="eastAsia" w:ascii="宋体" w:hAnsi="宋体" w:cs="宋体"/>
          <w:color w:val="000000"/>
          <w:kern w:val="0"/>
          <w:lang w:bidi="ar"/>
        </w:rPr>
        <w:t>澧河，长江水系淮河支流颍河支流沙河的支流。澧河干流全部在河南省境内，发源于方城县四里店村西北栗树沟，流经叶县、舞阳县，至漯河市区西入沙河，全长</w:t>
      </w:r>
      <w:r>
        <w:rPr>
          <w:rFonts w:cs="Times New Roman"/>
          <w:color w:val="000000"/>
          <w:kern w:val="0"/>
          <w:lang w:bidi="ar"/>
        </w:rPr>
        <w:t>163</w:t>
      </w:r>
      <w:r>
        <w:rPr>
          <w:rFonts w:hint="eastAsia" w:ascii="宋体" w:hAnsi="宋体" w:cs="宋体"/>
          <w:color w:val="000000"/>
          <w:kern w:val="0"/>
          <w:lang w:bidi="ar"/>
        </w:rPr>
        <w:t>公里，流域面积</w:t>
      </w:r>
      <w:r>
        <w:rPr>
          <w:rFonts w:cs="Times New Roman"/>
          <w:color w:val="000000"/>
          <w:kern w:val="0"/>
          <w:lang w:bidi="ar"/>
        </w:rPr>
        <w:t>2787</w:t>
      </w:r>
      <w:r>
        <w:rPr>
          <w:rFonts w:hint="eastAsia" w:ascii="宋体" w:hAnsi="宋体" w:cs="宋体"/>
          <w:color w:val="000000"/>
          <w:kern w:val="0"/>
          <w:lang w:bidi="ar"/>
        </w:rPr>
        <w:t>平方公里，河床比降平均约</w:t>
      </w:r>
      <w:r>
        <w:rPr>
          <w:rFonts w:cs="Times New Roman"/>
          <w:color w:val="000000"/>
          <w:kern w:val="0"/>
          <w:lang w:bidi="ar"/>
        </w:rPr>
        <w:t>1/3000</w:t>
      </w:r>
      <w:r>
        <w:rPr>
          <w:rFonts w:hint="eastAsia" w:ascii="宋体" w:hAnsi="宋体" w:cs="宋体"/>
          <w:color w:val="000000"/>
          <w:kern w:val="0"/>
          <w:lang w:bidi="ar"/>
        </w:rPr>
        <w:t>。在叶县，澧河经方城县拐河街东流入境，经常村、夏李、旧县、龙泉、坟台</w:t>
      </w:r>
      <w:r>
        <w:rPr>
          <w:rFonts w:cs="Times New Roman"/>
          <w:color w:val="000000"/>
          <w:kern w:val="0"/>
          <w:lang w:bidi="ar"/>
        </w:rPr>
        <w:t>5</w:t>
      </w:r>
      <w:r>
        <w:rPr>
          <w:rFonts w:hint="eastAsia" w:ascii="宋体" w:hAnsi="宋体" w:cs="宋体"/>
          <w:color w:val="000000"/>
          <w:kern w:val="0"/>
          <w:lang w:bidi="ar"/>
        </w:rPr>
        <w:t>个乡，于坟台乡潘寨村南入舞阳县。县境内长</w:t>
      </w:r>
      <w:r>
        <w:rPr>
          <w:rFonts w:cs="Times New Roman"/>
          <w:color w:val="000000"/>
          <w:kern w:val="0"/>
          <w:lang w:bidi="ar"/>
        </w:rPr>
        <w:t>51</w:t>
      </w:r>
      <w:r>
        <w:rPr>
          <w:rFonts w:hint="eastAsia" w:ascii="宋体" w:hAnsi="宋体" w:cs="宋体"/>
          <w:color w:val="000000"/>
          <w:kern w:val="0"/>
          <w:lang w:bidi="ar"/>
        </w:rPr>
        <w:t>公里，流域面积约</w:t>
      </w:r>
      <w:r>
        <w:rPr>
          <w:rFonts w:cs="Times New Roman"/>
          <w:color w:val="000000"/>
          <w:kern w:val="0"/>
          <w:lang w:bidi="ar"/>
        </w:rPr>
        <w:t>430</w:t>
      </w:r>
      <w:r>
        <w:rPr>
          <w:rFonts w:hint="eastAsia" w:ascii="宋体" w:hAnsi="宋体" w:cs="宋体"/>
          <w:color w:val="000000"/>
          <w:kern w:val="0"/>
          <w:lang w:bidi="ar"/>
        </w:rPr>
        <w:t>平方公里。</w:t>
      </w:r>
    </w:p>
    <w:p>
      <w:pPr>
        <w:widowControl/>
        <w:ind w:firstLine="480"/>
        <w:rPr>
          <w:rFonts w:hint="default" w:ascii="Times New Roman" w:hAnsi="Times New Roman" w:cs="Times New Roman"/>
          <w:kern w:val="0"/>
          <w:lang w:bidi="ar"/>
        </w:rPr>
      </w:pPr>
      <w:r>
        <w:rPr>
          <w:rFonts w:hint="default" w:ascii="Times New Roman" w:hAnsi="Times New Roman" w:cs="Times New Roman"/>
          <w:kern w:val="0"/>
          <w:lang w:bidi="ar"/>
        </w:rPr>
        <w:t>本项目生活污水经</w:t>
      </w:r>
      <w:r>
        <w:rPr>
          <w:rFonts w:hint="default" w:ascii="Times New Roman" w:hAnsi="Times New Roman" w:cs="Times New Roman"/>
          <w:kern w:val="0"/>
          <w:lang w:eastAsia="zh-CN" w:bidi="ar"/>
        </w:rPr>
        <w:t>隔油池、</w:t>
      </w:r>
      <w:r>
        <w:rPr>
          <w:rFonts w:hint="default" w:ascii="Times New Roman" w:hAnsi="Times New Roman" w:cs="Times New Roman"/>
          <w:kern w:val="0"/>
          <w:lang w:bidi="ar"/>
        </w:rPr>
        <w:t>化粪池预处理后进入厂区污水处理站，厂区内设置1个50t/d污水站，</w:t>
      </w:r>
      <w:r>
        <w:rPr>
          <w:rFonts w:hint="default" w:ascii="Times New Roman" w:hAnsi="Times New Roman" w:cs="Times New Roman"/>
          <w:kern w:val="0"/>
          <w:lang w:eastAsia="zh-CN" w:bidi="ar"/>
        </w:rPr>
        <w:t>汇同</w:t>
      </w:r>
      <w:r>
        <w:rPr>
          <w:rFonts w:hint="default" w:ascii="Times New Roman" w:hAnsi="Times New Roman" w:cs="Times New Roman"/>
          <w:kern w:val="0"/>
          <w:lang w:bidi="ar"/>
        </w:rPr>
        <w:t>项目生产废水经厂内污水站处置达标后排入平顶山第三污水处理厂</w:t>
      </w:r>
      <w:r>
        <w:rPr>
          <w:rFonts w:hint="default" w:ascii="Times New Roman" w:hAnsi="Times New Roman" w:cs="Times New Roman"/>
          <w:kern w:val="0"/>
          <w:lang w:eastAsia="zh-CN" w:bidi="ar"/>
        </w:rPr>
        <w:t>处理</w:t>
      </w:r>
      <w:r>
        <w:rPr>
          <w:rFonts w:hint="default" w:ascii="Times New Roman" w:hAnsi="Times New Roman" w:cs="Times New Roman"/>
          <w:kern w:val="0"/>
          <w:lang w:bidi="ar"/>
        </w:rPr>
        <w:t>。</w:t>
      </w:r>
    </w:p>
    <w:p>
      <w:pPr>
        <w:widowControl/>
        <w:ind w:firstLine="480"/>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）地下水</w:t>
      </w:r>
    </w:p>
    <w:p>
      <w:pPr>
        <w:widowControl/>
        <w:ind w:firstLine="480"/>
        <w:jc w:val="left"/>
      </w:pPr>
      <w:r>
        <w:rPr>
          <w:rFonts w:hint="eastAsia" w:ascii="宋体" w:hAnsi="宋体" w:cs="宋体"/>
          <w:color w:val="000000"/>
          <w:kern w:val="0"/>
          <w:lang w:bidi="ar"/>
        </w:rPr>
        <w:t>叶县地下水可利用量为</w:t>
      </w:r>
      <w:r>
        <w:rPr>
          <w:rFonts w:cs="Times New Roman"/>
          <w:color w:val="000000"/>
          <w:kern w:val="0"/>
          <w:lang w:bidi="ar"/>
        </w:rPr>
        <w:t>5860</w:t>
      </w:r>
      <w:r>
        <w:rPr>
          <w:rFonts w:hint="eastAsia" w:ascii="宋体" w:hAnsi="宋体" w:cs="宋体"/>
          <w:color w:val="000000"/>
          <w:kern w:val="0"/>
          <w:lang w:bidi="ar"/>
        </w:rPr>
        <w:t>万</w:t>
      </w:r>
      <w:r>
        <w:rPr>
          <w:rFonts w:cs="Times New Roman"/>
          <w:color w:val="000000"/>
          <w:kern w:val="0"/>
          <w:lang w:bidi="ar"/>
        </w:rPr>
        <w:t>m</w:t>
      </w:r>
      <w:r>
        <w:rPr>
          <w:rFonts w:cs="Times New Roman"/>
          <w:color w:val="000000"/>
          <w:kern w:val="0"/>
          <w:vertAlign w:val="superscript"/>
          <w:lang w:bidi="ar"/>
        </w:rPr>
        <w:t>3</w:t>
      </w:r>
      <w:r>
        <w:rPr>
          <w:rFonts w:hint="eastAsia" w:ascii="宋体" w:hAnsi="宋体" w:cs="宋体"/>
          <w:color w:val="000000"/>
          <w:kern w:val="0"/>
          <w:lang w:bidi="ar"/>
        </w:rPr>
        <w:t>，占浅层地下水资源的</w:t>
      </w:r>
      <w:r>
        <w:rPr>
          <w:rFonts w:cs="Times New Roman"/>
          <w:color w:val="000000"/>
          <w:kern w:val="0"/>
          <w:lang w:bidi="ar"/>
        </w:rPr>
        <w:t>29.4%</w:t>
      </w:r>
      <w:r>
        <w:rPr>
          <w:rFonts w:hint="eastAsia" w:ascii="宋体" w:hAnsi="宋体" w:cs="宋体"/>
          <w:color w:val="000000"/>
          <w:kern w:val="0"/>
          <w:lang w:bidi="ar"/>
        </w:rPr>
        <w:t>，城区地下水含水层为冲积、洪积层，浅水层一般距地面</w:t>
      </w:r>
      <w:r>
        <w:rPr>
          <w:rFonts w:cs="Times New Roman"/>
          <w:color w:val="000000"/>
          <w:kern w:val="0"/>
          <w:lang w:bidi="ar"/>
        </w:rPr>
        <w:t>4</w:t>
      </w:r>
      <w:r>
        <w:rPr>
          <w:rFonts w:hint="eastAsia" w:ascii="宋体" w:hAnsi="宋体" w:cs="宋体"/>
          <w:color w:val="000000"/>
          <w:kern w:val="0"/>
          <w:lang w:bidi="ar"/>
        </w:rPr>
        <w:t>～</w:t>
      </w:r>
      <w:r>
        <w:rPr>
          <w:rFonts w:cs="Times New Roman"/>
          <w:color w:val="000000"/>
          <w:kern w:val="0"/>
          <w:lang w:bidi="ar"/>
        </w:rPr>
        <w:t>6m</w:t>
      </w:r>
      <w:r>
        <w:rPr>
          <w:rFonts w:hint="eastAsia" w:ascii="宋体" w:hAnsi="宋体" w:cs="宋体"/>
          <w:color w:val="000000"/>
          <w:kern w:val="0"/>
          <w:lang w:bidi="ar"/>
        </w:rPr>
        <w:t>，水力坡度小，依靠大气降水补给，雨季河水补给，灰河两岸单井涌水量</w:t>
      </w:r>
      <w:r>
        <w:rPr>
          <w:rFonts w:cs="Times New Roman"/>
          <w:color w:val="000000"/>
          <w:kern w:val="0"/>
          <w:lang w:bidi="ar"/>
        </w:rPr>
        <w:t>2000</w:t>
      </w:r>
      <w:r>
        <w:rPr>
          <w:rFonts w:hint="eastAsia" w:ascii="宋体" w:hAnsi="宋体" w:cs="宋体"/>
          <w:color w:val="000000"/>
          <w:kern w:val="0"/>
          <w:lang w:bidi="ar"/>
        </w:rPr>
        <w:t>余</w:t>
      </w:r>
      <w:r>
        <w:rPr>
          <w:rFonts w:cs="Times New Roman"/>
          <w:color w:val="000000"/>
          <w:kern w:val="0"/>
          <w:lang w:bidi="ar"/>
        </w:rPr>
        <w:t>m</w:t>
      </w:r>
      <w:r>
        <w:rPr>
          <w:rFonts w:cs="Times New Roman"/>
          <w:color w:val="000000"/>
          <w:kern w:val="0"/>
          <w:vertAlign w:val="superscript"/>
          <w:lang w:bidi="ar"/>
        </w:rPr>
        <w:t>3</w:t>
      </w:r>
      <w:r>
        <w:rPr>
          <w:rFonts w:cs="Times New Roman"/>
          <w:color w:val="000000"/>
          <w:kern w:val="0"/>
          <w:lang w:bidi="ar"/>
        </w:rPr>
        <w:t>/d</w:t>
      </w:r>
      <w:r>
        <w:rPr>
          <w:rFonts w:hint="eastAsia" w:ascii="宋体" w:hAnsi="宋体" w:cs="宋体"/>
          <w:color w:val="000000"/>
          <w:kern w:val="0"/>
          <w:lang w:bidi="ar"/>
        </w:rPr>
        <w:t>，</w:t>
      </w:r>
      <w:r>
        <w:rPr>
          <w:rFonts w:cs="Times New Roman"/>
          <w:color w:val="000000"/>
          <w:kern w:val="0"/>
          <w:lang w:bidi="ar"/>
        </w:rPr>
        <w:t>pH</w:t>
      </w:r>
      <w:r>
        <w:rPr>
          <w:rFonts w:hint="eastAsia" w:ascii="宋体" w:hAnsi="宋体" w:cs="宋体"/>
          <w:color w:val="000000"/>
          <w:kern w:val="0"/>
          <w:lang w:bidi="ar"/>
        </w:rPr>
        <w:t>值为中软水，水质类型为</w:t>
      </w:r>
      <w:r>
        <w:rPr>
          <w:rFonts w:cs="Times New Roman"/>
          <w:color w:val="000000"/>
          <w:kern w:val="0"/>
          <w:lang w:bidi="ar"/>
        </w:rPr>
        <w:t>HCO</w:t>
      </w:r>
      <w:r>
        <w:rPr>
          <w:rFonts w:cs="Times New Roman"/>
          <w:color w:val="000000"/>
          <w:kern w:val="0"/>
          <w:vertAlign w:val="subscript"/>
          <w:lang w:bidi="ar"/>
        </w:rPr>
        <w:t>3</w:t>
      </w:r>
      <w:r>
        <w:rPr>
          <w:rFonts w:cs="Times New Roman"/>
          <w:color w:val="000000"/>
          <w:kern w:val="0"/>
          <w:lang w:bidi="ar"/>
        </w:rPr>
        <w:t>-Ca-Mg</w:t>
      </w:r>
      <w:r>
        <w:rPr>
          <w:rFonts w:hint="eastAsia" w:ascii="宋体" w:hAnsi="宋体" w:cs="宋体"/>
          <w:color w:val="000000"/>
          <w:kern w:val="0"/>
          <w:lang w:bidi="ar"/>
        </w:rPr>
        <w:t>。</w:t>
      </w:r>
      <w:r>
        <w:rPr>
          <w:rFonts w:cs="Times New Roman"/>
          <w:color w:val="000000"/>
          <w:kern w:val="0"/>
          <w:lang w:bidi="ar"/>
        </w:rPr>
        <w:t>60m</w:t>
      </w:r>
      <w:r>
        <w:rPr>
          <w:rFonts w:hint="eastAsia" w:ascii="宋体" w:hAnsi="宋体" w:cs="宋体"/>
          <w:color w:val="000000"/>
          <w:kern w:val="0"/>
          <w:lang w:bidi="ar"/>
        </w:rPr>
        <w:t>以内含水层水质较差，</w:t>
      </w:r>
      <w:r>
        <w:rPr>
          <w:rFonts w:cs="Times New Roman"/>
          <w:color w:val="000000"/>
          <w:kern w:val="0"/>
          <w:lang w:bidi="ar"/>
        </w:rPr>
        <w:t>91.50</w:t>
      </w:r>
      <w:r>
        <w:rPr>
          <w:rFonts w:hint="eastAsia" w:ascii="宋体" w:hAnsi="宋体" w:cs="宋体"/>
          <w:color w:val="000000"/>
          <w:kern w:val="0"/>
          <w:lang w:bidi="ar"/>
        </w:rPr>
        <w:t>～</w:t>
      </w:r>
      <w:r>
        <w:rPr>
          <w:rFonts w:cs="Times New Roman"/>
          <w:color w:val="000000"/>
          <w:kern w:val="0"/>
          <w:lang w:bidi="ar"/>
        </w:rPr>
        <w:t>136.10m</w:t>
      </w:r>
      <w:r>
        <w:rPr>
          <w:rFonts w:hint="eastAsia" w:ascii="宋体" w:hAnsi="宋体" w:cs="宋体"/>
          <w:color w:val="000000"/>
          <w:kern w:val="0"/>
          <w:lang w:bidi="ar"/>
        </w:rPr>
        <w:t>为主要富水段，</w:t>
      </w:r>
      <w:r>
        <w:rPr>
          <w:rFonts w:cs="Times New Roman"/>
          <w:color w:val="000000"/>
          <w:kern w:val="0"/>
          <w:lang w:bidi="ar"/>
        </w:rPr>
        <w:t>91.50</w:t>
      </w:r>
      <w:r>
        <w:rPr>
          <w:rFonts w:hint="eastAsia" w:ascii="宋体" w:hAnsi="宋体" w:cs="宋体"/>
          <w:color w:val="000000"/>
          <w:kern w:val="0"/>
          <w:lang w:bidi="ar"/>
        </w:rPr>
        <w:t>～</w:t>
      </w:r>
      <w:r>
        <w:rPr>
          <w:rFonts w:cs="Times New Roman"/>
          <w:color w:val="000000"/>
          <w:kern w:val="0"/>
          <w:lang w:bidi="ar"/>
        </w:rPr>
        <w:t>136.10m</w:t>
      </w:r>
      <w:r>
        <w:rPr>
          <w:rFonts w:hint="eastAsia" w:ascii="宋体" w:hAnsi="宋体" w:cs="宋体"/>
          <w:color w:val="000000"/>
          <w:kern w:val="0"/>
          <w:lang w:bidi="ar"/>
        </w:rPr>
        <w:t>为主要富水段，</w:t>
      </w:r>
      <w:r>
        <w:rPr>
          <w:rFonts w:hint="eastAsia" w:ascii="宋体" w:hAnsi="宋体" w:cs="宋体"/>
          <w:color w:val="000000"/>
          <w:kern w:val="0"/>
          <w:u w:val="single"/>
          <w:lang w:bidi="ar"/>
        </w:rPr>
        <w:t>地下水走向大体为由西南向东北方向径流。</w:t>
      </w:r>
    </w:p>
    <w:p>
      <w:pPr>
        <w:widowControl/>
        <w:ind w:firstLine="480"/>
        <w:jc w:val="left"/>
      </w:pPr>
      <w:r>
        <w:rPr>
          <w:rFonts w:hint="eastAsia" w:ascii="宋体" w:hAnsi="宋体" w:cs="宋体"/>
          <w:color w:val="000000"/>
          <w:kern w:val="0"/>
          <w:lang w:bidi="ar"/>
        </w:rPr>
        <w:t>本项目位于平顶山尼龙新材料产业集聚区，项目所在地地下水系统属沙河地下水系统，地层为第四系松散堆积物，存在厚度大于</w:t>
      </w:r>
      <w:r>
        <w:rPr>
          <w:rFonts w:cs="Times New Roman"/>
          <w:color w:val="000000"/>
          <w:kern w:val="0"/>
          <w:lang w:bidi="ar"/>
        </w:rPr>
        <w:t>10m</w:t>
      </w:r>
      <w:r>
        <w:rPr>
          <w:rFonts w:hint="eastAsia" w:ascii="宋体" w:hAnsi="宋体" w:cs="宋体"/>
          <w:color w:val="000000"/>
          <w:kern w:val="0"/>
          <w:lang w:bidi="ar"/>
        </w:rPr>
        <w:t>的下更新统（更新统是更新世形成的地层，可分为下更新统、中更新统和上更新统）含钙核粘土层和亚粘土层将含水岩组分为上、下含水岩组。上部含水岩组细砂和砂卵石层，地下水类型为松散岩类孔隙水。下部地层岩性为第四系下更新统冰水沉积的棕红、灰绿和灰白色泥质粉细砂、泥质砂砾石和粘性土，局部呈半固状态，主要含水岩组为细砂和砂卵石层。根据调查区域地下水类型属松散岩类孔隙水，划分为浅层水和中深层地下水。浅层地下水开发利用方式主要为农业灌溉用水和部分村庄居民生活饮用开采，井深为</w:t>
      </w:r>
      <w:r>
        <w:rPr>
          <w:rFonts w:cs="Times New Roman"/>
          <w:color w:val="000000"/>
          <w:kern w:val="0"/>
          <w:lang w:bidi="ar"/>
        </w:rPr>
        <w:t>20</w:t>
      </w:r>
      <w:r>
        <w:rPr>
          <w:rFonts w:hint="eastAsia" w:ascii="宋体" w:hAnsi="宋体" w:cs="宋体"/>
          <w:color w:val="000000"/>
          <w:kern w:val="0"/>
          <w:lang w:bidi="ar"/>
        </w:rPr>
        <w:t>～</w:t>
      </w:r>
      <w:r>
        <w:rPr>
          <w:rFonts w:cs="Times New Roman"/>
          <w:color w:val="000000"/>
          <w:kern w:val="0"/>
          <w:lang w:bidi="ar"/>
        </w:rPr>
        <w:t>50m</w:t>
      </w:r>
      <w:r>
        <w:rPr>
          <w:rFonts w:hint="eastAsia" w:ascii="宋体" w:hAnsi="宋体" w:cs="宋体"/>
          <w:color w:val="000000"/>
          <w:kern w:val="0"/>
          <w:lang w:bidi="ar"/>
        </w:rPr>
        <w:t>。中深层地下水开发利用方式主要为居民生活饮用水开采，井深多为</w:t>
      </w:r>
      <w:r>
        <w:rPr>
          <w:rFonts w:cs="Times New Roman"/>
          <w:color w:val="000000"/>
          <w:kern w:val="0"/>
          <w:lang w:bidi="ar"/>
        </w:rPr>
        <w:t>120m</w:t>
      </w:r>
      <w:r>
        <w:rPr>
          <w:rFonts w:hint="eastAsia" w:ascii="宋体" w:hAnsi="宋体" w:cs="宋体"/>
          <w:color w:val="000000"/>
          <w:kern w:val="0"/>
          <w:lang w:bidi="ar"/>
        </w:rPr>
        <w:t>左右。受地貌及地层条件控制，地下水径流缓慢，本区地下水的径流方向与地形倾向基本一致。</w:t>
      </w:r>
      <w:r>
        <w:rPr>
          <w:rFonts w:hint="eastAsia" w:ascii="宋体" w:hAnsi="宋体" w:cs="宋体"/>
          <w:color w:val="000000"/>
          <w:kern w:val="0"/>
          <w:u w:val="single"/>
          <w:lang w:bidi="ar"/>
        </w:rPr>
        <w:t>地下水由西南向东北方向径流，</w:t>
      </w:r>
      <w:r>
        <w:rPr>
          <w:rFonts w:hint="eastAsia" w:ascii="宋体" w:hAnsi="宋体" w:cs="宋体"/>
          <w:color w:val="000000"/>
          <w:kern w:val="0"/>
          <w:lang w:bidi="ar"/>
        </w:rPr>
        <w:t>水力坡度一般在</w:t>
      </w:r>
      <w:r>
        <w:rPr>
          <w:rFonts w:cs="Times New Roman"/>
          <w:color w:val="000000"/>
          <w:kern w:val="0"/>
          <w:lang w:bidi="ar"/>
        </w:rPr>
        <w:t>0.5</w:t>
      </w:r>
      <w:r>
        <w:rPr>
          <w:rFonts w:hint="eastAsia" w:ascii="宋体" w:hAnsi="宋体" w:cs="宋体"/>
          <w:color w:val="000000"/>
          <w:kern w:val="0"/>
          <w:lang w:bidi="ar"/>
        </w:rPr>
        <w:t>～</w:t>
      </w:r>
      <w:r>
        <w:rPr>
          <w:rFonts w:cs="Times New Roman"/>
          <w:color w:val="000000"/>
          <w:kern w:val="0"/>
          <w:lang w:bidi="ar"/>
        </w:rPr>
        <w:t>1.0‰</w:t>
      </w:r>
      <w:r>
        <w:rPr>
          <w:rFonts w:hint="eastAsia" w:ascii="宋体" w:hAnsi="宋体" w:cs="宋体"/>
          <w:color w:val="000000"/>
          <w:kern w:val="0"/>
          <w:lang w:bidi="ar"/>
        </w:rPr>
        <w:t>；在北部沿沙河地区，地下水向北径流，地下水补给河水，水力坡度一般在</w:t>
      </w:r>
      <w:r>
        <w:rPr>
          <w:rFonts w:cs="Times New Roman"/>
          <w:color w:val="000000"/>
          <w:kern w:val="0"/>
          <w:lang w:bidi="ar"/>
        </w:rPr>
        <w:t>1.0</w:t>
      </w:r>
      <w:r>
        <w:rPr>
          <w:rFonts w:hint="eastAsia" w:ascii="宋体" w:hAnsi="宋体" w:cs="宋体"/>
          <w:color w:val="000000"/>
          <w:kern w:val="0"/>
          <w:lang w:bidi="ar"/>
        </w:rPr>
        <w:t>～</w:t>
      </w:r>
      <w:r>
        <w:rPr>
          <w:rFonts w:cs="Times New Roman"/>
          <w:color w:val="000000"/>
          <w:kern w:val="0"/>
          <w:lang w:bidi="ar"/>
        </w:rPr>
        <w:t>2.0‰</w:t>
      </w:r>
      <w:r>
        <w:rPr>
          <w:rFonts w:hint="eastAsia" w:ascii="宋体" w:hAnsi="宋体" w:cs="宋体"/>
          <w:color w:val="000000"/>
          <w:kern w:val="0"/>
          <w:lang w:bidi="ar"/>
        </w:rPr>
        <w:t>左右。</w:t>
      </w:r>
    </w:p>
    <w:p>
      <w:pPr>
        <w:widowControl/>
        <w:ind w:firstLine="480"/>
      </w:pPr>
      <w:r>
        <w:rPr>
          <w:rFonts w:hint="eastAsia" w:ascii="宋体" w:hAnsi="宋体" w:cs="宋体"/>
          <w:color w:val="000000"/>
          <w:kern w:val="0"/>
          <w:lang w:bidi="ar"/>
        </w:rPr>
        <w:t>根据地下水赋存介质和赋存介质的空间分布，区内（叶县境内）地下水可分为松散岩类孔隙水、碎屑岩类裂隙水、碳酸盐岩类裂隙岩溶水和基岩裂隙水。松散岩类孔隙水含水岩组水是集聚区内的主要的地下水含水岩组，依据地下水埋藏条件和水力联系特征，划分为浅层含水岩组和中深层含水岩组。浅层含水岩组的岩性为以细砂、砂砾石、粉质黏土为主，呈松散状、颗粒较粗，泥质含量稍高，孔隙发育，是集聚区内地下水主要含水层，</w:t>
      </w:r>
      <w:r>
        <w:rPr>
          <w:rFonts w:hint="eastAsia" w:ascii="宋体" w:hAnsi="宋体" w:cs="宋体"/>
          <w:color w:val="000000"/>
          <w:kern w:val="0"/>
          <w:u w:val="single"/>
          <w:lang w:bidi="ar"/>
        </w:rPr>
        <w:t>其水流向总体上与地形倾向一致，即由西南向东北方向径流</w:t>
      </w:r>
      <w:r>
        <w:rPr>
          <w:rFonts w:hint="eastAsia" w:ascii="宋体" w:hAnsi="宋体" w:cs="宋体"/>
          <w:color w:val="000000"/>
          <w:kern w:val="0"/>
          <w:lang w:bidi="ar"/>
        </w:rPr>
        <w:t>，径流速度缓慢，水力坡度介于</w:t>
      </w:r>
      <w:r>
        <w:rPr>
          <w:rFonts w:cs="Times New Roman"/>
          <w:color w:val="000000"/>
          <w:kern w:val="0"/>
          <w:lang w:bidi="ar"/>
        </w:rPr>
        <w:t>0.1‰-1.4‰</w:t>
      </w:r>
      <w:r>
        <w:rPr>
          <w:rFonts w:hint="eastAsia" w:ascii="宋体" w:hAnsi="宋体" w:cs="宋体"/>
          <w:color w:val="000000"/>
          <w:kern w:val="0"/>
          <w:lang w:bidi="ar"/>
        </w:rPr>
        <w:t>。产业集聚区内浅水含水层埋深</w:t>
      </w:r>
      <w:r>
        <w:rPr>
          <w:rFonts w:cs="Times New Roman"/>
          <w:color w:val="000000"/>
          <w:kern w:val="0"/>
          <w:lang w:bidi="ar"/>
        </w:rPr>
        <w:t>20m-50m</w:t>
      </w:r>
      <w:r>
        <w:rPr>
          <w:rFonts w:hint="eastAsia" w:ascii="宋体" w:hAnsi="宋体" w:cs="宋体"/>
          <w:color w:val="000000"/>
          <w:kern w:val="0"/>
          <w:lang w:bidi="ar"/>
        </w:rPr>
        <w:t>左右。区域浅水含水层底板埋深变化较大，含水砂层的空间分布不均。地下水浅水含水层在沙河及其北部以上更新统为主，中部的广大平原地区以中更新统为主，中南部为中更新统和少量下更新统，山前岗地则以下更新统为主。浅水含水层厚度，以中更新统时期沙河沉积中心的寺庄</w:t>
      </w:r>
      <w:r>
        <w:rPr>
          <w:rFonts w:cs="Times New Roman"/>
          <w:color w:val="000000"/>
          <w:kern w:val="0"/>
          <w:lang w:bidi="ar"/>
        </w:rPr>
        <w:t>-</w:t>
      </w:r>
      <w:r>
        <w:rPr>
          <w:rFonts w:hint="eastAsia" w:ascii="宋体" w:hAnsi="宋体" w:cs="宋体"/>
          <w:color w:val="000000"/>
          <w:kern w:val="0"/>
          <w:lang w:bidi="ar"/>
        </w:rPr>
        <w:t>叶县县城附近</w:t>
      </w:r>
      <w:r>
        <w:rPr>
          <w:rFonts w:cs="Times New Roman"/>
          <w:color w:val="000000"/>
          <w:kern w:val="0"/>
          <w:lang w:bidi="ar"/>
        </w:rPr>
        <w:t>-</w:t>
      </w:r>
      <w:r>
        <w:rPr>
          <w:rFonts w:hint="eastAsia" w:ascii="宋体" w:hAnsi="宋体" w:cs="宋体"/>
          <w:color w:val="000000"/>
          <w:kern w:val="0"/>
          <w:lang w:bidi="ar"/>
        </w:rPr>
        <w:t>廉村一带为最大，一般厚度在</w:t>
      </w:r>
      <w:r>
        <w:rPr>
          <w:rFonts w:cs="Times New Roman"/>
          <w:color w:val="000000"/>
          <w:kern w:val="0"/>
          <w:lang w:bidi="ar"/>
        </w:rPr>
        <w:t>40-50m</w:t>
      </w:r>
      <w:r>
        <w:rPr>
          <w:rFonts w:hint="eastAsia" w:ascii="宋体" w:hAnsi="宋体" w:cs="宋体"/>
          <w:color w:val="000000"/>
          <w:kern w:val="0"/>
          <w:lang w:bidi="ar"/>
        </w:rPr>
        <w:t>，最大厚度达</w:t>
      </w:r>
      <w:r>
        <w:rPr>
          <w:rFonts w:cs="Times New Roman"/>
          <w:color w:val="000000"/>
          <w:kern w:val="0"/>
          <w:lang w:bidi="ar"/>
        </w:rPr>
        <w:t>60.2m</w:t>
      </w:r>
      <w:r>
        <w:rPr>
          <w:rFonts w:hint="eastAsia" w:ascii="宋体" w:hAnsi="宋体" w:cs="宋体"/>
          <w:color w:val="000000"/>
          <w:kern w:val="0"/>
          <w:lang w:bidi="ar"/>
        </w:rPr>
        <w:t>，呈二元结构。东北的遵化</w:t>
      </w:r>
      <w:r>
        <w:rPr>
          <w:rFonts w:cs="Times New Roman"/>
          <w:color w:val="000000"/>
          <w:kern w:val="0"/>
          <w:lang w:bidi="ar"/>
        </w:rPr>
        <w:t>-</w:t>
      </w:r>
      <w:r>
        <w:rPr>
          <w:rFonts w:hint="eastAsia" w:ascii="宋体" w:hAnsi="宋体" w:cs="宋体"/>
          <w:color w:val="000000"/>
          <w:kern w:val="0"/>
          <w:lang w:bidi="ar"/>
        </w:rPr>
        <w:t>洪庄杨</w:t>
      </w:r>
      <w:r>
        <w:rPr>
          <w:rFonts w:cs="Times New Roman"/>
          <w:color w:val="000000"/>
          <w:kern w:val="0"/>
          <w:lang w:bidi="ar"/>
        </w:rPr>
        <w:t>-</w:t>
      </w:r>
      <w:r>
        <w:rPr>
          <w:rFonts w:hint="eastAsia" w:ascii="宋体" w:hAnsi="宋体" w:cs="宋体"/>
          <w:color w:val="000000"/>
          <w:kern w:val="0"/>
          <w:lang w:bidi="ar"/>
        </w:rPr>
        <w:t>邓李</w:t>
      </w:r>
      <w:r>
        <w:rPr>
          <w:rFonts w:cs="Times New Roman"/>
          <w:color w:val="000000"/>
          <w:kern w:val="0"/>
          <w:lang w:bidi="ar"/>
        </w:rPr>
        <w:t>-</w:t>
      </w:r>
      <w:r>
        <w:rPr>
          <w:rFonts w:hint="eastAsia" w:ascii="宋体" w:hAnsi="宋体" w:cs="宋体"/>
          <w:color w:val="000000"/>
          <w:kern w:val="0"/>
          <w:lang w:bidi="ar"/>
        </w:rPr>
        <w:t>水寨东一带厚度小于</w:t>
      </w:r>
      <w:r>
        <w:rPr>
          <w:rFonts w:cs="Times New Roman"/>
          <w:color w:val="000000"/>
          <w:kern w:val="0"/>
          <w:lang w:bidi="ar"/>
        </w:rPr>
        <w:t>10m</w:t>
      </w:r>
      <w:r>
        <w:rPr>
          <w:rFonts w:hint="eastAsia" w:ascii="宋体" w:hAnsi="宋体" w:cs="宋体"/>
          <w:color w:val="000000"/>
          <w:kern w:val="0"/>
          <w:lang w:bidi="ar"/>
        </w:rPr>
        <w:t>。集聚区单井出水量</w:t>
      </w:r>
      <w:r>
        <w:rPr>
          <w:rFonts w:cs="Times New Roman"/>
          <w:color w:val="000000"/>
          <w:kern w:val="0"/>
          <w:lang w:bidi="ar"/>
        </w:rPr>
        <w:t>500-1000m</w:t>
      </w:r>
      <w:r>
        <w:rPr>
          <w:rFonts w:cs="Times New Roman"/>
          <w:color w:val="000000"/>
          <w:kern w:val="0"/>
          <w:vertAlign w:val="superscript"/>
          <w:lang w:bidi="ar"/>
        </w:rPr>
        <w:t>3</w:t>
      </w:r>
      <w:r>
        <w:rPr>
          <w:rFonts w:cs="Times New Roman"/>
          <w:color w:val="000000"/>
          <w:kern w:val="0"/>
          <w:lang w:bidi="ar"/>
        </w:rPr>
        <w:t>/d</w:t>
      </w:r>
      <w:r>
        <w:rPr>
          <w:rFonts w:hint="eastAsia" w:ascii="宋体" w:hAnsi="宋体" w:cs="宋体"/>
          <w:color w:val="000000"/>
          <w:kern w:val="0"/>
          <w:lang w:bidi="ar"/>
        </w:rPr>
        <w:t>，属于弱富水区。</w:t>
      </w:r>
    </w:p>
    <w:p>
      <w:pPr>
        <w:widowControl/>
        <w:ind w:firstLine="480"/>
      </w:pPr>
      <w:r>
        <w:rPr>
          <w:rFonts w:hint="eastAsia" w:ascii="宋体" w:hAnsi="宋体" w:cs="宋体"/>
          <w:color w:val="000000"/>
          <w:kern w:val="0"/>
          <w:lang w:bidi="ar"/>
        </w:rPr>
        <w:t>中深层含水层岩组均为下更系统的泥质砂层、泥质</w:t>
      </w:r>
      <w:r>
        <w:rPr>
          <w:rFonts w:hint="eastAsia" w:ascii="宋体" w:hAnsi="宋体" w:cs="宋体"/>
          <w:color w:val="000000"/>
          <w:kern w:val="0"/>
          <w:lang w:eastAsia="zh-CN" w:bidi="ar"/>
        </w:rPr>
        <w:t>砂砾</w:t>
      </w:r>
      <w:r>
        <w:rPr>
          <w:rFonts w:hint="eastAsia" w:ascii="宋体" w:hAnsi="宋体" w:cs="宋体"/>
          <w:color w:val="000000"/>
          <w:kern w:val="0"/>
          <w:lang w:bidi="ar"/>
        </w:rPr>
        <w:t>卵石层。顶板埋深</w:t>
      </w:r>
      <w:r>
        <w:rPr>
          <w:rFonts w:cs="Times New Roman"/>
          <w:color w:val="000000"/>
          <w:kern w:val="0"/>
          <w:lang w:bidi="ar"/>
        </w:rPr>
        <w:t>33.2-87.3m</w:t>
      </w:r>
      <w:r>
        <w:rPr>
          <w:rFonts w:hint="eastAsia" w:ascii="宋体" w:hAnsi="宋体" w:cs="宋体"/>
          <w:color w:val="000000"/>
          <w:kern w:val="0"/>
          <w:lang w:bidi="ar"/>
        </w:rPr>
        <w:t>，在寺庄</w:t>
      </w:r>
      <w:r>
        <w:rPr>
          <w:rFonts w:cs="Times New Roman"/>
          <w:color w:val="000000"/>
          <w:kern w:val="0"/>
          <w:lang w:bidi="ar"/>
        </w:rPr>
        <w:t>-</w:t>
      </w:r>
      <w:r>
        <w:rPr>
          <w:rFonts w:hint="eastAsia" w:ascii="宋体" w:hAnsi="宋体" w:cs="宋体"/>
          <w:color w:val="000000"/>
          <w:kern w:val="0"/>
          <w:lang w:bidi="ar"/>
        </w:rPr>
        <w:t>堤郑和叶县县城以东广大地区顶板埋深大于</w:t>
      </w:r>
      <w:r>
        <w:rPr>
          <w:rFonts w:cs="Times New Roman"/>
          <w:color w:val="000000"/>
          <w:kern w:val="0"/>
          <w:lang w:bidi="ar"/>
        </w:rPr>
        <w:t>60m</w:t>
      </w:r>
      <w:r>
        <w:rPr>
          <w:rFonts w:hint="eastAsia" w:ascii="宋体" w:hAnsi="宋体" w:cs="宋体"/>
          <w:color w:val="000000"/>
          <w:kern w:val="0"/>
          <w:lang w:bidi="ar"/>
        </w:rPr>
        <w:t>，其它地带多为</w:t>
      </w:r>
      <w:r>
        <w:rPr>
          <w:rFonts w:cs="Times New Roman"/>
          <w:color w:val="000000"/>
          <w:kern w:val="0"/>
          <w:lang w:bidi="ar"/>
        </w:rPr>
        <w:t>40-50m</w:t>
      </w:r>
      <w:r>
        <w:rPr>
          <w:rFonts w:hint="eastAsia" w:ascii="宋体" w:hAnsi="宋体" w:cs="宋体"/>
          <w:color w:val="000000"/>
          <w:kern w:val="0"/>
          <w:lang w:bidi="ar"/>
        </w:rPr>
        <w:t>。含水岩组为多层结构、总厚度变化较大，从几米到数十米，一般在</w:t>
      </w:r>
      <w:r>
        <w:rPr>
          <w:rFonts w:cs="Times New Roman"/>
          <w:color w:val="000000"/>
          <w:kern w:val="0"/>
          <w:lang w:bidi="ar"/>
        </w:rPr>
        <w:t>20-40m</w:t>
      </w:r>
      <w:r>
        <w:rPr>
          <w:rFonts w:hint="eastAsia" w:ascii="宋体" w:hAnsi="宋体" w:cs="宋体"/>
          <w:color w:val="000000"/>
          <w:kern w:val="0"/>
          <w:lang w:bidi="ar"/>
        </w:rPr>
        <w:t>，最大达</w:t>
      </w:r>
      <w:r>
        <w:rPr>
          <w:rFonts w:cs="Times New Roman"/>
          <w:color w:val="000000"/>
          <w:kern w:val="0"/>
          <w:lang w:bidi="ar"/>
        </w:rPr>
        <w:t>70.9m</w:t>
      </w:r>
      <w:r>
        <w:rPr>
          <w:rFonts w:hint="eastAsia" w:ascii="宋体" w:hAnsi="宋体" w:cs="宋体"/>
          <w:color w:val="000000"/>
          <w:kern w:val="0"/>
          <w:lang w:bidi="ar"/>
        </w:rPr>
        <w:t>。区域上的分布大体与浅层含水岩组一致。集聚区内中深层含水层埋深大于</w:t>
      </w:r>
      <w:r>
        <w:rPr>
          <w:rFonts w:cs="Times New Roman"/>
          <w:color w:val="000000"/>
          <w:kern w:val="0"/>
          <w:lang w:bidi="ar"/>
        </w:rPr>
        <w:t>60m</w:t>
      </w:r>
      <w:r>
        <w:rPr>
          <w:rFonts w:hint="eastAsia" w:ascii="宋体" w:hAnsi="宋体" w:cs="宋体"/>
          <w:color w:val="000000"/>
          <w:kern w:val="0"/>
          <w:lang w:bidi="ar"/>
        </w:rPr>
        <w:t>。集聚区单井出水量大于</w:t>
      </w:r>
      <w:r>
        <w:rPr>
          <w:rFonts w:cs="Times New Roman"/>
          <w:color w:val="000000"/>
          <w:kern w:val="0"/>
          <w:lang w:bidi="ar"/>
        </w:rPr>
        <w:t>3000m</w:t>
      </w:r>
      <w:r>
        <w:rPr>
          <w:rFonts w:cs="Times New Roman"/>
          <w:color w:val="000000"/>
          <w:kern w:val="0"/>
          <w:vertAlign w:val="superscript"/>
          <w:lang w:bidi="ar"/>
        </w:rPr>
        <w:t>3</w:t>
      </w:r>
      <w:r>
        <w:rPr>
          <w:rFonts w:cs="Times New Roman"/>
          <w:color w:val="000000"/>
          <w:kern w:val="0"/>
          <w:lang w:bidi="ar"/>
        </w:rPr>
        <w:t>/d</w:t>
      </w:r>
      <w:r>
        <w:rPr>
          <w:rFonts w:hint="eastAsia" w:ascii="宋体" w:hAnsi="宋体" w:cs="宋体"/>
          <w:color w:val="000000"/>
          <w:kern w:val="0"/>
          <w:lang w:bidi="ar"/>
        </w:rPr>
        <w:t>，属于极富水区。区域的浅层地下水和中深层地下水之间有渗透性较弱的粘土层隔开，隔水层分布稳定，厚度较大，地层连续性较好，对垂直渗透的污染物阻隔作用明显，因此中深层含水层与浅层含水层之间水力联系较弱。补给调查区的地下水的补给来源有：降水入渗补给、地下水侧向径流补给及灌溉渗漏补给。</w:t>
      </w:r>
    </w:p>
    <w:p>
      <w:pPr>
        <w:widowControl/>
        <w:ind w:firstLine="480"/>
        <w:jc w:val="left"/>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）降水入渗补给</w:t>
      </w:r>
    </w:p>
    <w:p>
      <w:pPr>
        <w:widowControl/>
        <w:ind w:firstLine="480"/>
        <w:jc w:val="left"/>
      </w:pPr>
      <w:r>
        <w:rPr>
          <w:rFonts w:hint="eastAsia" w:ascii="宋体" w:hAnsi="宋体" w:cs="宋体"/>
          <w:color w:val="000000"/>
          <w:kern w:val="0"/>
          <w:lang w:bidi="ar"/>
        </w:rPr>
        <w:t>调查区地形平坦，自沙河岸边至叶廉路，包气带岩性由细砂渐变为粉土、粉质粘土，局部为粘土，渗透性差，降水入渗逐渐减弱。降雨入渗的多少与降雨历时、强度、包气带厚度、渗透性息息相关。雨量大、历时长、包气带渗透性强、地表径流条件差有利于降雨入渗，入渗补给量大，表现在地下水位上升明显。该区降水主要集中在</w:t>
      </w:r>
      <w:r>
        <w:rPr>
          <w:rFonts w:cs="Times New Roman"/>
          <w:color w:val="000000"/>
          <w:kern w:val="0"/>
          <w:lang w:bidi="ar"/>
        </w:rPr>
        <w:t>7-9</w:t>
      </w:r>
      <w:r>
        <w:rPr>
          <w:rFonts w:hint="eastAsia" w:ascii="宋体" w:hAnsi="宋体" w:cs="宋体"/>
          <w:color w:val="000000"/>
          <w:kern w:val="0"/>
          <w:lang w:bidi="ar"/>
        </w:rPr>
        <w:t>月份，因而降水入渗补给具有明显的季节性，反映在地下水位动态上，补给期地下水位呈上升趋势。</w:t>
      </w:r>
    </w:p>
    <w:p>
      <w:pPr>
        <w:widowControl/>
        <w:ind w:firstLine="480"/>
        <w:jc w:val="left"/>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）地下水侧向径流补给</w:t>
      </w:r>
    </w:p>
    <w:p>
      <w:pPr>
        <w:widowControl/>
        <w:ind w:firstLine="480"/>
        <w:jc w:val="left"/>
      </w:pPr>
      <w:r>
        <w:rPr>
          <w:rFonts w:hint="eastAsia" w:ascii="宋体" w:hAnsi="宋体" w:cs="宋体"/>
          <w:color w:val="000000"/>
          <w:kern w:val="0"/>
          <w:lang w:bidi="ar"/>
        </w:rPr>
        <w:t>项目所在地区地下水西南向东北方向径流，区内地形平坦，地下水径流缓慢，土层渗透系数小于</w:t>
      </w:r>
      <w:r>
        <w:rPr>
          <w:rFonts w:cs="Times New Roman"/>
          <w:color w:val="000000"/>
          <w:kern w:val="0"/>
          <w:lang w:bidi="ar"/>
        </w:rPr>
        <w:t>0.5m/d</w:t>
      </w:r>
      <w:r>
        <w:rPr>
          <w:rFonts w:hint="eastAsia" w:ascii="宋体" w:hAnsi="宋体" w:cs="宋体"/>
          <w:color w:val="000000"/>
          <w:kern w:val="0"/>
          <w:lang w:bidi="ar"/>
        </w:rPr>
        <w:t>，水力坡度一般在</w:t>
      </w:r>
      <w:r>
        <w:rPr>
          <w:rFonts w:cs="Times New Roman"/>
          <w:color w:val="000000"/>
          <w:kern w:val="0"/>
          <w:lang w:bidi="ar"/>
        </w:rPr>
        <w:t>0.3‰-2.0‰</w:t>
      </w:r>
      <w:r>
        <w:rPr>
          <w:rFonts w:hint="eastAsia" w:ascii="宋体" w:hAnsi="宋体" w:cs="宋体"/>
          <w:color w:val="000000"/>
          <w:kern w:val="0"/>
          <w:lang w:bidi="ar"/>
        </w:rPr>
        <w:t>。</w:t>
      </w:r>
    </w:p>
    <w:p>
      <w:pPr>
        <w:widowControl/>
        <w:ind w:firstLine="480"/>
        <w:jc w:val="left"/>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）灌溉渗漏补给</w:t>
      </w:r>
    </w:p>
    <w:p>
      <w:pPr>
        <w:widowControl/>
        <w:ind w:firstLine="480"/>
        <w:jc w:val="left"/>
      </w:pPr>
      <w:r>
        <w:rPr>
          <w:rFonts w:hint="eastAsia" w:ascii="宋体" w:hAnsi="宋体" w:cs="宋体"/>
          <w:color w:val="000000"/>
          <w:kern w:val="0"/>
          <w:lang w:bidi="ar"/>
        </w:rPr>
        <w:t>调查区大量分布灌渠，区内地表岩性大部分为细砂、粉土，南部为粉质粘土。旱季农田灌溉时地表水下渗补给地下水，具有明显的季节性。受地貌及地层条件控制，地下水径流缓慢，本区地下水的径流方向与地形倾向基本一致。地下水由西南向东北方向径流，水力坡度一般在</w:t>
      </w:r>
      <w:r>
        <w:rPr>
          <w:rFonts w:cs="Times New Roman"/>
          <w:color w:val="000000"/>
          <w:kern w:val="0"/>
          <w:lang w:bidi="ar"/>
        </w:rPr>
        <w:t>0.5‰-1.0‰</w:t>
      </w:r>
      <w:r>
        <w:rPr>
          <w:rFonts w:hint="eastAsia" w:ascii="宋体" w:hAnsi="宋体" w:cs="宋体"/>
          <w:color w:val="000000"/>
          <w:kern w:val="0"/>
          <w:lang w:bidi="ar"/>
        </w:rPr>
        <w:t>；在北部沿沙河地区，地下水向北径流，地下水补给河水，水力坡度一般在</w:t>
      </w:r>
      <w:r>
        <w:rPr>
          <w:rFonts w:cs="Times New Roman"/>
          <w:color w:val="000000"/>
          <w:kern w:val="0"/>
          <w:lang w:bidi="ar"/>
        </w:rPr>
        <w:t>1‰-2‰</w:t>
      </w:r>
      <w:r>
        <w:rPr>
          <w:rFonts w:hint="eastAsia" w:ascii="宋体" w:hAnsi="宋体" w:cs="宋体"/>
          <w:color w:val="000000"/>
          <w:kern w:val="0"/>
          <w:lang w:bidi="ar"/>
        </w:rPr>
        <w:t>左右。本区地下水排泄方式为人工开采和侧向径流排泄。人工开采排泄形式主要有农业灌溉、居民生活用水等。根据现场调查，调查区沙河水位略低于岸边地下水水位，地下水排泄至沙河。浅层地下水动态变化主要受大气降水和农业开采影响。年内水位动态表现出：丰水期（</w:t>
      </w:r>
      <w:r>
        <w:rPr>
          <w:rFonts w:cs="Times New Roman"/>
          <w:color w:val="000000"/>
          <w:kern w:val="0"/>
          <w:lang w:bidi="ar"/>
        </w:rPr>
        <w:t>7</w:t>
      </w:r>
      <w:r>
        <w:rPr>
          <w:rFonts w:hint="eastAsia" w:ascii="宋体" w:hAnsi="宋体" w:cs="宋体"/>
          <w:color w:val="000000"/>
          <w:kern w:val="0"/>
          <w:lang w:bidi="ar"/>
        </w:rPr>
        <w:t>、</w:t>
      </w:r>
      <w:r>
        <w:rPr>
          <w:rFonts w:cs="Times New Roman"/>
          <w:color w:val="000000"/>
          <w:kern w:val="0"/>
          <w:lang w:bidi="ar"/>
        </w:rPr>
        <w:t>8</w:t>
      </w:r>
      <w:r>
        <w:rPr>
          <w:rFonts w:hint="eastAsia" w:ascii="宋体" w:hAnsi="宋体" w:cs="宋体"/>
          <w:color w:val="000000"/>
          <w:kern w:val="0"/>
          <w:lang w:bidi="ar"/>
        </w:rPr>
        <w:t>、</w:t>
      </w:r>
      <w:r>
        <w:rPr>
          <w:rFonts w:cs="Times New Roman"/>
          <w:color w:val="000000"/>
          <w:kern w:val="0"/>
          <w:lang w:bidi="ar"/>
        </w:rPr>
        <w:t>9</w:t>
      </w:r>
      <w:r>
        <w:rPr>
          <w:rFonts w:hint="eastAsia" w:ascii="宋体" w:hAnsi="宋体" w:cs="宋体"/>
          <w:color w:val="000000"/>
          <w:kern w:val="0"/>
          <w:lang w:bidi="ar"/>
        </w:rPr>
        <w:t>月）降雨入渗补给大，同时农业开采相对减少，使得地下水位上升；枯水期（</w:t>
      </w:r>
      <w:r>
        <w:rPr>
          <w:rFonts w:cs="Times New Roman"/>
          <w:color w:val="000000"/>
          <w:kern w:val="0"/>
          <w:lang w:bidi="ar"/>
        </w:rPr>
        <w:t>4</w:t>
      </w:r>
      <w:r>
        <w:rPr>
          <w:rFonts w:hint="eastAsia" w:ascii="宋体" w:hAnsi="宋体" w:cs="宋体"/>
          <w:color w:val="000000"/>
          <w:kern w:val="0"/>
          <w:lang w:bidi="ar"/>
        </w:rPr>
        <w:t>、</w:t>
      </w:r>
      <w:r>
        <w:rPr>
          <w:rFonts w:cs="Times New Roman"/>
          <w:color w:val="000000"/>
          <w:kern w:val="0"/>
          <w:lang w:bidi="ar"/>
        </w:rPr>
        <w:t>5</w:t>
      </w:r>
      <w:r>
        <w:rPr>
          <w:rFonts w:hint="eastAsia" w:ascii="宋体" w:hAnsi="宋体" w:cs="宋体"/>
          <w:color w:val="000000"/>
          <w:kern w:val="0"/>
          <w:lang w:bidi="ar"/>
        </w:rPr>
        <w:t>、</w:t>
      </w:r>
      <w:r>
        <w:rPr>
          <w:rFonts w:cs="Times New Roman"/>
          <w:color w:val="000000"/>
          <w:kern w:val="0"/>
          <w:lang w:bidi="ar"/>
        </w:rPr>
        <w:t>6</w:t>
      </w:r>
      <w:r>
        <w:rPr>
          <w:rFonts w:hint="eastAsia" w:ascii="宋体" w:hAnsi="宋体" w:cs="宋体"/>
          <w:color w:val="000000"/>
          <w:kern w:val="0"/>
          <w:lang w:bidi="ar"/>
        </w:rPr>
        <w:t>月）降水量小，农业灌溉开采量大，使得地下水位下降。年内地下水高水位出现在</w:t>
      </w:r>
      <w:r>
        <w:rPr>
          <w:rFonts w:cs="Times New Roman"/>
          <w:color w:val="000000"/>
          <w:kern w:val="0"/>
          <w:lang w:bidi="ar"/>
        </w:rPr>
        <w:t>8</w:t>
      </w:r>
      <w:r>
        <w:rPr>
          <w:rFonts w:hint="eastAsia" w:ascii="宋体" w:hAnsi="宋体" w:cs="宋体"/>
          <w:color w:val="000000"/>
          <w:kern w:val="0"/>
          <w:lang w:bidi="ar"/>
        </w:rPr>
        <w:t>、</w:t>
      </w:r>
      <w:r>
        <w:rPr>
          <w:rFonts w:cs="Times New Roman"/>
          <w:color w:val="000000"/>
          <w:kern w:val="0"/>
          <w:lang w:bidi="ar"/>
        </w:rPr>
        <w:t>9</w:t>
      </w:r>
      <w:r>
        <w:rPr>
          <w:rFonts w:hint="eastAsia" w:ascii="宋体" w:hAnsi="宋体" w:cs="宋体"/>
          <w:color w:val="000000"/>
          <w:kern w:val="0"/>
          <w:lang w:bidi="ar"/>
        </w:rPr>
        <w:t>月份，低水位出现在</w:t>
      </w:r>
      <w:r>
        <w:rPr>
          <w:rFonts w:cs="Times New Roman"/>
          <w:color w:val="000000"/>
          <w:kern w:val="0"/>
          <w:lang w:bidi="ar"/>
        </w:rPr>
        <w:t>5</w:t>
      </w:r>
      <w:r>
        <w:rPr>
          <w:rFonts w:hint="eastAsia" w:ascii="宋体" w:hAnsi="宋体" w:cs="宋体"/>
          <w:color w:val="000000"/>
          <w:kern w:val="0"/>
          <w:lang w:bidi="ar"/>
        </w:rPr>
        <w:t>、</w:t>
      </w:r>
      <w:r>
        <w:rPr>
          <w:rFonts w:cs="Times New Roman"/>
          <w:color w:val="000000"/>
          <w:kern w:val="0"/>
          <w:lang w:bidi="ar"/>
        </w:rPr>
        <w:t>6</w:t>
      </w:r>
      <w:r>
        <w:rPr>
          <w:rFonts w:hint="eastAsia" w:ascii="宋体" w:hAnsi="宋体" w:cs="宋体"/>
          <w:color w:val="000000"/>
          <w:kern w:val="0"/>
          <w:lang w:bidi="ar"/>
        </w:rPr>
        <w:t>月份，根据区域水位动态资料，年水位变幅一般在</w:t>
      </w:r>
      <w:r>
        <w:rPr>
          <w:rFonts w:cs="Times New Roman"/>
          <w:color w:val="000000"/>
          <w:kern w:val="0"/>
          <w:lang w:bidi="ar"/>
        </w:rPr>
        <w:t>1.0m-2.5m</w:t>
      </w:r>
      <w:r>
        <w:rPr>
          <w:rFonts w:hint="eastAsia" w:ascii="宋体" w:hAnsi="宋体" w:cs="宋体"/>
          <w:color w:val="000000"/>
          <w:kern w:val="0"/>
          <w:lang w:bidi="ar"/>
        </w:rPr>
        <w:t>。</w:t>
      </w:r>
    </w:p>
    <w:p>
      <w:pPr>
        <w:pStyle w:val="7"/>
        <w:ind w:firstLine="562"/>
      </w:pPr>
      <w:r>
        <w:rPr>
          <w:rFonts w:hint="eastAsia"/>
        </w:rPr>
        <w:t>5</w:t>
      </w:r>
      <w:r>
        <w:t>.1.5 土壤及动植物</w:t>
      </w:r>
    </w:p>
    <w:p>
      <w:pPr>
        <w:widowControl/>
        <w:ind w:firstLine="480"/>
      </w:pPr>
      <w:r>
        <w:rPr>
          <w:rFonts w:hint="eastAsia" w:ascii="宋体" w:hAnsi="宋体" w:cs="宋体"/>
          <w:color w:val="000000"/>
          <w:kern w:val="0"/>
          <w:lang w:bidi="ar"/>
        </w:rPr>
        <w:t>叶县土地总面积</w:t>
      </w:r>
      <w:r>
        <w:rPr>
          <w:rFonts w:cs="Times New Roman"/>
          <w:color w:val="000000"/>
          <w:kern w:val="0"/>
          <w:lang w:bidi="ar"/>
        </w:rPr>
        <w:t>208</w:t>
      </w:r>
      <w:r>
        <w:rPr>
          <w:rFonts w:hint="eastAsia" w:ascii="宋体" w:hAnsi="宋体" w:cs="宋体"/>
          <w:color w:val="000000"/>
          <w:kern w:val="0"/>
          <w:lang w:bidi="ar"/>
        </w:rPr>
        <w:t>万亩，县内土壤主要有三个土类，其中黄棕壤土类</w:t>
      </w:r>
      <w:r>
        <w:rPr>
          <w:rFonts w:cs="Times New Roman"/>
          <w:color w:val="000000"/>
          <w:kern w:val="0"/>
          <w:lang w:bidi="ar"/>
        </w:rPr>
        <w:t>169.5</w:t>
      </w:r>
      <w:r>
        <w:rPr>
          <w:rFonts w:hint="eastAsia" w:ascii="宋体" w:hAnsi="宋体" w:cs="宋体"/>
          <w:color w:val="000000"/>
          <w:kern w:val="0"/>
          <w:lang w:bidi="ar"/>
        </w:rPr>
        <w:t>，占总面积的</w:t>
      </w:r>
      <w:r>
        <w:rPr>
          <w:rFonts w:cs="Times New Roman"/>
          <w:color w:val="000000"/>
          <w:kern w:val="0"/>
          <w:lang w:bidi="ar"/>
        </w:rPr>
        <w:t>81%</w:t>
      </w:r>
      <w:r>
        <w:rPr>
          <w:rFonts w:hint="eastAsia" w:ascii="宋体" w:hAnsi="宋体" w:cs="宋体"/>
          <w:color w:val="000000"/>
          <w:kern w:val="0"/>
          <w:lang w:bidi="ar"/>
        </w:rPr>
        <w:t>；砂姜黑土类</w:t>
      </w:r>
      <w:r>
        <w:rPr>
          <w:rFonts w:cs="Times New Roman"/>
          <w:color w:val="000000"/>
          <w:kern w:val="0"/>
          <w:lang w:bidi="ar"/>
        </w:rPr>
        <w:t>14.2</w:t>
      </w:r>
      <w:r>
        <w:rPr>
          <w:rFonts w:hint="eastAsia" w:ascii="宋体" w:hAnsi="宋体" w:cs="宋体"/>
          <w:color w:val="000000"/>
          <w:kern w:val="0"/>
          <w:lang w:bidi="ar"/>
        </w:rPr>
        <w:t>万亩，占总面积的</w:t>
      </w:r>
      <w:r>
        <w:rPr>
          <w:rFonts w:cs="Times New Roman"/>
          <w:color w:val="000000"/>
          <w:kern w:val="0"/>
          <w:lang w:bidi="ar"/>
        </w:rPr>
        <w:t>6.9%</w:t>
      </w:r>
      <w:r>
        <w:rPr>
          <w:rFonts w:hint="eastAsia" w:ascii="宋体" w:hAnsi="宋体" w:cs="宋体"/>
          <w:color w:val="000000"/>
          <w:kern w:val="0"/>
          <w:lang w:bidi="ar"/>
        </w:rPr>
        <w:t>；潮土类</w:t>
      </w:r>
      <w:r>
        <w:rPr>
          <w:rFonts w:cs="Times New Roman"/>
          <w:color w:val="000000"/>
          <w:kern w:val="0"/>
          <w:lang w:bidi="ar"/>
        </w:rPr>
        <w:t>21.75</w:t>
      </w:r>
      <w:r>
        <w:rPr>
          <w:rFonts w:hint="eastAsia" w:ascii="宋体" w:hAnsi="宋体" w:cs="宋体"/>
          <w:color w:val="000000"/>
          <w:kern w:val="0"/>
          <w:lang w:bidi="ar"/>
        </w:rPr>
        <w:t>万亩，占</w:t>
      </w:r>
      <w:r>
        <w:rPr>
          <w:rFonts w:cs="Times New Roman"/>
          <w:color w:val="000000"/>
          <w:kern w:val="0"/>
          <w:lang w:bidi="ar"/>
        </w:rPr>
        <w:t>10.6%</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叶县地处暖温带，动植物适生面广，生物资源种类繁多，主要林木植物有杨、柳、榆、槐等以及小麦、玉米、常见杂草等。由于工业生产和人类频繁活动，区域内野生爬行动物迹象罕见，常见野生动物有猫头鹰、啄木鸟、麻雀、燕子等鸟类。</w:t>
      </w:r>
    </w:p>
    <w:p>
      <w:pPr>
        <w:widowControl/>
        <w:ind w:firstLine="480"/>
        <w:rPr>
          <w:rFonts w:ascii="宋体" w:hAnsi="宋体" w:cs="宋体"/>
          <w:color w:val="000000"/>
          <w:kern w:val="0"/>
          <w:lang w:bidi="ar"/>
        </w:rPr>
      </w:pPr>
      <w:r>
        <w:rPr>
          <w:rFonts w:hint="eastAsia" w:ascii="宋体" w:hAnsi="宋体" w:cs="宋体"/>
          <w:color w:val="000000"/>
          <w:kern w:val="0"/>
          <w:lang w:bidi="ar"/>
        </w:rPr>
        <w:t>拟建项目位于</w:t>
      </w:r>
      <w:r>
        <w:rPr>
          <w:rFonts w:hint="eastAsia"/>
          <w:lang w:eastAsia="zh-CN"/>
        </w:rPr>
        <w:t>平顶山市尼龙新材料产业集聚区</w:t>
      </w:r>
      <w:r>
        <w:rPr>
          <w:rFonts w:hint="eastAsia" w:ascii="宋体" w:hAnsi="宋体" w:cs="宋体"/>
          <w:color w:val="000000"/>
          <w:kern w:val="0"/>
          <w:lang w:bidi="ar"/>
        </w:rPr>
        <w:t>，受人为影响，区域内无大型野生动物，植物主要为常见小麦、玉米、常见杂草和人工绿化植物。项目周边</w:t>
      </w:r>
      <w:r>
        <w:rPr>
          <w:rFonts w:cs="Times New Roman"/>
          <w:color w:val="000000"/>
          <w:kern w:val="0"/>
          <w:lang w:bidi="ar"/>
        </w:rPr>
        <w:t>500m</w:t>
      </w:r>
      <w:r>
        <w:rPr>
          <w:rFonts w:hint="eastAsia" w:ascii="宋体" w:hAnsi="宋体" w:cs="宋体"/>
          <w:color w:val="000000"/>
          <w:kern w:val="0"/>
          <w:lang w:bidi="ar"/>
        </w:rPr>
        <w:t>范围内无列入《国家重点保护野生植物名录》和《国家重点保护野生动物名录》的动植物。</w:t>
      </w:r>
    </w:p>
    <w:p>
      <w:pPr>
        <w:pStyle w:val="7"/>
        <w:ind w:firstLine="562"/>
      </w:pPr>
      <w:r>
        <w:rPr>
          <w:rFonts w:hint="eastAsia"/>
        </w:rPr>
        <w:t>5</w:t>
      </w:r>
      <w:r>
        <w:t>.1.</w:t>
      </w:r>
      <w:r>
        <w:rPr>
          <w:rFonts w:hint="eastAsia"/>
        </w:rPr>
        <w:t>6</w:t>
      </w:r>
      <w:r>
        <w:t xml:space="preserve"> </w:t>
      </w:r>
      <w:r>
        <w:rPr>
          <w:rFonts w:hint="eastAsia"/>
        </w:rPr>
        <w:t>矿产资源</w:t>
      </w:r>
    </w:p>
    <w:p>
      <w:pPr>
        <w:widowControl/>
        <w:ind w:firstLine="480"/>
        <w:rPr>
          <w:rFonts w:cs="Times New Roman"/>
          <w:color w:val="000000"/>
          <w:kern w:val="0"/>
          <w:lang w:bidi="ar"/>
        </w:rPr>
      </w:pPr>
      <w:r>
        <w:rPr>
          <w:rFonts w:cs="Times New Roman"/>
          <w:color w:val="000000"/>
          <w:kern w:val="0"/>
          <w:lang w:bidi="ar"/>
        </w:rPr>
        <w:t>叶县资源丰富，气候宜人。境内已查明的矿产资源主要有盐、石油、煤、铁、磷、铝矾土、钾、石墨、大理石及白云岩等。中国第二大内陆盐田—叶县盐田展布面积400平方公里，总储量3300亿吨，品位居全国井矿盐之首。氯化钠含量90%以上，品位居全国井矿盐之首。除此之外，矿产资源还有石墨（储量672万吨）、大理石、重晶石、轻质粘土和锰铁等，其特点为分布广，宜小型开采。</w:t>
      </w:r>
    </w:p>
    <w:p>
      <w:pPr>
        <w:pStyle w:val="6"/>
        <w:ind w:firstLine="0" w:firstLineChars="0"/>
      </w:pPr>
      <w:bookmarkStart w:id="107" w:name="_Toc20445"/>
      <w:bookmarkStart w:id="108" w:name="_Toc6973"/>
      <w:bookmarkStart w:id="109" w:name="_Toc7493"/>
      <w:r>
        <w:rPr>
          <w:lang w:val="en-US"/>
        </w:rPr>
        <w:t>5.2 环境空气质量现状</w:t>
      </w:r>
      <w:bookmarkEnd w:id="107"/>
      <w:bookmarkEnd w:id="108"/>
      <w:bookmarkEnd w:id="109"/>
    </w:p>
    <w:p>
      <w:pPr>
        <w:pStyle w:val="7"/>
        <w:ind w:firstLine="562"/>
      </w:pPr>
      <w:r>
        <w:t>5.2.1 常规检测数据</w:t>
      </w:r>
    </w:p>
    <w:p>
      <w:pPr>
        <w:ind w:firstLine="480"/>
        <w:rPr>
          <w:rFonts w:hint="eastAsia"/>
        </w:rPr>
      </w:pPr>
      <w:r>
        <w:rPr>
          <w:rFonts w:hint="eastAsia"/>
        </w:rPr>
        <w:t>本次区域环境空气质量评价收集了叶县例行监测点2020-2021年连续一年逐日监测数据，以此来说明区域大气环境质量现状情况；区域环境空气质量现状评价结果见表</w:t>
      </w:r>
      <w:r>
        <w:rPr>
          <w:rFonts w:hint="eastAsia"/>
          <w:lang w:val="en-US" w:eastAsia="zh-CN"/>
        </w:rPr>
        <w:t>5.2</w:t>
      </w:r>
      <w:r>
        <w:rPr>
          <w:rFonts w:hint="eastAsia"/>
        </w:rPr>
        <w:t>-1。</w:t>
      </w:r>
    </w:p>
    <w:p>
      <w:pPr>
        <w:pStyle w:val="13"/>
        <w:autoSpaceDE w:val="0"/>
        <w:autoSpaceDN w:val="0"/>
        <w:ind w:firstLine="482"/>
        <w:jc w:val="center"/>
        <w:rPr>
          <w:rFonts w:hint="eastAsia" w:ascii="Times New Roman" w:hAnsi="Times New Roman"/>
          <w:b/>
          <w:bCs/>
          <w:lang w:val="en-US"/>
        </w:rPr>
      </w:pPr>
      <w:r>
        <w:rPr>
          <w:rFonts w:hint="eastAsia" w:ascii="Times New Roman" w:hAnsi="Times New Roman"/>
          <w:b/>
          <w:bCs/>
          <w:lang w:val="en-US"/>
        </w:rPr>
        <w:t>表</w:t>
      </w:r>
      <w:r>
        <w:rPr>
          <w:rFonts w:hint="eastAsia" w:ascii="Times New Roman" w:hAnsi="Times New Roman"/>
          <w:b/>
          <w:bCs/>
          <w:lang w:val="en-US" w:eastAsia="zh-CN"/>
        </w:rPr>
        <w:t>5.2</w:t>
      </w:r>
      <w:r>
        <w:rPr>
          <w:rFonts w:hint="eastAsia" w:ascii="Times New Roman" w:hAnsi="Times New Roman"/>
          <w:b/>
          <w:bCs/>
          <w:lang w:val="en-US"/>
        </w:rPr>
        <w:t>-1    叶县2020-2021年监测数据统计结果</w:t>
      </w:r>
    </w:p>
    <w:tbl>
      <w:tblPr>
        <w:tblStyle w:val="2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634"/>
        <w:gridCol w:w="1174"/>
        <w:gridCol w:w="1101"/>
        <w:gridCol w:w="753"/>
        <w:gridCol w:w="1507"/>
        <w:gridCol w:w="827"/>
        <w:gridCol w:w="827"/>
        <w:gridCol w:w="827"/>
        <w:gridCol w:w="827"/>
        <w:gridCol w:w="6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年份</w:t>
            </w:r>
          </w:p>
        </w:tc>
        <w:tc>
          <w:tcPr>
            <w:tcW w:w="917"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监测点坐标</w:t>
            </w:r>
          </w:p>
        </w:tc>
        <w:tc>
          <w:tcPr>
            <w:tcW w:w="45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污染物</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评价指标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现状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浓度</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标准</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限值</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单位</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占标率</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2020</w:t>
            </w:r>
          </w:p>
        </w:tc>
        <w:tc>
          <w:tcPr>
            <w:tcW w:w="450"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E113.373201</w:t>
            </w:r>
          </w:p>
        </w:tc>
        <w:tc>
          <w:tcPr>
            <w:tcW w:w="467"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N33.624001</w:t>
            </w:r>
          </w:p>
        </w:tc>
        <w:tc>
          <w:tcPr>
            <w:tcW w:w="453"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PM</w:t>
            </w:r>
            <w:r>
              <w:rPr>
                <w:rFonts w:hint="default" w:ascii="Times New Roman" w:hAnsi="Times New Roman" w:eastAsia="宋体" w:cs="Times New Roman"/>
                <w:color w:val="auto"/>
                <w:sz w:val="21"/>
                <w:szCs w:val="21"/>
                <w:vertAlign w:val="subscript"/>
              </w:rPr>
              <w:t>2.5</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年均值</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45</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35</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1.29</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95%保证率24小时平均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75</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1.60</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PM</w:t>
            </w:r>
            <w:r>
              <w:rPr>
                <w:rFonts w:hint="default" w:ascii="Times New Roman" w:hAnsi="Times New Roman" w:eastAsia="宋体" w:cs="Times New Roman"/>
                <w:color w:val="auto"/>
                <w:sz w:val="21"/>
                <w:szCs w:val="21"/>
                <w:vertAlign w:val="subscript"/>
              </w:rPr>
              <w:t>10</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年均值</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89</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70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1.27</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95%保证率24小时平均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174</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1.16</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SO</w:t>
            </w:r>
            <w:r>
              <w:rPr>
                <w:rFonts w:hint="default" w:ascii="Times New Roman" w:hAnsi="Times New Roman" w:eastAsia="宋体" w:cs="Times New Roman"/>
                <w:color w:val="auto"/>
                <w:sz w:val="21"/>
                <w:szCs w:val="21"/>
                <w:vertAlign w:val="subscript"/>
              </w:rPr>
              <w:t>2</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年均值</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60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0.17</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98%保证率24小时平均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21</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0.14</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NO</w:t>
            </w:r>
            <w:r>
              <w:rPr>
                <w:rFonts w:hint="default" w:ascii="Times New Roman" w:hAnsi="Times New Roman" w:eastAsia="宋体" w:cs="Times New Roman"/>
                <w:color w:val="auto"/>
                <w:sz w:val="21"/>
                <w:szCs w:val="21"/>
                <w:vertAlign w:val="subscript"/>
              </w:rPr>
              <w:t>2</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年均值</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27</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0.68</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98%保证率24小时平均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58</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80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0.73</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CO</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95%保证率24小时平均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mg/m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0.33</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O</w:t>
            </w:r>
            <w:r>
              <w:rPr>
                <w:rFonts w:hint="default" w:ascii="Times New Roman" w:hAnsi="Times New Roman" w:eastAsia="宋体" w:cs="Times New Roman"/>
                <w:color w:val="auto"/>
                <w:sz w:val="21"/>
                <w:szCs w:val="21"/>
                <w:vertAlign w:val="subscript"/>
              </w:rPr>
              <w:t>3</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90%保证率8小时平均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156</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160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0.98</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2021</w:t>
            </w: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PM</w:t>
            </w:r>
            <w:r>
              <w:rPr>
                <w:rFonts w:hint="default" w:ascii="Times New Roman" w:hAnsi="Times New Roman" w:eastAsia="宋体" w:cs="Times New Roman"/>
                <w:color w:val="auto"/>
                <w:sz w:val="21"/>
                <w:szCs w:val="21"/>
                <w:vertAlign w:val="subscript"/>
              </w:rPr>
              <w:t>2.5</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年均值</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35</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1.14</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95%保证率24小时平均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104</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75</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1.39</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PM</w:t>
            </w:r>
            <w:r>
              <w:rPr>
                <w:rFonts w:hint="default" w:ascii="Times New Roman" w:hAnsi="Times New Roman" w:eastAsia="宋体" w:cs="Times New Roman"/>
                <w:color w:val="auto"/>
                <w:sz w:val="21"/>
                <w:szCs w:val="21"/>
                <w:vertAlign w:val="subscript"/>
              </w:rPr>
              <w:t>10</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年均值</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88</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70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1.26</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95%保证率24小时平均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218</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1.45</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SO</w:t>
            </w:r>
            <w:r>
              <w:rPr>
                <w:rFonts w:hint="default" w:ascii="Times New Roman" w:hAnsi="Times New Roman" w:eastAsia="宋体" w:cs="Times New Roman"/>
                <w:color w:val="auto"/>
                <w:sz w:val="21"/>
                <w:szCs w:val="21"/>
                <w:vertAlign w:val="subscript"/>
              </w:rPr>
              <w:t>2</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年均值</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60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0.17</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98%保证率24小时平均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21</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0.14</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NO</w:t>
            </w:r>
            <w:r>
              <w:rPr>
                <w:rFonts w:hint="default" w:ascii="Times New Roman" w:hAnsi="Times New Roman" w:eastAsia="宋体" w:cs="Times New Roman"/>
                <w:color w:val="auto"/>
                <w:sz w:val="21"/>
                <w:szCs w:val="21"/>
                <w:vertAlign w:val="subscript"/>
              </w:rPr>
              <w:t>2</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年均值</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25</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0.63</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98%保证率24小时平均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56</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80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0.70</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CO</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95%保证率24小时平均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mg/m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0.30</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388"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0"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67"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p>
        </w:tc>
        <w:tc>
          <w:tcPr>
            <w:tcW w:w="45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O</w:t>
            </w:r>
            <w:r>
              <w:rPr>
                <w:rFonts w:hint="default" w:ascii="Times New Roman" w:hAnsi="Times New Roman" w:eastAsia="宋体" w:cs="Times New Roman"/>
                <w:color w:val="auto"/>
                <w:sz w:val="21"/>
                <w:szCs w:val="21"/>
                <w:vertAlign w:val="subscript"/>
              </w:rPr>
              <w:t>3</w:t>
            </w:r>
          </w:p>
        </w:tc>
        <w:tc>
          <w:tcPr>
            <w:tcW w:w="866"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90%保证率8小时平均</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152</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160</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μg/m</w:t>
            </w:r>
            <w:r>
              <w:rPr>
                <w:rFonts w:hint="default" w:ascii="Times New Roman" w:hAnsi="Times New Roman" w:eastAsia="宋体" w:cs="Times New Roman"/>
                <w:color w:val="auto"/>
                <w:sz w:val="21"/>
                <w:szCs w:val="21"/>
                <w:vertAlign w:val="superscript"/>
              </w:rPr>
              <w:t>3</w:t>
            </w:r>
          </w:p>
        </w:tc>
        <w:tc>
          <w:tcPr>
            <w:tcW w:w="4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0.95</w:t>
            </w:r>
          </w:p>
        </w:tc>
        <w:tc>
          <w:tcPr>
            <w:tcW w:w="39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达标</w:t>
            </w:r>
          </w:p>
        </w:tc>
      </w:tr>
    </w:tbl>
    <w:p>
      <w:pPr>
        <w:pStyle w:val="53"/>
        <w:keepNext w:val="0"/>
        <w:keepLines w:val="0"/>
        <w:pageBreakBefore w:val="0"/>
        <w:widowControl w:val="0"/>
        <w:kinsoku/>
        <w:wordWrap/>
        <w:overflowPunct/>
        <w:topLinePunct w:val="0"/>
        <w:autoSpaceDE/>
        <w:autoSpaceDN/>
        <w:bidi w:val="0"/>
        <w:adjustRightInd/>
        <w:snapToGrid/>
        <w:spacing w:line="360" w:lineRule="auto"/>
        <w:ind w:firstLineChars="200"/>
        <w:textAlignment w:val="auto"/>
        <w:rPr>
          <w:rFonts w:hint="default" w:ascii="Times New Roman" w:hAnsi="Times New Roman" w:eastAsia="宋体" w:cs="Times New Roman"/>
          <w:color w:val="000000" w:themeColor="text1"/>
          <w14:textFill>
            <w14:solidFill>
              <w14:schemeClr w14:val="tx1"/>
            </w14:solidFill>
          </w14:textFill>
        </w:rPr>
      </w:pPr>
      <w:r>
        <w:rPr>
          <w:rFonts w:hint="default" w:ascii="Times New Roman" w:hAnsi="Times New Roman" w:eastAsia="宋体" w:cs="Times New Roman"/>
          <w:color w:val="000000" w:themeColor="text1"/>
          <w14:textFill>
            <w14:solidFill>
              <w14:schemeClr w14:val="tx1"/>
            </w14:solidFill>
          </w14:textFill>
        </w:rPr>
        <w:t>由上表监测数据可知，项目区域环境空气质量除PM</w:t>
      </w:r>
      <w:r>
        <w:rPr>
          <w:rFonts w:hint="default" w:ascii="Times New Roman" w:hAnsi="Times New Roman" w:eastAsia="宋体" w:cs="Times New Roman"/>
          <w:color w:val="000000" w:themeColor="text1"/>
          <w:vertAlign w:val="subscript"/>
          <w14:textFill>
            <w14:solidFill>
              <w14:schemeClr w14:val="tx1"/>
            </w14:solidFill>
          </w14:textFill>
        </w:rPr>
        <w:t>10</w:t>
      </w:r>
      <w:r>
        <w:rPr>
          <w:rFonts w:hint="default" w:ascii="Times New Roman" w:hAnsi="Times New Roman" w:eastAsia="宋体" w:cs="Times New Roman"/>
          <w:color w:val="000000" w:themeColor="text1"/>
          <w14:textFill>
            <w14:solidFill>
              <w14:schemeClr w14:val="tx1"/>
            </w14:solidFill>
          </w14:textFill>
        </w:rPr>
        <w:t>、PM</w:t>
      </w:r>
      <w:r>
        <w:rPr>
          <w:rFonts w:hint="default" w:ascii="Times New Roman" w:hAnsi="Times New Roman" w:eastAsia="宋体" w:cs="Times New Roman"/>
          <w:color w:val="000000" w:themeColor="text1"/>
          <w:vertAlign w:val="subscript"/>
          <w14:textFill>
            <w14:solidFill>
              <w14:schemeClr w14:val="tx1"/>
            </w14:solidFill>
          </w14:textFill>
        </w:rPr>
        <w:t>2.5</w:t>
      </w:r>
      <w:r>
        <w:rPr>
          <w:rFonts w:hint="default" w:ascii="Times New Roman" w:hAnsi="Times New Roman" w:eastAsia="宋体" w:cs="Times New Roman"/>
          <w:color w:val="000000" w:themeColor="text1"/>
          <w14:textFill>
            <w14:solidFill>
              <w14:schemeClr w14:val="tx1"/>
            </w14:solidFill>
          </w14:textFill>
        </w:rPr>
        <w:t>超标外，其余各监测因子均满足《环境空气质量标准》（GB3095-2012）二级标准限值及修改单。根据《环境影响评价技术导则 大气环境》（HJ2.2-2018），城市环境空气质量达标情况评价指标为SO</w:t>
      </w:r>
      <w:r>
        <w:rPr>
          <w:rFonts w:hint="default" w:ascii="Times New Roman" w:hAnsi="Times New Roman" w:eastAsia="宋体" w:cs="Times New Roman"/>
          <w:color w:val="000000" w:themeColor="text1"/>
          <w:vertAlign w:val="subscript"/>
          <w14:textFill>
            <w14:solidFill>
              <w14:schemeClr w14:val="tx1"/>
            </w14:solidFill>
          </w14:textFill>
        </w:rPr>
        <w:t>2</w:t>
      </w:r>
      <w:r>
        <w:rPr>
          <w:rFonts w:hint="default" w:ascii="Times New Roman" w:hAnsi="Times New Roman" w:eastAsia="宋体" w:cs="Times New Roman"/>
          <w:color w:val="000000" w:themeColor="text1"/>
          <w14:textFill>
            <w14:solidFill>
              <w14:schemeClr w14:val="tx1"/>
            </w14:solidFill>
          </w14:textFill>
        </w:rPr>
        <w:t>、NO</w:t>
      </w:r>
      <w:r>
        <w:rPr>
          <w:rFonts w:hint="default" w:ascii="Times New Roman" w:hAnsi="Times New Roman" w:eastAsia="宋体" w:cs="Times New Roman"/>
          <w:color w:val="000000" w:themeColor="text1"/>
          <w:vertAlign w:val="subscript"/>
          <w14:textFill>
            <w14:solidFill>
              <w14:schemeClr w14:val="tx1"/>
            </w14:solidFill>
          </w14:textFill>
        </w:rPr>
        <w:t>2</w:t>
      </w:r>
      <w:r>
        <w:rPr>
          <w:rFonts w:hint="default" w:ascii="Times New Roman" w:hAnsi="Times New Roman" w:eastAsia="宋体" w:cs="Times New Roman"/>
          <w:color w:val="000000" w:themeColor="text1"/>
          <w14:textFill>
            <w14:solidFill>
              <w14:schemeClr w14:val="tx1"/>
            </w14:solidFill>
          </w14:textFill>
        </w:rPr>
        <w:t>、PM</w:t>
      </w:r>
      <w:r>
        <w:rPr>
          <w:rFonts w:hint="default" w:ascii="Times New Roman" w:hAnsi="Times New Roman" w:eastAsia="宋体" w:cs="Times New Roman"/>
          <w:color w:val="000000" w:themeColor="text1"/>
          <w:vertAlign w:val="subscript"/>
          <w14:textFill>
            <w14:solidFill>
              <w14:schemeClr w14:val="tx1"/>
            </w14:solidFill>
          </w14:textFill>
        </w:rPr>
        <w:t>10</w:t>
      </w:r>
      <w:r>
        <w:rPr>
          <w:rFonts w:hint="default" w:ascii="Times New Roman" w:hAnsi="Times New Roman" w:eastAsia="宋体" w:cs="Times New Roman"/>
          <w:color w:val="000000" w:themeColor="text1"/>
          <w14:textFill>
            <w14:solidFill>
              <w14:schemeClr w14:val="tx1"/>
            </w14:solidFill>
          </w14:textFill>
        </w:rPr>
        <w:t>、PM</w:t>
      </w:r>
      <w:r>
        <w:rPr>
          <w:rFonts w:hint="default" w:ascii="Times New Roman" w:hAnsi="Times New Roman" w:eastAsia="宋体" w:cs="Times New Roman"/>
          <w:color w:val="000000" w:themeColor="text1"/>
          <w:vertAlign w:val="subscript"/>
          <w14:textFill>
            <w14:solidFill>
              <w14:schemeClr w14:val="tx1"/>
            </w14:solidFill>
          </w14:textFill>
        </w:rPr>
        <w:t>2.5</w:t>
      </w:r>
      <w:r>
        <w:rPr>
          <w:rFonts w:hint="default" w:ascii="Times New Roman" w:hAnsi="Times New Roman" w:eastAsia="宋体" w:cs="Times New Roman"/>
          <w:color w:val="000000" w:themeColor="text1"/>
          <w14:textFill>
            <w14:solidFill>
              <w14:schemeClr w14:val="tx1"/>
            </w14:solidFill>
          </w14:textFill>
        </w:rPr>
        <w:t>、CO和O</w:t>
      </w:r>
      <w:r>
        <w:rPr>
          <w:rFonts w:hint="default" w:ascii="Times New Roman" w:hAnsi="Times New Roman" w:eastAsia="宋体" w:cs="Times New Roman"/>
          <w:color w:val="000000" w:themeColor="text1"/>
          <w:vertAlign w:val="subscript"/>
          <w14:textFill>
            <w14:solidFill>
              <w14:schemeClr w14:val="tx1"/>
            </w14:solidFill>
          </w14:textFill>
        </w:rPr>
        <w:t>3</w:t>
      </w:r>
      <w:r>
        <w:rPr>
          <w:rFonts w:hint="default" w:ascii="Times New Roman" w:hAnsi="Times New Roman" w:eastAsia="宋体" w:cs="Times New Roman"/>
          <w:color w:val="000000" w:themeColor="text1"/>
          <w14:textFill>
            <w14:solidFill>
              <w14:schemeClr w14:val="tx1"/>
            </w14:solidFill>
          </w14:textFill>
        </w:rPr>
        <w:t>，六项污染物全部达标即为城市环境空气质量达标。由于叶县区域PM</w:t>
      </w:r>
      <w:r>
        <w:rPr>
          <w:rFonts w:hint="default" w:ascii="Times New Roman" w:hAnsi="Times New Roman" w:eastAsia="宋体" w:cs="Times New Roman"/>
          <w:color w:val="000000" w:themeColor="text1"/>
          <w:vertAlign w:val="subscript"/>
          <w14:textFill>
            <w14:solidFill>
              <w14:schemeClr w14:val="tx1"/>
            </w14:solidFill>
          </w14:textFill>
        </w:rPr>
        <w:t>10</w:t>
      </w:r>
      <w:r>
        <w:rPr>
          <w:rFonts w:hint="default" w:ascii="Times New Roman" w:hAnsi="Times New Roman" w:eastAsia="宋体" w:cs="Times New Roman"/>
          <w:color w:val="000000" w:themeColor="text1"/>
          <w14:textFill>
            <w14:solidFill>
              <w14:schemeClr w14:val="tx1"/>
            </w14:solidFill>
          </w14:textFill>
        </w:rPr>
        <w:t>、PM</w:t>
      </w:r>
      <w:r>
        <w:rPr>
          <w:rFonts w:hint="default" w:ascii="Times New Roman" w:hAnsi="Times New Roman" w:eastAsia="宋体" w:cs="Times New Roman"/>
          <w:color w:val="000000" w:themeColor="text1"/>
          <w:vertAlign w:val="subscript"/>
          <w14:textFill>
            <w14:solidFill>
              <w14:schemeClr w14:val="tx1"/>
            </w14:solidFill>
          </w14:textFill>
        </w:rPr>
        <w:t>2.5</w:t>
      </w:r>
      <w:r>
        <w:rPr>
          <w:rFonts w:hint="default" w:ascii="Times New Roman" w:hAnsi="Times New Roman" w:eastAsia="宋体" w:cs="Times New Roman"/>
          <w:color w:val="000000" w:themeColor="text1"/>
          <w14:textFill>
            <w14:solidFill>
              <w14:schemeClr w14:val="tx1"/>
            </w14:solidFill>
          </w14:textFill>
        </w:rPr>
        <w:t>超标，由此可知，本项目所在地属于不达标区域。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b/>
          <w:color w:val="000000" w:themeColor="text1"/>
          <w:sz w:val="24"/>
          <w:u w:val="single"/>
          <w14:textFill>
            <w14:solidFill>
              <w14:schemeClr w14:val="tx1"/>
            </w14:solidFill>
          </w14:textFill>
        </w:rPr>
      </w:pPr>
      <w:r>
        <w:rPr>
          <w:rFonts w:hint="default" w:ascii="Times New Roman" w:hAnsi="Times New Roman" w:eastAsia="宋体" w:cs="Times New Roman"/>
          <w:color w:val="000000" w:themeColor="text1"/>
          <w:sz w:val="24"/>
          <w14:textFill>
            <w14:solidFill>
              <w14:schemeClr w14:val="tx1"/>
            </w14:solidFill>
          </w14:textFill>
        </w:rPr>
        <w:t>为贯彻落实省委、省政府和市委、市政府关于深入打好污染防治攻坚战的决策部署，持续改善全市环境空气质量，深入推进2022年全市大气污染防治攻坚工作，平顶山市生态环境保护委员会办公室印发了《平顶山市2022年大气污染防治攻坚战实施方案》。通过2022年大气污染防治攻坚战实施方案的实施，区域环境空气质量将得到有效改善。</w:t>
      </w:r>
    </w:p>
    <w:p>
      <w:pPr>
        <w:ind w:firstLine="480"/>
      </w:pPr>
      <w:r>
        <w:rPr>
          <w:rFonts w:hint="eastAsia"/>
        </w:rPr>
        <w:t>同时本次评价委托河南宜信检测技术服务有限公司于</w:t>
      </w:r>
      <w:r>
        <w:t>202</w:t>
      </w:r>
      <w:r>
        <w:rPr>
          <w:rFonts w:hint="eastAsia"/>
        </w:rPr>
        <w:t>1年12月30日～</w:t>
      </w:r>
      <w:r>
        <w:t>20</w:t>
      </w:r>
      <w:r>
        <w:rPr>
          <w:rFonts w:hint="eastAsia"/>
        </w:rPr>
        <w:t>22年01月05日对本项目特征因子非甲烷总烃和硫化氢进行环境质量现状监测。</w:t>
      </w:r>
    </w:p>
    <w:p>
      <w:pPr>
        <w:pStyle w:val="7"/>
        <w:ind w:left="439" w:firstLine="0" w:firstLineChars="0"/>
      </w:pPr>
      <w:r>
        <w:rPr>
          <w:rFonts w:hint="eastAsia"/>
        </w:rPr>
        <w:t xml:space="preserve">5.2.1 </w:t>
      </w:r>
      <w:r>
        <w:t>监测布点</w:t>
      </w:r>
    </w:p>
    <w:p>
      <w:pPr>
        <w:pStyle w:val="13"/>
        <w:autoSpaceDE w:val="0"/>
        <w:autoSpaceDN w:val="0"/>
        <w:ind w:firstLine="480"/>
        <w:rPr>
          <w:rFonts w:ascii="Times New Roman" w:hAnsi="Times New Roman"/>
          <w:color w:val="C00000"/>
          <w:lang w:val="en-US"/>
        </w:rPr>
      </w:pPr>
      <w:r>
        <w:rPr>
          <w:rFonts w:ascii="Times New Roman" w:hAnsi="Times New Roman"/>
          <w:lang w:val="en-US"/>
        </w:rPr>
        <w:t>根据本项目所处位置、项目初步工程分析结果、周边敏感点分布情况和当地气象条件（主导风向NE）等因素，并结合HJ2.2-2018要求，本次环境空气现状监测共布设1个点位，详见表5.2-</w:t>
      </w:r>
      <w:r>
        <w:rPr>
          <w:rFonts w:hint="eastAsia" w:ascii="Times New Roman" w:hAnsi="Times New Roman"/>
          <w:lang w:val="en-US" w:eastAsia="zh-CN"/>
        </w:rPr>
        <w:t>2</w:t>
      </w:r>
      <w:r>
        <w:rPr>
          <w:rFonts w:ascii="Times New Roman" w:hAnsi="Times New Roman"/>
          <w:lang w:val="en-US"/>
        </w:rPr>
        <w:t>及附图</w:t>
      </w:r>
      <w:r>
        <w:rPr>
          <w:rFonts w:hint="eastAsia" w:ascii="Times New Roman" w:hAnsi="Times New Roman"/>
          <w:lang w:val="en-US"/>
        </w:rPr>
        <w:t>4</w:t>
      </w:r>
      <w:r>
        <w:rPr>
          <w:rFonts w:ascii="Times New Roman" w:hAnsi="Times New Roman"/>
          <w:lang w:val="en-US"/>
        </w:rPr>
        <w:t>。</w:t>
      </w:r>
    </w:p>
    <w:p>
      <w:pPr>
        <w:pStyle w:val="13"/>
        <w:autoSpaceDE w:val="0"/>
        <w:autoSpaceDN w:val="0"/>
        <w:ind w:firstLine="482"/>
        <w:jc w:val="center"/>
        <w:rPr>
          <w:rFonts w:ascii="Times New Roman" w:hAnsi="Times New Roman"/>
          <w:b/>
          <w:bCs/>
          <w:lang w:val="en-US"/>
        </w:rPr>
      </w:pPr>
      <w:r>
        <w:rPr>
          <w:rFonts w:hint="eastAsia" w:ascii="Times New Roman" w:hAnsi="Times New Roman"/>
          <w:b/>
          <w:bCs/>
          <w:lang w:val="en-US"/>
        </w:rPr>
        <w:t>表</w:t>
      </w:r>
      <w:r>
        <w:rPr>
          <w:rFonts w:ascii="Times New Roman" w:hAnsi="Times New Roman"/>
          <w:b/>
          <w:bCs/>
          <w:lang w:val="en-US"/>
        </w:rPr>
        <w:t>5.2-</w:t>
      </w:r>
      <w:r>
        <w:rPr>
          <w:rFonts w:hint="eastAsia" w:ascii="Times New Roman" w:hAnsi="Times New Roman"/>
          <w:b/>
          <w:bCs/>
          <w:lang w:val="en-US" w:eastAsia="zh-CN"/>
        </w:rPr>
        <w:t>2</w:t>
      </w:r>
      <w:r>
        <w:rPr>
          <w:rFonts w:hint="eastAsia" w:ascii="Times New Roman" w:hAnsi="Times New Roman"/>
          <w:b/>
          <w:bCs/>
          <w:lang w:val="en-US"/>
        </w:rPr>
        <w:t xml:space="preserve">  环境空气现状监测点情况表</w:t>
      </w:r>
    </w:p>
    <w:tbl>
      <w:tblPr>
        <w:tblStyle w:val="28"/>
        <w:tblW w:w="501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0"/>
        <w:gridCol w:w="1616"/>
        <w:gridCol w:w="2046"/>
        <w:gridCol w:w="2233"/>
        <w:gridCol w:w="21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jc w:val="center"/>
        </w:trPr>
        <w:tc>
          <w:tcPr>
            <w:tcW w:w="1009" w:type="dxa"/>
            <w:vAlign w:val="center"/>
          </w:tcPr>
          <w:p>
            <w:pPr>
              <w:pStyle w:val="38"/>
              <w:rPr>
                <w:rFonts w:hint="default"/>
              </w:rPr>
            </w:pPr>
            <w:r>
              <w:t>序号</w:t>
            </w:r>
          </w:p>
        </w:tc>
        <w:tc>
          <w:tcPr>
            <w:tcW w:w="1614" w:type="dxa"/>
            <w:vAlign w:val="center"/>
          </w:tcPr>
          <w:p>
            <w:pPr>
              <w:pStyle w:val="38"/>
              <w:rPr>
                <w:rFonts w:hint="default"/>
              </w:rPr>
            </w:pPr>
            <w:r>
              <w:t>位置</w:t>
            </w:r>
          </w:p>
        </w:tc>
        <w:tc>
          <w:tcPr>
            <w:tcW w:w="2044" w:type="dxa"/>
            <w:vAlign w:val="center"/>
          </w:tcPr>
          <w:p>
            <w:pPr>
              <w:pStyle w:val="38"/>
              <w:rPr>
                <w:rFonts w:hint="default"/>
              </w:rPr>
            </w:pPr>
            <w:r>
              <w:t>与厂址相对方位</w:t>
            </w:r>
          </w:p>
        </w:tc>
        <w:tc>
          <w:tcPr>
            <w:tcW w:w="2231" w:type="dxa"/>
            <w:vAlign w:val="center"/>
          </w:tcPr>
          <w:p>
            <w:pPr>
              <w:pStyle w:val="38"/>
              <w:rPr>
                <w:rFonts w:hint="default"/>
              </w:rPr>
            </w:pPr>
            <w:r>
              <w:t>距厂址距离（m）</w:t>
            </w:r>
          </w:p>
        </w:tc>
        <w:tc>
          <w:tcPr>
            <w:tcW w:w="2193" w:type="dxa"/>
            <w:vAlign w:val="center"/>
          </w:tcPr>
          <w:p>
            <w:pPr>
              <w:pStyle w:val="38"/>
              <w:rPr>
                <w:rFonts w:hint="default"/>
              </w:rPr>
            </w:pPr>
            <w:r>
              <w:t>功能区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jc w:val="center"/>
        </w:trPr>
        <w:tc>
          <w:tcPr>
            <w:tcW w:w="1009" w:type="dxa"/>
            <w:vAlign w:val="center"/>
          </w:tcPr>
          <w:p>
            <w:pPr>
              <w:pStyle w:val="38"/>
              <w:rPr>
                <w:rFonts w:hint="default"/>
              </w:rPr>
            </w:pPr>
            <w:r>
              <w:t>1</w:t>
            </w:r>
          </w:p>
        </w:tc>
        <w:tc>
          <w:tcPr>
            <w:tcW w:w="1614" w:type="dxa"/>
            <w:vAlign w:val="center"/>
          </w:tcPr>
          <w:p>
            <w:pPr>
              <w:pStyle w:val="38"/>
              <w:rPr>
                <w:rFonts w:hint="default"/>
              </w:rPr>
            </w:pPr>
            <w:r>
              <w:t>龚店镇</w:t>
            </w:r>
          </w:p>
        </w:tc>
        <w:tc>
          <w:tcPr>
            <w:tcW w:w="2044" w:type="dxa"/>
            <w:vAlign w:val="center"/>
          </w:tcPr>
          <w:p>
            <w:pPr>
              <w:spacing w:line="240" w:lineRule="auto"/>
              <w:ind w:firstLine="0" w:firstLineChars="0"/>
              <w:jc w:val="center"/>
              <w:rPr>
                <w:sz w:val="21"/>
                <w:szCs w:val="21"/>
              </w:rPr>
            </w:pPr>
            <w:r>
              <w:rPr>
                <w:rFonts w:hint="eastAsia"/>
                <w:sz w:val="21"/>
                <w:szCs w:val="21"/>
              </w:rPr>
              <w:t>SW</w:t>
            </w:r>
          </w:p>
        </w:tc>
        <w:tc>
          <w:tcPr>
            <w:tcW w:w="2231" w:type="dxa"/>
            <w:vAlign w:val="center"/>
          </w:tcPr>
          <w:p>
            <w:pPr>
              <w:pStyle w:val="38"/>
              <w:rPr>
                <w:rFonts w:hint="default"/>
              </w:rPr>
            </w:pPr>
            <w:r>
              <w:t>1120</w:t>
            </w:r>
          </w:p>
        </w:tc>
        <w:tc>
          <w:tcPr>
            <w:tcW w:w="2193" w:type="dxa"/>
            <w:vAlign w:val="center"/>
          </w:tcPr>
          <w:p>
            <w:pPr>
              <w:pStyle w:val="38"/>
              <w:rPr>
                <w:rFonts w:hint="default"/>
              </w:rPr>
            </w:pPr>
            <w:r>
              <w:t>居民区</w:t>
            </w:r>
          </w:p>
        </w:tc>
      </w:tr>
    </w:tbl>
    <w:p>
      <w:pPr>
        <w:pStyle w:val="7"/>
        <w:keepNext w:val="0"/>
        <w:keepLines w:val="0"/>
        <w:autoSpaceDE w:val="0"/>
        <w:autoSpaceDN w:val="0"/>
        <w:ind w:firstLine="0" w:firstLineChars="0"/>
      </w:pPr>
      <w:r>
        <w:rPr>
          <w:rFonts w:hint="eastAsia"/>
        </w:rPr>
        <w:t xml:space="preserve">5.2.2 </w:t>
      </w:r>
      <w:r>
        <w:t>监测项目及监测频率</w:t>
      </w:r>
    </w:p>
    <w:p>
      <w:pPr>
        <w:pStyle w:val="13"/>
        <w:autoSpaceDE w:val="0"/>
        <w:autoSpaceDN w:val="0"/>
        <w:ind w:firstLine="480"/>
        <w:rPr>
          <w:rFonts w:ascii="Times New Roman" w:hAnsi="Times New Roman"/>
          <w:lang w:val="en-US"/>
        </w:rPr>
      </w:pPr>
      <w:r>
        <w:rPr>
          <w:rFonts w:hint="eastAsia" w:ascii="Times New Roman" w:hAnsi="Times New Roman"/>
          <w:lang w:val="en-US"/>
        </w:rPr>
        <w:t>硫化氢参考《河南神马尼龙化工有限责任公司尼龙化工产业配套氢氨项目环境影响报告书》中于2020年4月24日～4月30日委托郑州德析检测技术有限公司对区域硫化氢特征因子的监测数据。</w:t>
      </w:r>
    </w:p>
    <w:p>
      <w:pPr>
        <w:pStyle w:val="13"/>
        <w:autoSpaceDE w:val="0"/>
        <w:autoSpaceDN w:val="0"/>
        <w:ind w:firstLine="480"/>
        <w:rPr>
          <w:rFonts w:ascii="Times New Roman" w:hAnsi="Times New Roman"/>
          <w:lang w:val="en-US"/>
        </w:rPr>
      </w:pPr>
      <w:r>
        <w:rPr>
          <w:rFonts w:ascii="Times New Roman" w:hAnsi="Times New Roman"/>
          <w:lang w:val="en-US"/>
        </w:rPr>
        <w:t>现场监测，连续采样7天，监测时间为</w:t>
      </w:r>
      <w:r>
        <w:rPr>
          <w:rFonts w:hint="eastAsia" w:ascii="Times New Roman" w:hAnsi="Times New Roman"/>
          <w:lang w:val="en-US"/>
        </w:rPr>
        <w:t>2021</w:t>
      </w:r>
      <w:r>
        <w:rPr>
          <w:rFonts w:ascii="Times New Roman" w:hAnsi="Times New Roman"/>
          <w:lang w:val="en-US"/>
        </w:rPr>
        <w:t>年</w:t>
      </w:r>
      <w:r>
        <w:rPr>
          <w:rFonts w:hint="eastAsia" w:ascii="Times New Roman" w:hAnsi="Times New Roman"/>
          <w:lang w:val="en-US"/>
        </w:rPr>
        <w:t>12</w:t>
      </w:r>
      <w:r>
        <w:rPr>
          <w:rFonts w:ascii="Times New Roman" w:hAnsi="Times New Roman"/>
          <w:lang w:val="en-US"/>
        </w:rPr>
        <w:t>月</w:t>
      </w:r>
      <w:r>
        <w:rPr>
          <w:rFonts w:hint="eastAsia" w:ascii="Times New Roman" w:hAnsi="Times New Roman"/>
          <w:lang w:val="en-US"/>
        </w:rPr>
        <w:t>30</w:t>
      </w:r>
      <w:r>
        <w:rPr>
          <w:rFonts w:ascii="Times New Roman" w:hAnsi="Times New Roman"/>
          <w:lang w:val="en-US"/>
        </w:rPr>
        <w:t>日</w:t>
      </w:r>
      <w:r>
        <w:rPr>
          <w:rFonts w:hint="eastAsia" w:ascii="Times New Roman" w:hAnsi="Times New Roman"/>
          <w:lang w:val="en-US"/>
        </w:rPr>
        <w:t>～2022</w:t>
      </w:r>
      <w:r>
        <w:rPr>
          <w:rFonts w:ascii="Times New Roman" w:hAnsi="Times New Roman"/>
          <w:lang w:val="en-US"/>
        </w:rPr>
        <w:t>年</w:t>
      </w:r>
      <w:r>
        <w:rPr>
          <w:rFonts w:hint="eastAsia" w:ascii="Times New Roman" w:hAnsi="Times New Roman"/>
          <w:lang w:val="en-US"/>
        </w:rPr>
        <w:t>01</w:t>
      </w:r>
      <w:r>
        <w:rPr>
          <w:rFonts w:ascii="Times New Roman" w:hAnsi="Times New Roman"/>
          <w:lang w:val="en-US"/>
        </w:rPr>
        <w:t>月</w:t>
      </w:r>
      <w:r>
        <w:rPr>
          <w:rFonts w:hint="eastAsia" w:ascii="Times New Roman" w:hAnsi="Times New Roman"/>
          <w:lang w:val="en-US"/>
        </w:rPr>
        <w:t>05</w:t>
      </w:r>
      <w:r>
        <w:rPr>
          <w:rFonts w:ascii="Times New Roman" w:hAnsi="Times New Roman"/>
          <w:lang w:val="en-US"/>
        </w:rPr>
        <w:t>日。结合工程和环境特点，初步确定监测因子及监测频率见表5.2-</w:t>
      </w:r>
      <w:r>
        <w:rPr>
          <w:rFonts w:hint="eastAsia" w:ascii="Times New Roman" w:hAnsi="Times New Roman"/>
          <w:lang w:val="en-US" w:eastAsia="zh-CN"/>
        </w:rPr>
        <w:t>3</w:t>
      </w:r>
      <w:r>
        <w:rPr>
          <w:rFonts w:ascii="Times New Roman" w:hAnsi="Times New Roman"/>
          <w:lang w:val="en-US"/>
        </w:rPr>
        <w:t>。</w:t>
      </w:r>
    </w:p>
    <w:p>
      <w:pPr>
        <w:pStyle w:val="13"/>
        <w:autoSpaceDE w:val="0"/>
        <w:autoSpaceDN w:val="0"/>
        <w:ind w:firstLine="482"/>
        <w:jc w:val="center"/>
        <w:rPr>
          <w:rFonts w:ascii="Times New Roman" w:hAnsi="Times New Roman"/>
          <w:b/>
          <w:bCs/>
          <w:lang w:val="en-US"/>
        </w:rPr>
      </w:pPr>
      <w:r>
        <w:rPr>
          <w:rFonts w:hint="eastAsia" w:ascii="Times New Roman" w:hAnsi="Times New Roman"/>
          <w:b/>
          <w:bCs/>
          <w:lang w:val="en-US"/>
        </w:rPr>
        <w:t>表5.2-</w:t>
      </w:r>
      <w:r>
        <w:rPr>
          <w:rFonts w:hint="eastAsia" w:ascii="Times New Roman" w:hAnsi="Times New Roman"/>
          <w:b/>
          <w:bCs/>
          <w:lang w:val="en-US" w:eastAsia="zh-CN"/>
        </w:rPr>
        <w:t>3</w:t>
      </w:r>
      <w:r>
        <w:rPr>
          <w:rFonts w:hint="eastAsia" w:ascii="Times New Roman" w:hAnsi="Times New Roman"/>
          <w:b/>
          <w:bCs/>
          <w:lang w:val="en-US"/>
        </w:rPr>
        <w:t xml:space="preserve">  监测因子及频率一览表</w:t>
      </w:r>
    </w:p>
    <w:tbl>
      <w:tblPr>
        <w:tblStyle w:val="28"/>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741"/>
        <w:gridCol w:w="1907"/>
        <w:gridCol w:w="44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26" w:hRule="atLeast"/>
          <w:jc w:val="center"/>
        </w:trPr>
        <w:tc>
          <w:tcPr>
            <w:tcW w:w="2779" w:type="dxa"/>
            <w:vAlign w:val="center"/>
          </w:tcPr>
          <w:p>
            <w:pPr>
              <w:pStyle w:val="38"/>
              <w:rPr>
                <w:rFonts w:hint="default"/>
              </w:rPr>
            </w:pPr>
            <w:r>
              <w:t>监测因子</w:t>
            </w:r>
          </w:p>
        </w:tc>
        <w:tc>
          <w:tcPr>
            <w:tcW w:w="1934" w:type="dxa"/>
            <w:vAlign w:val="center"/>
          </w:tcPr>
          <w:p>
            <w:pPr>
              <w:pStyle w:val="38"/>
              <w:rPr>
                <w:rFonts w:hint="default"/>
              </w:rPr>
            </w:pPr>
            <w:r>
              <w:t>监测类型</w:t>
            </w:r>
          </w:p>
        </w:tc>
        <w:tc>
          <w:tcPr>
            <w:tcW w:w="4496" w:type="dxa"/>
            <w:vAlign w:val="center"/>
          </w:tcPr>
          <w:p>
            <w:pPr>
              <w:pStyle w:val="38"/>
              <w:rPr>
                <w:rFonts w:hint="default"/>
              </w:rPr>
            </w:pPr>
            <w:r>
              <w:t>监测频率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2779" w:type="dxa"/>
            <w:vAlign w:val="center"/>
          </w:tcPr>
          <w:p>
            <w:pPr>
              <w:pStyle w:val="38"/>
              <w:rPr>
                <w:rFonts w:hint="default"/>
              </w:rPr>
            </w:pPr>
            <w:r>
              <w:t>非甲烷总烃、氨、硫化氢</w:t>
            </w:r>
          </w:p>
        </w:tc>
        <w:tc>
          <w:tcPr>
            <w:tcW w:w="1934" w:type="dxa"/>
            <w:vAlign w:val="center"/>
          </w:tcPr>
          <w:p>
            <w:pPr>
              <w:pStyle w:val="38"/>
              <w:rPr>
                <w:rFonts w:hint="default"/>
              </w:rPr>
            </w:pPr>
            <w:r>
              <w:t>1小时平均</w:t>
            </w:r>
          </w:p>
        </w:tc>
        <w:tc>
          <w:tcPr>
            <w:tcW w:w="4496" w:type="dxa"/>
            <w:vAlign w:val="center"/>
          </w:tcPr>
          <w:p>
            <w:pPr>
              <w:pStyle w:val="38"/>
              <w:rPr>
                <w:rFonts w:hint="default"/>
              </w:rPr>
            </w:pPr>
            <w:r>
              <w:t>连续监测7天，每天采样4次（02、08、14、20时各1次），每次45min的采样时间</w:t>
            </w:r>
          </w:p>
        </w:tc>
      </w:tr>
    </w:tbl>
    <w:p>
      <w:pPr>
        <w:pStyle w:val="13"/>
        <w:autoSpaceDE w:val="0"/>
        <w:autoSpaceDN w:val="0"/>
        <w:ind w:firstLine="480"/>
        <w:rPr>
          <w:rFonts w:ascii="Times New Roman" w:hAnsi="Times New Roman"/>
          <w:lang w:val="en-US"/>
        </w:rPr>
      </w:pPr>
      <w:r>
        <w:rPr>
          <w:rFonts w:ascii="Times New Roman" w:hAnsi="Times New Roman"/>
          <w:lang w:val="en-US"/>
        </w:rPr>
        <w:t>监测期间同时对地面风向、风速、气温、气压等常规气象因素进行观测和记录。</w:t>
      </w:r>
    </w:p>
    <w:p>
      <w:pPr>
        <w:pStyle w:val="7"/>
        <w:keepNext w:val="0"/>
        <w:keepLines w:val="0"/>
        <w:autoSpaceDE w:val="0"/>
        <w:autoSpaceDN w:val="0"/>
        <w:ind w:firstLine="0" w:firstLineChars="0"/>
        <w:rPr>
          <w:rFonts w:cs="宋体"/>
        </w:rPr>
      </w:pPr>
      <w:r>
        <w:rPr>
          <w:rFonts w:hint="eastAsia" w:cs="宋体"/>
        </w:rPr>
        <w:t>5.2.3 监测与分析方法</w:t>
      </w:r>
    </w:p>
    <w:p>
      <w:pPr>
        <w:pStyle w:val="13"/>
        <w:autoSpaceDE w:val="0"/>
        <w:autoSpaceDN w:val="0"/>
        <w:ind w:firstLine="480"/>
      </w:pPr>
      <w:r>
        <w:t>环境空气质量监测按《环境空气质量标准》（</w:t>
      </w:r>
      <w:r>
        <w:rPr>
          <w:rFonts w:ascii="Times New Roman" w:eastAsia="Times New Roman"/>
        </w:rPr>
        <w:t>GB3095-2012</w:t>
      </w:r>
      <w:r>
        <w:t>）</w:t>
      </w:r>
      <w:r>
        <w:rPr>
          <w:rFonts w:hint="eastAsia"/>
          <w:u w:val="single"/>
          <w:lang w:eastAsia="zh-CN"/>
        </w:rPr>
        <w:t>及修改单</w:t>
      </w:r>
      <w:r>
        <w:t>中规定进行。具体采样及分析方法见表</w:t>
      </w:r>
      <w:r>
        <w:rPr>
          <w:rFonts w:ascii="Times New Roman" w:eastAsia="Times New Roman"/>
        </w:rPr>
        <w:t>5.2-</w:t>
      </w:r>
      <w:r>
        <w:rPr>
          <w:rFonts w:hint="eastAsia" w:ascii="Times New Roman" w:eastAsia="宋体"/>
          <w:lang w:val="en-US" w:eastAsia="zh-CN"/>
        </w:rPr>
        <w:t>4</w:t>
      </w:r>
      <w:r>
        <w:t>。</w:t>
      </w:r>
    </w:p>
    <w:p>
      <w:pPr>
        <w:pStyle w:val="13"/>
        <w:autoSpaceDE w:val="0"/>
        <w:autoSpaceDN w:val="0"/>
        <w:ind w:firstLine="482"/>
        <w:jc w:val="center"/>
        <w:rPr>
          <w:rFonts w:ascii="Times New Roman" w:hAnsi="Times New Roman"/>
          <w:b/>
          <w:bCs/>
          <w:lang w:val="en-US"/>
        </w:rPr>
      </w:pPr>
      <w:r>
        <w:rPr>
          <w:rFonts w:hint="eastAsia" w:ascii="Times New Roman" w:hAnsi="Times New Roman"/>
          <w:b/>
          <w:bCs/>
          <w:lang w:val="en-US"/>
        </w:rPr>
        <w:t>表5.2-</w:t>
      </w:r>
      <w:r>
        <w:rPr>
          <w:rFonts w:hint="eastAsia" w:ascii="Times New Roman" w:hAnsi="Times New Roman"/>
          <w:b/>
          <w:bCs/>
          <w:lang w:val="en-US" w:eastAsia="zh-CN"/>
        </w:rPr>
        <w:t>4</w:t>
      </w:r>
      <w:r>
        <w:rPr>
          <w:rFonts w:hint="eastAsia" w:ascii="Times New Roman" w:hAnsi="Times New Roman"/>
          <w:b/>
          <w:bCs/>
          <w:lang w:val="en-US"/>
        </w:rPr>
        <w:t xml:space="preserve">  监测分析方法及使用仪器一览表</w:t>
      </w:r>
    </w:p>
    <w:tbl>
      <w:tblPr>
        <w:tblStyle w:val="28"/>
        <w:tblW w:w="5013"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12"/>
        <w:gridCol w:w="1102"/>
        <w:gridCol w:w="5686"/>
        <w:gridCol w:w="160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12" w:type="dxa"/>
            <w:vAlign w:val="center"/>
          </w:tcPr>
          <w:p>
            <w:pPr>
              <w:pStyle w:val="10"/>
              <w:keepNext w:val="0"/>
              <w:keepLines w:val="0"/>
              <w:pageBreakBefore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u w:val="single"/>
              </w:rPr>
            </w:pPr>
            <w:r>
              <w:rPr>
                <w:rFonts w:hint="default" w:ascii="Times New Roman" w:hAnsi="Times New Roman" w:eastAsia="宋体" w:cs="Times New Roman"/>
                <w:bCs/>
                <w:color w:val="auto"/>
                <w:sz w:val="21"/>
                <w:szCs w:val="21"/>
                <w:u w:val="single"/>
              </w:rPr>
              <w:t>序号</w:t>
            </w:r>
          </w:p>
        </w:tc>
        <w:tc>
          <w:tcPr>
            <w:tcW w:w="1101" w:type="dxa"/>
            <w:vAlign w:val="center"/>
          </w:tcPr>
          <w:p>
            <w:pPr>
              <w:pStyle w:val="10"/>
              <w:keepNext w:val="0"/>
              <w:keepLines w:val="0"/>
              <w:pageBreakBefore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u w:val="single"/>
              </w:rPr>
            </w:pPr>
            <w:r>
              <w:rPr>
                <w:rFonts w:hint="default" w:ascii="Times New Roman" w:hAnsi="Times New Roman" w:eastAsia="宋体" w:cs="Times New Roman"/>
                <w:bCs/>
                <w:color w:val="auto"/>
                <w:sz w:val="21"/>
                <w:szCs w:val="21"/>
                <w:u w:val="single"/>
              </w:rPr>
              <w:t>项目</w:t>
            </w:r>
          </w:p>
        </w:tc>
        <w:tc>
          <w:tcPr>
            <w:tcW w:w="5680" w:type="dxa"/>
            <w:vAlign w:val="center"/>
          </w:tcPr>
          <w:p>
            <w:pPr>
              <w:pStyle w:val="10"/>
              <w:keepNext w:val="0"/>
              <w:keepLines w:val="0"/>
              <w:pageBreakBefore w:val="0"/>
              <w:tabs>
                <w:tab w:val="left" w:pos="7560"/>
              </w:tabs>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u w:val="single"/>
              </w:rPr>
            </w:pPr>
            <w:r>
              <w:rPr>
                <w:rFonts w:hint="default" w:ascii="Times New Roman" w:hAnsi="Times New Roman" w:eastAsia="宋体" w:cs="Times New Roman"/>
                <w:bCs/>
                <w:color w:val="auto"/>
                <w:sz w:val="21"/>
                <w:szCs w:val="21"/>
                <w:u w:val="single"/>
              </w:rPr>
              <w:t>监测标准</w:t>
            </w:r>
          </w:p>
        </w:tc>
        <w:tc>
          <w:tcPr>
            <w:tcW w:w="1604" w:type="dxa"/>
            <w:vAlign w:val="center"/>
          </w:tcPr>
          <w:p>
            <w:pPr>
              <w:pStyle w:val="10"/>
              <w:keepNext w:val="0"/>
              <w:keepLines w:val="0"/>
              <w:pageBreakBefore w:val="0"/>
              <w:tabs>
                <w:tab w:val="left" w:pos="7560"/>
              </w:tabs>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u w:val="single"/>
              </w:rPr>
            </w:pPr>
            <w:r>
              <w:rPr>
                <w:rFonts w:hint="default" w:ascii="Times New Roman" w:hAnsi="Times New Roman" w:eastAsia="宋体" w:cs="Times New Roman"/>
                <w:bCs/>
                <w:color w:val="auto"/>
                <w:sz w:val="21"/>
                <w:szCs w:val="21"/>
                <w:u w:val="single"/>
              </w:rPr>
              <w:t>最低检出限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12" w:type="dxa"/>
            <w:vAlign w:val="center"/>
          </w:tcPr>
          <w:p>
            <w:pPr>
              <w:pStyle w:val="10"/>
              <w:keepNext w:val="0"/>
              <w:keepLines w:val="0"/>
              <w:pageBreakBefore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u w:val="single"/>
              </w:rPr>
            </w:pPr>
            <w:r>
              <w:rPr>
                <w:rFonts w:hint="default" w:ascii="Times New Roman" w:hAnsi="Times New Roman" w:eastAsia="宋体" w:cs="Times New Roman"/>
                <w:color w:val="auto"/>
                <w:sz w:val="21"/>
                <w:szCs w:val="21"/>
                <w:u w:val="single"/>
              </w:rPr>
              <w:t>1</w:t>
            </w:r>
          </w:p>
        </w:tc>
        <w:tc>
          <w:tcPr>
            <w:tcW w:w="1101" w:type="dxa"/>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u w:val="single"/>
              </w:rPr>
            </w:pPr>
            <w:r>
              <w:rPr>
                <w:rFonts w:hint="default" w:ascii="Times New Roman" w:hAnsi="Times New Roman" w:eastAsia="宋体" w:cs="Times New Roman"/>
                <w:color w:val="auto"/>
                <w:kern w:val="0"/>
                <w:sz w:val="21"/>
                <w:szCs w:val="21"/>
                <w:u w:val="single"/>
                <w:lang w:bidi="ar"/>
              </w:rPr>
              <w:t>氨</w:t>
            </w:r>
          </w:p>
        </w:tc>
        <w:tc>
          <w:tcPr>
            <w:tcW w:w="5680" w:type="dxa"/>
            <w:vAlign w:val="center"/>
          </w:tcPr>
          <w:p>
            <w:pPr>
              <w:keepNext w:val="0"/>
              <w:keepLines w:val="0"/>
              <w:pageBreakBefore w:val="0"/>
              <w:widowControl/>
              <w:tabs>
                <w:tab w:val="left" w:pos="530"/>
                <w:tab w:val="center" w:pos="1193"/>
              </w:tabs>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kern w:val="0"/>
                <w:sz w:val="21"/>
                <w:szCs w:val="21"/>
                <w:u w:val="single"/>
                <w:lang w:bidi="ar"/>
              </w:rPr>
            </w:pPr>
            <w:r>
              <w:rPr>
                <w:rFonts w:hint="default" w:ascii="Times New Roman" w:hAnsi="Times New Roman" w:eastAsia="宋体" w:cs="Times New Roman"/>
                <w:color w:val="auto"/>
                <w:kern w:val="0"/>
                <w:sz w:val="21"/>
                <w:szCs w:val="21"/>
                <w:u w:val="single"/>
                <w:lang w:bidi="ar"/>
              </w:rPr>
              <w:t>环境空气 氨的测定 次氯酸钠-水杨酸分光光度法</w:t>
            </w:r>
          </w:p>
          <w:p>
            <w:pPr>
              <w:keepNext w:val="0"/>
              <w:keepLines w:val="0"/>
              <w:pageBreakBefore w:val="0"/>
              <w:widowControl/>
              <w:tabs>
                <w:tab w:val="left" w:pos="530"/>
                <w:tab w:val="center" w:pos="1193"/>
              </w:tabs>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u w:val="single"/>
              </w:rPr>
            </w:pPr>
            <w:r>
              <w:rPr>
                <w:rFonts w:hint="default" w:ascii="Times New Roman" w:hAnsi="Times New Roman" w:eastAsia="宋体" w:cs="Times New Roman"/>
                <w:color w:val="auto"/>
                <w:kern w:val="0"/>
                <w:sz w:val="21"/>
                <w:szCs w:val="21"/>
                <w:u w:val="single"/>
                <w:lang w:bidi="ar"/>
              </w:rPr>
              <w:t>HJ534-2009</w:t>
            </w:r>
          </w:p>
        </w:tc>
        <w:tc>
          <w:tcPr>
            <w:tcW w:w="1604" w:type="dxa"/>
            <w:vAlign w:val="center"/>
          </w:tcPr>
          <w:p>
            <w:pPr>
              <w:keepNext w:val="0"/>
              <w:keepLines w:val="0"/>
              <w:pageBreakBefore w:val="0"/>
              <w:tabs>
                <w:tab w:val="left" w:pos="7560"/>
              </w:tabs>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sz w:val="21"/>
                <w:szCs w:val="21"/>
                <w:u w:val="single"/>
              </w:rPr>
            </w:pPr>
            <w:r>
              <w:rPr>
                <w:rFonts w:hint="default" w:ascii="Times New Roman" w:hAnsi="Times New Roman" w:eastAsia="宋体" w:cs="Times New Roman"/>
                <w:bCs/>
                <w:color w:val="auto"/>
                <w:sz w:val="21"/>
                <w:szCs w:val="21"/>
                <w:u w:val="single"/>
              </w:rPr>
              <w:t>0.004mg/m</w:t>
            </w:r>
            <w:r>
              <w:rPr>
                <w:rFonts w:hint="default" w:ascii="Times New Roman" w:hAnsi="Times New Roman" w:eastAsia="宋体" w:cs="Times New Roman"/>
                <w:bCs/>
                <w:color w:val="auto"/>
                <w:sz w:val="21"/>
                <w:szCs w:val="21"/>
                <w:u w:val="single"/>
                <w:vertAlign w:val="superscript"/>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12" w:type="dxa"/>
            <w:vAlign w:val="center"/>
          </w:tcPr>
          <w:p>
            <w:pPr>
              <w:pStyle w:val="10"/>
              <w:keepNext w:val="0"/>
              <w:keepLines w:val="0"/>
              <w:pageBreakBefore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000000"/>
                <w:kern w:val="0"/>
                <w:sz w:val="21"/>
                <w:szCs w:val="21"/>
                <w:u w:val="single"/>
                <w:lang w:bidi="ar"/>
              </w:rPr>
            </w:pPr>
            <w:r>
              <w:rPr>
                <w:rFonts w:hint="default" w:ascii="Times New Roman" w:hAnsi="Times New Roman" w:eastAsia="宋体" w:cs="Times New Roman"/>
                <w:color w:val="auto"/>
                <w:sz w:val="21"/>
                <w:szCs w:val="21"/>
                <w:u w:val="single"/>
              </w:rPr>
              <w:t>2</w:t>
            </w:r>
          </w:p>
        </w:tc>
        <w:tc>
          <w:tcPr>
            <w:tcW w:w="1101" w:type="dxa"/>
            <w:vAlign w:val="center"/>
          </w:tcPr>
          <w:p>
            <w:pPr>
              <w:keepNext w:val="0"/>
              <w:keepLines w:val="0"/>
              <w:pageBreakBefore w:val="0"/>
              <w:widowControl/>
              <w:tabs>
                <w:tab w:val="left" w:pos="530"/>
                <w:tab w:val="center" w:pos="1193"/>
              </w:tabs>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000000"/>
                <w:kern w:val="0"/>
                <w:sz w:val="21"/>
                <w:szCs w:val="21"/>
                <w:u w:val="single"/>
                <w:lang w:bidi="ar"/>
              </w:rPr>
            </w:pPr>
            <w:r>
              <w:rPr>
                <w:rFonts w:hint="default" w:ascii="Times New Roman" w:hAnsi="Times New Roman" w:eastAsia="宋体" w:cs="Times New Roman"/>
                <w:sz w:val="21"/>
                <w:szCs w:val="21"/>
                <w:u w:val="single"/>
              </w:rPr>
              <w:t>硫化氢</w:t>
            </w:r>
          </w:p>
        </w:tc>
        <w:tc>
          <w:tcPr>
            <w:tcW w:w="5680" w:type="dxa"/>
            <w:vAlign w:val="center"/>
          </w:tcPr>
          <w:p>
            <w:pPr>
              <w:keepNext w:val="0"/>
              <w:keepLines w:val="0"/>
              <w:pageBreakBefore w:val="0"/>
              <w:widowControl/>
              <w:tabs>
                <w:tab w:val="left" w:pos="530"/>
                <w:tab w:val="center" w:pos="1193"/>
              </w:tabs>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000000"/>
                <w:kern w:val="0"/>
                <w:sz w:val="21"/>
                <w:szCs w:val="21"/>
                <w:u w:val="single"/>
                <w:lang w:bidi="ar"/>
              </w:rPr>
            </w:pPr>
            <w:r>
              <w:rPr>
                <w:rFonts w:hint="default" w:ascii="Times New Roman" w:hAnsi="Times New Roman" w:eastAsia="宋体" w:cs="Times New Roman"/>
                <w:color w:val="auto"/>
                <w:kern w:val="0"/>
                <w:sz w:val="21"/>
                <w:szCs w:val="21"/>
                <w:u w:val="single"/>
                <w:lang w:bidi="ar"/>
              </w:rPr>
              <w:t>《空气和废气监测分析方法》（第四版增补版）第五篇 第四章 十（三）（亚甲基蓝分光光度法）</w:t>
            </w:r>
          </w:p>
        </w:tc>
        <w:tc>
          <w:tcPr>
            <w:tcW w:w="1604" w:type="dxa"/>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000000"/>
                <w:kern w:val="0"/>
                <w:sz w:val="21"/>
                <w:szCs w:val="21"/>
                <w:u w:val="single"/>
                <w:lang w:bidi="ar"/>
              </w:rPr>
            </w:pPr>
            <w:r>
              <w:rPr>
                <w:rFonts w:hint="default" w:ascii="Times New Roman" w:hAnsi="Times New Roman" w:eastAsia="宋体" w:cs="Times New Roman"/>
                <w:color w:val="auto"/>
                <w:kern w:val="0"/>
                <w:sz w:val="21"/>
                <w:szCs w:val="21"/>
                <w:u w:val="single"/>
                <w:lang w:bidi="ar"/>
              </w:rPr>
              <w:t>0.001mg/m</w:t>
            </w:r>
            <w:r>
              <w:rPr>
                <w:rFonts w:hint="default" w:ascii="Times New Roman" w:hAnsi="Times New Roman" w:eastAsia="宋体" w:cs="Times New Roman"/>
                <w:color w:val="auto"/>
                <w:kern w:val="0"/>
                <w:sz w:val="21"/>
                <w:szCs w:val="21"/>
                <w:u w:val="single"/>
                <w:vertAlign w:val="superscript"/>
                <w:lang w:bidi="ar"/>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712" w:type="dxa"/>
            <w:vAlign w:val="center"/>
          </w:tcPr>
          <w:p>
            <w:pPr>
              <w:pStyle w:val="10"/>
              <w:keepNext w:val="0"/>
              <w:keepLines w:val="0"/>
              <w:pageBreakBefore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000000"/>
                <w:kern w:val="0"/>
                <w:sz w:val="21"/>
                <w:szCs w:val="21"/>
                <w:u w:val="single"/>
                <w:lang w:bidi="ar"/>
              </w:rPr>
            </w:pPr>
            <w:r>
              <w:rPr>
                <w:rFonts w:hint="default" w:ascii="Times New Roman" w:hAnsi="Times New Roman" w:eastAsia="宋体" w:cs="Times New Roman"/>
                <w:color w:val="auto"/>
                <w:sz w:val="21"/>
                <w:szCs w:val="21"/>
                <w:u w:val="single"/>
              </w:rPr>
              <w:t>3</w:t>
            </w:r>
          </w:p>
        </w:tc>
        <w:tc>
          <w:tcPr>
            <w:tcW w:w="1101" w:type="dxa"/>
            <w:vAlign w:val="center"/>
          </w:tcPr>
          <w:p>
            <w:pPr>
              <w:keepNext w:val="0"/>
              <w:keepLines w:val="0"/>
              <w:pageBreakBefore w:val="0"/>
              <w:widowControl/>
              <w:tabs>
                <w:tab w:val="left" w:pos="530"/>
                <w:tab w:val="center" w:pos="1193"/>
              </w:tabs>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000000"/>
                <w:kern w:val="0"/>
                <w:sz w:val="21"/>
                <w:szCs w:val="21"/>
                <w:u w:val="single"/>
                <w:lang w:bidi="ar"/>
              </w:rPr>
            </w:pPr>
            <w:r>
              <w:rPr>
                <w:rFonts w:hint="default" w:ascii="Times New Roman" w:hAnsi="Times New Roman" w:eastAsia="宋体" w:cs="Times New Roman"/>
                <w:sz w:val="21"/>
                <w:szCs w:val="21"/>
                <w:u w:val="single"/>
              </w:rPr>
              <w:t>非甲烷总烃</w:t>
            </w:r>
          </w:p>
        </w:tc>
        <w:tc>
          <w:tcPr>
            <w:tcW w:w="5680" w:type="dxa"/>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000000"/>
                <w:kern w:val="0"/>
                <w:sz w:val="21"/>
                <w:szCs w:val="21"/>
                <w:u w:val="single"/>
                <w:lang w:bidi="ar"/>
              </w:rPr>
            </w:pPr>
            <w:r>
              <w:rPr>
                <w:rFonts w:hint="default" w:ascii="Times New Roman" w:hAnsi="Times New Roman" w:eastAsia="宋体" w:cs="Times New Roman"/>
                <w:sz w:val="21"/>
                <w:szCs w:val="21"/>
                <w:u w:val="single"/>
              </w:rPr>
              <w:fldChar w:fldCharType="begin"/>
            </w:r>
            <w:r>
              <w:rPr>
                <w:rFonts w:hint="default" w:ascii="Times New Roman" w:hAnsi="Times New Roman" w:eastAsia="宋体" w:cs="Times New Roman"/>
                <w:sz w:val="21"/>
                <w:szCs w:val="21"/>
                <w:u w:val="single"/>
              </w:rPr>
              <w:instrText xml:space="preserve"> HYPERLINK "http://kjs.mep.gov.cn/hjbhbz/bzwb/jcffbz/201712/t20171220_428271.shtml" </w:instrText>
            </w:r>
            <w:r>
              <w:rPr>
                <w:rFonts w:hint="default" w:ascii="Times New Roman" w:hAnsi="Times New Roman" w:eastAsia="宋体" w:cs="Times New Roman"/>
                <w:sz w:val="21"/>
                <w:szCs w:val="21"/>
                <w:u w:val="single"/>
              </w:rPr>
              <w:fldChar w:fldCharType="separate"/>
            </w:r>
            <w:r>
              <w:rPr>
                <w:rFonts w:hint="default" w:ascii="Times New Roman" w:hAnsi="Times New Roman" w:eastAsia="宋体" w:cs="Times New Roman"/>
                <w:color w:val="auto"/>
                <w:kern w:val="0"/>
                <w:sz w:val="21"/>
                <w:szCs w:val="21"/>
                <w:u w:val="single"/>
                <w:lang w:bidi="ar"/>
              </w:rPr>
              <w:t>环境空气 总烃、甲烷和非甲烷总烃的测定 直接进样-气相色谱法 HJ 604-2017</w:t>
            </w:r>
            <w:r>
              <w:rPr>
                <w:rFonts w:hint="default" w:ascii="Times New Roman" w:hAnsi="Times New Roman" w:eastAsia="宋体" w:cs="Times New Roman"/>
                <w:color w:val="auto"/>
                <w:kern w:val="0"/>
                <w:sz w:val="21"/>
                <w:szCs w:val="21"/>
                <w:u w:val="single"/>
                <w:lang w:bidi="ar"/>
              </w:rPr>
              <w:fldChar w:fldCharType="end"/>
            </w:r>
          </w:p>
        </w:tc>
        <w:tc>
          <w:tcPr>
            <w:tcW w:w="1604" w:type="dxa"/>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000000"/>
                <w:kern w:val="0"/>
                <w:sz w:val="21"/>
                <w:szCs w:val="21"/>
                <w:u w:val="single"/>
                <w:lang w:bidi="ar"/>
              </w:rPr>
            </w:pPr>
            <w:r>
              <w:rPr>
                <w:rFonts w:hint="default" w:ascii="Times New Roman" w:hAnsi="Times New Roman" w:eastAsia="宋体" w:cs="Times New Roman"/>
                <w:color w:val="auto"/>
                <w:kern w:val="0"/>
                <w:sz w:val="21"/>
                <w:szCs w:val="21"/>
                <w:u w:val="single"/>
                <w:lang w:bidi="ar"/>
              </w:rPr>
              <w:t>0.07mg/m</w:t>
            </w:r>
            <w:r>
              <w:rPr>
                <w:rFonts w:hint="default" w:ascii="Times New Roman" w:hAnsi="Times New Roman" w:eastAsia="宋体" w:cs="Times New Roman"/>
                <w:color w:val="auto"/>
                <w:kern w:val="0"/>
                <w:sz w:val="21"/>
                <w:szCs w:val="21"/>
                <w:u w:val="single"/>
                <w:vertAlign w:val="superscript"/>
                <w:lang w:bidi="ar"/>
              </w:rPr>
              <w:t>3</w:t>
            </w:r>
          </w:p>
        </w:tc>
      </w:tr>
    </w:tbl>
    <w:p>
      <w:pPr>
        <w:pStyle w:val="13"/>
        <w:ind w:right="410" w:firstLine="480"/>
        <w:rPr>
          <w:rFonts w:ascii="Times New Roman" w:hAnsi="Times New Roman"/>
        </w:rPr>
      </w:pPr>
      <w:r>
        <w:rPr>
          <w:rFonts w:hint="eastAsia" w:ascii="Times New Roman" w:hAnsi="Times New Roman"/>
          <w:lang w:val="en-US"/>
        </w:rPr>
        <w:t>监测期间气象资料见表</w:t>
      </w:r>
      <w:r>
        <w:rPr>
          <w:rFonts w:ascii="Times New Roman" w:hAnsi="Times New Roman"/>
          <w:lang w:val="en-US"/>
        </w:rPr>
        <w:t>5.2-</w:t>
      </w:r>
      <w:r>
        <w:rPr>
          <w:rFonts w:hint="eastAsia" w:ascii="Times New Roman" w:hAnsi="Times New Roman"/>
          <w:lang w:val="en-US" w:eastAsia="zh-CN"/>
        </w:rPr>
        <w:t>5</w:t>
      </w:r>
      <w:r>
        <w:rPr>
          <w:rFonts w:hint="eastAsia" w:ascii="Times New Roman" w:hAnsi="Times New Roman"/>
          <w:lang w:val="en-US"/>
        </w:rPr>
        <w:t>。</w:t>
      </w:r>
    </w:p>
    <w:p>
      <w:pPr>
        <w:pStyle w:val="13"/>
        <w:autoSpaceDE w:val="0"/>
        <w:autoSpaceDN w:val="0"/>
        <w:ind w:firstLine="482"/>
        <w:jc w:val="center"/>
        <w:rPr>
          <w:rFonts w:ascii="Times New Roman" w:hAnsi="Times New Roman"/>
          <w:b/>
          <w:bCs/>
          <w:lang w:val="en-US"/>
        </w:rPr>
      </w:pPr>
      <w:r>
        <w:rPr>
          <w:rFonts w:hint="eastAsia" w:ascii="Times New Roman" w:hAnsi="Times New Roman"/>
          <w:b/>
          <w:bCs/>
          <w:lang w:val="en-US"/>
        </w:rPr>
        <w:t>表5.2-</w:t>
      </w:r>
      <w:r>
        <w:rPr>
          <w:rFonts w:hint="eastAsia" w:ascii="Times New Roman" w:hAnsi="Times New Roman"/>
          <w:b/>
          <w:bCs/>
          <w:lang w:val="en-US" w:eastAsia="zh-CN"/>
        </w:rPr>
        <w:t>5</w:t>
      </w:r>
      <w:r>
        <w:rPr>
          <w:rFonts w:hint="eastAsia" w:ascii="Times New Roman" w:hAnsi="Times New Roman"/>
          <w:b/>
          <w:bCs/>
          <w:lang w:val="en-US"/>
        </w:rPr>
        <w:t xml:space="preserve">  监测期间气象资料</w:t>
      </w:r>
    </w:p>
    <w:tbl>
      <w:tblPr>
        <w:tblStyle w:val="5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228"/>
        <w:gridCol w:w="1335"/>
        <w:gridCol w:w="1223"/>
        <w:gridCol w:w="996"/>
        <w:gridCol w:w="890"/>
        <w:gridCol w:w="970"/>
        <w:gridCol w:w="838"/>
        <w:gridCol w:w="890"/>
        <w:gridCol w:w="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411" w:type="pct"/>
            <w:gridSpan w:val="2"/>
            <w:vAlign w:val="center"/>
          </w:tcPr>
          <w:p>
            <w:pPr>
              <w:pStyle w:val="38"/>
              <w:rPr>
                <w:rFonts w:hint="default"/>
              </w:rPr>
            </w:pPr>
            <w:r>
              <w:t>测量时间</w:t>
            </w:r>
          </w:p>
        </w:tc>
        <w:tc>
          <w:tcPr>
            <w:tcW w:w="673" w:type="pct"/>
            <w:vAlign w:val="center"/>
          </w:tcPr>
          <w:p>
            <w:pPr>
              <w:pStyle w:val="38"/>
              <w:rPr>
                <w:rFonts w:hint="default"/>
              </w:rPr>
            </w:pPr>
            <w:r>
              <w:t>温度</w:t>
            </w:r>
          </w:p>
          <w:p>
            <w:pPr>
              <w:pStyle w:val="38"/>
              <w:rPr>
                <w:rFonts w:hint="default"/>
              </w:rPr>
            </w:pPr>
            <w:r>
              <w:t>（℃）</w:t>
            </w:r>
          </w:p>
        </w:tc>
        <w:tc>
          <w:tcPr>
            <w:tcW w:w="548" w:type="pct"/>
            <w:vAlign w:val="center"/>
          </w:tcPr>
          <w:p>
            <w:pPr>
              <w:pStyle w:val="38"/>
              <w:rPr>
                <w:rFonts w:hint="default"/>
              </w:rPr>
            </w:pPr>
            <w:r>
              <w:t>大气压（kPa）</w:t>
            </w:r>
          </w:p>
        </w:tc>
        <w:tc>
          <w:tcPr>
            <w:tcW w:w="490" w:type="pct"/>
            <w:vAlign w:val="center"/>
          </w:tcPr>
          <w:p>
            <w:pPr>
              <w:pStyle w:val="38"/>
              <w:rPr>
                <w:rFonts w:hint="default"/>
              </w:rPr>
            </w:pPr>
            <w:r>
              <w:t>风速</w:t>
            </w:r>
          </w:p>
          <w:p>
            <w:pPr>
              <w:pStyle w:val="38"/>
              <w:rPr>
                <w:rFonts w:hint="default"/>
              </w:rPr>
            </w:pPr>
            <w:r>
              <w:t>（m/s）</w:t>
            </w:r>
          </w:p>
        </w:tc>
        <w:tc>
          <w:tcPr>
            <w:tcW w:w="534" w:type="pct"/>
            <w:vAlign w:val="center"/>
          </w:tcPr>
          <w:p>
            <w:pPr>
              <w:pStyle w:val="38"/>
              <w:rPr>
                <w:rFonts w:hint="default"/>
              </w:rPr>
            </w:pPr>
            <w:r>
              <w:t>风向</w:t>
            </w:r>
          </w:p>
        </w:tc>
        <w:tc>
          <w:tcPr>
            <w:tcW w:w="461" w:type="pct"/>
            <w:vAlign w:val="center"/>
          </w:tcPr>
          <w:p>
            <w:pPr>
              <w:pStyle w:val="38"/>
              <w:rPr>
                <w:rFonts w:hint="default"/>
              </w:rPr>
            </w:pPr>
            <w:r>
              <w:t>低云量</w:t>
            </w:r>
          </w:p>
        </w:tc>
        <w:tc>
          <w:tcPr>
            <w:tcW w:w="490" w:type="pct"/>
            <w:vAlign w:val="center"/>
          </w:tcPr>
          <w:p>
            <w:pPr>
              <w:pStyle w:val="38"/>
              <w:rPr>
                <w:rFonts w:hint="default"/>
              </w:rPr>
            </w:pPr>
            <w:r>
              <w:t>总云量</w:t>
            </w:r>
          </w:p>
        </w:tc>
        <w:tc>
          <w:tcPr>
            <w:tcW w:w="389" w:type="pct"/>
            <w:vAlign w:val="center"/>
          </w:tcPr>
          <w:p>
            <w:pPr>
              <w:pStyle w:val="38"/>
              <w:rPr>
                <w:rFonts w:hint="default"/>
              </w:rPr>
            </w:pPr>
            <w:r>
              <w:t>天气</w:t>
            </w:r>
          </w:p>
          <w:p>
            <w:pPr>
              <w:pStyle w:val="38"/>
              <w:rPr>
                <w:rFonts w:hint="default"/>
              </w:rPr>
            </w:pPr>
            <w:r>
              <w:t>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restart"/>
            <w:vAlign w:val="center"/>
          </w:tcPr>
          <w:p>
            <w:pPr>
              <w:spacing w:line="240" w:lineRule="auto"/>
              <w:ind w:firstLine="0" w:firstLineChars="0"/>
              <w:jc w:val="center"/>
              <w:rPr>
                <w:rFonts w:cs="Times New Roman"/>
                <w:sz w:val="21"/>
                <w:szCs w:val="21"/>
              </w:rPr>
            </w:pPr>
            <w:r>
              <w:rPr>
                <w:rFonts w:eastAsia="Times New Roman" w:cs="Times New Roman"/>
                <w:spacing w:val="-3"/>
                <w:sz w:val="21"/>
                <w:szCs w:val="21"/>
              </w:rPr>
              <w:t>2021.</w:t>
            </w:r>
            <w:r>
              <w:rPr>
                <w:rFonts w:hint="eastAsia" w:cs="Times New Roman"/>
                <w:spacing w:val="-3"/>
                <w:sz w:val="21"/>
                <w:szCs w:val="21"/>
              </w:rPr>
              <w:t>12</w:t>
            </w:r>
            <w:r>
              <w:rPr>
                <w:rFonts w:eastAsia="Times New Roman" w:cs="Times New Roman"/>
                <w:spacing w:val="-3"/>
                <w:sz w:val="21"/>
                <w:szCs w:val="21"/>
              </w:rPr>
              <w:t>.</w:t>
            </w:r>
            <w:r>
              <w:rPr>
                <w:rFonts w:hint="eastAsia" w:cs="Times New Roman"/>
                <w:spacing w:val="-3"/>
                <w:sz w:val="21"/>
                <w:szCs w:val="21"/>
              </w:rPr>
              <w:t>30</w:t>
            </w: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02:00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23.9</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99.8</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4"/>
                <w:sz w:val="21"/>
                <w:szCs w:val="21"/>
              </w:rPr>
              <w:t>1.8</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08:00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30.7</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99.5</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1.6</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14:00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33.2</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99.4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1.6</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8</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20:00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27.2</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99.7</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99"/>
                <w:sz w:val="21"/>
                <w:szCs w:val="21"/>
              </w:rPr>
              <w:t>1.7</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restart"/>
            <w:vAlign w:val="center"/>
          </w:tcPr>
          <w:p>
            <w:pPr>
              <w:spacing w:line="240" w:lineRule="auto"/>
              <w:ind w:firstLine="0" w:firstLineChars="0"/>
              <w:jc w:val="center"/>
              <w:rPr>
                <w:rFonts w:cs="Times New Roman"/>
                <w:sz w:val="21"/>
                <w:szCs w:val="21"/>
              </w:rPr>
            </w:pPr>
            <w:r>
              <w:rPr>
                <w:rFonts w:eastAsia="Times New Roman" w:cs="Times New Roman"/>
                <w:spacing w:val="-3"/>
                <w:sz w:val="21"/>
                <w:szCs w:val="21"/>
              </w:rPr>
              <w:t>2021.</w:t>
            </w:r>
            <w:r>
              <w:rPr>
                <w:rFonts w:hint="eastAsia" w:cs="Times New Roman"/>
                <w:spacing w:val="-3"/>
                <w:sz w:val="21"/>
                <w:szCs w:val="21"/>
              </w:rPr>
              <w:t>12.31</w:t>
            </w: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02:00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24.2</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99.6</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102"/>
                <w:sz w:val="21"/>
                <w:szCs w:val="21"/>
              </w:rPr>
              <w:t>2.1</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08:00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31.2</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99.4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2.0</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8</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14:00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34.</w:t>
            </w:r>
            <w:r>
              <w:rPr>
                <w:rFonts w:eastAsia="Times New Roman" w:cs="Times New Roman"/>
                <w:spacing w:val="-28"/>
                <w:sz w:val="21"/>
                <w:szCs w:val="21"/>
              </w:rPr>
              <w:t xml:space="preserve"> </w:t>
            </w:r>
            <w:r>
              <w:rPr>
                <w:rFonts w:eastAsia="Times New Roman" w:cs="Times New Roman"/>
                <w:spacing w:val="-2"/>
                <w:sz w:val="21"/>
                <w:szCs w:val="21"/>
              </w:rPr>
              <w:t>1</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2.2</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20:00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29.6</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99.5</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2.2</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restart"/>
            <w:vAlign w:val="center"/>
          </w:tcPr>
          <w:p>
            <w:pPr>
              <w:spacing w:line="240" w:lineRule="auto"/>
              <w:ind w:firstLine="0" w:firstLineChars="0"/>
              <w:jc w:val="center"/>
              <w:rPr>
                <w:rFonts w:cs="Times New Roman"/>
                <w:sz w:val="21"/>
                <w:szCs w:val="21"/>
              </w:rPr>
            </w:pPr>
            <w:r>
              <w:rPr>
                <w:rFonts w:eastAsia="Times New Roman" w:cs="Times New Roman"/>
                <w:spacing w:val="-3"/>
                <w:sz w:val="21"/>
                <w:szCs w:val="21"/>
              </w:rPr>
              <w:t>202</w:t>
            </w:r>
            <w:r>
              <w:rPr>
                <w:rFonts w:hint="eastAsia" w:cs="Times New Roman"/>
                <w:spacing w:val="-3"/>
                <w:sz w:val="21"/>
                <w:szCs w:val="21"/>
              </w:rPr>
              <w:t>2</w:t>
            </w:r>
            <w:r>
              <w:rPr>
                <w:rFonts w:eastAsia="Times New Roman" w:cs="Times New Roman"/>
                <w:spacing w:val="-3"/>
                <w:sz w:val="21"/>
                <w:szCs w:val="21"/>
              </w:rPr>
              <w:t>.0</w:t>
            </w:r>
            <w:r>
              <w:rPr>
                <w:rFonts w:hint="eastAsia" w:cs="Times New Roman"/>
                <w:spacing w:val="-3"/>
                <w:sz w:val="21"/>
                <w:szCs w:val="21"/>
              </w:rPr>
              <w:t>1</w:t>
            </w:r>
            <w:r>
              <w:rPr>
                <w:rFonts w:eastAsia="Times New Roman" w:cs="Times New Roman"/>
                <w:spacing w:val="-3"/>
                <w:sz w:val="21"/>
                <w:szCs w:val="21"/>
              </w:rPr>
              <w:t>.</w:t>
            </w:r>
            <w:r>
              <w:rPr>
                <w:rFonts w:hint="eastAsia" w:cs="Times New Roman"/>
                <w:spacing w:val="-3"/>
                <w:sz w:val="21"/>
                <w:szCs w:val="21"/>
              </w:rPr>
              <w:t>01</w:t>
            </w: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02:00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23.2</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99.9</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1.6</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08:00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29.6</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99.8</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1.5</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14:00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32.6</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99.5</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99"/>
                <w:sz w:val="21"/>
                <w:szCs w:val="21"/>
              </w:rPr>
              <w:t>1.7</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20:00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30.4</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99.7</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99"/>
                <w:sz w:val="21"/>
                <w:szCs w:val="21"/>
              </w:rPr>
              <w:t>1.7</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NW</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8</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restar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202</w:t>
            </w:r>
            <w:r>
              <w:rPr>
                <w:rFonts w:hint="eastAsia" w:cs="Times New Roman"/>
                <w:spacing w:val="-3"/>
                <w:sz w:val="21"/>
                <w:szCs w:val="21"/>
              </w:rPr>
              <w:t>2</w:t>
            </w:r>
            <w:r>
              <w:rPr>
                <w:rFonts w:eastAsia="Times New Roman" w:cs="Times New Roman"/>
                <w:spacing w:val="-3"/>
                <w:sz w:val="21"/>
                <w:szCs w:val="21"/>
              </w:rPr>
              <w:t>.0</w:t>
            </w:r>
            <w:r>
              <w:rPr>
                <w:rFonts w:hint="eastAsia" w:cs="Times New Roman"/>
                <w:spacing w:val="-3"/>
                <w:sz w:val="21"/>
                <w:szCs w:val="21"/>
              </w:rPr>
              <w:t>1</w:t>
            </w:r>
            <w:r>
              <w:rPr>
                <w:rFonts w:eastAsia="Times New Roman" w:cs="Times New Roman"/>
                <w:spacing w:val="-3"/>
                <w:sz w:val="21"/>
                <w:szCs w:val="21"/>
              </w:rPr>
              <w:t>.</w:t>
            </w:r>
            <w:r>
              <w:rPr>
                <w:rFonts w:hint="eastAsia" w:cs="Times New Roman"/>
                <w:spacing w:val="-3"/>
                <w:sz w:val="21"/>
                <w:szCs w:val="21"/>
              </w:rPr>
              <w:t>02</w:t>
            </w: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02:00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24.3</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99.9</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99"/>
                <w:sz w:val="21"/>
                <w:szCs w:val="21"/>
              </w:rPr>
              <w:t>1.9</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N</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08:00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29.0</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99.6</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102"/>
                <w:sz w:val="21"/>
                <w:szCs w:val="21"/>
              </w:rPr>
              <w:t>2.1</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N</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14:00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31.8</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98.9</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1.6</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N</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8</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20:00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30.7</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99.5</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2.0</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N</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restar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202</w:t>
            </w:r>
            <w:r>
              <w:rPr>
                <w:rFonts w:hint="eastAsia" w:cs="Times New Roman"/>
                <w:spacing w:val="-3"/>
                <w:sz w:val="21"/>
                <w:szCs w:val="21"/>
              </w:rPr>
              <w:t>2</w:t>
            </w:r>
            <w:r>
              <w:rPr>
                <w:rFonts w:eastAsia="Times New Roman" w:cs="Times New Roman"/>
                <w:spacing w:val="-3"/>
                <w:sz w:val="21"/>
                <w:szCs w:val="21"/>
              </w:rPr>
              <w:t>.0</w:t>
            </w:r>
            <w:r>
              <w:rPr>
                <w:rFonts w:hint="eastAsia" w:cs="Times New Roman"/>
                <w:spacing w:val="-3"/>
                <w:sz w:val="21"/>
                <w:szCs w:val="21"/>
              </w:rPr>
              <w:t>1</w:t>
            </w:r>
            <w:r>
              <w:rPr>
                <w:rFonts w:eastAsia="Times New Roman" w:cs="Times New Roman"/>
                <w:spacing w:val="-3"/>
                <w:sz w:val="21"/>
                <w:szCs w:val="21"/>
              </w:rPr>
              <w:t>.</w:t>
            </w:r>
            <w:r>
              <w:rPr>
                <w:rFonts w:hint="eastAsia" w:cs="Times New Roman"/>
                <w:spacing w:val="-3"/>
                <w:sz w:val="21"/>
                <w:szCs w:val="21"/>
              </w:rPr>
              <w:t>03</w:t>
            </w: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02:00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22.4</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99.8</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96"/>
                <w:sz w:val="21"/>
                <w:szCs w:val="21"/>
              </w:rPr>
              <w:t>1.4</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N</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08:00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29.5</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99.6</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1.5</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N</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14:00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31.7</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99.4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4"/>
                <w:sz w:val="21"/>
                <w:szCs w:val="21"/>
              </w:rPr>
              <w:t>1.8</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N</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20:00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27.2</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99.7</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99"/>
                <w:sz w:val="21"/>
                <w:szCs w:val="21"/>
              </w:rPr>
              <w:t>1.7</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N</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restar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202</w:t>
            </w:r>
            <w:r>
              <w:rPr>
                <w:rFonts w:hint="eastAsia" w:cs="Times New Roman"/>
                <w:spacing w:val="-3"/>
                <w:sz w:val="21"/>
                <w:szCs w:val="21"/>
              </w:rPr>
              <w:t>2</w:t>
            </w:r>
            <w:r>
              <w:rPr>
                <w:rFonts w:eastAsia="Times New Roman" w:cs="Times New Roman"/>
                <w:spacing w:val="-3"/>
                <w:sz w:val="21"/>
                <w:szCs w:val="21"/>
              </w:rPr>
              <w:t>.0</w:t>
            </w:r>
            <w:r>
              <w:rPr>
                <w:rFonts w:hint="eastAsia" w:cs="Times New Roman"/>
                <w:spacing w:val="-3"/>
                <w:sz w:val="21"/>
                <w:szCs w:val="21"/>
              </w:rPr>
              <w:t>1</w:t>
            </w:r>
            <w:r>
              <w:rPr>
                <w:rFonts w:eastAsia="Times New Roman" w:cs="Times New Roman"/>
                <w:spacing w:val="-3"/>
                <w:sz w:val="21"/>
                <w:szCs w:val="21"/>
              </w:rPr>
              <w:t>.</w:t>
            </w:r>
            <w:r>
              <w:rPr>
                <w:rFonts w:hint="eastAsia" w:cs="Times New Roman"/>
                <w:spacing w:val="-3"/>
                <w:sz w:val="21"/>
                <w:szCs w:val="21"/>
              </w:rPr>
              <w:t>04</w:t>
            </w: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02:00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23.</w:t>
            </w:r>
            <w:r>
              <w:rPr>
                <w:rFonts w:eastAsia="Times New Roman" w:cs="Times New Roman"/>
                <w:spacing w:val="-27"/>
                <w:sz w:val="21"/>
                <w:szCs w:val="21"/>
              </w:rPr>
              <w:t xml:space="preserve"> </w:t>
            </w:r>
            <w:r>
              <w:rPr>
                <w:rFonts w:eastAsia="Times New Roman" w:cs="Times New Roman"/>
                <w:spacing w:val="-1"/>
                <w:sz w:val="21"/>
                <w:szCs w:val="21"/>
              </w:rPr>
              <w:t>1</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99.9</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4"/>
                <w:sz w:val="21"/>
                <w:szCs w:val="21"/>
              </w:rPr>
              <w:t>1.8</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NE</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08:00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29.6</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99.6</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99"/>
                <w:sz w:val="21"/>
                <w:szCs w:val="21"/>
              </w:rPr>
              <w:t>1.9</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NE</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8</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14:00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31.9</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99.5</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99"/>
                <w:sz w:val="21"/>
                <w:szCs w:val="21"/>
              </w:rPr>
              <w:t>1.7</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NE</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20:00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27.4</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99.7</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2.2</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NE</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restar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202</w:t>
            </w:r>
            <w:r>
              <w:rPr>
                <w:rFonts w:hint="eastAsia" w:cs="Times New Roman"/>
                <w:spacing w:val="-3"/>
                <w:sz w:val="21"/>
                <w:szCs w:val="21"/>
              </w:rPr>
              <w:t>2</w:t>
            </w:r>
            <w:r>
              <w:rPr>
                <w:rFonts w:eastAsia="Times New Roman" w:cs="Times New Roman"/>
                <w:spacing w:val="-3"/>
                <w:sz w:val="21"/>
                <w:szCs w:val="21"/>
              </w:rPr>
              <w:t>.0</w:t>
            </w:r>
            <w:r>
              <w:rPr>
                <w:rFonts w:hint="eastAsia" w:cs="Times New Roman"/>
                <w:spacing w:val="-3"/>
                <w:sz w:val="21"/>
                <w:szCs w:val="21"/>
              </w:rPr>
              <w:t>1</w:t>
            </w:r>
            <w:r>
              <w:rPr>
                <w:rFonts w:eastAsia="Times New Roman" w:cs="Times New Roman"/>
                <w:spacing w:val="-3"/>
                <w:sz w:val="21"/>
                <w:szCs w:val="21"/>
              </w:rPr>
              <w:t>.</w:t>
            </w:r>
            <w:r>
              <w:rPr>
                <w:rFonts w:hint="eastAsia" w:cs="Times New Roman"/>
                <w:spacing w:val="-3"/>
                <w:sz w:val="21"/>
                <w:szCs w:val="21"/>
              </w:rPr>
              <w:t>05</w:t>
            </w: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02:00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23.6</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99.8</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1.6</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NE</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08:00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28.6</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99.6</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102"/>
                <w:sz w:val="21"/>
                <w:szCs w:val="21"/>
              </w:rPr>
              <w:t>2.1</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NE</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14:00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32.9</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99.4</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2.4</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NE</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676" w:type="pct"/>
            <w:vMerge w:val="continue"/>
            <w:vAlign w:val="center"/>
          </w:tcPr>
          <w:p>
            <w:pPr>
              <w:spacing w:line="240" w:lineRule="auto"/>
              <w:ind w:firstLine="0" w:firstLineChars="0"/>
              <w:jc w:val="center"/>
              <w:rPr>
                <w:rFonts w:ascii="宋体"/>
                <w:sz w:val="21"/>
                <w:szCs w:val="21"/>
              </w:rPr>
            </w:pPr>
          </w:p>
        </w:tc>
        <w:tc>
          <w:tcPr>
            <w:tcW w:w="73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20:00</w:t>
            </w:r>
          </w:p>
        </w:tc>
        <w:tc>
          <w:tcPr>
            <w:tcW w:w="67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31.8</w:t>
            </w:r>
          </w:p>
        </w:tc>
        <w:tc>
          <w:tcPr>
            <w:tcW w:w="54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99.5</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4"/>
                <w:sz w:val="21"/>
                <w:szCs w:val="21"/>
              </w:rPr>
              <w:t>1.8</w:t>
            </w:r>
          </w:p>
        </w:tc>
        <w:tc>
          <w:tcPr>
            <w:tcW w:w="53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NE</w:t>
            </w:r>
          </w:p>
        </w:tc>
        <w:tc>
          <w:tcPr>
            <w:tcW w:w="46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w:t>
            </w:r>
          </w:p>
        </w:tc>
        <w:tc>
          <w:tcPr>
            <w:tcW w:w="49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8</w:t>
            </w:r>
          </w:p>
        </w:tc>
        <w:tc>
          <w:tcPr>
            <w:tcW w:w="389" w:type="pct"/>
            <w:vAlign w:val="center"/>
          </w:tcPr>
          <w:p>
            <w:pPr>
              <w:spacing w:line="240" w:lineRule="auto"/>
              <w:ind w:firstLine="0" w:firstLineChars="0"/>
              <w:jc w:val="center"/>
              <w:rPr>
                <w:rFonts w:ascii="宋体" w:hAnsi="宋体" w:cs="宋体"/>
                <w:sz w:val="21"/>
                <w:szCs w:val="21"/>
              </w:rPr>
            </w:pPr>
            <w:r>
              <w:rPr>
                <w:rFonts w:ascii="宋体" w:hAnsi="宋体" w:cs="宋体"/>
                <w:spacing w:val="-10"/>
                <w:sz w:val="21"/>
                <w:szCs w:val="21"/>
              </w:rPr>
              <w:t>多云</w:t>
            </w:r>
          </w:p>
        </w:tc>
      </w:tr>
    </w:tbl>
    <w:p>
      <w:pPr>
        <w:pStyle w:val="7"/>
        <w:ind w:firstLine="562"/>
      </w:pPr>
      <w:r>
        <w:rPr>
          <w:rFonts w:hint="eastAsia"/>
        </w:rPr>
        <w:t xml:space="preserve">5.2.4 </w:t>
      </w:r>
      <w:r>
        <w:t>环境空气质量现状评价标准</w:t>
      </w:r>
    </w:p>
    <w:p>
      <w:pPr>
        <w:ind w:firstLine="480"/>
      </w:pPr>
      <w:r>
        <w:t>（1）环境空气质量标准</w:t>
      </w:r>
    </w:p>
    <w:p>
      <w:pPr>
        <w:ind w:firstLine="480"/>
      </w:pPr>
      <w:r>
        <w:t>各环境质量标准限值见表5.2-</w:t>
      </w:r>
      <w:r>
        <w:rPr>
          <w:rFonts w:hint="eastAsia"/>
          <w:lang w:val="en-US" w:eastAsia="zh-CN"/>
        </w:rPr>
        <w:t>6</w:t>
      </w:r>
      <w:r>
        <w:t>。</w:t>
      </w:r>
    </w:p>
    <w:p>
      <w:pPr>
        <w:pStyle w:val="13"/>
        <w:ind w:left="440" w:right="410" w:firstLine="482"/>
        <w:jc w:val="center"/>
        <w:rPr>
          <w:rFonts w:ascii="Times New Roman" w:hAnsi="Times New Roman"/>
          <w:b/>
          <w:bCs/>
        </w:rPr>
      </w:pPr>
      <w:r>
        <w:rPr>
          <w:rFonts w:hint="eastAsia" w:ascii="Times New Roman" w:hAnsi="Times New Roman"/>
          <w:b/>
          <w:bCs/>
        </w:rPr>
        <w:t>表</w:t>
      </w:r>
      <w:r>
        <w:rPr>
          <w:rFonts w:ascii="Times New Roman" w:hAnsi="Times New Roman"/>
          <w:b/>
          <w:bCs/>
        </w:rPr>
        <w:t>5.2-</w:t>
      </w:r>
      <w:r>
        <w:rPr>
          <w:rFonts w:hint="eastAsia" w:ascii="Times New Roman" w:hAnsi="Times New Roman"/>
          <w:b/>
          <w:bCs/>
          <w:lang w:val="en-US" w:eastAsia="zh-CN"/>
        </w:rPr>
        <w:t>6</w:t>
      </w:r>
      <w:r>
        <w:rPr>
          <w:rFonts w:hint="eastAsia" w:ascii="Times New Roman" w:hAnsi="Times New Roman"/>
          <w:b/>
          <w:bCs/>
          <w:lang w:val="en-US"/>
        </w:rPr>
        <w:t xml:space="preserve">  </w:t>
      </w:r>
      <w:r>
        <w:rPr>
          <w:rFonts w:hint="eastAsia" w:ascii="Times New Roman" w:hAnsi="Times New Roman"/>
          <w:b/>
          <w:bCs/>
        </w:rPr>
        <w:t>环境空气质量标准</w:t>
      </w:r>
    </w:p>
    <w:tbl>
      <w:tblPr>
        <w:tblStyle w:val="28"/>
        <w:tblW w:w="505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51"/>
        <w:gridCol w:w="1096"/>
        <w:gridCol w:w="1214"/>
        <w:gridCol w:w="56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50" w:type="dxa"/>
            <w:vAlign w:val="center"/>
          </w:tcPr>
          <w:p>
            <w:pPr>
              <w:pStyle w:val="39"/>
              <w:autoSpaceDE w:val="0"/>
              <w:autoSpaceDN w:val="0"/>
              <w:spacing w:line="240" w:lineRule="auto"/>
              <w:ind w:firstLine="0" w:firstLineChars="0"/>
              <w:rPr>
                <w:sz w:val="21"/>
                <w:szCs w:val="21"/>
              </w:rPr>
            </w:pPr>
            <w:r>
              <w:rPr>
                <w:sz w:val="21"/>
                <w:szCs w:val="21"/>
              </w:rPr>
              <w:t>污染物名称</w:t>
            </w:r>
          </w:p>
        </w:tc>
        <w:tc>
          <w:tcPr>
            <w:tcW w:w="1095" w:type="dxa"/>
            <w:vAlign w:val="center"/>
          </w:tcPr>
          <w:p>
            <w:pPr>
              <w:pStyle w:val="39"/>
              <w:autoSpaceDE w:val="0"/>
              <w:autoSpaceDN w:val="0"/>
              <w:spacing w:line="240" w:lineRule="auto"/>
              <w:ind w:firstLine="0" w:firstLineChars="0"/>
              <w:rPr>
                <w:sz w:val="21"/>
                <w:szCs w:val="21"/>
              </w:rPr>
            </w:pPr>
            <w:r>
              <w:rPr>
                <w:sz w:val="21"/>
                <w:szCs w:val="21"/>
              </w:rPr>
              <w:t>取值时间</w:t>
            </w:r>
          </w:p>
        </w:tc>
        <w:tc>
          <w:tcPr>
            <w:tcW w:w="1213" w:type="dxa"/>
            <w:vAlign w:val="center"/>
          </w:tcPr>
          <w:p>
            <w:pPr>
              <w:pStyle w:val="39"/>
              <w:autoSpaceDE w:val="0"/>
              <w:autoSpaceDN w:val="0"/>
              <w:spacing w:line="240" w:lineRule="auto"/>
              <w:ind w:firstLine="0" w:firstLineChars="0"/>
              <w:rPr>
                <w:sz w:val="21"/>
                <w:szCs w:val="21"/>
              </w:rPr>
            </w:pPr>
            <w:r>
              <w:rPr>
                <w:sz w:val="21"/>
                <w:szCs w:val="21"/>
              </w:rPr>
              <w:t>浓度限值</w:t>
            </w:r>
          </w:p>
        </w:tc>
        <w:tc>
          <w:tcPr>
            <w:tcW w:w="5606" w:type="dxa"/>
            <w:vAlign w:val="center"/>
          </w:tcPr>
          <w:p>
            <w:pPr>
              <w:pStyle w:val="39"/>
              <w:autoSpaceDE w:val="0"/>
              <w:autoSpaceDN w:val="0"/>
              <w:spacing w:line="240" w:lineRule="auto"/>
              <w:ind w:firstLine="0" w:firstLineChars="0"/>
              <w:rPr>
                <w:sz w:val="21"/>
                <w:szCs w:val="21"/>
              </w:rPr>
            </w:pPr>
            <w:r>
              <w:rPr>
                <w:sz w:val="21"/>
                <w:szCs w:val="21"/>
              </w:rPr>
              <w:t>标准来源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50" w:type="dxa"/>
            <w:vAlign w:val="center"/>
          </w:tcPr>
          <w:p>
            <w:pPr>
              <w:pStyle w:val="39"/>
              <w:autoSpaceDE w:val="0"/>
              <w:autoSpaceDN w:val="0"/>
              <w:spacing w:line="240" w:lineRule="auto"/>
              <w:ind w:firstLine="0" w:firstLineChars="0"/>
              <w:rPr>
                <w:sz w:val="21"/>
                <w:szCs w:val="21"/>
              </w:rPr>
            </w:pPr>
            <w:r>
              <w:rPr>
                <w:rFonts w:hint="eastAsia" w:ascii="Times New Roman" w:hAnsi="Times New Roman" w:cs="Times New Roman"/>
                <w:color w:val="000000"/>
                <w:kern w:val="0"/>
                <w:sz w:val="21"/>
                <w:szCs w:val="21"/>
                <w:lang w:val="en-US" w:bidi="ar"/>
              </w:rPr>
              <w:t>非甲烷总烃</w:t>
            </w:r>
          </w:p>
        </w:tc>
        <w:tc>
          <w:tcPr>
            <w:tcW w:w="1095" w:type="dxa"/>
            <w:vAlign w:val="center"/>
          </w:tcPr>
          <w:p>
            <w:pPr>
              <w:pStyle w:val="39"/>
              <w:autoSpaceDE w:val="0"/>
              <w:autoSpaceDN w:val="0"/>
              <w:spacing w:line="240" w:lineRule="auto"/>
              <w:ind w:firstLine="0" w:firstLineChars="0"/>
              <w:rPr>
                <w:sz w:val="21"/>
                <w:szCs w:val="21"/>
              </w:rPr>
            </w:pPr>
            <w:r>
              <w:rPr>
                <w:sz w:val="21"/>
                <w:szCs w:val="21"/>
              </w:rPr>
              <w:t>小时平均</w:t>
            </w:r>
          </w:p>
        </w:tc>
        <w:tc>
          <w:tcPr>
            <w:tcW w:w="1213" w:type="dxa"/>
            <w:vAlign w:val="center"/>
          </w:tcPr>
          <w:p>
            <w:pPr>
              <w:pStyle w:val="39"/>
              <w:autoSpaceDE w:val="0"/>
              <w:autoSpaceDN w:val="0"/>
              <w:spacing w:line="240" w:lineRule="auto"/>
              <w:ind w:firstLine="0" w:firstLineChars="0"/>
              <w:rPr>
                <w:rFonts w:ascii="Times New Roman"/>
                <w:sz w:val="21"/>
                <w:szCs w:val="21"/>
                <w:lang w:val="en-US"/>
              </w:rPr>
            </w:pPr>
            <w:r>
              <w:rPr>
                <w:rFonts w:hint="eastAsia" w:ascii="Times New Roman" w:hAnsi="Times New Roman" w:cs="Times New Roman"/>
                <w:color w:val="000000"/>
                <w:kern w:val="0"/>
                <w:sz w:val="21"/>
                <w:szCs w:val="21"/>
                <w:lang w:val="en-US" w:bidi="ar"/>
              </w:rPr>
              <w:t>2.0m</w:t>
            </w:r>
            <w:r>
              <w:rPr>
                <w:rFonts w:ascii="Times New Roman" w:hAnsi="Times New Roman"/>
                <w:sz w:val="21"/>
                <w:szCs w:val="21"/>
              </w:rPr>
              <w:t>g/m</w:t>
            </w:r>
            <w:r>
              <w:rPr>
                <w:rFonts w:hint="eastAsia" w:ascii="Times New Roman" w:hAnsi="Times New Roman"/>
                <w:sz w:val="21"/>
                <w:szCs w:val="21"/>
                <w:vertAlign w:val="superscript"/>
                <w:lang w:val="en-US"/>
              </w:rPr>
              <w:t>3</w:t>
            </w:r>
          </w:p>
        </w:tc>
        <w:tc>
          <w:tcPr>
            <w:tcW w:w="5606" w:type="dxa"/>
            <w:vAlign w:val="center"/>
          </w:tcPr>
          <w:p>
            <w:pPr>
              <w:pStyle w:val="39"/>
              <w:autoSpaceDE w:val="0"/>
              <w:autoSpaceDN w:val="0"/>
              <w:spacing w:line="240" w:lineRule="auto"/>
              <w:ind w:firstLine="0" w:firstLineChars="0"/>
              <w:rPr>
                <w:rFonts w:ascii="Times New Roman" w:eastAsia="Times New Roman"/>
                <w:sz w:val="21"/>
                <w:szCs w:val="21"/>
              </w:rPr>
            </w:pPr>
            <w:r>
              <w:rPr>
                <w:rFonts w:hint="eastAsia" w:ascii="Times New Roman" w:eastAsia="Times New Roman"/>
                <w:sz w:val="21"/>
                <w:szCs w:val="21"/>
                <w:lang w:val="en-US"/>
              </w:rPr>
              <w:t>《大气污染物综合排放标准详解》（中国环境科学出版社出版）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50" w:type="dxa"/>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hint="eastAsia" w:ascii="Times New Roman" w:hAnsi="Times New Roman" w:cs="Times New Roman"/>
                <w:color w:val="000000"/>
                <w:kern w:val="0"/>
                <w:sz w:val="21"/>
                <w:szCs w:val="21"/>
                <w:lang w:val="en-US" w:bidi="ar"/>
              </w:rPr>
              <w:t>硫化氢</w:t>
            </w:r>
          </w:p>
        </w:tc>
        <w:tc>
          <w:tcPr>
            <w:tcW w:w="1095" w:type="dxa"/>
            <w:vAlign w:val="center"/>
          </w:tcPr>
          <w:p>
            <w:pPr>
              <w:pStyle w:val="39"/>
              <w:autoSpaceDE w:val="0"/>
              <w:autoSpaceDN w:val="0"/>
              <w:spacing w:line="240" w:lineRule="auto"/>
              <w:ind w:firstLine="0" w:firstLineChars="0"/>
              <w:rPr>
                <w:sz w:val="21"/>
                <w:szCs w:val="21"/>
              </w:rPr>
            </w:pPr>
            <w:r>
              <w:rPr>
                <w:sz w:val="21"/>
                <w:szCs w:val="21"/>
              </w:rPr>
              <w:t>小时平均</w:t>
            </w:r>
          </w:p>
        </w:tc>
        <w:tc>
          <w:tcPr>
            <w:tcW w:w="1213" w:type="dxa"/>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ascii="Times New Roman" w:hAnsi="Times New Roman" w:cs="Times New Roman"/>
                <w:color w:val="000000"/>
                <w:kern w:val="0"/>
                <w:sz w:val="21"/>
                <w:szCs w:val="21"/>
                <w:lang w:val="en-US" w:bidi="ar"/>
              </w:rPr>
              <w:t>10</w:t>
            </w:r>
            <w:r>
              <w:rPr>
                <w:rFonts w:ascii="Times New Roman" w:hAnsi="Times New Roman" w:cs="Times New Roman"/>
                <w:bCs/>
                <w:sz w:val="21"/>
                <w:szCs w:val="21"/>
              </w:rPr>
              <w:t>μg/m</w:t>
            </w:r>
            <w:r>
              <w:rPr>
                <w:rFonts w:ascii="Times New Roman" w:hAnsi="Times New Roman" w:cs="Times New Roman"/>
                <w:bCs/>
                <w:sz w:val="21"/>
                <w:szCs w:val="21"/>
                <w:vertAlign w:val="superscript"/>
              </w:rPr>
              <w:t>3</w:t>
            </w:r>
          </w:p>
        </w:tc>
        <w:tc>
          <w:tcPr>
            <w:tcW w:w="5606" w:type="dxa"/>
            <w:vMerge w:val="restart"/>
            <w:vAlign w:val="center"/>
          </w:tcPr>
          <w:p>
            <w:pPr>
              <w:pStyle w:val="39"/>
              <w:autoSpaceDE w:val="0"/>
              <w:autoSpaceDN w:val="0"/>
              <w:spacing w:line="240" w:lineRule="auto"/>
              <w:ind w:firstLine="0" w:firstLineChars="0"/>
              <w:rPr>
                <w:rFonts w:ascii="Times New Roman" w:eastAsia="Times New Roman"/>
                <w:sz w:val="21"/>
                <w:szCs w:val="21"/>
                <w:lang w:val="en-US"/>
              </w:rPr>
            </w:pPr>
            <w:r>
              <w:rPr>
                <w:rFonts w:hint="eastAsia" w:ascii="Times New Roman" w:eastAsia="Times New Roman"/>
                <w:sz w:val="21"/>
                <w:szCs w:val="21"/>
                <w:lang w:val="en-US"/>
              </w:rPr>
              <w:t>《环境影响评价技术导则大气环境》（HJ2.2-2008）附录D标准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50" w:type="dxa"/>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hint="eastAsia" w:ascii="Times New Roman" w:hAnsi="Times New Roman" w:cs="Times New Roman"/>
                <w:color w:val="000000"/>
                <w:kern w:val="0"/>
                <w:sz w:val="21"/>
                <w:szCs w:val="21"/>
                <w:lang w:val="en-US" w:bidi="ar"/>
              </w:rPr>
              <w:t>氨</w:t>
            </w:r>
          </w:p>
        </w:tc>
        <w:tc>
          <w:tcPr>
            <w:tcW w:w="1095" w:type="dxa"/>
            <w:vAlign w:val="center"/>
          </w:tcPr>
          <w:p>
            <w:pPr>
              <w:pStyle w:val="39"/>
              <w:autoSpaceDE w:val="0"/>
              <w:autoSpaceDN w:val="0"/>
              <w:spacing w:line="240" w:lineRule="auto"/>
              <w:ind w:firstLine="0" w:firstLineChars="0"/>
              <w:rPr>
                <w:sz w:val="21"/>
                <w:szCs w:val="21"/>
              </w:rPr>
            </w:pPr>
            <w:r>
              <w:rPr>
                <w:sz w:val="21"/>
                <w:szCs w:val="21"/>
              </w:rPr>
              <w:t>小时平均</w:t>
            </w:r>
          </w:p>
        </w:tc>
        <w:tc>
          <w:tcPr>
            <w:tcW w:w="1213" w:type="dxa"/>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ascii="Times New Roman" w:hAnsi="Times New Roman" w:cs="Times New Roman"/>
                <w:color w:val="000000"/>
                <w:kern w:val="0"/>
                <w:sz w:val="21"/>
                <w:szCs w:val="21"/>
                <w:lang w:val="en-US" w:bidi="ar"/>
              </w:rPr>
              <w:t>200</w:t>
            </w:r>
            <w:r>
              <w:rPr>
                <w:rFonts w:ascii="Times New Roman" w:hAnsi="Times New Roman" w:cs="Times New Roman"/>
                <w:bCs/>
                <w:sz w:val="21"/>
                <w:szCs w:val="21"/>
              </w:rPr>
              <w:t>μg/m</w:t>
            </w:r>
            <w:r>
              <w:rPr>
                <w:rFonts w:ascii="Times New Roman" w:hAnsi="Times New Roman" w:cs="Times New Roman"/>
                <w:bCs/>
                <w:sz w:val="21"/>
                <w:szCs w:val="21"/>
                <w:vertAlign w:val="superscript"/>
              </w:rPr>
              <w:t>3</w:t>
            </w:r>
          </w:p>
        </w:tc>
        <w:tc>
          <w:tcPr>
            <w:tcW w:w="5606" w:type="dxa"/>
            <w:vMerge w:val="continue"/>
            <w:vAlign w:val="center"/>
          </w:tcPr>
          <w:p>
            <w:pPr>
              <w:pStyle w:val="39"/>
              <w:autoSpaceDE w:val="0"/>
              <w:autoSpaceDN w:val="0"/>
              <w:spacing w:line="240" w:lineRule="auto"/>
              <w:ind w:firstLine="0" w:firstLineChars="0"/>
              <w:rPr>
                <w:rFonts w:ascii="Times New Roman" w:eastAsia="Times New Roman"/>
                <w:sz w:val="21"/>
                <w:szCs w:val="21"/>
                <w:lang w:val="en-US"/>
              </w:rPr>
            </w:pPr>
          </w:p>
        </w:tc>
      </w:tr>
    </w:tbl>
    <w:p>
      <w:pPr>
        <w:pStyle w:val="7"/>
        <w:ind w:firstLine="562"/>
      </w:pPr>
      <w:r>
        <w:rPr>
          <w:rFonts w:hint="eastAsia"/>
        </w:rPr>
        <w:t>5.2.5 评价方法</w:t>
      </w:r>
    </w:p>
    <w:p>
      <w:pPr>
        <w:ind w:firstLine="480"/>
      </w:pPr>
      <w:r>
        <w:rPr>
          <w:rFonts w:hint="eastAsia"/>
        </w:rPr>
        <w:t>环境空气质量评价采用占标百分比评价法，数学表达式：</w:t>
      </w:r>
    </w:p>
    <w:p>
      <w:pPr>
        <w:ind w:firstLine="480"/>
      </w:pPr>
      <w:r>
        <w:t>Pi=Ci/Coi×100%</w:t>
      </w:r>
    </w:p>
    <w:p>
      <w:pPr>
        <w:ind w:firstLine="480"/>
      </w:pPr>
      <w:r>
        <w:rPr>
          <w:rFonts w:hint="eastAsia"/>
        </w:rPr>
        <w:t>式中：</w:t>
      </w:r>
      <w:r>
        <w:t>Pi——</w:t>
      </w:r>
      <w:r>
        <w:rPr>
          <w:rFonts w:hint="eastAsia"/>
        </w:rPr>
        <w:t>第</w:t>
      </w:r>
      <w:r>
        <w:t>i</w:t>
      </w:r>
      <w:r>
        <w:rPr>
          <w:rFonts w:hint="eastAsia"/>
        </w:rPr>
        <w:t>种污染物的占标百分比；</w:t>
      </w:r>
    </w:p>
    <w:p>
      <w:pPr>
        <w:ind w:firstLine="480"/>
      </w:pPr>
      <w:r>
        <w:t>Ci——</w:t>
      </w:r>
      <w:r>
        <w:rPr>
          <w:rFonts w:hint="eastAsia"/>
        </w:rPr>
        <w:t>第</w:t>
      </w:r>
      <w:r>
        <w:t>i</w:t>
      </w:r>
      <w:r>
        <w:rPr>
          <w:rFonts w:hint="eastAsia"/>
        </w:rPr>
        <w:t>种污染因子的监测值，</w:t>
      </w:r>
      <w:r>
        <w:rPr>
          <w:rFonts w:cs="Times New Roman"/>
        </w:rPr>
        <w:t>μg/m</w:t>
      </w:r>
      <w:r>
        <w:rPr>
          <w:rFonts w:cs="Times New Roman"/>
          <w:vertAlign w:val="superscript"/>
        </w:rPr>
        <w:t>3</w:t>
      </w:r>
      <w:r>
        <w:rPr>
          <w:rFonts w:cs="Times New Roman"/>
        </w:rPr>
        <w:t>；</w:t>
      </w:r>
    </w:p>
    <w:p>
      <w:pPr>
        <w:ind w:firstLine="480"/>
      </w:pPr>
      <w:r>
        <w:t>Coi——</w:t>
      </w:r>
      <w:r>
        <w:rPr>
          <w:rFonts w:hint="eastAsia"/>
        </w:rPr>
        <w:t>第</w:t>
      </w:r>
      <w:r>
        <w:t>i</w:t>
      </w:r>
      <w:r>
        <w:rPr>
          <w:rFonts w:hint="eastAsia"/>
        </w:rPr>
        <w:t>种污染因子的环境空气质量标准值</w:t>
      </w:r>
      <w:r>
        <w:rPr>
          <w:rFonts w:cs="Times New Roman"/>
        </w:rPr>
        <w:t>μg/m</w:t>
      </w:r>
      <w:r>
        <w:rPr>
          <w:rFonts w:cs="Times New Roman"/>
          <w:vertAlign w:val="superscript"/>
        </w:rPr>
        <w:t>3</w:t>
      </w:r>
      <w:r>
        <w:rPr>
          <w:rFonts w:cs="Times New Roman"/>
        </w:rPr>
        <w:t>；</w:t>
      </w:r>
    </w:p>
    <w:p>
      <w:pPr>
        <w:ind w:firstLine="480"/>
      </w:pPr>
      <w:r>
        <w:rPr>
          <w:rFonts w:hint="eastAsia"/>
        </w:rPr>
        <w:t>凡是占标百分比</w:t>
      </w:r>
      <w:r>
        <w:t>Pi</w:t>
      </w:r>
      <w:r>
        <w:rPr>
          <w:rFonts w:hint="eastAsia"/>
        </w:rPr>
        <w:t>大于</w:t>
      </w:r>
      <w:r>
        <w:t>100%</w:t>
      </w:r>
      <w:r>
        <w:rPr>
          <w:rFonts w:hint="eastAsia"/>
        </w:rPr>
        <w:t>，表明该点环境质量劣于评价标准等级，反之则满足标准等级。补充监测数据的现状评价内容，分别对各监测点位不同污染物的短期浓度进行环境质量现状评价，对于超标的污染物，计算其超标倍数及超标率。</w:t>
      </w:r>
    </w:p>
    <w:p>
      <w:pPr>
        <w:pStyle w:val="7"/>
        <w:ind w:firstLine="562"/>
        <w:rPr>
          <w:rFonts w:cs="宋体"/>
        </w:rPr>
      </w:pPr>
      <w:r>
        <w:rPr>
          <w:rFonts w:hint="eastAsia" w:cs="宋体"/>
        </w:rPr>
        <w:t>5.2.6 监测结果统计与分析</w:t>
      </w:r>
    </w:p>
    <w:p>
      <w:pPr>
        <w:ind w:firstLine="480"/>
        <w:rPr>
          <w:u w:val="single"/>
        </w:rPr>
      </w:pPr>
      <w:r>
        <w:rPr>
          <w:u w:val="single"/>
        </w:rPr>
        <w:t>本次评价环境空气质量现状监测结果统计见表5.2-</w:t>
      </w:r>
      <w:r>
        <w:rPr>
          <w:rFonts w:hint="eastAsia"/>
          <w:u w:val="single"/>
        </w:rPr>
        <w:t>6</w:t>
      </w:r>
      <w:r>
        <w:rPr>
          <w:u w:val="single"/>
        </w:rPr>
        <w:t>。</w:t>
      </w:r>
      <w:r>
        <w:rPr>
          <w:rFonts w:hint="eastAsia"/>
          <w:u w:val="single"/>
        </w:rPr>
        <w:t>本次评价引用《河南神马尼龙化工有限责任公司尼龙化工产业配套氢氨项目环境影响报告书》中于</w:t>
      </w:r>
      <w:r>
        <w:rPr>
          <w:u w:val="single"/>
        </w:rPr>
        <w:t>2020</w:t>
      </w:r>
      <w:r>
        <w:rPr>
          <w:rFonts w:hint="eastAsia"/>
          <w:u w:val="single"/>
        </w:rPr>
        <w:t>年</w:t>
      </w:r>
      <w:r>
        <w:rPr>
          <w:u w:val="single"/>
        </w:rPr>
        <w:t>4</w:t>
      </w:r>
      <w:r>
        <w:rPr>
          <w:rFonts w:hint="eastAsia"/>
          <w:u w:val="single"/>
        </w:rPr>
        <w:t>月</w:t>
      </w:r>
      <w:r>
        <w:rPr>
          <w:u w:val="single"/>
        </w:rPr>
        <w:t>24</w:t>
      </w:r>
      <w:r>
        <w:rPr>
          <w:rFonts w:hint="eastAsia"/>
          <w:u w:val="single"/>
        </w:rPr>
        <w:t>日～</w:t>
      </w:r>
      <w:r>
        <w:rPr>
          <w:u w:val="single"/>
        </w:rPr>
        <w:t>4</w:t>
      </w:r>
      <w:r>
        <w:rPr>
          <w:rFonts w:hint="eastAsia"/>
          <w:u w:val="single"/>
        </w:rPr>
        <w:t>月</w:t>
      </w:r>
      <w:r>
        <w:rPr>
          <w:u w:val="single"/>
        </w:rPr>
        <w:t>30</w:t>
      </w:r>
      <w:r>
        <w:rPr>
          <w:rFonts w:hint="eastAsia"/>
          <w:u w:val="single"/>
        </w:rPr>
        <w:t>日委托郑州德析检测技术有限公司对区域非甲烷总烃、硫化氢、氨特征因子的监测数据。</w:t>
      </w:r>
    </w:p>
    <w:p>
      <w:pPr>
        <w:pStyle w:val="13"/>
        <w:ind w:left="440" w:right="410" w:firstLine="482"/>
        <w:jc w:val="center"/>
        <w:rPr>
          <w:rFonts w:ascii="Times New Roman" w:hAnsi="Times New Roman"/>
          <w:b/>
          <w:bCs/>
          <w:color w:val="000000" w:themeColor="text1"/>
          <w14:textFill>
            <w14:solidFill>
              <w14:schemeClr w14:val="tx1"/>
            </w14:solidFill>
          </w14:textFill>
        </w:rPr>
      </w:pPr>
      <w:r>
        <w:rPr>
          <w:rFonts w:hint="eastAsia" w:ascii="Times New Roman" w:hAnsi="Times New Roman"/>
          <w:b/>
          <w:bCs/>
          <w:color w:val="000000" w:themeColor="text1"/>
          <w14:textFill>
            <w14:solidFill>
              <w14:schemeClr w14:val="tx1"/>
            </w14:solidFill>
          </w14:textFill>
        </w:rPr>
        <w:t>表5.2-</w:t>
      </w:r>
      <w:r>
        <w:rPr>
          <w:rFonts w:hint="eastAsia" w:ascii="Times New Roman" w:hAnsi="Times New Roman"/>
          <w:b/>
          <w:bCs/>
          <w:color w:val="000000" w:themeColor="text1"/>
          <w:lang w:val="en-US" w:eastAsia="zh-CN"/>
          <w14:textFill>
            <w14:solidFill>
              <w14:schemeClr w14:val="tx1"/>
            </w14:solidFill>
          </w14:textFill>
        </w:rPr>
        <w:t>7</w:t>
      </w:r>
      <w:r>
        <w:rPr>
          <w:rFonts w:hint="eastAsia" w:ascii="Times New Roman" w:hAnsi="Times New Roman"/>
          <w:b/>
          <w:bCs/>
          <w:color w:val="000000" w:themeColor="text1"/>
          <w:lang w:val="en-US"/>
          <w14:textFill>
            <w14:solidFill>
              <w14:schemeClr w14:val="tx1"/>
            </w14:solidFill>
          </w14:textFill>
        </w:rPr>
        <w:t xml:space="preserve">  </w:t>
      </w:r>
      <w:r>
        <w:rPr>
          <w:rFonts w:hint="eastAsia" w:ascii="Times New Roman" w:hAnsi="Times New Roman"/>
          <w:b/>
          <w:bCs/>
          <w:color w:val="000000" w:themeColor="text1"/>
          <w14:textFill>
            <w14:solidFill>
              <w14:schemeClr w14:val="tx1"/>
            </w14:solidFill>
          </w14:textFill>
        </w:rPr>
        <w:t>环境空气质量现状监测统计结果</w:t>
      </w:r>
    </w:p>
    <w:tbl>
      <w:tblPr>
        <w:tblStyle w:val="29"/>
        <w:tblW w:w="500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8"/>
        <w:gridCol w:w="1305"/>
        <w:gridCol w:w="1073"/>
        <w:gridCol w:w="1185"/>
        <w:gridCol w:w="900"/>
        <w:gridCol w:w="900"/>
        <w:gridCol w:w="1350"/>
        <w:gridCol w:w="832"/>
        <w:gridCol w:w="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 w:hRule="atLeast"/>
          <w:jc w:val="center"/>
        </w:trPr>
        <w:tc>
          <w:tcPr>
            <w:tcW w:w="1068"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点位名称</w:t>
            </w:r>
          </w:p>
        </w:tc>
        <w:tc>
          <w:tcPr>
            <w:tcW w:w="1305"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污染物</w:t>
            </w:r>
          </w:p>
        </w:tc>
        <w:tc>
          <w:tcPr>
            <w:tcW w:w="1073"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评价指标</w:t>
            </w:r>
          </w:p>
        </w:tc>
        <w:tc>
          <w:tcPr>
            <w:tcW w:w="1185"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评价标准（</w:t>
            </w:r>
            <w:r>
              <w:rPr>
                <w:rFonts w:cs="TimesNewRomanPS-BoldMT"/>
                <w:color w:val="000000" w:themeColor="text1"/>
                <w:kern w:val="0"/>
                <w:sz w:val="21"/>
                <w:szCs w:val="21"/>
                <w:lang w:bidi="ar"/>
                <w14:textFill>
                  <w14:solidFill>
                    <w14:schemeClr w14:val="tx1"/>
                  </w14:solidFill>
                </w14:textFill>
              </w:rPr>
              <w:t>mg/m</w:t>
            </w:r>
            <w:r>
              <w:rPr>
                <w:rFonts w:hint="eastAsia" w:cs="宋体"/>
                <w:color w:val="000000" w:themeColor="text1"/>
                <w:kern w:val="0"/>
                <w:sz w:val="21"/>
                <w:szCs w:val="21"/>
                <w:vertAlign w:val="superscript"/>
                <w:lang w:bidi="ar"/>
                <w14:textFill>
                  <w14:solidFill>
                    <w14:schemeClr w14:val="tx1"/>
                  </w14:solidFill>
                </w14:textFill>
              </w:rPr>
              <w:t>3</w:t>
            </w:r>
            <w:r>
              <w:rPr>
                <w:rFonts w:hint="eastAsia" w:cs="宋体"/>
                <w:color w:val="000000" w:themeColor="text1"/>
                <w:kern w:val="0"/>
                <w:sz w:val="21"/>
                <w:szCs w:val="21"/>
                <w:lang w:bidi="ar"/>
                <w14:textFill>
                  <w14:solidFill>
                    <w14:schemeClr w14:val="tx1"/>
                  </w14:solidFill>
                </w14:textFill>
              </w:rPr>
              <w:t>）</w:t>
            </w:r>
          </w:p>
        </w:tc>
        <w:tc>
          <w:tcPr>
            <w:tcW w:w="1800" w:type="dxa"/>
            <w:gridSpan w:val="2"/>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现状浓度</w:t>
            </w:r>
            <w:r>
              <w:rPr>
                <w:rFonts w:hint="eastAsia" w:cs="TimesNewRomanPS-BoldMT"/>
                <w:color w:val="000000" w:themeColor="text1"/>
                <w:kern w:val="0"/>
                <w:sz w:val="21"/>
                <w:szCs w:val="21"/>
                <w:lang w:bidi="ar"/>
                <w14:textFill>
                  <w14:solidFill>
                    <w14:schemeClr w14:val="tx1"/>
                  </w14:solidFill>
                </w14:textFill>
              </w:rPr>
              <w:t>（</w:t>
            </w:r>
            <w:r>
              <w:rPr>
                <w:rFonts w:cs="TimesNewRomanPS-BoldMT"/>
                <w:color w:val="000000" w:themeColor="text1"/>
                <w:kern w:val="0"/>
                <w:sz w:val="21"/>
                <w:szCs w:val="21"/>
                <w:lang w:bidi="ar"/>
                <w14:textFill>
                  <w14:solidFill>
                    <w14:schemeClr w14:val="tx1"/>
                  </w14:solidFill>
                </w14:textFill>
              </w:rPr>
              <w:t>mg/m</w:t>
            </w:r>
            <w:r>
              <w:rPr>
                <w:rFonts w:hint="eastAsia" w:cs="宋体"/>
                <w:color w:val="000000" w:themeColor="text1"/>
                <w:kern w:val="0"/>
                <w:sz w:val="21"/>
                <w:szCs w:val="21"/>
                <w:vertAlign w:val="superscript"/>
                <w:lang w:bidi="ar"/>
                <w14:textFill>
                  <w14:solidFill>
                    <w14:schemeClr w14:val="tx1"/>
                  </w14:solidFill>
                </w14:textFill>
              </w:rPr>
              <w:t>3</w:t>
            </w:r>
            <w:r>
              <w:rPr>
                <w:rFonts w:hint="eastAsia" w:cs="宋体"/>
                <w:color w:val="000000" w:themeColor="text1"/>
                <w:kern w:val="0"/>
                <w:sz w:val="21"/>
                <w:szCs w:val="21"/>
                <w:lang w:bidi="ar"/>
                <w14:textFill>
                  <w14:solidFill>
                    <w14:schemeClr w14:val="tx1"/>
                  </w14:solidFill>
                </w14:textFill>
              </w:rPr>
              <w:t>）</w:t>
            </w:r>
          </w:p>
        </w:tc>
        <w:tc>
          <w:tcPr>
            <w:tcW w:w="1350"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最大浓度占标率</w:t>
            </w:r>
            <w:r>
              <w:rPr>
                <w:rFonts w:cs="TimesNewRomanPS-BoldMT"/>
                <w:color w:val="000000" w:themeColor="text1"/>
                <w:kern w:val="0"/>
                <w:sz w:val="21"/>
                <w:szCs w:val="21"/>
                <w:lang w:bidi="ar"/>
                <w14:textFill>
                  <w14:solidFill>
                    <w14:schemeClr w14:val="tx1"/>
                  </w14:solidFill>
                </w14:textFill>
              </w:rPr>
              <w:t>%</w:t>
            </w:r>
          </w:p>
        </w:tc>
        <w:tc>
          <w:tcPr>
            <w:tcW w:w="832"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超标频率</w:t>
            </w:r>
            <w:r>
              <w:rPr>
                <w:rFonts w:cs="TimesNewRomanPS-BoldMT"/>
                <w:color w:val="000000" w:themeColor="text1"/>
                <w:kern w:val="0"/>
                <w:sz w:val="21"/>
                <w:szCs w:val="21"/>
                <w:lang w:bidi="ar"/>
                <w14:textFill>
                  <w14:solidFill>
                    <w14:schemeClr w14:val="tx1"/>
                  </w14:solidFill>
                </w14:textFill>
              </w:rPr>
              <w:t>%</w:t>
            </w:r>
          </w:p>
        </w:tc>
        <w:tc>
          <w:tcPr>
            <w:tcW w:w="677"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8"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1305"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1073"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1185"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900" w:type="dxa"/>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最大值</w:t>
            </w:r>
          </w:p>
        </w:tc>
        <w:tc>
          <w:tcPr>
            <w:tcW w:w="900" w:type="dxa"/>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最小值</w:t>
            </w:r>
          </w:p>
        </w:tc>
        <w:tc>
          <w:tcPr>
            <w:tcW w:w="1350"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832"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677"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1068" w:type="dxa"/>
            <w:vMerge w:val="restart"/>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14:textFill>
                  <w14:solidFill>
                    <w14:schemeClr w14:val="tx1"/>
                  </w14:solidFill>
                </w14:textFill>
              </w:rPr>
              <w:t>龚店镇</w:t>
            </w:r>
          </w:p>
        </w:tc>
        <w:tc>
          <w:tcPr>
            <w:tcW w:w="1305"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非甲烷总烃</w:t>
            </w:r>
          </w:p>
        </w:tc>
        <w:tc>
          <w:tcPr>
            <w:tcW w:w="1073" w:type="dxa"/>
            <w:vAlign w:val="center"/>
          </w:tcPr>
          <w:p>
            <w:pPr>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小时值</w:t>
            </w:r>
          </w:p>
        </w:tc>
        <w:tc>
          <w:tcPr>
            <w:tcW w:w="1185"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2.0</w:t>
            </w:r>
          </w:p>
        </w:tc>
        <w:tc>
          <w:tcPr>
            <w:tcW w:w="900"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0.48</w:t>
            </w:r>
          </w:p>
        </w:tc>
        <w:tc>
          <w:tcPr>
            <w:tcW w:w="900"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0.31</w:t>
            </w:r>
          </w:p>
        </w:tc>
        <w:tc>
          <w:tcPr>
            <w:tcW w:w="1350"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40.0</w:t>
            </w:r>
          </w:p>
        </w:tc>
        <w:tc>
          <w:tcPr>
            <w:tcW w:w="832"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0</w:t>
            </w:r>
          </w:p>
        </w:tc>
        <w:tc>
          <w:tcPr>
            <w:tcW w:w="677"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 w:hRule="atLeast"/>
          <w:jc w:val="center"/>
        </w:trPr>
        <w:tc>
          <w:tcPr>
            <w:tcW w:w="1068"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1305"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硫化氢</w:t>
            </w:r>
          </w:p>
        </w:tc>
        <w:tc>
          <w:tcPr>
            <w:tcW w:w="1073" w:type="dxa"/>
            <w:vAlign w:val="center"/>
          </w:tcPr>
          <w:p>
            <w:pPr>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小时值</w:t>
            </w:r>
          </w:p>
        </w:tc>
        <w:tc>
          <w:tcPr>
            <w:tcW w:w="1185"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0.01</w:t>
            </w:r>
          </w:p>
        </w:tc>
        <w:tc>
          <w:tcPr>
            <w:tcW w:w="900"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ND</w:t>
            </w:r>
          </w:p>
        </w:tc>
        <w:tc>
          <w:tcPr>
            <w:tcW w:w="900"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ND</w:t>
            </w:r>
          </w:p>
        </w:tc>
        <w:tc>
          <w:tcPr>
            <w:tcW w:w="1350"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w:t>
            </w:r>
          </w:p>
        </w:tc>
        <w:tc>
          <w:tcPr>
            <w:tcW w:w="832"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w:t>
            </w:r>
          </w:p>
        </w:tc>
        <w:tc>
          <w:tcPr>
            <w:tcW w:w="677"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达标</w:t>
            </w:r>
          </w:p>
        </w:tc>
      </w:tr>
    </w:tbl>
    <w:p>
      <w:pPr>
        <w:pStyle w:val="13"/>
        <w:ind w:left="440" w:right="410" w:firstLine="482"/>
        <w:jc w:val="center"/>
        <w:rPr>
          <w:rFonts w:ascii="Times New Roman" w:hAnsi="Times New Roman"/>
          <w:b/>
          <w:bCs/>
          <w:color w:val="000000" w:themeColor="text1"/>
          <w14:textFill>
            <w14:solidFill>
              <w14:schemeClr w14:val="tx1"/>
            </w14:solidFill>
          </w14:textFill>
        </w:rPr>
      </w:pPr>
      <w:r>
        <w:rPr>
          <w:rFonts w:hint="eastAsia" w:ascii="Times New Roman" w:hAnsi="Times New Roman"/>
          <w:b/>
          <w:bCs/>
          <w:color w:val="000000" w:themeColor="text1"/>
          <w14:textFill>
            <w14:solidFill>
              <w14:schemeClr w14:val="tx1"/>
            </w14:solidFill>
          </w14:textFill>
        </w:rPr>
        <w:t>表5.2-</w:t>
      </w:r>
      <w:r>
        <w:rPr>
          <w:rFonts w:hint="eastAsia" w:ascii="Times New Roman" w:hAnsi="Times New Roman"/>
          <w:b/>
          <w:bCs/>
          <w:color w:val="000000" w:themeColor="text1"/>
          <w:lang w:val="en-US" w:eastAsia="zh-CN"/>
          <w14:textFill>
            <w14:solidFill>
              <w14:schemeClr w14:val="tx1"/>
            </w14:solidFill>
          </w14:textFill>
        </w:rPr>
        <w:t>8</w:t>
      </w:r>
      <w:r>
        <w:rPr>
          <w:rFonts w:hint="eastAsia" w:ascii="Times New Roman" w:hAnsi="Times New Roman"/>
          <w:b/>
          <w:bCs/>
          <w:color w:val="000000" w:themeColor="text1"/>
          <w:lang w:val="en-US"/>
          <w14:textFill>
            <w14:solidFill>
              <w14:schemeClr w14:val="tx1"/>
            </w14:solidFill>
          </w14:textFill>
        </w:rPr>
        <w:t xml:space="preserve">  </w:t>
      </w:r>
      <w:r>
        <w:rPr>
          <w:rFonts w:hint="eastAsia" w:ascii="Times New Roman" w:hAnsi="Times New Roman"/>
          <w:b/>
          <w:bCs/>
          <w:color w:val="000000" w:themeColor="text1"/>
          <w14:textFill>
            <w14:solidFill>
              <w14:schemeClr w14:val="tx1"/>
            </w14:solidFill>
          </w14:textFill>
        </w:rPr>
        <w:t>氨环境质量现状参考统计表</w:t>
      </w:r>
    </w:p>
    <w:tbl>
      <w:tblPr>
        <w:tblStyle w:val="29"/>
        <w:tblW w:w="500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8"/>
        <w:gridCol w:w="1305"/>
        <w:gridCol w:w="1073"/>
        <w:gridCol w:w="1185"/>
        <w:gridCol w:w="900"/>
        <w:gridCol w:w="900"/>
        <w:gridCol w:w="1350"/>
        <w:gridCol w:w="832"/>
        <w:gridCol w:w="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8"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点位名称</w:t>
            </w:r>
          </w:p>
        </w:tc>
        <w:tc>
          <w:tcPr>
            <w:tcW w:w="1305"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污染物</w:t>
            </w:r>
          </w:p>
        </w:tc>
        <w:tc>
          <w:tcPr>
            <w:tcW w:w="1073"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评价指标</w:t>
            </w:r>
          </w:p>
        </w:tc>
        <w:tc>
          <w:tcPr>
            <w:tcW w:w="1185"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评价标准（</w:t>
            </w:r>
            <w:r>
              <w:rPr>
                <w:rFonts w:cs="TimesNewRomanPS-BoldMT"/>
                <w:color w:val="000000" w:themeColor="text1"/>
                <w:kern w:val="0"/>
                <w:sz w:val="21"/>
                <w:szCs w:val="21"/>
                <w:lang w:bidi="ar"/>
                <w14:textFill>
                  <w14:solidFill>
                    <w14:schemeClr w14:val="tx1"/>
                  </w14:solidFill>
                </w14:textFill>
              </w:rPr>
              <w:t>mg/m</w:t>
            </w:r>
            <w:r>
              <w:rPr>
                <w:rFonts w:hint="eastAsia" w:cs="宋体"/>
                <w:color w:val="000000" w:themeColor="text1"/>
                <w:kern w:val="0"/>
                <w:sz w:val="21"/>
                <w:szCs w:val="21"/>
                <w:vertAlign w:val="superscript"/>
                <w:lang w:bidi="ar"/>
                <w14:textFill>
                  <w14:solidFill>
                    <w14:schemeClr w14:val="tx1"/>
                  </w14:solidFill>
                </w14:textFill>
              </w:rPr>
              <w:t>3</w:t>
            </w:r>
            <w:r>
              <w:rPr>
                <w:rFonts w:hint="eastAsia" w:cs="宋体"/>
                <w:color w:val="000000" w:themeColor="text1"/>
                <w:kern w:val="0"/>
                <w:sz w:val="21"/>
                <w:szCs w:val="21"/>
                <w:lang w:bidi="ar"/>
                <w14:textFill>
                  <w14:solidFill>
                    <w14:schemeClr w14:val="tx1"/>
                  </w14:solidFill>
                </w14:textFill>
              </w:rPr>
              <w:t>）</w:t>
            </w:r>
          </w:p>
        </w:tc>
        <w:tc>
          <w:tcPr>
            <w:tcW w:w="1800" w:type="dxa"/>
            <w:gridSpan w:val="2"/>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现状浓度</w:t>
            </w:r>
            <w:r>
              <w:rPr>
                <w:rFonts w:hint="eastAsia" w:cs="TimesNewRomanPS-BoldMT"/>
                <w:color w:val="000000" w:themeColor="text1"/>
                <w:kern w:val="0"/>
                <w:sz w:val="21"/>
                <w:szCs w:val="21"/>
                <w:lang w:bidi="ar"/>
                <w14:textFill>
                  <w14:solidFill>
                    <w14:schemeClr w14:val="tx1"/>
                  </w14:solidFill>
                </w14:textFill>
              </w:rPr>
              <w:t>（</w:t>
            </w:r>
            <w:r>
              <w:rPr>
                <w:rFonts w:cs="TimesNewRomanPS-BoldMT"/>
                <w:color w:val="000000" w:themeColor="text1"/>
                <w:kern w:val="0"/>
                <w:sz w:val="21"/>
                <w:szCs w:val="21"/>
                <w:lang w:bidi="ar"/>
                <w14:textFill>
                  <w14:solidFill>
                    <w14:schemeClr w14:val="tx1"/>
                  </w14:solidFill>
                </w14:textFill>
              </w:rPr>
              <w:t>mg/m</w:t>
            </w:r>
            <w:r>
              <w:rPr>
                <w:rFonts w:hint="eastAsia" w:cs="宋体"/>
                <w:color w:val="000000" w:themeColor="text1"/>
                <w:kern w:val="0"/>
                <w:sz w:val="21"/>
                <w:szCs w:val="21"/>
                <w:vertAlign w:val="superscript"/>
                <w:lang w:bidi="ar"/>
                <w14:textFill>
                  <w14:solidFill>
                    <w14:schemeClr w14:val="tx1"/>
                  </w14:solidFill>
                </w14:textFill>
              </w:rPr>
              <w:t>3</w:t>
            </w:r>
            <w:r>
              <w:rPr>
                <w:rFonts w:hint="eastAsia" w:cs="宋体"/>
                <w:color w:val="000000" w:themeColor="text1"/>
                <w:kern w:val="0"/>
                <w:sz w:val="21"/>
                <w:szCs w:val="21"/>
                <w:lang w:bidi="ar"/>
                <w14:textFill>
                  <w14:solidFill>
                    <w14:schemeClr w14:val="tx1"/>
                  </w14:solidFill>
                </w14:textFill>
              </w:rPr>
              <w:t>）</w:t>
            </w:r>
          </w:p>
        </w:tc>
        <w:tc>
          <w:tcPr>
            <w:tcW w:w="1350"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最大浓度占标率</w:t>
            </w:r>
            <w:r>
              <w:rPr>
                <w:rFonts w:cs="TimesNewRomanPS-BoldMT"/>
                <w:color w:val="000000" w:themeColor="text1"/>
                <w:kern w:val="0"/>
                <w:sz w:val="21"/>
                <w:szCs w:val="21"/>
                <w:lang w:bidi="ar"/>
                <w14:textFill>
                  <w14:solidFill>
                    <w14:schemeClr w14:val="tx1"/>
                  </w14:solidFill>
                </w14:textFill>
              </w:rPr>
              <w:t>%</w:t>
            </w:r>
          </w:p>
        </w:tc>
        <w:tc>
          <w:tcPr>
            <w:tcW w:w="832"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超标频率</w:t>
            </w:r>
            <w:r>
              <w:rPr>
                <w:rFonts w:cs="TimesNewRomanPS-BoldMT"/>
                <w:color w:val="000000" w:themeColor="text1"/>
                <w:kern w:val="0"/>
                <w:sz w:val="21"/>
                <w:szCs w:val="21"/>
                <w:lang w:bidi="ar"/>
                <w14:textFill>
                  <w14:solidFill>
                    <w14:schemeClr w14:val="tx1"/>
                  </w14:solidFill>
                </w14:textFill>
              </w:rPr>
              <w:t>%</w:t>
            </w:r>
          </w:p>
        </w:tc>
        <w:tc>
          <w:tcPr>
            <w:tcW w:w="677" w:type="dxa"/>
            <w:vMerge w:val="restart"/>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8"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1305"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1073"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1185"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900" w:type="dxa"/>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最大值</w:t>
            </w:r>
          </w:p>
        </w:tc>
        <w:tc>
          <w:tcPr>
            <w:tcW w:w="900" w:type="dxa"/>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最小值</w:t>
            </w:r>
          </w:p>
        </w:tc>
        <w:tc>
          <w:tcPr>
            <w:tcW w:w="1350"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832"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c>
          <w:tcPr>
            <w:tcW w:w="677" w:type="dxa"/>
            <w:vMerge w:val="continue"/>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8"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14:textFill>
                  <w14:solidFill>
                    <w14:schemeClr w14:val="tx1"/>
                  </w14:solidFill>
                </w14:textFill>
              </w:rPr>
            </w:pPr>
            <w:r>
              <w:rPr>
                <w:rFonts w:hint="eastAsia" w:ascii="Times New Roman" w:hAnsi="Times New Roman"/>
                <w:color w:val="000000" w:themeColor="text1"/>
                <w:sz w:val="21"/>
                <w:szCs w:val="21"/>
                <w14:textFill>
                  <w14:solidFill>
                    <w14:schemeClr w14:val="tx1"/>
                  </w14:solidFill>
                </w14:textFill>
              </w:rPr>
              <w:t>龚店镇</w:t>
            </w:r>
          </w:p>
        </w:tc>
        <w:tc>
          <w:tcPr>
            <w:tcW w:w="1305"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氨</w:t>
            </w:r>
          </w:p>
        </w:tc>
        <w:tc>
          <w:tcPr>
            <w:tcW w:w="1073" w:type="dxa"/>
            <w:vAlign w:val="center"/>
          </w:tcPr>
          <w:p>
            <w:pPr>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小时值</w:t>
            </w:r>
          </w:p>
        </w:tc>
        <w:tc>
          <w:tcPr>
            <w:tcW w:w="1185"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0.2</w:t>
            </w:r>
          </w:p>
        </w:tc>
        <w:tc>
          <w:tcPr>
            <w:tcW w:w="900"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0.049</w:t>
            </w:r>
          </w:p>
        </w:tc>
        <w:tc>
          <w:tcPr>
            <w:tcW w:w="900"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0.029</w:t>
            </w:r>
          </w:p>
        </w:tc>
        <w:tc>
          <w:tcPr>
            <w:tcW w:w="1350"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0.245</w:t>
            </w:r>
          </w:p>
        </w:tc>
        <w:tc>
          <w:tcPr>
            <w:tcW w:w="832"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0</w:t>
            </w:r>
          </w:p>
        </w:tc>
        <w:tc>
          <w:tcPr>
            <w:tcW w:w="677" w:type="dxa"/>
            <w:vAlign w:val="center"/>
          </w:tcPr>
          <w:p>
            <w:pPr>
              <w:pStyle w:val="13"/>
              <w:autoSpaceDE w:val="0"/>
              <w:autoSpaceDN w:val="0"/>
              <w:spacing w:line="240" w:lineRule="auto"/>
              <w:ind w:firstLine="0" w:firstLineChars="0"/>
              <w:jc w:val="center"/>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达标</w:t>
            </w:r>
          </w:p>
        </w:tc>
      </w:tr>
    </w:tbl>
    <w:p>
      <w:pPr>
        <w:ind w:firstLine="480"/>
      </w:pPr>
      <w:r>
        <w:t>由上表可知：</w:t>
      </w:r>
      <w:r>
        <w:rPr>
          <w:rFonts w:hint="eastAsia"/>
        </w:rPr>
        <w:t>非甲烷总烃满足《大气污染物综合排放标准详解》</w:t>
      </w:r>
      <w:r>
        <w:t>空气质量浓度参考限值</w:t>
      </w:r>
      <w:r>
        <w:rPr>
          <w:rFonts w:hint="eastAsia"/>
        </w:rPr>
        <w:t>，氨和硫化氢满足《环境影响评价技术导则大气环境》（HJ2.2-2008）附录D标准。</w:t>
      </w:r>
    </w:p>
    <w:p>
      <w:pPr>
        <w:pStyle w:val="6"/>
        <w:ind w:firstLine="0" w:firstLineChars="0"/>
        <w:rPr>
          <w:lang w:val="en-US"/>
        </w:rPr>
      </w:pPr>
      <w:bookmarkStart w:id="110" w:name="_Toc22067"/>
      <w:bookmarkStart w:id="111" w:name="_Toc12231"/>
      <w:bookmarkStart w:id="112" w:name="_Toc14448"/>
      <w:r>
        <w:rPr>
          <w:rFonts w:hint="eastAsia"/>
          <w:lang w:val="en-US"/>
        </w:rPr>
        <w:t>5.3 地表水环境质量现状</w:t>
      </w:r>
      <w:bookmarkEnd w:id="110"/>
      <w:bookmarkEnd w:id="111"/>
      <w:bookmarkEnd w:id="112"/>
    </w:p>
    <w:p>
      <w:pPr>
        <w:ind w:firstLine="480"/>
      </w:pPr>
      <w:r>
        <w:t>（1）地表水类别</w:t>
      </w:r>
    </w:p>
    <w:p>
      <w:pPr>
        <w:ind w:firstLine="480"/>
        <w:rPr>
          <w:u w:val="single"/>
        </w:rPr>
      </w:pPr>
      <w:r>
        <w:rPr>
          <w:u w:val="single"/>
        </w:rPr>
        <w:t>本项目营运期废水经场内污水处理站处理后排入集聚区污水处理厂，处理后的尾水排入关庙沟最终汇入灰河，</w:t>
      </w:r>
      <w:r>
        <w:rPr>
          <w:rFonts w:hint="eastAsia"/>
          <w:u w:val="single"/>
        </w:rPr>
        <w:t>集聚区内污水经污水处理厂处理后排入</w:t>
      </w:r>
      <w:r>
        <w:rPr>
          <w:u w:val="single"/>
        </w:rPr>
        <w:t>关</w:t>
      </w:r>
      <w:r>
        <w:rPr>
          <w:rFonts w:hint="eastAsia"/>
          <w:u w:val="single"/>
        </w:rPr>
        <w:t>庙沟，后进入灰河。根据《河南省水环境功能区划（修订）》，集聚区附近的沙河（白龟山水库出口</w:t>
      </w:r>
      <w:r>
        <w:rPr>
          <w:u w:val="single"/>
        </w:rPr>
        <w:t>-</w:t>
      </w:r>
      <w:r>
        <w:rPr>
          <w:rFonts w:hint="eastAsia"/>
          <w:u w:val="single"/>
        </w:rPr>
        <w:t>马湾段）被划分为</w:t>
      </w:r>
      <w:r>
        <w:rPr>
          <w:rFonts w:hint="eastAsia" w:ascii="宋体" w:hAnsi="宋体" w:eastAsia="宋体" w:cs="宋体"/>
          <w:u w:val="single"/>
        </w:rPr>
        <w:t>Ⅲ</w:t>
      </w:r>
      <w:r>
        <w:rPr>
          <w:rFonts w:hint="eastAsia"/>
          <w:u w:val="single"/>
        </w:rPr>
        <w:t>类水体，灰河、关庙沟为沙河支流，水体功能也为</w:t>
      </w:r>
      <w:r>
        <w:rPr>
          <w:rFonts w:hint="eastAsia" w:ascii="宋体" w:hAnsi="宋体" w:cs="宋体"/>
          <w:u w:val="single"/>
        </w:rPr>
        <w:t>Ⅳ</w:t>
      </w:r>
      <w:r>
        <w:rPr>
          <w:rFonts w:hint="eastAsia"/>
          <w:u w:val="single"/>
        </w:rPr>
        <w:t>类。根据河南省生态环境厅关于印发《</w:t>
      </w:r>
      <w:r>
        <w:rPr>
          <w:rFonts w:hint="eastAsia"/>
          <w:u w:val="single"/>
          <w:lang w:eastAsia="zh-CN"/>
        </w:rPr>
        <w:t>“</w:t>
      </w:r>
      <w:r>
        <w:rPr>
          <w:rFonts w:hint="eastAsia"/>
          <w:u w:val="single"/>
        </w:rPr>
        <w:t>十四五</w:t>
      </w:r>
      <w:r>
        <w:rPr>
          <w:rFonts w:hint="eastAsia"/>
          <w:u w:val="single"/>
          <w:lang w:eastAsia="zh-CN"/>
        </w:rPr>
        <w:t>”</w:t>
      </w:r>
      <w:r>
        <w:rPr>
          <w:rFonts w:hint="eastAsia"/>
          <w:u w:val="single"/>
        </w:rPr>
        <w:t>及</w:t>
      </w:r>
      <w:r>
        <w:rPr>
          <w:u w:val="single"/>
        </w:rPr>
        <w:t>2021</w:t>
      </w:r>
      <w:r>
        <w:rPr>
          <w:rFonts w:hint="eastAsia"/>
          <w:u w:val="single"/>
        </w:rPr>
        <w:t>年地表水环境质量目标的函》（豫环函〔</w:t>
      </w:r>
      <w:r>
        <w:rPr>
          <w:u w:val="single"/>
        </w:rPr>
        <w:t>2021</w:t>
      </w:r>
      <w:r>
        <w:rPr>
          <w:rFonts w:hint="eastAsia"/>
          <w:u w:val="single"/>
        </w:rPr>
        <w:t>〕</w:t>
      </w:r>
      <w:r>
        <w:rPr>
          <w:u w:val="single"/>
        </w:rPr>
        <w:t>154</w:t>
      </w:r>
      <w:r>
        <w:rPr>
          <w:rFonts w:hint="eastAsia"/>
          <w:u w:val="single"/>
        </w:rPr>
        <w:t>号）平顶山市</w:t>
      </w:r>
      <w:r>
        <w:rPr>
          <w:rFonts w:hint="eastAsia"/>
          <w:u w:val="single"/>
          <w:lang w:eastAsia="zh-CN"/>
        </w:rPr>
        <w:t>“</w:t>
      </w:r>
      <w:r>
        <w:rPr>
          <w:rFonts w:hint="eastAsia"/>
          <w:u w:val="single"/>
        </w:rPr>
        <w:t>十四五</w:t>
      </w:r>
      <w:r>
        <w:rPr>
          <w:rFonts w:hint="eastAsia"/>
          <w:u w:val="single"/>
          <w:lang w:eastAsia="zh-CN"/>
        </w:rPr>
        <w:t>”</w:t>
      </w:r>
      <w:r>
        <w:rPr>
          <w:rFonts w:hint="eastAsia"/>
          <w:u w:val="single"/>
        </w:rPr>
        <w:t>及</w:t>
      </w:r>
      <w:r>
        <w:rPr>
          <w:u w:val="single"/>
        </w:rPr>
        <w:t>2021</w:t>
      </w:r>
      <w:r>
        <w:rPr>
          <w:rFonts w:hint="eastAsia"/>
          <w:u w:val="single"/>
        </w:rPr>
        <w:t>年地表水环境质量目标，灰河水寨乡屈庄断面</w:t>
      </w:r>
      <w:r>
        <w:rPr>
          <w:rFonts w:hint="eastAsia"/>
          <w:u w:val="single"/>
          <w:lang w:eastAsia="zh-CN"/>
        </w:rPr>
        <w:t>“</w:t>
      </w:r>
      <w:r>
        <w:rPr>
          <w:rFonts w:hint="eastAsia"/>
          <w:u w:val="single"/>
        </w:rPr>
        <w:t>十四五</w:t>
      </w:r>
      <w:r>
        <w:rPr>
          <w:rFonts w:hint="eastAsia"/>
          <w:u w:val="single"/>
          <w:lang w:eastAsia="zh-CN"/>
        </w:rPr>
        <w:t>”</w:t>
      </w:r>
      <w:r>
        <w:rPr>
          <w:rFonts w:hint="eastAsia"/>
          <w:u w:val="single"/>
        </w:rPr>
        <w:t>目标为Ⅳ类。</w:t>
      </w:r>
    </w:p>
    <w:p>
      <w:pPr>
        <w:widowControl/>
        <w:ind w:firstLine="480"/>
      </w:pPr>
      <w:r>
        <w:t>本次评价</w:t>
      </w:r>
      <w:r>
        <w:rPr>
          <w:rFonts w:hint="eastAsia"/>
        </w:rPr>
        <w:t>引用为了解项目区域地表水体的水质现状，本次评价采用2021年平顶山生态环保部门发布叶县灰河水寨屈庄断面、沙河舞阳马湾断面的监测数据</w:t>
      </w:r>
      <w:r>
        <w:t>，连续三天，地表水环境质量监测及调查情况见表</w:t>
      </w:r>
      <w:r>
        <w:rPr>
          <w:rFonts w:hint="eastAsia"/>
        </w:rPr>
        <w:t>5.3-1</w:t>
      </w:r>
      <w:r>
        <w:t>。</w:t>
      </w:r>
    </w:p>
    <w:p>
      <w:pPr>
        <w:pStyle w:val="13"/>
        <w:ind w:left="440" w:right="410" w:firstLine="482"/>
        <w:jc w:val="center"/>
        <w:rPr>
          <w:rFonts w:ascii="Times New Roman" w:hAnsi="Times New Roman"/>
          <w:b/>
          <w:bCs/>
          <w:color w:val="000000" w:themeColor="text1"/>
          <w14:textFill>
            <w14:solidFill>
              <w14:schemeClr w14:val="tx1"/>
            </w14:solidFill>
          </w14:textFill>
        </w:rPr>
      </w:pPr>
      <w:r>
        <w:rPr>
          <w:rFonts w:hint="eastAsia" w:ascii="Times New Roman" w:hAnsi="Times New Roman"/>
          <w:b/>
          <w:bCs/>
          <w:color w:val="000000" w:themeColor="text1"/>
          <w14:textFill>
            <w14:solidFill>
              <w14:schemeClr w14:val="tx1"/>
            </w14:solidFill>
          </w14:textFill>
        </w:rPr>
        <w:t>表</w:t>
      </w:r>
      <w:r>
        <w:rPr>
          <w:rFonts w:hint="eastAsia" w:ascii="Times New Roman" w:hAnsi="Times New Roman"/>
          <w:b/>
          <w:bCs/>
          <w:color w:val="000000" w:themeColor="text1"/>
          <w:lang w:val="en-US"/>
          <w14:textFill>
            <w14:solidFill>
              <w14:schemeClr w14:val="tx1"/>
            </w14:solidFill>
          </w14:textFill>
        </w:rPr>
        <w:t xml:space="preserve">5.3-1  </w:t>
      </w:r>
      <w:r>
        <w:rPr>
          <w:rFonts w:hint="eastAsia" w:ascii="Times New Roman" w:hAnsi="Times New Roman"/>
          <w:b/>
          <w:bCs/>
          <w:color w:val="000000" w:themeColor="text1"/>
          <w14:textFill>
            <w14:solidFill>
              <w14:schemeClr w14:val="tx1"/>
            </w14:solidFill>
          </w14:textFill>
        </w:rPr>
        <w:t>地表水质量监测情况</w:t>
      </w:r>
    </w:p>
    <w:tbl>
      <w:tblPr>
        <w:tblStyle w:val="28"/>
        <w:tblW w:w="492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8"/>
        <w:gridCol w:w="1282"/>
        <w:gridCol w:w="3708"/>
        <w:gridCol w:w="1202"/>
        <w:gridCol w:w="20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3"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序号</w:t>
            </w:r>
          </w:p>
        </w:tc>
        <w:tc>
          <w:tcPr>
            <w:tcW w:w="700"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地表水体</w:t>
            </w:r>
          </w:p>
        </w:tc>
        <w:tc>
          <w:tcPr>
            <w:tcW w:w="2024"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监测断面名称</w:t>
            </w:r>
          </w:p>
        </w:tc>
        <w:tc>
          <w:tcPr>
            <w:tcW w:w="656"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相对位置</w:t>
            </w:r>
          </w:p>
        </w:tc>
        <w:tc>
          <w:tcPr>
            <w:tcW w:w="1094"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水功能区划类别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3"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1</w:t>
            </w:r>
          </w:p>
        </w:tc>
        <w:tc>
          <w:tcPr>
            <w:tcW w:w="700"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灰河</w:t>
            </w:r>
          </w:p>
        </w:tc>
        <w:tc>
          <w:tcPr>
            <w:tcW w:w="2024"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叶县水寨屈庄断面</w:t>
            </w:r>
          </w:p>
        </w:tc>
        <w:tc>
          <w:tcPr>
            <w:tcW w:w="656"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下游</w:t>
            </w:r>
          </w:p>
        </w:tc>
        <w:tc>
          <w:tcPr>
            <w:tcW w:w="1094"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IV类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23"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2</w:t>
            </w:r>
          </w:p>
        </w:tc>
        <w:tc>
          <w:tcPr>
            <w:tcW w:w="700"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沙河</w:t>
            </w:r>
          </w:p>
        </w:tc>
        <w:tc>
          <w:tcPr>
            <w:tcW w:w="2024"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舞阳马湾断面</w:t>
            </w:r>
          </w:p>
        </w:tc>
        <w:tc>
          <w:tcPr>
            <w:tcW w:w="656"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下游</w:t>
            </w:r>
          </w:p>
        </w:tc>
        <w:tc>
          <w:tcPr>
            <w:tcW w:w="1094" w:type="pct"/>
            <w:vAlign w:val="center"/>
          </w:tcPr>
          <w:p>
            <w:pPr>
              <w:spacing w:line="240" w:lineRule="auto"/>
              <w:ind w:firstLine="0" w:firstLineChars="0"/>
              <w:jc w:val="center"/>
              <w:rPr>
                <w:rFonts w:hint="default" w:ascii="Times New Roman" w:hAnsi="Times New Roman" w:cs="Times New Roman"/>
                <w:kern w:val="21"/>
                <w:sz w:val="21"/>
                <w:szCs w:val="21"/>
              </w:rPr>
            </w:pPr>
            <w:r>
              <w:rPr>
                <w:rFonts w:hint="default" w:ascii="Times New Roman" w:hAnsi="Times New Roman" w:cs="Times New Roman"/>
                <w:kern w:val="21"/>
                <w:sz w:val="21"/>
                <w:szCs w:val="21"/>
              </w:rPr>
              <w:t>III类</w:t>
            </w:r>
          </w:p>
        </w:tc>
      </w:tr>
    </w:tbl>
    <w:p>
      <w:pPr>
        <w:ind w:firstLine="480"/>
      </w:pPr>
      <w:r>
        <w:t>（2）检出方法及检出限值</w:t>
      </w:r>
    </w:p>
    <w:p>
      <w:pPr>
        <w:pStyle w:val="13"/>
        <w:ind w:left="440" w:right="410" w:firstLine="482"/>
        <w:jc w:val="center"/>
        <w:rPr>
          <w:rFonts w:ascii="Times New Roman" w:hAnsi="Times New Roman"/>
          <w:b/>
          <w:bCs/>
          <w:color w:val="000000" w:themeColor="text1"/>
          <w14:textFill>
            <w14:solidFill>
              <w14:schemeClr w14:val="tx1"/>
            </w14:solidFill>
          </w14:textFill>
        </w:rPr>
      </w:pPr>
      <w:r>
        <w:rPr>
          <w:rFonts w:hint="eastAsia" w:ascii="Times New Roman" w:hAnsi="Times New Roman"/>
          <w:b/>
          <w:bCs/>
          <w:color w:val="000000" w:themeColor="text1"/>
          <w14:textFill>
            <w14:solidFill>
              <w14:schemeClr w14:val="tx1"/>
            </w14:solidFill>
          </w14:textFill>
        </w:rPr>
        <w:t>表</w:t>
      </w:r>
      <w:r>
        <w:rPr>
          <w:rFonts w:hint="eastAsia" w:ascii="Times New Roman" w:hAnsi="Times New Roman"/>
          <w:b/>
          <w:bCs/>
          <w:color w:val="000000" w:themeColor="text1"/>
          <w:lang w:val="en-US"/>
          <w14:textFill>
            <w14:solidFill>
              <w14:schemeClr w14:val="tx1"/>
            </w14:solidFill>
          </w14:textFill>
        </w:rPr>
        <w:t>5.3-2</w:t>
      </w:r>
      <w:r>
        <w:rPr>
          <w:rFonts w:hint="eastAsia" w:ascii="Times New Roman" w:hAnsi="Times New Roman"/>
          <w:b/>
          <w:bCs/>
          <w:color w:val="000000" w:themeColor="text1"/>
          <w14:textFill>
            <w14:solidFill>
              <w14:schemeClr w14:val="tx1"/>
            </w14:solidFill>
          </w14:textFill>
        </w:rPr>
        <w:t xml:space="preserve">  地表水环境各因子检测方法及检出限</w:t>
      </w:r>
    </w:p>
    <w:tbl>
      <w:tblPr>
        <w:tblStyle w:val="51"/>
        <w:tblW w:w="4998"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118"/>
        <w:gridCol w:w="4309"/>
        <w:gridCol w:w="2156"/>
        <w:gridCol w:w="149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9" w:hRule="atLeast"/>
          <w:jc w:val="center"/>
        </w:trPr>
        <w:tc>
          <w:tcPr>
            <w:tcW w:w="616"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检测项目</w:t>
            </w:r>
          </w:p>
        </w:tc>
        <w:tc>
          <w:tcPr>
            <w:tcW w:w="2374"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检测标准（方法）</w:t>
            </w:r>
          </w:p>
        </w:tc>
        <w:tc>
          <w:tcPr>
            <w:tcW w:w="1188"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检测仪器</w:t>
            </w:r>
          </w:p>
        </w:tc>
        <w:tc>
          <w:tcPr>
            <w:tcW w:w="821"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检出限</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jc w:val="center"/>
        </w:trPr>
        <w:tc>
          <w:tcPr>
            <w:tcW w:w="616" w:type="pct"/>
            <w:vAlign w:val="center"/>
          </w:tcPr>
          <w:p>
            <w:pPr>
              <w:spacing w:line="240" w:lineRule="auto"/>
              <w:ind w:firstLine="0" w:firstLineChars="0"/>
              <w:jc w:val="center"/>
              <w:rPr>
                <w:rFonts w:ascii="宋体" w:hAnsi="宋体" w:cs="宋体"/>
                <w:kern w:val="21"/>
                <w:sz w:val="21"/>
                <w:szCs w:val="21"/>
              </w:rPr>
            </w:pPr>
            <w:r>
              <w:rPr>
                <w:rFonts w:eastAsia="Times New Roman" w:cs="Times New Roman"/>
                <w:kern w:val="21"/>
                <w:sz w:val="21"/>
                <w:szCs w:val="21"/>
              </w:rPr>
              <w:t>pH</w:t>
            </w:r>
            <w:r>
              <w:rPr>
                <w:rFonts w:ascii="宋体" w:hAnsi="宋体" w:cs="宋体"/>
                <w:kern w:val="21"/>
                <w:sz w:val="21"/>
                <w:szCs w:val="21"/>
              </w:rPr>
              <w:t>值</w:t>
            </w:r>
          </w:p>
        </w:tc>
        <w:tc>
          <w:tcPr>
            <w:tcW w:w="2374"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 xml:space="preserve">《水质 </w:t>
            </w:r>
            <w:r>
              <w:rPr>
                <w:rFonts w:eastAsia="Times New Roman" w:cs="Times New Roman"/>
                <w:kern w:val="21"/>
                <w:sz w:val="21"/>
                <w:szCs w:val="21"/>
              </w:rPr>
              <w:t xml:space="preserve">pH </w:t>
            </w:r>
            <w:r>
              <w:rPr>
                <w:rFonts w:ascii="宋体" w:hAnsi="宋体" w:cs="宋体"/>
                <w:kern w:val="21"/>
                <w:sz w:val="21"/>
                <w:szCs w:val="21"/>
              </w:rPr>
              <w:t xml:space="preserve">值的测定 玻璃电极法》 </w:t>
            </w:r>
            <w:r>
              <w:rPr>
                <w:rFonts w:eastAsia="Times New Roman" w:cs="Times New Roman"/>
                <w:kern w:val="21"/>
                <w:sz w:val="21"/>
                <w:szCs w:val="21"/>
              </w:rPr>
              <w:t>GB</w:t>
            </w:r>
            <w:r>
              <w:rPr>
                <w:rFonts w:eastAsia="Times New Roman" w:cs="Times New Roman"/>
                <w:w w:val="101"/>
                <w:kern w:val="21"/>
                <w:sz w:val="21"/>
                <w:szCs w:val="21"/>
              </w:rPr>
              <w:t xml:space="preserve"> </w:t>
            </w:r>
            <w:r>
              <w:rPr>
                <w:rFonts w:eastAsia="Times New Roman" w:cs="Times New Roman"/>
                <w:kern w:val="21"/>
                <w:sz w:val="21"/>
                <w:szCs w:val="21"/>
              </w:rPr>
              <w:t>6920- 1986</w:t>
            </w:r>
          </w:p>
        </w:tc>
        <w:tc>
          <w:tcPr>
            <w:tcW w:w="1188"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pH</w:t>
            </w:r>
            <w:r>
              <w:rPr>
                <w:rFonts w:ascii="宋体" w:hAnsi="宋体" w:cs="宋体"/>
                <w:kern w:val="21"/>
                <w:sz w:val="21"/>
                <w:szCs w:val="21"/>
              </w:rPr>
              <w:t>计</w:t>
            </w:r>
            <w:r>
              <w:rPr>
                <w:rFonts w:eastAsia="Times New Roman" w:cs="Times New Roman"/>
                <w:kern w:val="21"/>
                <w:sz w:val="21"/>
                <w:szCs w:val="21"/>
              </w:rPr>
              <w:t>PHS-3C</w:t>
            </w:r>
          </w:p>
        </w:tc>
        <w:tc>
          <w:tcPr>
            <w:tcW w:w="821"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jc w:val="center"/>
        </w:trPr>
        <w:tc>
          <w:tcPr>
            <w:tcW w:w="616"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化学需氧量</w:t>
            </w:r>
          </w:p>
        </w:tc>
        <w:tc>
          <w:tcPr>
            <w:tcW w:w="2374"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《水质 化学需氧量的测定 重铬酸盐法》</w:t>
            </w:r>
            <w:r>
              <w:rPr>
                <w:rFonts w:eastAsia="Times New Roman" w:cs="Times New Roman"/>
                <w:kern w:val="21"/>
                <w:sz w:val="21"/>
                <w:szCs w:val="21"/>
              </w:rPr>
              <w:t>HJ828-2017</w:t>
            </w:r>
          </w:p>
        </w:tc>
        <w:tc>
          <w:tcPr>
            <w:tcW w:w="1188" w:type="pct"/>
            <w:vAlign w:val="center"/>
          </w:tcPr>
          <w:p>
            <w:pPr>
              <w:spacing w:line="240" w:lineRule="auto"/>
              <w:ind w:firstLine="0" w:firstLineChars="0"/>
              <w:jc w:val="center"/>
              <w:rPr>
                <w:rFonts w:ascii="宋体" w:hAnsi="宋体" w:cs="宋体"/>
                <w:kern w:val="21"/>
                <w:sz w:val="21"/>
                <w:szCs w:val="21"/>
              </w:rPr>
            </w:pPr>
            <w:r>
              <w:rPr>
                <w:rFonts w:eastAsia="Times New Roman" w:cs="Times New Roman"/>
                <w:kern w:val="21"/>
                <w:sz w:val="21"/>
                <w:szCs w:val="21"/>
              </w:rPr>
              <w:t>50mL</w:t>
            </w:r>
            <w:r>
              <w:rPr>
                <w:rFonts w:ascii="宋体" w:hAnsi="宋体" w:cs="宋体"/>
                <w:kern w:val="21"/>
                <w:sz w:val="21"/>
                <w:szCs w:val="21"/>
              </w:rPr>
              <w:t>酸式滴定管</w:t>
            </w:r>
          </w:p>
        </w:tc>
        <w:tc>
          <w:tcPr>
            <w:tcW w:w="821"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4mg/L</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jc w:val="center"/>
        </w:trPr>
        <w:tc>
          <w:tcPr>
            <w:tcW w:w="616"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五日生化需氧量</w:t>
            </w:r>
          </w:p>
        </w:tc>
        <w:tc>
          <w:tcPr>
            <w:tcW w:w="2374"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《水质 五日生化需氧量（</w:t>
            </w:r>
            <w:r>
              <w:rPr>
                <w:rFonts w:eastAsia="Times New Roman" w:cs="Times New Roman"/>
                <w:kern w:val="21"/>
                <w:sz w:val="21"/>
                <w:szCs w:val="21"/>
              </w:rPr>
              <w:t>BOD</w:t>
            </w:r>
            <w:r>
              <w:rPr>
                <w:rFonts w:eastAsia="Times New Roman" w:cs="Times New Roman"/>
                <w:kern w:val="21"/>
                <w:sz w:val="21"/>
                <w:szCs w:val="21"/>
                <w:vertAlign w:val="subscript"/>
              </w:rPr>
              <w:t>5</w:t>
            </w:r>
            <w:r>
              <w:rPr>
                <w:rFonts w:ascii="宋体" w:hAnsi="宋体" w:cs="宋体"/>
                <w:kern w:val="21"/>
                <w:sz w:val="21"/>
                <w:szCs w:val="21"/>
              </w:rPr>
              <w:t xml:space="preserve">）的测定稀释与接种法》 </w:t>
            </w:r>
            <w:r>
              <w:rPr>
                <w:rFonts w:eastAsia="Times New Roman" w:cs="Times New Roman"/>
                <w:kern w:val="21"/>
                <w:sz w:val="21"/>
                <w:szCs w:val="21"/>
              </w:rPr>
              <w:t>HJ</w:t>
            </w:r>
            <w:r>
              <w:rPr>
                <w:rFonts w:eastAsia="Times New Roman" w:cs="Times New Roman"/>
                <w:w w:val="101"/>
                <w:kern w:val="21"/>
                <w:sz w:val="21"/>
                <w:szCs w:val="21"/>
              </w:rPr>
              <w:t xml:space="preserve"> </w:t>
            </w:r>
            <w:r>
              <w:rPr>
                <w:rFonts w:eastAsia="Times New Roman" w:cs="Times New Roman"/>
                <w:kern w:val="21"/>
                <w:sz w:val="21"/>
                <w:szCs w:val="21"/>
              </w:rPr>
              <w:t>505-2009</w:t>
            </w:r>
          </w:p>
        </w:tc>
        <w:tc>
          <w:tcPr>
            <w:tcW w:w="1188"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电热恒温培养箱</w:t>
            </w:r>
            <w:r>
              <w:rPr>
                <w:rFonts w:eastAsia="Times New Roman" w:cs="Times New Roman"/>
                <w:kern w:val="21"/>
                <w:sz w:val="21"/>
                <w:szCs w:val="21"/>
              </w:rPr>
              <w:t>DHP-9162B</w:t>
            </w:r>
          </w:p>
        </w:tc>
        <w:tc>
          <w:tcPr>
            <w:tcW w:w="821"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0.5mg/L</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jc w:val="center"/>
        </w:trPr>
        <w:tc>
          <w:tcPr>
            <w:tcW w:w="616"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氨氮</w:t>
            </w:r>
          </w:p>
        </w:tc>
        <w:tc>
          <w:tcPr>
            <w:tcW w:w="2374"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《水质 氨氮的测定 纳氏试剂分光光度法》</w:t>
            </w:r>
            <w:r>
              <w:rPr>
                <w:rFonts w:eastAsia="Times New Roman" w:cs="Times New Roman"/>
                <w:kern w:val="21"/>
                <w:sz w:val="21"/>
                <w:szCs w:val="21"/>
              </w:rPr>
              <w:t>HJ535-2009</w:t>
            </w:r>
          </w:p>
        </w:tc>
        <w:tc>
          <w:tcPr>
            <w:tcW w:w="1188"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双光束紫外可见分光光度计</w:t>
            </w:r>
            <w:r>
              <w:rPr>
                <w:rFonts w:eastAsia="Times New Roman" w:cs="Times New Roman"/>
                <w:kern w:val="21"/>
                <w:sz w:val="21"/>
                <w:szCs w:val="21"/>
              </w:rPr>
              <w:t>TU-1900</w:t>
            </w:r>
          </w:p>
        </w:tc>
        <w:tc>
          <w:tcPr>
            <w:tcW w:w="821"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0.025mg/L</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jc w:val="center"/>
        </w:trPr>
        <w:tc>
          <w:tcPr>
            <w:tcW w:w="616"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总磷</w:t>
            </w:r>
          </w:p>
        </w:tc>
        <w:tc>
          <w:tcPr>
            <w:tcW w:w="2374"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《水质 总磷的测定 钼酸铵分光光度法》</w:t>
            </w:r>
            <w:r>
              <w:rPr>
                <w:rFonts w:eastAsia="Times New Roman" w:cs="Times New Roman"/>
                <w:kern w:val="21"/>
                <w:sz w:val="21"/>
                <w:szCs w:val="21"/>
              </w:rPr>
              <w:t>GB11893-1989</w:t>
            </w:r>
          </w:p>
        </w:tc>
        <w:tc>
          <w:tcPr>
            <w:tcW w:w="1188"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双光束紫外可见分光光度计</w:t>
            </w:r>
            <w:r>
              <w:rPr>
                <w:rFonts w:eastAsia="Times New Roman" w:cs="Times New Roman"/>
                <w:kern w:val="21"/>
                <w:sz w:val="21"/>
                <w:szCs w:val="21"/>
              </w:rPr>
              <w:t>TU-1900</w:t>
            </w:r>
          </w:p>
        </w:tc>
        <w:tc>
          <w:tcPr>
            <w:tcW w:w="821"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0.01mg/L</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jc w:val="center"/>
        </w:trPr>
        <w:tc>
          <w:tcPr>
            <w:tcW w:w="616"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总氮</w:t>
            </w:r>
          </w:p>
        </w:tc>
        <w:tc>
          <w:tcPr>
            <w:tcW w:w="2374"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《水质 总氮的测定 碱性过硫酸钾消解紫外分光光度法》</w:t>
            </w:r>
            <w:r>
              <w:rPr>
                <w:rFonts w:eastAsia="Times New Roman" w:cs="Times New Roman"/>
                <w:kern w:val="21"/>
                <w:sz w:val="21"/>
                <w:szCs w:val="21"/>
              </w:rPr>
              <w:t>HJ636-2012</w:t>
            </w:r>
          </w:p>
        </w:tc>
        <w:tc>
          <w:tcPr>
            <w:tcW w:w="1188"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双光束紫外可见分光光度计</w:t>
            </w:r>
            <w:r>
              <w:rPr>
                <w:rFonts w:eastAsia="Times New Roman" w:cs="Times New Roman"/>
                <w:kern w:val="21"/>
                <w:sz w:val="21"/>
                <w:szCs w:val="21"/>
              </w:rPr>
              <w:t>TU-1900</w:t>
            </w:r>
          </w:p>
        </w:tc>
        <w:tc>
          <w:tcPr>
            <w:tcW w:w="821"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0.05mg/L</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jc w:val="center"/>
        </w:trPr>
        <w:tc>
          <w:tcPr>
            <w:tcW w:w="616" w:type="pct"/>
            <w:vAlign w:val="center"/>
          </w:tcPr>
          <w:p>
            <w:pPr>
              <w:spacing w:line="240" w:lineRule="auto"/>
              <w:ind w:firstLine="0" w:firstLineChars="0"/>
              <w:jc w:val="center"/>
              <w:rPr>
                <w:rFonts w:ascii="宋体" w:hAnsi="宋体" w:cs="宋体"/>
                <w:kern w:val="21"/>
                <w:sz w:val="21"/>
                <w:szCs w:val="21"/>
              </w:rPr>
            </w:pPr>
            <w:r>
              <w:rPr>
                <w:rFonts w:ascii="宋体" w:hAnsi="宋体" w:cs="宋体"/>
                <w:kern w:val="21"/>
                <w:sz w:val="21"/>
                <w:szCs w:val="21"/>
              </w:rPr>
              <w:t>石油类</w:t>
            </w:r>
          </w:p>
        </w:tc>
        <w:tc>
          <w:tcPr>
            <w:tcW w:w="2374"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《水质 石油类和动植物油类的测定红外分光光度法》</w:t>
            </w:r>
            <w:r>
              <w:rPr>
                <w:rFonts w:eastAsia="Times New Roman" w:cs="Times New Roman"/>
                <w:kern w:val="21"/>
                <w:sz w:val="21"/>
                <w:szCs w:val="21"/>
              </w:rPr>
              <w:t>HJ637-2018</w:t>
            </w:r>
          </w:p>
        </w:tc>
        <w:tc>
          <w:tcPr>
            <w:tcW w:w="1188" w:type="pct"/>
            <w:vAlign w:val="center"/>
          </w:tcPr>
          <w:p>
            <w:pPr>
              <w:spacing w:line="240" w:lineRule="auto"/>
              <w:ind w:firstLine="0" w:firstLineChars="0"/>
              <w:jc w:val="center"/>
              <w:rPr>
                <w:rFonts w:eastAsia="Times New Roman" w:cs="Times New Roman"/>
                <w:kern w:val="21"/>
                <w:sz w:val="21"/>
                <w:szCs w:val="21"/>
              </w:rPr>
            </w:pPr>
            <w:r>
              <w:rPr>
                <w:rFonts w:ascii="宋体" w:hAnsi="宋体" w:cs="宋体"/>
                <w:kern w:val="21"/>
                <w:sz w:val="21"/>
                <w:szCs w:val="21"/>
              </w:rPr>
              <w:t>红外光度测油仪</w:t>
            </w:r>
            <w:r>
              <w:rPr>
                <w:rFonts w:eastAsia="Times New Roman" w:cs="Times New Roman"/>
                <w:kern w:val="21"/>
                <w:sz w:val="21"/>
                <w:szCs w:val="21"/>
              </w:rPr>
              <w:t>OIL-8</w:t>
            </w:r>
          </w:p>
        </w:tc>
        <w:tc>
          <w:tcPr>
            <w:tcW w:w="821" w:type="pct"/>
            <w:vAlign w:val="center"/>
          </w:tcPr>
          <w:p>
            <w:pPr>
              <w:spacing w:line="240" w:lineRule="auto"/>
              <w:ind w:firstLine="0" w:firstLineChars="0"/>
              <w:jc w:val="center"/>
              <w:rPr>
                <w:rFonts w:eastAsia="Times New Roman" w:cs="Times New Roman"/>
                <w:kern w:val="21"/>
                <w:sz w:val="21"/>
                <w:szCs w:val="21"/>
              </w:rPr>
            </w:pPr>
            <w:r>
              <w:rPr>
                <w:rFonts w:eastAsia="Times New Roman" w:cs="Times New Roman"/>
                <w:kern w:val="21"/>
                <w:sz w:val="21"/>
                <w:szCs w:val="21"/>
              </w:rPr>
              <w:t>0.06mg/L</w:t>
            </w:r>
          </w:p>
        </w:tc>
      </w:tr>
    </w:tbl>
    <w:p>
      <w:pPr>
        <w:ind w:firstLine="480"/>
      </w:pPr>
      <w:r>
        <w:t>（3）评价方法</w:t>
      </w:r>
    </w:p>
    <w:p>
      <w:pPr>
        <w:ind w:firstLine="480"/>
      </w:pPr>
      <w:r>
        <w:t>地表水环境质量现状评价采用单因子污染指数法对评价因子进行单项水质参数评价，计算公式为：</w:t>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bookmarkStart w:id="113" w:name="_Toc7032"/>
      <w:bookmarkStart w:id="114" w:name="_Toc12333"/>
      <w:r>
        <w:drawing>
          <wp:inline distT="0" distB="0" distL="114300" distR="114300">
            <wp:extent cx="585470" cy="466725"/>
            <wp:effectExtent l="0" t="0" r="5080" b="9525"/>
            <wp:docPr id="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pic:cNvPicPr>
                      <a:picLocks noChangeAspect="1"/>
                    </pic:cNvPicPr>
                  </pic:nvPicPr>
                  <pic:blipFill>
                    <a:blip r:embed="rId64"/>
                    <a:stretch>
                      <a:fillRect/>
                    </a:stretch>
                  </pic:blipFill>
                  <pic:spPr>
                    <a:xfrm>
                      <a:off x="0" y="0"/>
                      <a:ext cx="585470" cy="466725"/>
                    </a:xfrm>
                    <a:prstGeom prst="rect">
                      <a:avLst/>
                    </a:prstGeom>
                    <a:noFill/>
                    <a:ln>
                      <a:noFill/>
                    </a:ln>
                  </pic:spPr>
                </pic:pic>
              </a:graphicData>
            </a:graphic>
          </wp:inline>
        </w:drawing>
      </w:r>
      <w:bookmarkEnd w:id="113"/>
      <w:bookmarkEnd w:id="114"/>
    </w:p>
    <w:p>
      <w:pPr>
        <w:ind w:firstLine="480"/>
      </w:pPr>
      <w:r>
        <w:t>式中：S</w:t>
      </w:r>
      <w:r>
        <w:rPr>
          <w:rFonts w:hint="eastAsia"/>
          <w:vertAlign w:val="subscript"/>
        </w:rPr>
        <w:t>ij</w:t>
      </w:r>
      <w:r>
        <w:t>污染物的单因子指数；</w:t>
      </w:r>
    </w:p>
    <w:p>
      <w:pPr>
        <w:ind w:firstLine="1200" w:firstLineChars="500"/>
      </w:pPr>
      <w:r>
        <w:t>C</w:t>
      </w:r>
      <w:r>
        <w:rPr>
          <w:rFonts w:hint="eastAsia"/>
          <w:vertAlign w:val="subscript"/>
        </w:rPr>
        <w:t>ij</w:t>
      </w:r>
      <w:r>
        <w:t>污染物的实测浓度，mg/L；</w:t>
      </w:r>
    </w:p>
    <w:p>
      <w:pPr>
        <w:ind w:firstLine="1200" w:firstLineChars="500"/>
      </w:pPr>
      <w:r>
        <w:t>C</w:t>
      </w:r>
      <w:r>
        <w:rPr>
          <w:rFonts w:hint="eastAsia"/>
          <w:vertAlign w:val="subscript"/>
        </w:rPr>
        <w:t>si</w:t>
      </w:r>
      <w:r>
        <w:t>污染物的标准浓度，mg/L。</w:t>
      </w:r>
    </w:p>
    <w:p>
      <w:pPr>
        <w:ind w:firstLine="480"/>
      </w:pPr>
      <w:r>
        <w:t>pH值的标准指数为：</w:t>
      </w:r>
    </w:p>
    <w:p>
      <w:pPr>
        <w:ind w:firstLine="0" w:firstLineChars="0"/>
        <w:jc w:val="center"/>
      </w:pPr>
      <w:r>
        <w:drawing>
          <wp:inline distT="0" distB="0" distL="114300" distR="114300">
            <wp:extent cx="2228850" cy="428625"/>
            <wp:effectExtent l="0" t="0" r="0" b="9525"/>
            <wp:docPr id="2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9"/>
                    <pic:cNvPicPr>
                      <a:picLocks noChangeAspect="1"/>
                    </pic:cNvPicPr>
                  </pic:nvPicPr>
                  <pic:blipFill>
                    <a:blip r:embed="rId65"/>
                    <a:stretch>
                      <a:fillRect/>
                    </a:stretch>
                  </pic:blipFill>
                  <pic:spPr>
                    <a:xfrm>
                      <a:off x="0" y="0"/>
                      <a:ext cx="2228850" cy="42862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bookmarkStart w:id="115" w:name="_Toc19592"/>
      <w:bookmarkStart w:id="116" w:name="_Toc7402"/>
      <w:r>
        <w:drawing>
          <wp:inline distT="0" distB="0" distL="114300" distR="114300">
            <wp:extent cx="723900" cy="257175"/>
            <wp:effectExtent l="0" t="0" r="0" b="9525"/>
            <wp:docPr id="77"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11"/>
                    <pic:cNvPicPr>
                      <a:picLocks noChangeAspect="1"/>
                    </pic:cNvPicPr>
                  </pic:nvPicPr>
                  <pic:blipFill>
                    <a:blip r:embed="rId66"/>
                    <a:stretch>
                      <a:fillRect/>
                    </a:stretch>
                  </pic:blipFill>
                  <pic:spPr>
                    <a:xfrm>
                      <a:off x="0" y="0"/>
                      <a:ext cx="723900" cy="257175"/>
                    </a:xfrm>
                    <a:prstGeom prst="rect">
                      <a:avLst/>
                    </a:prstGeom>
                    <a:noFill/>
                    <a:ln>
                      <a:noFill/>
                    </a:ln>
                  </pic:spPr>
                </pic:pic>
              </a:graphicData>
            </a:graphic>
          </wp:inline>
        </w:drawing>
      </w:r>
      <w:r>
        <w:drawing>
          <wp:inline distT="0" distB="0" distL="114300" distR="114300">
            <wp:extent cx="1343025" cy="485775"/>
            <wp:effectExtent l="0" t="0" r="9525" b="9525"/>
            <wp:docPr id="76"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10"/>
                    <pic:cNvPicPr>
                      <a:picLocks noChangeAspect="1"/>
                    </pic:cNvPicPr>
                  </pic:nvPicPr>
                  <pic:blipFill>
                    <a:blip r:embed="rId67"/>
                    <a:stretch>
                      <a:fillRect/>
                    </a:stretch>
                  </pic:blipFill>
                  <pic:spPr>
                    <a:xfrm>
                      <a:off x="0" y="0"/>
                      <a:ext cx="1343025" cy="485775"/>
                    </a:xfrm>
                    <a:prstGeom prst="rect">
                      <a:avLst/>
                    </a:prstGeom>
                    <a:noFill/>
                    <a:ln>
                      <a:noFill/>
                    </a:ln>
                  </pic:spPr>
                </pic:pic>
              </a:graphicData>
            </a:graphic>
          </wp:inline>
        </w:drawing>
      </w:r>
      <w:bookmarkEnd w:id="115"/>
      <w:bookmarkEnd w:id="116"/>
    </w:p>
    <w:p>
      <w:pPr>
        <w:ind w:firstLine="480"/>
      </w:pPr>
      <w:r>
        <w:t>其中：S</w:t>
      </w:r>
      <w:r>
        <w:rPr>
          <w:vertAlign w:val="subscript"/>
        </w:rPr>
        <w:t>pHj</w:t>
      </w:r>
      <w:r>
        <w:t>——pH在第j点的标准指数，无量纲；</w:t>
      </w:r>
    </w:p>
    <w:p>
      <w:pPr>
        <w:ind w:firstLine="1200" w:firstLineChars="500"/>
      </w:pPr>
      <w:r>
        <w:t>pH</w:t>
      </w:r>
      <w:r>
        <w:rPr>
          <w:vertAlign w:val="subscript"/>
        </w:rPr>
        <w:t>j</w:t>
      </w:r>
      <w:r>
        <w:t>——第j点的pH实测值；</w:t>
      </w:r>
    </w:p>
    <w:p>
      <w:pPr>
        <w:ind w:firstLine="1200" w:firstLineChars="500"/>
      </w:pPr>
      <w:r>
        <w:t>pH</w:t>
      </w:r>
      <w:r>
        <w:rPr>
          <w:vertAlign w:val="subscript"/>
        </w:rPr>
        <w:t>sd</w:t>
      </w:r>
      <w:r>
        <w:t>——水质标准中规定的pH值下限；</w:t>
      </w:r>
    </w:p>
    <w:p>
      <w:pPr>
        <w:ind w:firstLine="1200" w:firstLineChars="500"/>
      </w:pPr>
      <w:r>
        <w:t>pH</w:t>
      </w:r>
      <w:r>
        <w:rPr>
          <w:vertAlign w:val="subscript"/>
        </w:rPr>
        <w:t>su</w:t>
      </w:r>
      <w:r>
        <w:t>——水质标准中规定的pH值上限。</w:t>
      </w:r>
    </w:p>
    <w:p>
      <w:pPr>
        <w:ind w:firstLine="480"/>
      </w:pPr>
      <w:r>
        <w:t>（4）地表水环境质量结果分析</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default" w:ascii="Times New Roman" w:hAnsi="Times New Roman" w:eastAsia="宋体" w:cs="Times New Roman"/>
        </w:rPr>
      </w:pPr>
      <w:r>
        <w:rPr>
          <w:rFonts w:hint="default" w:ascii="Times New Roman" w:hAnsi="Times New Roman" w:eastAsia="宋体" w:cs="Times New Roman"/>
        </w:rPr>
        <w:t>本项目地表水引用的4处断面取样水质监测情况详见表5.3-3～表5.3-4。</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（1）灰河</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rPr>
      </w:pPr>
      <w:r>
        <w:rPr>
          <w:rFonts w:hint="default" w:ascii="Times New Roman" w:hAnsi="Times New Roman" w:eastAsia="宋体" w:cs="Times New Roman"/>
          <w:color w:val="auto"/>
        </w:rPr>
        <w:t>灰河现状监测及评价统计结果见表</w:t>
      </w:r>
      <w:r>
        <w:rPr>
          <w:rFonts w:hint="eastAsia" w:ascii="Times New Roman" w:hAnsi="Times New Roman" w:eastAsia="宋体" w:cs="Times New Roman"/>
          <w:color w:val="auto"/>
          <w:lang w:val="en-US" w:eastAsia="zh-CN"/>
        </w:rPr>
        <w:t>5.3-3</w:t>
      </w:r>
      <w:r>
        <w:rPr>
          <w:rFonts w:hint="default" w:ascii="Times New Roman" w:hAnsi="Times New Roman" w:eastAsia="宋体" w:cs="Times New Roman"/>
          <w:color w:val="auto"/>
        </w:rPr>
        <w:t>。</w:t>
      </w:r>
    </w:p>
    <w:p>
      <w:pPr>
        <w:pStyle w:val="13"/>
        <w:keepNext w:val="0"/>
        <w:keepLines w:val="0"/>
        <w:pageBreakBefore w:val="0"/>
        <w:widowControl w:val="0"/>
        <w:kinsoku/>
        <w:wordWrap/>
        <w:overflowPunct/>
        <w:topLinePunct w:val="0"/>
        <w:autoSpaceDE/>
        <w:autoSpaceDN/>
        <w:bidi w:val="0"/>
        <w:adjustRightInd/>
        <w:snapToGrid/>
        <w:ind w:left="0" w:right="0" w:firstLine="0" w:firstLineChars="0"/>
        <w:jc w:val="center"/>
        <w:textAlignment w:val="auto"/>
        <w:rPr>
          <w:rFonts w:hint="eastAsia" w:ascii="Times New Roman" w:hAnsi="Times New Roman"/>
          <w:b/>
          <w:bCs/>
          <w:color w:val="000000" w:themeColor="text1"/>
          <w14:textFill>
            <w14:solidFill>
              <w14:schemeClr w14:val="tx1"/>
            </w14:solidFill>
          </w14:textFill>
        </w:rPr>
      </w:pPr>
      <w:r>
        <w:rPr>
          <w:rFonts w:hint="eastAsia" w:ascii="Times New Roman" w:hAnsi="Times New Roman"/>
          <w:b/>
          <w:bCs/>
          <w:color w:val="000000" w:themeColor="text1"/>
          <w14:textFill>
            <w14:solidFill>
              <w14:schemeClr w14:val="tx1"/>
            </w14:solidFill>
          </w14:textFill>
        </w:rPr>
        <w:t>表</w:t>
      </w:r>
      <w:r>
        <w:rPr>
          <w:rFonts w:hint="eastAsia" w:ascii="Times New Roman" w:hAnsi="Times New Roman"/>
          <w:b/>
          <w:bCs/>
          <w:color w:val="000000" w:themeColor="text1"/>
          <w:lang w:val="en-US" w:eastAsia="zh-CN"/>
          <w14:textFill>
            <w14:solidFill>
              <w14:schemeClr w14:val="tx1"/>
            </w14:solidFill>
          </w14:textFill>
        </w:rPr>
        <w:t>5.3-3</w:t>
      </w:r>
      <w:r>
        <w:rPr>
          <w:rFonts w:hint="eastAsia" w:ascii="Times New Roman" w:hAnsi="Times New Roman"/>
          <w:b/>
          <w:bCs/>
          <w:color w:val="000000" w:themeColor="text1"/>
          <w14:textFill>
            <w14:solidFill>
              <w14:schemeClr w14:val="tx1"/>
            </w14:solidFill>
          </w14:textFill>
        </w:rPr>
        <w:t xml:space="preserve">  2021年灰河叶县水寨屈庄断面监测结果统计单位：mg/L（除pH）</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95"/>
        <w:gridCol w:w="2274"/>
        <w:gridCol w:w="1163"/>
        <w:gridCol w:w="1163"/>
        <w:gridCol w:w="1163"/>
        <w:gridCol w:w="1163"/>
        <w:gridCol w:w="11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河流断面</w:t>
            </w: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项目</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均值</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评价标准</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标准指数</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超标率（%）</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最大超标倍数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灰河叶县水寨屈庄断面</w:t>
            </w:r>
          </w:p>
        </w:tc>
        <w:tc>
          <w:tcPr>
            <w:tcW w:w="1224" w:type="pct"/>
            <w:vAlign w:val="center"/>
          </w:tcPr>
          <w:p>
            <w:pPr>
              <w:pStyle w:val="10"/>
              <w:keepNext w:val="0"/>
              <w:keepLines w:val="0"/>
              <w:pageBreakBefore w:val="0"/>
              <w:widowControl w:val="0"/>
              <w:tabs>
                <w:tab w:val="left" w:pos="7560"/>
              </w:tabs>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pH</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bCs/>
                <w:sz w:val="21"/>
                <w:szCs w:val="21"/>
              </w:rPr>
              <w:t>7.90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6～9</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0.45</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COD</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26</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30</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0.87</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BOD</w:t>
            </w:r>
            <w:r>
              <w:rPr>
                <w:rFonts w:hint="default" w:ascii="Times New Roman" w:hAnsi="Times New Roman" w:eastAsia="宋体" w:cs="Times New Roman"/>
                <w:color w:val="auto"/>
                <w:sz w:val="21"/>
                <w:szCs w:val="21"/>
                <w:vertAlign w:val="subscript"/>
              </w:rPr>
              <w:t>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2.8</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6</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0.47</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color w:val="auto"/>
                <w:sz w:val="21"/>
                <w:szCs w:val="21"/>
              </w:rPr>
              <w:t>氟化物</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0.67</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1.5</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0.45</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color w:val="auto"/>
                <w:sz w:val="21"/>
                <w:szCs w:val="21"/>
              </w:rPr>
              <w:t>阴离子表面活性剂</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0.3</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0.067</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tabs>
                <w:tab w:val="left" w:pos="7560"/>
              </w:tabs>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color w:val="auto"/>
                <w:sz w:val="21"/>
                <w:szCs w:val="21"/>
              </w:rPr>
              <w:t>高锰酸盐指数</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4.3</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0.43</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tabs>
                <w:tab w:val="left" w:pos="7560"/>
              </w:tabs>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氨氮</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0.763</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0.51</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tabs>
                <w:tab w:val="left" w:pos="7560"/>
              </w:tabs>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总氮</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5.28</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铜</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0.003</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1.0</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0.003</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石油类</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0.5</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0.01</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锌</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0.001</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硒</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0.03</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0.0067</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rPr>
              <w:t>挥发酚</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0.02</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rPr>
              <w:t>氰化物</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砷</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0.0008</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0.1</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0.008</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rPr>
              <w:t>汞</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rPr>
              <w:t>0.00002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0.001</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0.02</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硫化物</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0.004</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六价铬</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0.04</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镉</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铅</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0.001</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0.02</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粪大肠菌群（个/L）</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261</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20000</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0.013</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bl>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default" w:ascii="Times New Roman" w:hAnsi="Times New Roman" w:eastAsia="宋体" w:cs="Times New Roman"/>
        </w:rPr>
      </w:pPr>
      <w:r>
        <w:rPr>
          <w:rFonts w:hint="default" w:ascii="Times New Roman" w:hAnsi="Times New Roman" w:eastAsia="宋体" w:cs="Times New Roman"/>
        </w:rPr>
        <w:t>由上表</w:t>
      </w:r>
      <w:r>
        <w:rPr>
          <w:rFonts w:hint="eastAsia" w:ascii="Times New Roman" w:hAnsi="Times New Roman" w:eastAsia="宋体" w:cs="Times New Roman"/>
        </w:rPr>
        <w:t>检测</w:t>
      </w:r>
      <w:r>
        <w:rPr>
          <w:rFonts w:hint="default" w:ascii="Times New Roman" w:hAnsi="Times New Roman" w:eastAsia="宋体" w:cs="Times New Roman"/>
        </w:rPr>
        <w:t>结果可知，</w:t>
      </w:r>
      <w:r>
        <w:rPr>
          <w:rFonts w:hint="eastAsia" w:ascii="Times New Roman" w:hAnsi="Times New Roman" w:eastAsia="宋体" w:cs="Times New Roman"/>
        </w:rPr>
        <w:t>202</w:t>
      </w:r>
      <w:r>
        <w:rPr>
          <w:rFonts w:hint="default" w:ascii="Times New Roman" w:hAnsi="Times New Roman" w:eastAsia="宋体" w:cs="Times New Roman"/>
        </w:rPr>
        <w:t>1</w:t>
      </w:r>
      <w:r>
        <w:rPr>
          <w:rFonts w:hint="eastAsia" w:ascii="Times New Roman" w:hAnsi="Times New Roman" w:eastAsia="宋体" w:cs="Times New Roman"/>
        </w:rPr>
        <w:t>年度</w:t>
      </w:r>
      <w:r>
        <w:rPr>
          <w:rFonts w:hint="default" w:ascii="Times New Roman" w:hAnsi="Times New Roman" w:eastAsia="宋体" w:cs="Times New Roman"/>
        </w:rPr>
        <w:t>灰河叶县水寨屈庄断面各监测因子均满足《地表水环境质量标准》（GB38382002）</w:t>
      </w:r>
      <w:r>
        <w:rPr>
          <w:rFonts w:hint="eastAsia" w:ascii="Times New Roman" w:hAnsi="Times New Roman" w:eastAsia="宋体" w:cs="Times New Roman"/>
        </w:rPr>
        <w:t>IV</w:t>
      </w:r>
      <w:r>
        <w:rPr>
          <w:rFonts w:hint="default" w:ascii="Times New Roman" w:hAnsi="Times New Roman" w:eastAsia="宋体" w:cs="Times New Roman"/>
        </w:rPr>
        <w:t>类标准。</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default" w:ascii="Times New Roman" w:hAnsi="Times New Roman" w:eastAsia="宋体" w:cs="Times New Roman"/>
        </w:rPr>
      </w:pPr>
      <w:r>
        <w:rPr>
          <w:rFonts w:hint="default" w:ascii="Times New Roman" w:hAnsi="Times New Roman" w:eastAsia="宋体" w:cs="Times New Roman"/>
        </w:rPr>
        <w:t>（2）</w:t>
      </w:r>
      <w:r>
        <w:rPr>
          <w:rFonts w:hint="eastAsia" w:ascii="Times New Roman" w:hAnsi="Times New Roman" w:eastAsia="宋体" w:cs="Times New Roman"/>
        </w:rPr>
        <w:t>沙河</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default" w:ascii="Times New Roman" w:hAnsi="Times New Roman" w:eastAsia="宋体" w:cs="Times New Roman"/>
        </w:rPr>
      </w:pPr>
      <w:r>
        <w:rPr>
          <w:rFonts w:hint="eastAsia" w:ascii="Times New Roman" w:hAnsi="Times New Roman" w:eastAsia="宋体" w:cs="Times New Roman"/>
        </w:rPr>
        <w:t>沙河</w:t>
      </w:r>
      <w:r>
        <w:rPr>
          <w:rFonts w:hint="default" w:ascii="Times New Roman" w:hAnsi="Times New Roman" w:eastAsia="宋体" w:cs="Times New Roman"/>
        </w:rPr>
        <w:t>现状监测及评价统计结果见表</w:t>
      </w:r>
      <w:r>
        <w:rPr>
          <w:rFonts w:hint="eastAsia" w:cs="Times New Roman"/>
          <w:lang w:val="en-US" w:eastAsia="zh-CN"/>
        </w:rPr>
        <w:t>5.3-4</w:t>
      </w:r>
      <w:r>
        <w:rPr>
          <w:rFonts w:hint="default" w:ascii="Times New Roman" w:hAnsi="Times New Roman" w:eastAsia="宋体" w:cs="Times New Roman"/>
        </w:rPr>
        <w:t>。</w:t>
      </w:r>
    </w:p>
    <w:p>
      <w:pPr>
        <w:pStyle w:val="13"/>
        <w:keepNext w:val="0"/>
        <w:keepLines w:val="0"/>
        <w:pageBreakBefore w:val="0"/>
        <w:widowControl w:val="0"/>
        <w:kinsoku/>
        <w:wordWrap/>
        <w:overflowPunct/>
        <w:topLinePunct w:val="0"/>
        <w:autoSpaceDE/>
        <w:autoSpaceDN/>
        <w:bidi w:val="0"/>
        <w:adjustRightInd/>
        <w:snapToGrid/>
        <w:ind w:left="0" w:right="0" w:firstLine="0" w:firstLineChars="0"/>
        <w:jc w:val="center"/>
        <w:textAlignment w:val="auto"/>
        <w:rPr>
          <w:rFonts w:hint="eastAsia" w:ascii="Times New Roman" w:hAnsi="Times New Roman"/>
          <w:b/>
          <w:bCs/>
          <w:color w:val="000000" w:themeColor="text1"/>
          <w14:textFill>
            <w14:solidFill>
              <w14:schemeClr w14:val="tx1"/>
            </w14:solidFill>
          </w14:textFill>
        </w:rPr>
      </w:pPr>
      <w:r>
        <w:rPr>
          <w:rFonts w:hint="eastAsia" w:ascii="Times New Roman" w:hAnsi="Times New Roman"/>
          <w:b/>
          <w:bCs/>
          <w:color w:val="000000" w:themeColor="text1"/>
          <w14:textFill>
            <w14:solidFill>
              <w14:schemeClr w14:val="tx1"/>
            </w14:solidFill>
          </w14:textFill>
        </w:rPr>
        <w:t>表</w:t>
      </w:r>
      <w:r>
        <w:rPr>
          <w:rFonts w:hint="eastAsia" w:ascii="Times New Roman" w:hAnsi="Times New Roman"/>
          <w:b/>
          <w:bCs/>
          <w:color w:val="000000" w:themeColor="text1"/>
          <w:lang w:val="en-US" w:eastAsia="zh-CN"/>
          <w14:textFill>
            <w14:solidFill>
              <w14:schemeClr w14:val="tx1"/>
            </w14:solidFill>
          </w14:textFill>
        </w:rPr>
        <w:t>5.3-4</w:t>
      </w:r>
      <w:r>
        <w:rPr>
          <w:rFonts w:hint="eastAsia" w:ascii="Times New Roman" w:hAnsi="Times New Roman"/>
          <w:b/>
          <w:bCs/>
          <w:color w:val="000000" w:themeColor="text1"/>
          <w14:textFill>
            <w14:solidFill>
              <w14:schemeClr w14:val="tx1"/>
            </w14:solidFill>
          </w14:textFill>
        </w:rPr>
        <w:t xml:space="preserve">  2021年沙河舞阳马湾断面监测结果统计  单位：mg/L（除pH外）</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95"/>
        <w:gridCol w:w="2274"/>
        <w:gridCol w:w="1163"/>
        <w:gridCol w:w="1163"/>
        <w:gridCol w:w="1163"/>
        <w:gridCol w:w="1163"/>
        <w:gridCol w:w="11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河流断面</w:t>
            </w: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项目</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均值</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评价标准</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标准指数</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超标率（%）</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最大超标倍数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沙河舞阳马湾断面</w:t>
            </w:r>
          </w:p>
        </w:tc>
        <w:tc>
          <w:tcPr>
            <w:tcW w:w="1224" w:type="pct"/>
            <w:vAlign w:val="center"/>
          </w:tcPr>
          <w:p>
            <w:pPr>
              <w:pStyle w:val="10"/>
              <w:keepNext w:val="0"/>
              <w:keepLines w:val="0"/>
              <w:pageBreakBefore w:val="0"/>
              <w:widowControl w:val="0"/>
              <w:tabs>
                <w:tab w:val="left" w:pos="7560"/>
              </w:tabs>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sz w:val="21"/>
                <w:szCs w:val="21"/>
              </w:rPr>
              <w:t>pH</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8</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6～9</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0.50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COD</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16</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20</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0.80</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BOD</w:t>
            </w:r>
            <w:r>
              <w:rPr>
                <w:rFonts w:hint="default" w:ascii="Times New Roman" w:hAnsi="Times New Roman" w:eastAsia="宋体" w:cs="Times New Roman"/>
                <w:color w:val="auto"/>
                <w:sz w:val="21"/>
                <w:szCs w:val="21"/>
                <w:vertAlign w:val="subscript"/>
              </w:rPr>
              <w:t>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2.6</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0.65</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color w:val="auto"/>
                <w:sz w:val="21"/>
                <w:szCs w:val="21"/>
              </w:rPr>
              <w:t>氟化物</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0.509</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0.509</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color w:val="auto"/>
                <w:sz w:val="21"/>
                <w:szCs w:val="21"/>
              </w:rPr>
              <w:t>阴离子表面活性剂</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0.03</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0.15</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tabs>
                <w:tab w:val="left" w:pos="7560"/>
              </w:tabs>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color w:val="auto"/>
                <w:sz w:val="21"/>
                <w:szCs w:val="21"/>
              </w:rPr>
              <w:t>高锰酸盐指数</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5.0</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6</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0.83</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tabs>
                <w:tab w:val="left" w:pos="7560"/>
              </w:tabs>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氨氮</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0.13</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1.0</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0.13</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tabs>
                <w:tab w:val="left" w:pos="7560"/>
              </w:tabs>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总氮</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3.84</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铜</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0.003</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1.0</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0.003</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石油类</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0.05</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0.10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锌</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0.004</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0.004</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硒</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0.0003</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0.03</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rPr>
              <w:t>挥发酚</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0.0011</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0.022</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rPr>
              <w:t>氰化物</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砷</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0.0009</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0.05</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0.018</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rPr>
              <w:t>汞</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color w:val="auto"/>
                <w:sz w:val="21"/>
                <w:szCs w:val="21"/>
              </w:rPr>
              <w:t>0.0001</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0.20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硫化物</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0.01</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六价铬</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0.004</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0.08</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镉</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0.004</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44" w:type="pct"/>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p>
        </w:tc>
        <w:tc>
          <w:tcPr>
            <w:tcW w:w="1224"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铅</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0.0002</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0.05</w:t>
            </w:r>
          </w:p>
        </w:tc>
        <w:tc>
          <w:tcPr>
            <w:tcW w:w="626" w:type="pct"/>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0.004</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c>
          <w:tcPr>
            <w:tcW w:w="626" w:type="pct"/>
            <w:vAlign w:val="center"/>
          </w:tcPr>
          <w:p>
            <w:pPr>
              <w:pStyle w:val="1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0</w:t>
            </w:r>
          </w:p>
        </w:tc>
      </w:tr>
    </w:tbl>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imes New Roman" w:hAnsi="Times New Roman" w:eastAsia="宋体" w:cs="Times New Roman"/>
        </w:rPr>
      </w:pPr>
      <w:r>
        <w:rPr>
          <w:rFonts w:hint="default" w:ascii="Times New Roman" w:hAnsi="Times New Roman" w:eastAsia="宋体" w:cs="Times New Roman"/>
        </w:rPr>
        <w:t>由上表</w:t>
      </w:r>
      <w:r>
        <w:rPr>
          <w:rFonts w:hint="eastAsia" w:ascii="Times New Roman" w:hAnsi="Times New Roman" w:eastAsia="宋体" w:cs="Times New Roman"/>
        </w:rPr>
        <w:t>检测</w:t>
      </w:r>
      <w:r>
        <w:rPr>
          <w:rFonts w:hint="default" w:ascii="Times New Roman" w:hAnsi="Times New Roman" w:eastAsia="宋体" w:cs="Times New Roman"/>
        </w:rPr>
        <w:t>结果可知，</w:t>
      </w:r>
      <w:r>
        <w:rPr>
          <w:rFonts w:hint="eastAsia" w:ascii="Times New Roman" w:hAnsi="Times New Roman" w:eastAsia="宋体" w:cs="Times New Roman"/>
        </w:rPr>
        <w:t>202</w:t>
      </w:r>
      <w:r>
        <w:rPr>
          <w:rFonts w:hint="default" w:ascii="Times New Roman" w:hAnsi="Times New Roman" w:eastAsia="宋体" w:cs="Times New Roman"/>
        </w:rPr>
        <w:t>1</w:t>
      </w:r>
      <w:r>
        <w:rPr>
          <w:rFonts w:hint="eastAsia" w:ascii="Times New Roman" w:hAnsi="Times New Roman" w:eastAsia="宋体" w:cs="Times New Roman"/>
        </w:rPr>
        <w:t>年度沙河马湾</w:t>
      </w:r>
      <w:r>
        <w:rPr>
          <w:rFonts w:hint="default" w:ascii="Times New Roman" w:hAnsi="Times New Roman" w:eastAsia="宋体" w:cs="Times New Roman"/>
        </w:rPr>
        <w:t>断面各监测因子均满足《地表水环境质量标准》（GB3838-2002）III类标准</w:t>
      </w:r>
      <w:r>
        <w:rPr>
          <w:rFonts w:hint="eastAsia" w:ascii="Times New Roman" w:hAnsi="Times New Roman" w:eastAsia="宋体" w:cs="Times New Roman"/>
        </w:rPr>
        <w:t>，说明</w:t>
      </w:r>
      <w:r>
        <w:rPr>
          <w:rFonts w:hint="default" w:ascii="Times New Roman" w:hAnsi="Times New Roman" w:eastAsia="宋体" w:cs="Times New Roman"/>
        </w:rPr>
        <w:t>沙河水质现状</w:t>
      </w:r>
      <w:r>
        <w:rPr>
          <w:rFonts w:hint="eastAsia" w:ascii="Times New Roman" w:hAnsi="Times New Roman" w:eastAsia="宋体" w:cs="Times New Roman"/>
        </w:rPr>
        <w:t>较好。</w:t>
      </w:r>
    </w:p>
    <w:p>
      <w:pPr>
        <w:pStyle w:val="6"/>
        <w:ind w:firstLine="0" w:firstLineChars="0"/>
        <w:rPr>
          <w:lang w:val="en-US"/>
        </w:rPr>
      </w:pPr>
      <w:bookmarkStart w:id="117" w:name="_Toc1922"/>
      <w:bookmarkStart w:id="118" w:name="_Toc12381"/>
      <w:bookmarkStart w:id="119" w:name="_Toc27970"/>
      <w:r>
        <w:rPr>
          <w:rFonts w:hint="eastAsia"/>
          <w:lang w:val="en-US"/>
        </w:rPr>
        <w:t>5.4 地下水环境质量现状调查与评价</w:t>
      </w:r>
      <w:bookmarkEnd w:id="117"/>
      <w:bookmarkEnd w:id="118"/>
      <w:bookmarkEnd w:id="119"/>
    </w:p>
    <w:p>
      <w:pPr>
        <w:pStyle w:val="7"/>
        <w:ind w:firstLine="562"/>
      </w:pPr>
      <w:r>
        <w:rPr>
          <w:rFonts w:hint="eastAsia"/>
        </w:rPr>
        <w:t>5.4.1 监测点位及监测因子</w:t>
      </w:r>
    </w:p>
    <w:p>
      <w:pPr>
        <w:ind w:firstLine="480"/>
      </w:pPr>
      <w:r>
        <w:rPr>
          <w:rFonts w:hint="eastAsia"/>
        </w:rPr>
        <w:t>（</w:t>
      </w:r>
      <w:r>
        <w:t>1</w:t>
      </w:r>
      <w:r>
        <w:rPr>
          <w:rFonts w:hint="eastAsia"/>
        </w:rPr>
        <w:t>）监测因子：</w:t>
      </w:r>
      <w:r>
        <w:t>pH</w:t>
      </w:r>
      <w:r>
        <w:rPr>
          <w:rFonts w:hint="eastAsia"/>
        </w:rPr>
        <w:t>值、总硬度、溶解性总固体、硫酸盐、氯化物、铁、锰、锌、挥发酚、耗氧量、硝酸盐、亚硝酸盐、氨氮、氟化物、氰化物、汞、砷、镉、铬（六价）、铅、总大肠菌群、菌落总数、井深、水位、水温。</w:t>
      </w:r>
    </w:p>
    <w:p>
      <w:pPr>
        <w:ind w:firstLine="480"/>
        <w:rPr>
          <w:color w:val="000000" w:themeColor="text1"/>
          <w:lang w:val="zh-CN"/>
          <w14:textFill>
            <w14:solidFill>
              <w14:schemeClr w14:val="tx1"/>
            </w14:solidFill>
          </w14:textFill>
        </w:rPr>
      </w:pPr>
      <w:r>
        <w:rPr>
          <w:rFonts w:hint="eastAsia"/>
          <w:color w:val="000000" w:themeColor="text1"/>
          <w14:textFill>
            <w14:solidFill>
              <w14:schemeClr w14:val="tx1"/>
            </w14:solidFill>
          </w14:textFill>
        </w:rPr>
        <w:t>（</w:t>
      </w:r>
      <w:r>
        <w:rPr>
          <w:color w:val="000000" w:themeColor="text1"/>
          <w14:textFill>
            <w14:solidFill>
              <w14:schemeClr w14:val="tx1"/>
            </w14:solidFill>
          </w14:textFill>
        </w:rPr>
        <w:t>2</w:t>
      </w:r>
      <w:r>
        <w:rPr>
          <w:rFonts w:hint="eastAsia"/>
          <w:color w:val="000000" w:themeColor="text1"/>
          <w14:textFill>
            <w14:solidFill>
              <w14:schemeClr w14:val="tx1"/>
            </w14:solidFill>
          </w14:textFill>
        </w:rPr>
        <w:t>）监测时间及频次：</w:t>
      </w:r>
      <w:r>
        <w:rPr>
          <w:color w:val="000000" w:themeColor="text1"/>
          <w14:textFill>
            <w14:solidFill>
              <w14:schemeClr w14:val="tx1"/>
            </w14:solidFill>
          </w14:textFill>
        </w:rPr>
        <w:t>202</w:t>
      </w:r>
      <w:r>
        <w:rPr>
          <w:rFonts w:hint="eastAsia"/>
          <w:color w:val="000000" w:themeColor="text1"/>
          <w14:textFill>
            <w14:solidFill>
              <w14:schemeClr w14:val="tx1"/>
            </w14:solidFill>
          </w14:textFill>
        </w:rPr>
        <w:t>1年12月30日～2021年12月31日，监测2天，每天采样</w:t>
      </w:r>
      <w:r>
        <w:rPr>
          <w:color w:val="000000" w:themeColor="text1"/>
          <w14:textFill>
            <w14:solidFill>
              <w14:schemeClr w14:val="tx1"/>
            </w14:solidFill>
          </w14:textFill>
        </w:rPr>
        <w:t>1</w:t>
      </w:r>
      <w:r>
        <w:rPr>
          <w:rFonts w:hint="eastAsia"/>
          <w:color w:val="000000" w:themeColor="text1"/>
          <w14:textFill>
            <w14:solidFill>
              <w14:schemeClr w14:val="tx1"/>
            </w14:solidFill>
          </w14:textFill>
        </w:rPr>
        <w:t>次。</w:t>
      </w:r>
    </w:p>
    <w:p>
      <w:pPr>
        <w:ind w:firstLine="480"/>
        <w:rPr>
          <w:lang w:val="zh-CN"/>
        </w:rPr>
      </w:pPr>
      <w:r>
        <w:rPr>
          <w:rFonts w:hint="eastAsia"/>
        </w:rPr>
        <w:t>（</w:t>
      </w:r>
      <w:r>
        <w:t>3</w:t>
      </w:r>
      <w:r>
        <w:rPr>
          <w:rFonts w:hint="eastAsia"/>
        </w:rPr>
        <w:t>）监测点位置：共设1个监测点，具体见表</w:t>
      </w:r>
      <w:r>
        <w:t>5.</w:t>
      </w:r>
      <w:r>
        <w:rPr>
          <w:rFonts w:hint="eastAsia"/>
        </w:rPr>
        <w:t>4</w:t>
      </w:r>
      <w:r>
        <w:t>-</w:t>
      </w:r>
      <w:r>
        <w:rPr>
          <w:rFonts w:hint="eastAsia"/>
        </w:rPr>
        <w:t>1和附图4。</w:t>
      </w:r>
    </w:p>
    <w:p>
      <w:pPr>
        <w:ind w:firstLine="480"/>
      </w:pPr>
      <w:r>
        <w:rPr>
          <w:rFonts w:hint="eastAsia"/>
        </w:rPr>
        <w:t>（</w:t>
      </w:r>
      <w:r>
        <w:t>4</w:t>
      </w:r>
      <w:r>
        <w:rPr>
          <w:rFonts w:hint="eastAsia"/>
        </w:rPr>
        <w:t>）监测取样要求：一般情况下，只取一个水质样品，取样点深度宜在地下水位以下1.0m左右。</w:t>
      </w:r>
    </w:p>
    <w:p>
      <w:pPr>
        <w:widowControl/>
        <w:ind w:firstLine="438"/>
        <w:jc w:val="center"/>
        <w:rPr>
          <w:rFonts w:cs="宋体"/>
          <w:b/>
          <w:bCs/>
          <w:spacing w:val="-11"/>
          <w:lang w:bidi="zh-CN"/>
        </w:rPr>
      </w:pPr>
      <w:r>
        <w:rPr>
          <w:rFonts w:hint="eastAsia" w:cs="宋体"/>
          <w:b/>
          <w:bCs/>
          <w:spacing w:val="-11"/>
          <w:lang w:bidi="zh-CN"/>
        </w:rPr>
        <w:t xml:space="preserve">表5.4-1 </w:t>
      </w:r>
      <w:r>
        <w:rPr>
          <w:rFonts w:cs="宋体"/>
          <w:b/>
          <w:bCs/>
          <w:spacing w:val="-11"/>
          <w:lang w:bidi="zh-CN"/>
        </w:rPr>
        <w:t xml:space="preserve"> </w:t>
      </w:r>
      <w:r>
        <w:rPr>
          <w:rFonts w:hint="eastAsia" w:cs="宋体"/>
          <w:b/>
          <w:bCs/>
          <w:spacing w:val="-11"/>
          <w:lang w:bidi="zh-CN"/>
        </w:rPr>
        <w:t>地下水水质监测点位表</w:t>
      </w:r>
    </w:p>
    <w:tbl>
      <w:tblPr>
        <w:tblStyle w:val="51"/>
        <w:tblW w:w="5009" w:type="pct"/>
        <w:jc w:val="center"/>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Layout w:type="autofit"/>
        <w:tblCellMar>
          <w:top w:w="0" w:type="dxa"/>
          <w:left w:w="0" w:type="dxa"/>
          <w:bottom w:w="0" w:type="dxa"/>
          <w:right w:w="0" w:type="dxa"/>
        </w:tblCellMar>
      </w:tblPr>
      <w:tblGrid>
        <w:gridCol w:w="591"/>
        <w:gridCol w:w="1072"/>
        <w:gridCol w:w="1066"/>
        <w:gridCol w:w="762"/>
        <w:gridCol w:w="844"/>
        <w:gridCol w:w="1618"/>
        <w:gridCol w:w="2489"/>
        <w:gridCol w:w="652"/>
      </w:tblGrid>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textDirection w:val="tbRlV"/>
            <w:vAlign w:val="center"/>
          </w:tcPr>
          <w:p>
            <w:pPr>
              <w:spacing w:line="240" w:lineRule="auto"/>
              <w:ind w:firstLine="0" w:firstLineChars="0"/>
              <w:jc w:val="center"/>
              <w:rPr>
                <w:rFonts w:cs="Times New Roman"/>
                <w:kern w:val="21"/>
                <w:sz w:val="21"/>
                <w:szCs w:val="21"/>
              </w:rPr>
            </w:pPr>
            <w:r>
              <w:rPr>
                <w:rFonts w:cs="Times New Roman"/>
                <w:kern w:val="21"/>
                <w:sz w:val="21"/>
                <w:szCs w:val="21"/>
              </w:rPr>
              <w:t>点位</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位置关系</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方位</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距离（m）</w:t>
            </w:r>
          </w:p>
        </w:tc>
        <w:tc>
          <w:tcPr>
            <w:tcW w:w="46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监测项目</w:t>
            </w:r>
          </w:p>
        </w:tc>
        <w:tc>
          <w:tcPr>
            <w:tcW w:w="8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水质监测因子</w:t>
            </w:r>
          </w:p>
        </w:tc>
        <w:tc>
          <w:tcPr>
            <w:tcW w:w="136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数据来源</w:t>
            </w:r>
          </w:p>
        </w:tc>
        <w:tc>
          <w:tcPr>
            <w:tcW w:w="358"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监测频次</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厂区</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t>
            </w:r>
          </w:p>
        </w:tc>
        <w:tc>
          <w:tcPr>
            <w:tcW w:w="464"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水质+水位</w:t>
            </w:r>
          </w:p>
        </w:tc>
        <w:tc>
          <w:tcPr>
            <w:tcW w:w="889"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监测项目：pH、K</w:t>
            </w:r>
            <w:r>
              <w:rPr>
                <w:rFonts w:cs="Times New Roman"/>
                <w:kern w:val="21"/>
                <w:sz w:val="21"/>
                <w:szCs w:val="21"/>
                <w:vertAlign w:val="superscript"/>
              </w:rPr>
              <w:t>+</w:t>
            </w:r>
            <w:r>
              <w:rPr>
                <w:rFonts w:cs="Times New Roman"/>
                <w:kern w:val="21"/>
                <w:sz w:val="21"/>
                <w:szCs w:val="21"/>
              </w:rPr>
              <w:t>、Na</w:t>
            </w:r>
            <w:r>
              <w:rPr>
                <w:rFonts w:cs="Times New Roman"/>
                <w:kern w:val="21"/>
                <w:sz w:val="21"/>
                <w:szCs w:val="21"/>
                <w:vertAlign w:val="superscript"/>
              </w:rPr>
              <w:t>+</w:t>
            </w:r>
            <w:r>
              <w:rPr>
                <w:rFonts w:cs="Times New Roman"/>
                <w:kern w:val="21"/>
                <w:sz w:val="21"/>
                <w:szCs w:val="21"/>
              </w:rPr>
              <w:t>、Ca</w:t>
            </w:r>
            <w:r>
              <w:rPr>
                <w:rFonts w:cs="Times New Roman"/>
                <w:kern w:val="21"/>
                <w:sz w:val="21"/>
                <w:szCs w:val="21"/>
                <w:vertAlign w:val="superscript"/>
              </w:rPr>
              <w:t>2+</w:t>
            </w:r>
            <w:r>
              <w:rPr>
                <w:rFonts w:cs="Times New Roman"/>
                <w:kern w:val="21"/>
                <w:sz w:val="21"/>
                <w:szCs w:val="21"/>
              </w:rPr>
              <w:t>、Mg</w:t>
            </w:r>
            <w:r>
              <w:rPr>
                <w:rFonts w:cs="Times New Roman"/>
                <w:kern w:val="21"/>
                <w:sz w:val="21"/>
                <w:szCs w:val="21"/>
                <w:vertAlign w:val="superscript"/>
              </w:rPr>
              <w:t>2+</w:t>
            </w:r>
            <w:r>
              <w:rPr>
                <w:rFonts w:cs="Times New Roman"/>
                <w:kern w:val="21"/>
                <w:sz w:val="21"/>
                <w:szCs w:val="21"/>
              </w:rPr>
              <w:t>、HCO</w:t>
            </w:r>
            <w:r>
              <w:rPr>
                <w:rFonts w:cs="Times New Roman"/>
                <w:kern w:val="21"/>
                <w:sz w:val="21"/>
                <w:szCs w:val="21"/>
                <w:vertAlign w:val="superscript"/>
              </w:rPr>
              <w:t>3-</w:t>
            </w:r>
            <w:r>
              <w:rPr>
                <w:rFonts w:cs="Times New Roman"/>
                <w:kern w:val="21"/>
                <w:sz w:val="21"/>
                <w:szCs w:val="21"/>
              </w:rPr>
              <w:t>、CO</w:t>
            </w:r>
            <w:r>
              <w:rPr>
                <w:rFonts w:cs="Times New Roman"/>
                <w:kern w:val="21"/>
                <w:sz w:val="21"/>
                <w:szCs w:val="21"/>
                <w:vertAlign w:val="subscript"/>
              </w:rPr>
              <w:t>3</w:t>
            </w:r>
            <w:r>
              <w:rPr>
                <w:rFonts w:cs="Times New Roman"/>
                <w:kern w:val="21"/>
                <w:sz w:val="21"/>
                <w:szCs w:val="21"/>
                <w:vertAlign w:val="superscript"/>
              </w:rPr>
              <w:t>2-</w:t>
            </w:r>
            <w:r>
              <w:rPr>
                <w:rFonts w:cs="Times New Roman"/>
                <w:kern w:val="21"/>
                <w:sz w:val="21"/>
                <w:szCs w:val="21"/>
              </w:rPr>
              <w:t>、Cl-、SO</w:t>
            </w:r>
            <w:r>
              <w:rPr>
                <w:rFonts w:cs="Times New Roman"/>
                <w:kern w:val="21"/>
                <w:sz w:val="21"/>
                <w:szCs w:val="21"/>
                <w:vertAlign w:val="subscript"/>
              </w:rPr>
              <w:t>4</w:t>
            </w:r>
            <w:r>
              <w:rPr>
                <w:rFonts w:cs="Times New Roman"/>
                <w:kern w:val="21"/>
                <w:sz w:val="21"/>
                <w:szCs w:val="21"/>
                <w:vertAlign w:val="superscript"/>
              </w:rPr>
              <w:t>2-</w:t>
            </w:r>
            <w:r>
              <w:rPr>
                <w:rFonts w:cs="Times New Roman"/>
                <w:kern w:val="21"/>
                <w:sz w:val="21"/>
                <w:szCs w:val="21"/>
              </w:rPr>
              <w:t>、氨氮、硝酸盐、亚硝酸盐、总硬度、硫酸盐、溶解性总固体、总大肠菌群数、挥发性酚类、氰化物、氯化物、硫化物等，同时记录水温、水位</w:t>
            </w:r>
          </w:p>
        </w:tc>
        <w:tc>
          <w:tcPr>
            <w:tcW w:w="1367"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监测</w:t>
            </w:r>
          </w:p>
        </w:tc>
        <w:tc>
          <w:tcPr>
            <w:tcW w:w="358"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监测2天，每天监测</w:t>
            </w:r>
          </w:p>
          <w:p>
            <w:pPr>
              <w:spacing w:line="240" w:lineRule="auto"/>
              <w:ind w:firstLine="0" w:firstLineChars="0"/>
              <w:jc w:val="center"/>
              <w:rPr>
                <w:rFonts w:cs="Times New Roman"/>
                <w:kern w:val="21"/>
                <w:sz w:val="21"/>
                <w:szCs w:val="21"/>
              </w:rPr>
            </w:pPr>
            <w:r>
              <w:rPr>
                <w:rFonts w:cs="Times New Roman"/>
                <w:kern w:val="21"/>
                <w:sz w:val="21"/>
                <w:szCs w:val="21"/>
              </w:rPr>
              <w:t>1次</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2#</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后棠村</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NW（下游）</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930</w:t>
            </w:r>
          </w:p>
        </w:tc>
        <w:tc>
          <w:tcPr>
            <w:tcW w:w="464"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水质+水位</w:t>
            </w: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mc:AlternateContent>
                <mc:Choice Requires="wps">
                  <w:drawing>
                    <wp:anchor distT="0" distB="0" distL="114300" distR="114300" simplePos="0" relativeHeight="251704320" behindDoc="0" locked="0" layoutInCell="1" allowOverlap="1">
                      <wp:simplePos x="0" y="0"/>
                      <wp:positionH relativeFrom="page">
                        <wp:posOffset>635635</wp:posOffset>
                      </wp:positionH>
                      <wp:positionV relativeFrom="page">
                        <wp:posOffset>1124585</wp:posOffset>
                      </wp:positionV>
                      <wp:extent cx="153670" cy="15875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53670" cy="158750"/>
                              </a:xfrm>
                              <a:prstGeom prst="rect">
                                <a:avLst/>
                              </a:prstGeom>
                              <a:noFill/>
                              <a:ln>
                                <a:noFill/>
                              </a:ln>
                            </wps:spPr>
                            <wps:txbx>
                              <w:txbxContent>
                                <w:p>
                                  <w:pPr>
                                    <w:spacing w:before="20" w:line="184" w:lineRule="auto"/>
                                    <w:ind w:firstLine="420"/>
                                    <w:rPr>
                                      <w:rFonts w:ascii="宋体" w:hAnsi="宋体" w:cs="宋体"/>
                                      <w:sz w:val="21"/>
                                      <w:szCs w:val="21"/>
                                    </w:rPr>
                                  </w:pPr>
                                  <w:r>
                                    <w:rPr>
                                      <w:rFonts w:ascii="宋体" w:hAnsi="宋体" w:cs="宋体"/>
                                      <w:sz w:val="21"/>
                                      <w:szCs w:val="21"/>
                                    </w:rPr>
                                    <w:t>据</w:t>
                                  </w:r>
                                </w:p>
                              </w:txbxContent>
                            </wps:txbx>
                            <wps:bodyPr lIns="0" tIns="0" rIns="0" bIns="0" upright="1"/>
                          </wps:wsp>
                        </a:graphicData>
                      </a:graphic>
                    </wp:anchor>
                  </w:drawing>
                </mc:Choice>
                <mc:Fallback>
                  <w:pict>
                    <v:shape id="_x0000_s1026" o:spid="_x0000_s1026" o:spt="202" type="#_x0000_t202" style="position:absolute;left:0pt;margin-left:50.05pt;margin-top:88.55pt;height:12.5pt;width:12.1pt;mso-position-horizontal-relative:page;mso-position-vertical-relative:page;z-index:251704320;mso-width-relative:page;mso-height-relative:page;" filled="f" stroked="f" coordsize="21600,21600" o:gfxdata="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G/b/7XAAAACwEAAA8AAAAAAAAAAQAgAAAAIgAAAGRycy9kb3ducmV2LnhtbFBLAQIU&#10;ABQAAAAIAIdO4kDm0trBuwEAAHMDAAAOAAAAAAAAAAEAIAAAACYBAABkcnMvZTJvRG9jLnhtbFBL&#10;BQYAAAAABgAGAFkBAABTBQAAAAA=&#10;">
                      <v:fill on="f" focussize="0,0"/>
                      <v:stroke on="f"/>
                      <v:imagedata o:title=""/>
                      <o:lock v:ext="edit" aspectratio="f"/>
                      <v:textbox inset="0mm,0mm,0mm,0mm">
                        <w:txbxContent>
                          <w:p>
                            <w:pPr>
                              <w:spacing w:before="20" w:line="184" w:lineRule="auto"/>
                              <w:ind w:firstLine="420"/>
                              <w:rPr>
                                <w:rFonts w:ascii="宋体" w:hAnsi="宋体" w:cs="宋体"/>
                                <w:sz w:val="21"/>
                                <w:szCs w:val="21"/>
                              </w:rPr>
                            </w:pPr>
                            <w:r>
                              <w:rPr>
                                <w:rFonts w:ascii="宋体" w:hAnsi="宋体" w:cs="宋体"/>
                                <w:sz w:val="21"/>
                                <w:szCs w:val="21"/>
                              </w:rPr>
                              <w:t>据</w:t>
                            </w:r>
                          </w:p>
                        </w:txbxContent>
                      </v:textbox>
                    </v:shape>
                  </w:pict>
                </mc:Fallback>
              </mc:AlternateContent>
            </w:r>
            <w:r>
              <w:rPr>
                <w:rFonts w:cs="Times New Roman"/>
                <w:kern w:val="21"/>
                <w:sz w:val="21"/>
                <w:szCs w:val="21"/>
              </w:rPr>
              <w:t>引用《河南神马尼龙化工有限责任公司尼龙化工产业配套氢氨项目环境影响报告书》中监测数</w:t>
            </w: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3#</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余营村</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E（两侧）</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1470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4#</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龚店镇</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SE（上游）</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240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5#</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泥河张村</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E（两侧）</w:t>
            </w:r>
          </w:p>
        </w:tc>
        <w:tc>
          <w:tcPr>
            <w:tcW w:w="419" w:type="pct"/>
            <w:vAlign w:val="center"/>
          </w:tcPr>
          <w:p>
            <w:pPr>
              <w:spacing w:line="240" w:lineRule="auto"/>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478</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6</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常李村（已拆迁）</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NE（两侧）</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350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引用《中国平煤神马集团尼龙科技有限公司环己醇装置提质增效技术改造项目环境影响报告书》中2020年9月12日监测数据</w:t>
            </w: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7</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下寨</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W（两侧）</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1470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8</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席庄村</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NW（下游）</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780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9</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贺渡口村</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N（下游）</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2820</w:t>
            </w:r>
          </w:p>
        </w:tc>
        <w:tc>
          <w:tcPr>
            <w:tcW w:w="464"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水位</w:t>
            </w:r>
          </w:p>
        </w:tc>
        <w:tc>
          <w:tcPr>
            <w:tcW w:w="889"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监测项目：井口坐标、水井类型（潜水/承压水）、井深、使用功能、埋深、水位标高等参</w:t>
            </w:r>
          </w:p>
          <w:p>
            <w:pPr>
              <w:spacing w:line="240" w:lineRule="auto"/>
              <w:ind w:firstLine="0" w:firstLineChars="0"/>
              <w:jc w:val="center"/>
              <w:rPr>
                <w:rFonts w:cs="Times New Roman"/>
                <w:kern w:val="21"/>
                <w:sz w:val="21"/>
                <w:szCs w:val="21"/>
              </w:rPr>
            </w:pPr>
            <w:r>
              <w:rPr>
                <w:rFonts w:cs="Times New Roman"/>
                <w:kern w:val="21"/>
                <w:sz w:val="21"/>
                <w:szCs w:val="21"/>
              </w:rPr>
              <w:t>数</w:t>
            </w:r>
          </w:p>
        </w:tc>
        <w:tc>
          <w:tcPr>
            <w:tcW w:w="1367"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引用《河南神马尼龙化工有限责任公司尼龙化工产业配套氢氨项目环境影响报告书》中监测数据</w:t>
            </w: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10</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苏科村</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SE（上游）</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2370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11</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前棠村</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NW（两侧）</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2020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restart"/>
            <w:vAlign w:val="center"/>
          </w:tcPr>
          <w:p>
            <w:pPr>
              <w:spacing w:line="240" w:lineRule="auto"/>
              <w:ind w:firstLine="0" w:firstLineChars="0"/>
              <w:jc w:val="center"/>
              <w:rPr>
                <w:rFonts w:cs="Times New Roman"/>
                <w:kern w:val="21"/>
                <w:sz w:val="21"/>
                <w:szCs w:val="21"/>
              </w:rPr>
            </w:pPr>
            <w:r>
              <w:rPr>
                <w:rFonts w:cs="Times New Roman"/>
                <w:kern w:val="21"/>
                <w:sz w:val="21"/>
                <w:szCs w:val="21"/>
              </w:rPr>
              <w:t>引用《中国平煤神马集团尼龙科技有限公司环己醇装置提质增效技术改造项目环境影响报告书》中监测数据</w:t>
            </w: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12</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节庄村（已拆迁）</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NE（两侧）</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880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13</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坡宋村（已拆迁）</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NE（两侧）</w:t>
            </w:r>
          </w:p>
        </w:tc>
        <w:tc>
          <w:tcPr>
            <w:tcW w:w="419" w:type="pct"/>
            <w:vAlign w:val="center"/>
          </w:tcPr>
          <w:p>
            <w:pPr>
              <w:spacing w:line="240" w:lineRule="auto"/>
              <w:ind w:firstLine="0" w:firstLineChars="0"/>
              <w:jc w:val="center"/>
              <w:rPr>
                <w:rFonts w:cs="Times New Roman"/>
                <w:kern w:val="21"/>
                <w:sz w:val="21"/>
                <w:szCs w:val="21"/>
              </w:rPr>
            </w:pPr>
            <w:r>
              <w:rPr>
                <w:rFonts w:hint="eastAsia" w:cs="Times New Roman"/>
                <w:kern w:val="21"/>
                <w:sz w:val="21"/>
                <w:szCs w:val="21"/>
                <w:lang w:val="en-US" w:eastAsia="zh-CN"/>
              </w:rPr>
              <w:t>3</w:t>
            </w:r>
            <w:r>
              <w:rPr>
                <w:rFonts w:cs="Times New Roman"/>
                <w:kern w:val="21"/>
                <w:sz w:val="21"/>
                <w:szCs w:val="21"/>
              </w:rPr>
              <w:t>40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14</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史堂村</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SW（两侧）</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3170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32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15</w:t>
            </w:r>
          </w:p>
        </w:tc>
        <w:tc>
          <w:tcPr>
            <w:tcW w:w="58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叶寨村</w:t>
            </w:r>
          </w:p>
        </w:tc>
        <w:tc>
          <w:tcPr>
            <w:tcW w:w="5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W（两侧）</w:t>
            </w:r>
          </w:p>
        </w:tc>
        <w:tc>
          <w:tcPr>
            <w:tcW w:w="41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1450</w:t>
            </w:r>
          </w:p>
        </w:tc>
        <w:tc>
          <w:tcPr>
            <w:tcW w:w="464" w:type="pct"/>
            <w:vMerge w:val="continue"/>
            <w:vAlign w:val="center"/>
          </w:tcPr>
          <w:p>
            <w:pPr>
              <w:spacing w:line="240" w:lineRule="auto"/>
              <w:ind w:firstLine="0" w:firstLineChars="0"/>
              <w:jc w:val="center"/>
              <w:rPr>
                <w:rFonts w:cs="Times New Roman"/>
                <w:kern w:val="21"/>
                <w:sz w:val="21"/>
                <w:szCs w:val="21"/>
              </w:rPr>
            </w:pPr>
          </w:p>
        </w:tc>
        <w:tc>
          <w:tcPr>
            <w:tcW w:w="889" w:type="pct"/>
            <w:vMerge w:val="continue"/>
            <w:vAlign w:val="center"/>
          </w:tcPr>
          <w:p>
            <w:pPr>
              <w:spacing w:line="240" w:lineRule="auto"/>
              <w:ind w:firstLine="0" w:firstLineChars="0"/>
              <w:jc w:val="center"/>
              <w:rPr>
                <w:rFonts w:cs="Times New Roman"/>
                <w:kern w:val="21"/>
                <w:sz w:val="21"/>
                <w:szCs w:val="21"/>
              </w:rPr>
            </w:pPr>
          </w:p>
        </w:tc>
        <w:tc>
          <w:tcPr>
            <w:tcW w:w="1367" w:type="pct"/>
            <w:vMerge w:val="continue"/>
            <w:vAlign w:val="center"/>
          </w:tcPr>
          <w:p>
            <w:pPr>
              <w:spacing w:line="240" w:lineRule="auto"/>
              <w:ind w:firstLine="0" w:firstLineChars="0"/>
              <w:jc w:val="center"/>
              <w:rPr>
                <w:rFonts w:cs="Times New Roman"/>
                <w:kern w:val="21"/>
                <w:sz w:val="21"/>
                <w:szCs w:val="21"/>
              </w:rPr>
            </w:pPr>
          </w:p>
        </w:tc>
        <w:tc>
          <w:tcPr>
            <w:tcW w:w="358" w:type="pct"/>
            <w:vMerge w:val="continue"/>
            <w:vAlign w:val="center"/>
          </w:tcPr>
          <w:p>
            <w:pPr>
              <w:spacing w:line="240" w:lineRule="auto"/>
              <w:ind w:firstLine="0" w:firstLineChars="0"/>
              <w:jc w:val="center"/>
              <w:rPr>
                <w:rFonts w:cs="Times New Roman"/>
                <w:kern w:val="21"/>
                <w:sz w:val="21"/>
                <w:szCs w:val="21"/>
              </w:rPr>
            </w:pPr>
          </w:p>
        </w:tc>
      </w:tr>
    </w:tbl>
    <w:p>
      <w:pPr>
        <w:ind w:firstLine="480"/>
      </w:pPr>
      <w:r>
        <w:rPr>
          <w:rFonts w:hint="eastAsia"/>
        </w:rPr>
        <w:t>（2）评价标准</w:t>
      </w:r>
    </w:p>
    <w:p>
      <w:pPr>
        <w:ind w:firstLine="480"/>
      </w:pPr>
      <w:r>
        <w:rPr>
          <w:rFonts w:hint="eastAsia"/>
        </w:rPr>
        <w:t>该地下水环境质量现状评价执行《地下水环境质量标准》（GB/T14848-2017）Ⅲ类标准。</w:t>
      </w:r>
    </w:p>
    <w:p>
      <w:pPr>
        <w:ind w:firstLine="480"/>
      </w:pPr>
      <w:r>
        <w:rPr>
          <w:rFonts w:hint="eastAsia"/>
        </w:rPr>
        <w:t>（3）检测方法及检出限</w:t>
      </w:r>
    </w:p>
    <w:p>
      <w:pPr>
        <w:widowControl/>
        <w:ind w:firstLine="438"/>
        <w:jc w:val="center"/>
        <w:rPr>
          <w:rFonts w:cs="宋体"/>
          <w:b/>
          <w:bCs/>
          <w:spacing w:val="-11"/>
          <w:lang w:bidi="zh-CN"/>
        </w:rPr>
      </w:pPr>
      <w:r>
        <w:rPr>
          <w:rFonts w:hint="eastAsia" w:cs="宋体"/>
          <w:b/>
          <w:bCs/>
          <w:spacing w:val="-11"/>
          <w:lang w:bidi="zh-CN"/>
        </w:rPr>
        <w:t>表5.4-2  地下水环境质量现状监测分析方法</w:t>
      </w:r>
    </w:p>
    <w:tbl>
      <w:tblPr>
        <w:tblStyle w:val="28"/>
        <w:tblW w:w="5019"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529"/>
        <w:gridCol w:w="1080"/>
        <w:gridCol w:w="3907"/>
        <w:gridCol w:w="2257"/>
        <w:gridCol w:w="1344"/>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检测类别</w:t>
            </w: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检测项目</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检测标准（方法）</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检测仪器</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检出限/</w:t>
            </w:r>
          </w:p>
          <w:p>
            <w:pPr>
              <w:pStyle w:val="38"/>
              <w:rPr>
                <w:rFonts w:hint="default"/>
              </w:rPr>
            </w:pPr>
            <w:r>
              <w:t>最低检出浓度</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restart"/>
            <w:tcBorders>
              <w:top w:val="single" w:color="auto" w:sz="4" w:space="0"/>
              <w:left w:val="single" w:color="auto" w:sz="4" w:space="0"/>
              <w:right w:val="single" w:color="auto" w:sz="4" w:space="0"/>
            </w:tcBorders>
            <w:vAlign w:val="center"/>
          </w:tcPr>
          <w:p>
            <w:pPr>
              <w:pStyle w:val="38"/>
              <w:rPr>
                <w:rFonts w:hint="default"/>
              </w:rPr>
            </w:pPr>
            <w:r>
              <w:t>地下水</w:t>
            </w: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pH值</w:t>
            </w:r>
          </w:p>
          <w:p>
            <w:pPr>
              <w:pStyle w:val="38"/>
              <w:rPr>
                <w:rFonts w:hint="default"/>
              </w:rPr>
            </w:pPr>
            <w:r>
              <w:t>（无量纲）</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pH值 便携式pH计法《水和废水监测分析方法》（第四版增补版） 第三篇 第一章 六（二）国家环境保护总局（2002 年）</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PHB-4 便携式酸度计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总硬度</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感官性状和物理指标（7.1 总硬度 乙二胺四乙酸二钠滴定法）GB/T 5750.4-2006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25ml 酸式滴定管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1.0mg/L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溶解性总固体</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感官性状和物理指标（8.1 溶解性总固体称量法）GB/T 5750.4-2006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rPr>
                <w:rFonts w:hint="default"/>
              </w:rPr>
              <w:t xml:space="preserve">BSA224S </w:t>
            </w:r>
            <w:r>
              <w:t>万分之一电子天平</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硫酸盐</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水质 无机阴离子（F</w:t>
            </w:r>
            <w:r>
              <w:rPr>
                <w:vertAlign w:val="superscript"/>
              </w:rPr>
              <w:t>-</w:t>
            </w:r>
            <w:r>
              <w:t>、Cl</w:t>
            </w:r>
            <w:r>
              <w:rPr>
                <w:vertAlign w:val="superscript"/>
              </w:rPr>
              <w:t>-</w:t>
            </w:r>
            <w:r>
              <w:t>、NO</w:t>
            </w:r>
            <w:r>
              <w:rPr>
                <w:vertAlign w:val="subscript"/>
              </w:rPr>
              <w:t>2</w:t>
            </w:r>
            <w:r>
              <w:rPr>
                <w:vertAlign w:val="superscript"/>
              </w:rPr>
              <w:t>-</w:t>
            </w:r>
            <w:r>
              <w:t>、Br</w:t>
            </w:r>
            <w:r>
              <w:rPr>
                <w:vertAlign w:val="superscript"/>
              </w:rPr>
              <w:t>-</w:t>
            </w:r>
            <w:r>
              <w:t>、NO</w:t>
            </w:r>
            <w:r>
              <w:rPr>
                <w:vertAlign w:val="subscript"/>
              </w:rPr>
              <w:t>3</w:t>
            </w:r>
            <w:r>
              <w:rPr>
                <w:vertAlign w:val="superscript"/>
              </w:rPr>
              <w:t>-</w:t>
            </w:r>
            <w:r>
              <w:t>、PO</w:t>
            </w:r>
            <w:r>
              <w:rPr>
                <w:vertAlign w:val="subscript"/>
              </w:rPr>
              <w:t>4</w:t>
            </w:r>
            <w:r>
              <w:rPr>
                <w:vertAlign w:val="superscript"/>
              </w:rPr>
              <w:t>3-</w:t>
            </w:r>
            <w:r>
              <w:t>、SO</w:t>
            </w:r>
            <w:r>
              <w:rPr>
                <w:vertAlign w:val="subscript"/>
              </w:rPr>
              <w:t>3</w:t>
            </w:r>
            <w:r>
              <w:rPr>
                <w:vertAlign w:val="superscript"/>
              </w:rPr>
              <w:t>2-</w:t>
            </w:r>
            <w:r>
              <w:t>、SO</w:t>
            </w:r>
            <w:r>
              <w:rPr>
                <w:vertAlign w:val="subscript"/>
              </w:rPr>
              <w:t>4</w:t>
            </w:r>
            <w:r>
              <w:rPr>
                <w:vertAlign w:val="superscript"/>
              </w:rPr>
              <w:t>2-</w:t>
            </w:r>
            <w:r>
              <w:t>）的测定 离子色谱法 HJ 84-2016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IC6000 离子色谱仪</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0.018mg/L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氯化物</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水质 无机阴离子（F</w:t>
            </w:r>
            <w:r>
              <w:rPr>
                <w:vertAlign w:val="superscript"/>
              </w:rPr>
              <w:t>-</w:t>
            </w:r>
            <w:r>
              <w:t>、Cl</w:t>
            </w:r>
            <w:r>
              <w:rPr>
                <w:vertAlign w:val="superscript"/>
              </w:rPr>
              <w:t>-</w:t>
            </w:r>
            <w:r>
              <w:t>、NO</w:t>
            </w:r>
            <w:r>
              <w:rPr>
                <w:vertAlign w:val="subscript"/>
              </w:rPr>
              <w:t>2</w:t>
            </w:r>
            <w:r>
              <w:rPr>
                <w:vertAlign w:val="superscript"/>
              </w:rPr>
              <w:t>-</w:t>
            </w:r>
            <w:r>
              <w:t>、Br</w:t>
            </w:r>
            <w:r>
              <w:rPr>
                <w:vertAlign w:val="superscript"/>
              </w:rPr>
              <w:t>-</w:t>
            </w:r>
            <w:r>
              <w:t>、NO</w:t>
            </w:r>
            <w:r>
              <w:rPr>
                <w:vertAlign w:val="subscript"/>
              </w:rPr>
              <w:t>3</w:t>
            </w:r>
            <w:r>
              <w:rPr>
                <w:vertAlign w:val="superscript"/>
              </w:rPr>
              <w:t>-</w:t>
            </w:r>
            <w:r>
              <w:t>、PO</w:t>
            </w:r>
            <w:r>
              <w:rPr>
                <w:vertAlign w:val="subscript"/>
              </w:rPr>
              <w:t>4</w:t>
            </w:r>
            <w:r>
              <w:rPr>
                <w:vertAlign w:val="superscript"/>
              </w:rPr>
              <w:t>3-</w:t>
            </w:r>
            <w:r>
              <w:t>、SO</w:t>
            </w:r>
            <w:r>
              <w:rPr>
                <w:vertAlign w:val="subscript"/>
              </w:rPr>
              <w:t>3</w:t>
            </w:r>
            <w:r>
              <w:rPr>
                <w:vertAlign w:val="superscript"/>
              </w:rPr>
              <w:t>2-</w:t>
            </w:r>
            <w:r>
              <w:t>、SO</w:t>
            </w:r>
            <w:r>
              <w:rPr>
                <w:vertAlign w:val="subscript"/>
              </w:rPr>
              <w:t>4</w:t>
            </w:r>
            <w:r>
              <w:rPr>
                <w:vertAlign w:val="superscript"/>
              </w:rPr>
              <w:t>2-</w:t>
            </w:r>
            <w:r>
              <w:t>）的测定 离子色谱法 HJ 84-2016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IC6000 离子色谱仪</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0.007mg/L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铁</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金属指标（2.1 铁 原子吸收分光光度法） GB/T 5750.6-2006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WYS2200原子吸收分光光度计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0.3mg/L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锰</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金属指标（3.1 锰 原子吸收分光光度法） GB/T 5750.6-2006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WYS2200原子吸收分光光度计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0.1mg/L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锌</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金属指标（5.1 锌 原子吸收分光光度法</w:t>
            </w:r>
            <w:bookmarkStart w:id="120" w:name="GB/T_5750.6-2006"/>
            <w:bookmarkEnd w:id="120"/>
            <w:r>
              <w:t>） GB/T 5750.6-2006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WYS2200原子吸收分光光度计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0.05mg/L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挥发酚</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水质 挥发酚的测定 4-氨基安替比林分光光度法 HJ 503-2009</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752N紫外可见分光光度计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0.0003mg/L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耗氧量</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有机物综合指标（1.1 耗氧量 酸性高锰酸钾滴定法） GB/T 5750.7-2006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50ml 酸式滴定管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0.05mg/L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硝酸盐</w:t>
            </w:r>
          </w:p>
        </w:tc>
        <w:tc>
          <w:tcPr>
            <w:tcW w:w="3954"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240" w:lineRule="auto"/>
              <w:ind w:firstLine="0" w:firstLineChars="0"/>
              <w:rPr>
                <w:sz w:val="21"/>
                <w:szCs w:val="21"/>
              </w:rPr>
            </w:pPr>
            <w:r>
              <w:rPr>
                <w:rFonts w:hint="eastAsia"/>
                <w:sz w:val="21"/>
                <w:szCs w:val="21"/>
              </w:rPr>
              <w:t>水质 无机阴离子（</w:t>
            </w:r>
            <w:r>
              <w:rPr>
                <w:sz w:val="21"/>
                <w:szCs w:val="21"/>
              </w:rPr>
              <w:t>F</w:t>
            </w:r>
            <w:r>
              <w:rPr>
                <w:rFonts w:hint="eastAsia"/>
                <w:sz w:val="21"/>
                <w:szCs w:val="21"/>
                <w:vertAlign w:val="superscript"/>
              </w:rPr>
              <w:t>-</w:t>
            </w:r>
            <w:r>
              <w:rPr>
                <w:rFonts w:hint="eastAsia"/>
                <w:sz w:val="21"/>
                <w:szCs w:val="21"/>
              </w:rPr>
              <w:t>、</w:t>
            </w:r>
            <w:r>
              <w:rPr>
                <w:sz w:val="21"/>
                <w:szCs w:val="21"/>
              </w:rPr>
              <w:t>Cl</w:t>
            </w:r>
            <w:r>
              <w:rPr>
                <w:rFonts w:hint="eastAsia"/>
                <w:sz w:val="21"/>
                <w:szCs w:val="21"/>
                <w:vertAlign w:val="superscript"/>
              </w:rPr>
              <w:t>-</w:t>
            </w:r>
            <w:r>
              <w:rPr>
                <w:rFonts w:hint="eastAsia"/>
                <w:sz w:val="21"/>
                <w:szCs w:val="21"/>
              </w:rPr>
              <w:t>、</w:t>
            </w:r>
            <w:r>
              <w:rPr>
                <w:sz w:val="21"/>
                <w:szCs w:val="21"/>
              </w:rPr>
              <w:t>NO</w:t>
            </w:r>
            <w:r>
              <w:rPr>
                <w:rFonts w:hint="eastAsia"/>
                <w:sz w:val="21"/>
                <w:szCs w:val="21"/>
                <w:vertAlign w:val="subscript"/>
              </w:rPr>
              <w:t>2</w:t>
            </w:r>
            <w:r>
              <w:rPr>
                <w:rFonts w:hint="eastAsia"/>
                <w:sz w:val="21"/>
                <w:szCs w:val="21"/>
                <w:vertAlign w:val="superscript"/>
              </w:rPr>
              <w:t>-</w:t>
            </w:r>
            <w:r>
              <w:rPr>
                <w:rFonts w:hint="eastAsia"/>
                <w:sz w:val="21"/>
                <w:szCs w:val="21"/>
              </w:rPr>
              <w:t>、</w:t>
            </w:r>
            <w:r>
              <w:rPr>
                <w:sz w:val="21"/>
                <w:szCs w:val="21"/>
              </w:rPr>
              <w:t>Br</w:t>
            </w:r>
            <w:r>
              <w:rPr>
                <w:rFonts w:hint="eastAsia"/>
                <w:sz w:val="21"/>
                <w:szCs w:val="21"/>
                <w:vertAlign w:val="superscript"/>
              </w:rPr>
              <w:t>-</w:t>
            </w:r>
            <w:r>
              <w:rPr>
                <w:rFonts w:hint="eastAsia"/>
                <w:sz w:val="21"/>
                <w:szCs w:val="21"/>
              </w:rPr>
              <w:t>、</w:t>
            </w:r>
            <w:r>
              <w:rPr>
                <w:sz w:val="21"/>
                <w:szCs w:val="21"/>
              </w:rPr>
              <w:t>NO</w:t>
            </w:r>
            <w:r>
              <w:rPr>
                <w:rFonts w:hint="eastAsia"/>
                <w:sz w:val="21"/>
                <w:szCs w:val="21"/>
                <w:vertAlign w:val="subscript"/>
              </w:rPr>
              <w:t>3</w:t>
            </w:r>
            <w:r>
              <w:rPr>
                <w:rFonts w:hint="eastAsia"/>
                <w:sz w:val="21"/>
                <w:szCs w:val="21"/>
                <w:vertAlign w:val="superscript"/>
              </w:rPr>
              <w:t>-</w:t>
            </w:r>
            <w:r>
              <w:rPr>
                <w:rFonts w:hint="eastAsia"/>
                <w:sz w:val="21"/>
                <w:szCs w:val="21"/>
              </w:rPr>
              <w:t>、</w:t>
            </w:r>
            <w:r>
              <w:rPr>
                <w:sz w:val="21"/>
                <w:szCs w:val="21"/>
              </w:rPr>
              <w:t>PO</w:t>
            </w:r>
            <w:r>
              <w:rPr>
                <w:rFonts w:hint="eastAsia"/>
                <w:sz w:val="21"/>
                <w:szCs w:val="21"/>
                <w:vertAlign w:val="subscript"/>
              </w:rPr>
              <w:t>4</w:t>
            </w:r>
            <w:r>
              <w:rPr>
                <w:sz w:val="21"/>
                <w:szCs w:val="21"/>
                <w:vertAlign w:val="superscript"/>
              </w:rPr>
              <w:t>3-</w:t>
            </w:r>
            <w:r>
              <w:rPr>
                <w:rFonts w:hint="eastAsia"/>
                <w:sz w:val="21"/>
                <w:szCs w:val="21"/>
              </w:rPr>
              <w:t>、</w:t>
            </w:r>
            <w:r>
              <w:rPr>
                <w:sz w:val="21"/>
                <w:szCs w:val="21"/>
              </w:rPr>
              <w:t>SO</w:t>
            </w:r>
            <w:r>
              <w:rPr>
                <w:rFonts w:hint="eastAsia"/>
                <w:sz w:val="21"/>
                <w:szCs w:val="21"/>
                <w:vertAlign w:val="subscript"/>
              </w:rPr>
              <w:t>3</w:t>
            </w:r>
            <w:r>
              <w:rPr>
                <w:sz w:val="21"/>
                <w:szCs w:val="21"/>
                <w:vertAlign w:val="superscript"/>
              </w:rPr>
              <w:t>2-</w:t>
            </w:r>
            <w:r>
              <w:rPr>
                <w:rFonts w:hint="eastAsia"/>
                <w:sz w:val="21"/>
                <w:szCs w:val="21"/>
              </w:rPr>
              <w:t>、</w:t>
            </w:r>
            <w:r>
              <w:rPr>
                <w:sz w:val="21"/>
                <w:szCs w:val="21"/>
              </w:rPr>
              <w:t>SO</w:t>
            </w:r>
            <w:r>
              <w:rPr>
                <w:sz w:val="21"/>
                <w:szCs w:val="21"/>
                <w:vertAlign w:val="subscript"/>
              </w:rPr>
              <w:t>4</w:t>
            </w:r>
            <w:r>
              <w:rPr>
                <w:sz w:val="21"/>
                <w:szCs w:val="21"/>
                <w:vertAlign w:val="superscript"/>
              </w:rPr>
              <w:t>2-</w:t>
            </w:r>
            <w:r>
              <w:rPr>
                <w:rFonts w:hint="eastAsia"/>
                <w:sz w:val="21"/>
                <w:szCs w:val="21"/>
              </w:rPr>
              <w:t xml:space="preserve">）的测定 离子色谱法 </w:t>
            </w:r>
            <w:r>
              <w:rPr>
                <w:sz w:val="21"/>
                <w:szCs w:val="21"/>
              </w:rPr>
              <w:t>HJ 84-2016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IC6000 离子色谱仪</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0.016mg/L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亚硝酸盐</w:t>
            </w:r>
          </w:p>
        </w:tc>
        <w:tc>
          <w:tcPr>
            <w:tcW w:w="3954"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240" w:lineRule="auto"/>
              <w:ind w:firstLine="0" w:firstLineChars="0"/>
              <w:rPr>
                <w:sz w:val="21"/>
                <w:szCs w:val="21"/>
              </w:rPr>
            </w:pPr>
            <w:r>
              <w:rPr>
                <w:rFonts w:hint="eastAsia"/>
                <w:sz w:val="21"/>
                <w:szCs w:val="21"/>
              </w:rPr>
              <w:t>水质 无机阴离子（</w:t>
            </w:r>
            <w:r>
              <w:rPr>
                <w:sz w:val="21"/>
                <w:szCs w:val="21"/>
              </w:rPr>
              <w:t>F</w:t>
            </w:r>
            <w:r>
              <w:rPr>
                <w:rFonts w:hint="eastAsia"/>
                <w:sz w:val="21"/>
                <w:szCs w:val="21"/>
                <w:vertAlign w:val="superscript"/>
              </w:rPr>
              <w:t>-</w:t>
            </w:r>
            <w:r>
              <w:rPr>
                <w:rFonts w:hint="eastAsia"/>
                <w:sz w:val="21"/>
                <w:szCs w:val="21"/>
              </w:rPr>
              <w:t>、</w:t>
            </w:r>
            <w:r>
              <w:rPr>
                <w:sz w:val="21"/>
                <w:szCs w:val="21"/>
              </w:rPr>
              <w:t>Cl</w:t>
            </w:r>
            <w:r>
              <w:rPr>
                <w:rFonts w:hint="eastAsia"/>
                <w:sz w:val="21"/>
                <w:szCs w:val="21"/>
                <w:vertAlign w:val="superscript"/>
              </w:rPr>
              <w:t>-</w:t>
            </w:r>
            <w:r>
              <w:rPr>
                <w:rFonts w:hint="eastAsia"/>
                <w:sz w:val="21"/>
                <w:szCs w:val="21"/>
              </w:rPr>
              <w:t>、</w:t>
            </w:r>
            <w:r>
              <w:rPr>
                <w:sz w:val="21"/>
                <w:szCs w:val="21"/>
              </w:rPr>
              <w:t>NO</w:t>
            </w:r>
            <w:r>
              <w:rPr>
                <w:rFonts w:hint="eastAsia"/>
                <w:sz w:val="21"/>
                <w:szCs w:val="21"/>
                <w:vertAlign w:val="subscript"/>
              </w:rPr>
              <w:t>2</w:t>
            </w:r>
            <w:r>
              <w:rPr>
                <w:rFonts w:hint="eastAsia"/>
                <w:sz w:val="21"/>
                <w:szCs w:val="21"/>
                <w:vertAlign w:val="superscript"/>
              </w:rPr>
              <w:t>-</w:t>
            </w:r>
            <w:r>
              <w:rPr>
                <w:rFonts w:hint="eastAsia"/>
                <w:sz w:val="21"/>
                <w:szCs w:val="21"/>
              </w:rPr>
              <w:t>、</w:t>
            </w:r>
            <w:r>
              <w:rPr>
                <w:sz w:val="21"/>
                <w:szCs w:val="21"/>
              </w:rPr>
              <w:t>Br</w:t>
            </w:r>
            <w:r>
              <w:rPr>
                <w:rFonts w:hint="eastAsia"/>
                <w:sz w:val="21"/>
                <w:szCs w:val="21"/>
                <w:vertAlign w:val="superscript"/>
              </w:rPr>
              <w:t>-</w:t>
            </w:r>
            <w:r>
              <w:rPr>
                <w:rFonts w:hint="eastAsia"/>
                <w:sz w:val="21"/>
                <w:szCs w:val="21"/>
              </w:rPr>
              <w:t>、</w:t>
            </w:r>
            <w:r>
              <w:rPr>
                <w:sz w:val="21"/>
                <w:szCs w:val="21"/>
              </w:rPr>
              <w:t>NO</w:t>
            </w:r>
            <w:r>
              <w:rPr>
                <w:rFonts w:hint="eastAsia"/>
                <w:sz w:val="21"/>
                <w:szCs w:val="21"/>
                <w:vertAlign w:val="subscript"/>
              </w:rPr>
              <w:t>3</w:t>
            </w:r>
            <w:r>
              <w:rPr>
                <w:rFonts w:hint="eastAsia"/>
                <w:sz w:val="21"/>
                <w:szCs w:val="21"/>
                <w:vertAlign w:val="superscript"/>
              </w:rPr>
              <w:t>-</w:t>
            </w:r>
            <w:r>
              <w:rPr>
                <w:rFonts w:hint="eastAsia"/>
                <w:sz w:val="21"/>
                <w:szCs w:val="21"/>
              </w:rPr>
              <w:t>、</w:t>
            </w:r>
            <w:r>
              <w:rPr>
                <w:sz w:val="21"/>
                <w:szCs w:val="21"/>
              </w:rPr>
              <w:t>PO</w:t>
            </w:r>
            <w:r>
              <w:rPr>
                <w:rFonts w:hint="eastAsia"/>
                <w:sz w:val="21"/>
                <w:szCs w:val="21"/>
                <w:vertAlign w:val="subscript"/>
              </w:rPr>
              <w:t>4</w:t>
            </w:r>
            <w:r>
              <w:rPr>
                <w:sz w:val="21"/>
                <w:szCs w:val="21"/>
                <w:vertAlign w:val="superscript"/>
              </w:rPr>
              <w:t>3-</w:t>
            </w:r>
            <w:r>
              <w:rPr>
                <w:rFonts w:hint="eastAsia"/>
                <w:sz w:val="21"/>
                <w:szCs w:val="21"/>
              </w:rPr>
              <w:t>、</w:t>
            </w:r>
            <w:r>
              <w:rPr>
                <w:sz w:val="21"/>
                <w:szCs w:val="21"/>
              </w:rPr>
              <w:t>SO</w:t>
            </w:r>
            <w:r>
              <w:rPr>
                <w:rFonts w:hint="eastAsia"/>
                <w:sz w:val="21"/>
                <w:szCs w:val="21"/>
                <w:vertAlign w:val="subscript"/>
              </w:rPr>
              <w:t>3</w:t>
            </w:r>
            <w:r>
              <w:rPr>
                <w:sz w:val="21"/>
                <w:szCs w:val="21"/>
                <w:vertAlign w:val="superscript"/>
              </w:rPr>
              <w:t>2-</w:t>
            </w:r>
            <w:r>
              <w:rPr>
                <w:rFonts w:hint="eastAsia"/>
                <w:sz w:val="21"/>
                <w:szCs w:val="21"/>
              </w:rPr>
              <w:t>、</w:t>
            </w:r>
            <w:r>
              <w:rPr>
                <w:sz w:val="21"/>
                <w:szCs w:val="21"/>
              </w:rPr>
              <w:t>SO</w:t>
            </w:r>
            <w:r>
              <w:rPr>
                <w:sz w:val="21"/>
                <w:szCs w:val="21"/>
                <w:vertAlign w:val="subscript"/>
              </w:rPr>
              <w:t>4</w:t>
            </w:r>
            <w:r>
              <w:rPr>
                <w:sz w:val="21"/>
                <w:szCs w:val="21"/>
                <w:vertAlign w:val="superscript"/>
              </w:rPr>
              <w:t>2-</w:t>
            </w:r>
            <w:r>
              <w:rPr>
                <w:rFonts w:hint="eastAsia"/>
                <w:sz w:val="21"/>
                <w:szCs w:val="21"/>
              </w:rPr>
              <w:t xml:space="preserve">）的测定 离子色谱法 </w:t>
            </w:r>
            <w:r>
              <w:rPr>
                <w:sz w:val="21"/>
                <w:szCs w:val="21"/>
              </w:rPr>
              <w:t>HJ 84-2016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IC6000 离子色谱仪</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0.016mg/L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氨氮</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无机非金属指标（9.1 氨氮 纳氏试剂分光光度法） GB/T 5750.5-2006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752N紫外可见分光光度计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0.02mg/L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氟化物</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水质 无机阴离子（F</w:t>
            </w:r>
            <w:r>
              <w:rPr>
                <w:vertAlign w:val="superscript"/>
              </w:rPr>
              <w:t>-</w:t>
            </w:r>
            <w:r>
              <w:t>、Cl</w:t>
            </w:r>
            <w:r>
              <w:rPr>
                <w:vertAlign w:val="superscript"/>
              </w:rPr>
              <w:t>-</w:t>
            </w:r>
            <w:r>
              <w:t>、NO</w:t>
            </w:r>
            <w:r>
              <w:rPr>
                <w:vertAlign w:val="subscript"/>
              </w:rPr>
              <w:t>2</w:t>
            </w:r>
            <w:r>
              <w:rPr>
                <w:vertAlign w:val="superscript"/>
              </w:rPr>
              <w:t>-</w:t>
            </w:r>
            <w:r>
              <w:t>、Br</w:t>
            </w:r>
            <w:r>
              <w:rPr>
                <w:vertAlign w:val="superscript"/>
              </w:rPr>
              <w:t>-</w:t>
            </w:r>
            <w:r>
              <w:t>、NO</w:t>
            </w:r>
            <w:r>
              <w:rPr>
                <w:vertAlign w:val="subscript"/>
              </w:rPr>
              <w:t>3</w:t>
            </w:r>
            <w:r>
              <w:rPr>
                <w:vertAlign w:val="superscript"/>
              </w:rPr>
              <w:t>-</w:t>
            </w:r>
            <w:r>
              <w:t>、PO</w:t>
            </w:r>
            <w:r>
              <w:rPr>
                <w:vertAlign w:val="subscript"/>
              </w:rPr>
              <w:t>4</w:t>
            </w:r>
            <w:r>
              <w:rPr>
                <w:vertAlign w:val="superscript"/>
              </w:rPr>
              <w:t>3-</w:t>
            </w:r>
            <w:r>
              <w:t>、SO</w:t>
            </w:r>
            <w:r>
              <w:rPr>
                <w:vertAlign w:val="subscript"/>
              </w:rPr>
              <w:t>3</w:t>
            </w:r>
            <w:r>
              <w:rPr>
                <w:vertAlign w:val="superscript"/>
              </w:rPr>
              <w:t>2-</w:t>
            </w:r>
            <w:r>
              <w:t>、SO</w:t>
            </w:r>
            <w:r>
              <w:rPr>
                <w:vertAlign w:val="subscript"/>
              </w:rPr>
              <w:t>4</w:t>
            </w:r>
            <w:r>
              <w:rPr>
                <w:vertAlign w:val="superscript"/>
              </w:rPr>
              <w:t>2-</w:t>
            </w:r>
            <w:r>
              <w:t>）的测定 离子色谱法 HJ 84-2016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IC6000 离子色谱仪</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0.006mg/L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氰化物</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无机非金属指标（4.1 氰化物 异烟酸-吡唑酮分光光度法） GB/T 5750.5-2006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752N紫外可见分光光度计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0.002mg/L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汞</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水质 汞、砷、硒、铋和锑的测定 原子荧光法 HJ 694-2014</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AFS-930原子荧光光度计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rPr>
                <w:rFonts w:hint="default"/>
              </w:rPr>
              <w:t>0.04μg/L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砷</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水质 汞、砷、硒、铋和锑的测定 原子荧光法 HJ 694-2014</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AFS-930原子荧光光度计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rPr>
                <w:rFonts w:hint="default"/>
              </w:rPr>
              <w:t>0.3μg/L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镉</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金属指标（9.1 镉 无火焰原子吸收分光光度法）GB/T5750.6-2006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WYS2200</w:t>
            </w:r>
          </w:p>
          <w:p>
            <w:pPr>
              <w:pStyle w:val="38"/>
              <w:rPr>
                <w:rFonts w:hint="default"/>
              </w:rPr>
            </w:pPr>
            <w:r>
              <w:t>原子吸收分光光度计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rPr>
                <w:rFonts w:hint="default"/>
              </w:rPr>
              <w:t>0.5μg/L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铬（六价）</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金属指标（10.1 铬（六价） 二苯碳酰二肼分光光度法） GB/T 5750.6-2006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752N紫外可见分光光度计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rPr>
                <w:rFonts w:hint="default"/>
              </w:rPr>
              <w:t>0.004mg/L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铅</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金属指标（11.1 铅 无火焰原子吸收分光光度法）GB/T5750.6-2006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WYS2200原子吸收分光光度计</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rPr>
                <w:rFonts w:hint="default"/>
              </w:rPr>
              <w:t>2.5μg/L</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总大肠菌群</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微生物指标（2.1 总大肠菌群 多管发酵法）GB/T 5750.12-2006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SHX-150数显生化培养箱、DGL-75B立式蒸汽灭菌锅</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23" w:hRule="atLeast"/>
          <w:jc w:val="center"/>
        </w:trPr>
        <w:tc>
          <w:tcPr>
            <w:tcW w:w="535" w:type="dxa"/>
            <w:vMerge w:val="continue"/>
            <w:tcBorders>
              <w:left w:val="single" w:color="auto" w:sz="4" w:space="0"/>
              <w:bottom w:val="single" w:color="auto" w:sz="4" w:space="0"/>
              <w:right w:val="single" w:color="auto" w:sz="4" w:space="0"/>
            </w:tcBorders>
            <w:vAlign w:val="center"/>
          </w:tcPr>
          <w:p>
            <w:pPr>
              <w:pStyle w:val="38"/>
              <w:rPr>
                <w:rFonts w:hint="default"/>
              </w:rPr>
            </w:pPr>
          </w:p>
        </w:tc>
        <w:tc>
          <w:tcPr>
            <w:tcW w:w="1093"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菌落总数</w:t>
            </w:r>
          </w:p>
        </w:tc>
        <w:tc>
          <w:tcPr>
            <w:tcW w:w="395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生活饮用水标准检验方法 微生物指标（1.1 菌落总数 平皿计数法）GB/T 5750.12-2006</w:t>
            </w:r>
          </w:p>
        </w:tc>
        <w:tc>
          <w:tcPr>
            <w:tcW w:w="2284"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SHX-150</w:t>
            </w:r>
            <w:bookmarkStart w:id="121" w:name="数显生化培养箱DGL-75B"/>
            <w:bookmarkEnd w:id="121"/>
            <w:r>
              <w:t>数显生化培养箱、DGL-75B立式蒸汽灭菌锅</w:t>
            </w:r>
          </w:p>
        </w:tc>
        <w:tc>
          <w:tcPr>
            <w:tcW w:w="1360" w:type="dxa"/>
            <w:tcBorders>
              <w:top w:val="single" w:color="auto" w:sz="4" w:space="0"/>
              <w:left w:val="single" w:color="auto" w:sz="4" w:space="0"/>
              <w:bottom w:val="single" w:color="auto" w:sz="4" w:space="0"/>
              <w:right w:val="single" w:color="auto" w:sz="4" w:space="0"/>
            </w:tcBorders>
            <w:vAlign w:val="center"/>
          </w:tcPr>
          <w:p>
            <w:pPr>
              <w:pStyle w:val="38"/>
              <w:rPr>
                <w:rFonts w:hint="default"/>
              </w:rPr>
            </w:pPr>
            <w:r>
              <w:t>/</w:t>
            </w:r>
          </w:p>
        </w:tc>
      </w:tr>
    </w:tbl>
    <w:p>
      <w:pPr>
        <w:pStyle w:val="7"/>
        <w:ind w:firstLine="562"/>
      </w:pPr>
      <w:r>
        <w:rPr>
          <w:rFonts w:hint="eastAsia"/>
        </w:rPr>
        <w:t xml:space="preserve">5.4.3 </w:t>
      </w:r>
      <w:r>
        <w:t>评价方法</w:t>
      </w:r>
    </w:p>
    <w:p>
      <w:pPr>
        <w:ind w:firstLine="480"/>
      </w:pPr>
      <w:r>
        <w:t>根据检测结果，采用单项标准指数法对评价范围内的地下水质量进行评价。计算公式如下：</w:t>
      </w:r>
    </w:p>
    <w:p>
      <w:pPr>
        <w:ind w:firstLine="480"/>
      </w:pPr>
      <w:r>
        <w:t>（1）一般项目单项标准指数计算公式：</w:t>
      </w:r>
    </w:p>
    <w:p>
      <w:pPr>
        <w:ind w:firstLine="0" w:firstLineChars="0"/>
        <w:jc w:val="center"/>
      </w:pPr>
      <w:r>
        <w:rPr>
          <w:rFonts w:cs="宋体"/>
        </w:rPr>
        <w:object>
          <v:shape id="_x0000_i1029" o:spt="75" type="#_x0000_t75" style="height:19.9pt;width:8.05pt;" o:ole="t" filled="f" o:preferrelative="t" stroked="f" coordsize="21600,21600">
            <v:path/>
            <v:fill on="f" focussize="0,0"/>
            <v:stroke on="f" joinstyle="miter"/>
            <v:imagedata r:id="rId69" o:title=""/>
            <o:lock v:ext="edit" aspectratio="t"/>
            <w10:wrap type="none"/>
            <w10:anchorlock/>
          </v:shape>
          <o:OLEObject Type="Embed" ProgID="Equation.3" ShapeID="_x0000_i1029" DrawAspect="Content" ObjectID="_1468075729" r:id="rId68">
            <o:LockedField>false</o:LockedField>
          </o:OLEObject>
        </w:object>
      </w:r>
      <w:r>
        <w:rPr>
          <w:rFonts w:cs="宋体"/>
        </w:rPr>
        <w:object>
          <v:shape id="_x0000_i1030" o:spt="75" type="#_x0000_t75" style="height:33.85pt;width:40.85pt;" o:ole="t" filled="f" o:preferrelative="t" stroked="f" coordsize="21600,21600">
            <v:path/>
            <v:fill on="f" focussize="0,0"/>
            <v:stroke on="f" joinstyle="miter"/>
            <v:imagedata r:id="rId71" o:title=""/>
            <o:lock v:ext="edit" aspectratio="t"/>
            <w10:wrap type="none"/>
            <w10:anchorlock/>
          </v:shape>
          <o:OLEObject Type="Embed" ProgID="Equation.3" ShapeID="_x0000_i1030" DrawAspect="Content" ObjectID="_1468075730" r:id="rId70">
            <o:LockedField>false</o:LockedField>
          </o:OLEObject>
        </w:object>
      </w:r>
    </w:p>
    <w:p>
      <w:pPr>
        <w:ind w:firstLine="480"/>
      </w:pPr>
      <w:r>
        <w:rPr>
          <w:rFonts w:hint="eastAsia"/>
        </w:rPr>
        <w:t>式中：Pi</w:t>
      </w:r>
      <w:r>
        <w:t>—</w:t>
      </w:r>
      <w:r>
        <w:rPr>
          <w:rFonts w:hint="eastAsia"/>
        </w:rPr>
        <w:t>第</w:t>
      </w:r>
      <w:r>
        <w:t>i</w:t>
      </w:r>
      <w:r>
        <w:rPr>
          <w:rFonts w:hint="eastAsia"/>
        </w:rPr>
        <w:t>个水质因子的标准指数，无量纲；</w:t>
      </w:r>
    </w:p>
    <w:p>
      <w:pPr>
        <w:ind w:firstLine="1200" w:firstLineChars="500"/>
      </w:pPr>
      <w:r>
        <w:rPr>
          <w:rFonts w:hint="eastAsia"/>
        </w:rPr>
        <w:t>Ci</w:t>
      </w:r>
      <w:r>
        <w:t>—</w:t>
      </w:r>
      <w:r>
        <w:rPr>
          <w:rFonts w:hint="eastAsia"/>
        </w:rPr>
        <w:t>第</w:t>
      </w:r>
      <w:r>
        <w:t>i</w:t>
      </w:r>
      <w:r>
        <w:rPr>
          <w:rFonts w:hint="eastAsia"/>
        </w:rPr>
        <w:t>个水质因子的监测浓度值，</w:t>
      </w:r>
      <w:r>
        <w:t>mg/L</w:t>
      </w:r>
      <w:r>
        <w:rPr>
          <w:rFonts w:hint="eastAsia"/>
        </w:rPr>
        <w:t>；</w:t>
      </w:r>
    </w:p>
    <w:p>
      <w:pPr>
        <w:ind w:firstLine="1200" w:firstLineChars="500"/>
      </w:pPr>
      <w:r>
        <w:rPr>
          <w:rFonts w:hint="eastAsia"/>
        </w:rPr>
        <w:t>Csi</w:t>
      </w:r>
      <w:r>
        <w:t>—</w:t>
      </w:r>
      <w:r>
        <w:rPr>
          <w:rFonts w:hint="eastAsia"/>
        </w:rPr>
        <w:t>第</w:t>
      </w:r>
      <w:r>
        <w:t>i</w:t>
      </w:r>
      <w:r>
        <w:rPr>
          <w:rFonts w:hint="eastAsia"/>
        </w:rPr>
        <w:t>个水质因子的标准浓度值，</w:t>
      </w:r>
      <w:r>
        <w:t>mg/L</w:t>
      </w:r>
      <w:r>
        <w:rPr>
          <w:rFonts w:hint="eastAsia"/>
        </w:rPr>
        <w:t>。</w:t>
      </w:r>
    </w:p>
    <w:p>
      <w:pPr>
        <w:ind w:firstLine="480"/>
      </w:pPr>
      <w:r>
        <w:rPr>
          <w:rFonts w:hint="eastAsia"/>
        </w:rPr>
        <w:t>（2）对于评价标准为区间值的水质因子（如</w:t>
      </w:r>
      <w:r>
        <w:t>pH</w:t>
      </w:r>
      <w:r>
        <w:rPr>
          <w:rFonts w:hint="eastAsia"/>
        </w:rPr>
        <w:t>值），其标准指数计算方法为：</w:t>
      </w:r>
    </w:p>
    <w:p>
      <w:pPr>
        <w:ind w:firstLine="0" w:firstLineChars="0"/>
        <w:jc w:val="center"/>
      </w:pPr>
      <w:r>
        <w:rPr>
          <w:rFonts w:hint="eastAsia" w:cs="宋体"/>
          <w:position w:val="-64"/>
        </w:rPr>
        <w:object>
          <v:shape id="_x0000_i1031" o:spt="75" type="#_x0000_t75" style="height:64.5pt;width:133.85pt;" o:ole="t" filled="f" o:preferrelative="t" stroked="f" coordsize="21600,21600">
            <v:path/>
            <v:fill on="f" focussize="0,0"/>
            <v:stroke on="f" joinstyle="miter"/>
            <v:imagedata r:id="rId73" o:title=""/>
            <o:lock v:ext="edit" aspectratio="t"/>
            <w10:wrap type="none"/>
            <w10:anchorlock/>
          </v:shape>
          <o:OLEObject Type="Embed" ProgID="Equation.3" ShapeID="_x0000_i1031" DrawAspect="Content" ObjectID="_1468075731" r:id="rId72">
            <o:LockedField>false</o:LockedField>
          </o:OLEObject>
        </w:object>
      </w:r>
    </w:p>
    <w:p>
      <w:pPr>
        <w:ind w:firstLine="480"/>
      </w:pPr>
      <w:r>
        <w:rPr>
          <w:rFonts w:hint="eastAsia"/>
        </w:rPr>
        <w:t>式中：P</w:t>
      </w:r>
      <w:r>
        <w:t>pH—pH</w:t>
      </w:r>
      <w:r>
        <w:rPr>
          <w:rFonts w:hint="eastAsia"/>
        </w:rPr>
        <w:t>的标准指数，无量纲；</w:t>
      </w:r>
    </w:p>
    <w:p>
      <w:pPr>
        <w:ind w:firstLine="1200" w:firstLineChars="500"/>
      </w:pPr>
      <w:r>
        <w:t>pH—pH</w:t>
      </w:r>
      <w:r>
        <w:rPr>
          <w:rFonts w:hint="eastAsia"/>
        </w:rPr>
        <w:t>监测值；</w:t>
      </w:r>
    </w:p>
    <w:p>
      <w:pPr>
        <w:ind w:firstLine="1200" w:firstLineChars="500"/>
      </w:pPr>
      <w:r>
        <w:t>pHsu—</w:t>
      </w:r>
      <w:r>
        <w:rPr>
          <w:rFonts w:hint="eastAsia"/>
        </w:rPr>
        <w:t>标准中</w:t>
      </w:r>
      <w:r>
        <w:t>pH</w:t>
      </w:r>
      <w:r>
        <w:rPr>
          <w:rFonts w:hint="eastAsia"/>
        </w:rPr>
        <w:t>的上限值；</w:t>
      </w:r>
    </w:p>
    <w:p>
      <w:pPr>
        <w:ind w:firstLine="1200" w:firstLineChars="500"/>
      </w:pPr>
      <w:r>
        <w:t>pHsd—</w:t>
      </w:r>
      <w:r>
        <w:rPr>
          <w:rFonts w:hint="eastAsia"/>
        </w:rPr>
        <w:t>标准中</w:t>
      </w:r>
      <w:r>
        <w:t>pH</w:t>
      </w:r>
      <w:r>
        <w:rPr>
          <w:rFonts w:hint="eastAsia"/>
        </w:rPr>
        <w:t>的下限值。</w:t>
      </w:r>
    </w:p>
    <w:p>
      <w:pPr>
        <w:pStyle w:val="7"/>
        <w:ind w:firstLine="562"/>
      </w:pPr>
      <w:r>
        <w:rPr>
          <w:rFonts w:hint="eastAsia"/>
        </w:rPr>
        <w:t>5.4.4 监测结果及现状评价</w:t>
      </w:r>
    </w:p>
    <w:p>
      <w:pPr>
        <w:ind w:firstLine="480"/>
        <w:rPr>
          <w:rFonts w:ascii="宋体" w:hAnsi="宋体" w:cs="宋体"/>
        </w:rPr>
      </w:pPr>
      <w:r>
        <w:rPr>
          <w:rFonts w:ascii="宋体" w:hAnsi="宋体" w:cs="宋体"/>
        </w:rPr>
        <w:t>（</w:t>
      </w:r>
      <w:r>
        <w:rPr>
          <w:rFonts w:eastAsia="Times New Roman" w:cs="Times New Roman"/>
        </w:rPr>
        <w:t>5</w:t>
      </w:r>
      <w:r>
        <w:rPr>
          <w:rFonts w:ascii="宋体" w:hAnsi="宋体" w:cs="宋体"/>
        </w:rPr>
        <w:t>）监测结果及评价</w:t>
      </w:r>
    </w:p>
    <w:p>
      <w:pPr>
        <w:ind w:firstLine="480"/>
        <w:rPr>
          <w:rFonts w:ascii="宋体" w:hAnsi="宋体" w:cs="宋体"/>
        </w:rPr>
      </w:pPr>
      <w:r>
        <w:rPr>
          <w:rFonts w:ascii="宋体" w:hAnsi="宋体" w:cs="宋体"/>
        </w:rPr>
        <w:t>监测因子包含地下水类型因子、基本水质因子和特征水质因子：</w:t>
      </w:r>
    </w:p>
    <w:p>
      <w:pPr>
        <w:ind w:firstLine="480"/>
        <w:rPr>
          <w:rFonts w:ascii="宋体" w:hAnsi="宋体" w:cs="宋体"/>
        </w:rPr>
      </w:pPr>
      <w:r>
        <w:rPr>
          <w:rFonts w:ascii="宋体" w:hAnsi="宋体" w:cs="宋体"/>
        </w:rPr>
        <w:t>①</w:t>
      </w:r>
      <w:r>
        <w:rPr>
          <w:rFonts w:eastAsia="Times New Roman" w:cs="Times New Roman"/>
        </w:rPr>
        <w:t>K</w:t>
      </w:r>
      <w:r>
        <w:rPr>
          <w:rFonts w:eastAsia="Times New Roman" w:cs="Times New Roman"/>
          <w:vertAlign w:val="superscript"/>
        </w:rPr>
        <w:t>+</w:t>
      </w:r>
      <w:r>
        <w:rPr>
          <w:rFonts w:ascii="宋体" w:hAnsi="宋体" w:cs="宋体"/>
        </w:rPr>
        <w:t>、</w:t>
      </w:r>
      <w:r>
        <w:rPr>
          <w:rFonts w:eastAsia="Times New Roman" w:cs="Times New Roman"/>
        </w:rPr>
        <w:t>Na</w:t>
      </w:r>
      <w:r>
        <w:rPr>
          <w:rFonts w:eastAsia="Times New Roman" w:cs="Times New Roman"/>
          <w:vertAlign w:val="superscript"/>
        </w:rPr>
        <w:t>+</w:t>
      </w:r>
      <w:r>
        <w:rPr>
          <w:rFonts w:ascii="宋体" w:hAnsi="宋体" w:cs="宋体"/>
        </w:rPr>
        <w:t>、</w:t>
      </w:r>
      <w:r>
        <w:rPr>
          <w:rFonts w:eastAsia="Times New Roman" w:cs="Times New Roman"/>
        </w:rPr>
        <w:t>Ca</w:t>
      </w:r>
      <w:r>
        <w:rPr>
          <w:rFonts w:eastAsia="Times New Roman" w:cs="Times New Roman"/>
          <w:vertAlign w:val="superscript"/>
        </w:rPr>
        <w:t>2+</w:t>
      </w:r>
      <w:r>
        <w:rPr>
          <w:rFonts w:ascii="宋体" w:hAnsi="宋体" w:cs="宋体"/>
        </w:rPr>
        <w:t>、</w:t>
      </w:r>
      <w:r>
        <w:rPr>
          <w:rFonts w:eastAsia="Times New Roman" w:cs="Times New Roman"/>
        </w:rPr>
        <w:t>Mg</w:t>
      </w:r>
      <w:r>
        <w:rPr>
          <w:rFonts w:eastAsia="Times New Roman" w:cs="Times New Roman"/>
          <w:vertAlign w:val="superscript"/>
        </w:rPr>
        <w:t>2+</w:t>
      </w:r>
      <w:r>
        <w:rPr>
          <w:rFonts w:ascii="宋体" w:hAnsi="宋体" w:cs="宋体"/>
        </w:rPr>
        <w:t>、</w:t>
      </w:r>
      <w:r>
        <w:rPr>
          <w:rFonts w:eastAsia="Times New Roman" w:cs="Times New Roman"/>
        </w:rPr>
        <w:t>CO</w:t>
      </w:r>
      <w:r>
        <w:rPr>
          <w:rFonts w:eastAsia="Times New Roman" w:cs="Times New Roman"/>
          <w:vertAlign w:val="subscript"/>
        </w:rPr>
        <w:t>3</w:t>
      </w:r>
      <w:r>
        <w:rPr>
          <w:rFonts w:eastAsia="Times New Roman" w:cs="Times New Roman"/>
          <w:vertAlign w:val="superscript"/>
        </w:rPr>
        <w:t>2-</w:t>
      </w:r>
      <w:r>
        <w:rPr>
          <w:rFonts w:ascii="宋体" w:hAnsi="宋体" w:cs="宋体"/>
        </w:rPr>
        <w:t>、</w:t>
      </w:r>
      <w:r>
        <w:rPr>
          <w:rFonts w:eastAsia="Times New Roman" w:cs="Times New Roman"/>
        </w:rPr>
        <w:t>HCO</w:t>
      </w:r>
      <w:r>
        <w:rPr>
          <w:rFonts w:eastAsia="Times New Roman" w:cs="Times New Roman"/>
          <w:vertAlign w:val="subscript"/>
        </w:rPr>
        <w:t>3</w:t>
      </w:r>
      <w:r>
        <w:rPr>
          <w:rFonts w:eastAsia="Times New Roman" w:cs="Times New Roman"/>
          <w:vertAlign w:val="superscript"/>
        </w:rPr>
        <w:t>-</w:t>
      </w:r>
      <w:r>
        <w:rPr>
          <w:rFonts w:ascii="宋体" w:hAnsi="宋体" w:cs="宋体"/>
        </w:rPr>
        <w:t>、</w:t>
      </w:r>
      <w:r>
        <w:rPr>
          <w:rFonts w:eastAsia="Times New Roman" w:cs="Times New Roman"/>
        </w:rPr>
        <w:t>Cl</w:t>
      </w:r>
      <w:r>
        <w:rPr>
          <w:rFonts w:eastAsia="Times New Roman" w:cs="Times New Roman"/>
          <w:vertAlign w:val="superscript"/>
        </w:rPr>
        <w:t>-</w:t>
      </w:r>
      <w:r>
        <w:rPr>
          <w:rFonts w:ascii="宋体" w:hAnsi="宋体" w:cs="宋体"/>
        </w:rPr>
        <w:t>、</w:t>
      </w:r>
      <w:r>
        <w:rPr>
          <w:rFonts w:eastAsia="Times New Roman" w:cs="Times New Roman"/>
        </w:rPr>
        <w:t>SO</w:t>
      </w:r>
      <w:r>
        <w:rPr>
          <w:rFonts w:eastAsia="Times New Roman" w:cs="Times New Roman"/>
          <w:vertAlign w:val="subscript"/>
        </w:rPr>
        <w:t>4</w:t>
      </w:r>
      <w:r>
        <w:rPr>
          <w:rFonts w:eastAsia="Times New Roman" w:cs="Times New Roman"/>
          <w:vertAlign w:val="superscript"/>
        </w:rPr>
        <w:t>2-</w:t>
      </w:r>
      <w:r>
        <w:rPr>
          <w:rFonts w:ascii="宋体" w:hAnsi="宋体" w:cs="宋体"/>
        </w:rPr>
        <w:t>。</w:t>
      </w:r>
    </w:p>
    <w:p>
      <w:pPr>
        <w:ind w:firstLine="480"/>
        <w:rPr>
          <w:rFonts w:cs="Times New Roman"/>
        </w:rPr>
      </w:pPr>
      <w:r>
        <w:rPr>
          <w:rFonts w:ascii="宋体" w:hAnsi="宋体" w:cs="宋体"/>
        </w:rPr>
        <w:t>②</w:t>
      </w:r>
      <w:r>
        <w:rPr>
          <w:rFonts w:eastAsia="Times New Roman" w:cs="Times New Roman"/>
        </w:rPr>
        <w:t>pH</w:t>
      </w:r>
      <w:r>
        <w:rPr>
          <w:rFonts w:ascii="宋体" w:hAnsi="宋体" w:cs="宋体"/>
        </w:rPr>
        <w:t>、氨氮、硝酸盐、亚硝酸盐、总硬度、耗氧量、硫酸盐、溶解性总固体、总大肠菌群数、挥发性酚</w:t>
      </w:r>
      <w:r>
        <w:rPr>
          <w:rFonts w:cs="Times New Roman"/>
        </w:rPr>
        <w:t>类、氰化物、氯化物、硫化物等。共计</w:t>
      </w:r>
      <w:r>
        <w:rPr>
          <w:rFonts w:eastAsia="Times New Roman" w:cs="Times New Roman"/>
        </w:rPr>
        <w:t>21</w:t>
      </w:r>
      <w:r>
        <w:rPr>
          <w:rFonts w:cs="Times New Roman"/>
        </w:rPr>
        <w:t>项。</w:t>
      </w:r>
    </w:p>
    <w:p>
      <w:pPr>
        <w:ind w:firstLine="480"/>
        <w:rPr>
          <w:rFonts w:cs="Times New Roman"/>
        </w:rPr>
      </w:pPr>
      <w:r>
        <w:rPr>
          <w:rFonts w:cs="Times New Roman"/>
        </w:rPr>
        <w:t>地下水环境质量现状监测统计结果见表5.4-3。</w:t>
      </w:r>
    </w:p>
    <w:p>
      <w:pPr>
        <w:widowControl/>
        <w:autoSpaceDE w:val="0"/>
        <w:autoSpaceDN w:val="0"/>
        <w:ind w:firstLine="482"/>
        <w:jc w:val="center"/>
        <w:rPr>
          <w:rFonts w:cs="宋体"/>
          <w:lang w:bidi="zh-CN"/>
        </w:rPr>
      </w:pPr>
      <w:r>
        <w:rPr>
          <w:rFonts w:hint="eastAsia" w:cs="宋体"/>
          <w:b/>
          <w:bCs/>
          <w:lang w:bidi="zh-CN"/>
        </w:rPr>
        <w:t>表5.4-3  地下水环境质量现状评价结果</w:t>
      </w:r>
    </w:p>
    <w:tbl>
      <w:tblPr>
        <w:tblStyle w:val="51"/>
        <w:tblW w:w="895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95"/>
        <w:gridCol w:w="546"/>
        <w:gridCol w:w="546"/>
        <w:gridCol w:w="545"/>
        <w:gridCol w:w="546"/>
        <w:gridCol w:w="546"/>
        <w:gridCol w:w="545"/>
        <w:gridCol w:w="546"/>
        <w:gridCol w:w="546"/>
        <w:gridCol w:w="546"/>
        <w:gridCol w:w="546"/>
        <w:gridCol w:w="618"/>
        <w:gridCol w:w="485"/>
        <w:gridCol w:w="728"/>
        <w:gridCol w:w="36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tcBorders>
              <w:tl2br w:val="single" w:color="000000" w:sz="4" w:space="0"/>
            </w:tcBorders>
            <w:vAlign w:val="center"/>
          </w:tcPr>
          <w:p>
            <w:pPr>
              <w:spacing w:line="240" w:lineRule="auto"/>
              <w:ind w:firstLine="0" w:firstLineChars="0"/>
              <w:jc w:val="right"/>
              <w:rPr>
                <w:rFonts w:ascii="宋体"/>
                <w:sz w:val="21"/>
                <w:szCs w:val="21"/>
              </w:rPr>
            </w:pPr>
            <w:r>
              <w:rPr>
                <w:rFonts w:ascii="宋体" w:hAnsi="宋体" w:cs="宋体"/>
                <w:sz w:val="21"/>
                <w:szCs w:val="21"/>
              </w:rPr>
              <w:t>点位</w:t>
            </w:r>
          </w:p>
          <w:p>
            <w:pPr>
              <w:pStyle w:val="5"/>
              <w:spacing w:line="240" w:lineRule="auto"/>
              <w:ind w:firstLine="0" w:firstLineChars="0"/>
              <w:jc w:val="center"/>
              <w:rPr>
                <w:rFonts w:hint="default"/>
                <w:sz w:val="21"/>
                <w:szCs w:val="21"/>
              </w:rPr>
            </w:pPr>
          </w:p>
          <w:p>
            <w:pPr>
              <w:spacing w:line="240" w:lineRule="auto"/>
              <w:ind w:firstLine="0" w:firstLineChars="0"/>
              <w:jc w:val="center"/>
              <w:rPr>
                <w:sz w:val="21"/>
                <w:szCs w:val="21"/>
              </w:rPr>
            </w:pPr>
          </w:p>
          <w:p>
            <w:pPr>
              <w:spacing w:line="240" w:lineRule="auto"/>
              <w:ind w:firstLine="0" w:firstLineChars="0"/>
              <w:jc w:val="left"/>
              <w:rPr>
                <w:rFonts w:ascii="宋体" w:hAnsi="宋体" w:cs="宋体"/>
                <w:sz w:val="21"/>
                <w:szCs w:val="21"/>
              </w:rPr>
            </w:pPr>
            <w:r>
              <w:rPr>
                <w:rFonts w:ascii="宋体" w:hAnsi="宋体" w:cs="宋体"/>
                <w:sz w:val="21"/>
                <w:szCs w:val="21"/>
              </w:rPr>
              <w:t>检测因子</w:t>
            </w:r>
          </w:p>
        </w:tc>
        <w:tc>
          <w:tcPr>
            <w:tcW w:w="546" w:type="dxa"/>
            <w:textDirection w:val="tbRlV"/>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项目地</w:t>
            </w:r>
          </w:p>
        </w:tc>
        <w:tc>
          <w:tcPr>
            <w:tcW w:w="546"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后棠村</w:t>
            </w:r>
          </w:p>
        </w:tc>
        <w:tc>
          <w:tcPr>
            <w:tcW w:w="54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常</w:t>
            </w:r>
            <w:r>
              <w:rPr>
                <w:rFonts w:ascii="宋体" w:hAnsi="宋体" w:cs="宋体"/>
                <w:w w:val="114"/>
                <w:sz w:val="21"/>
                <w:szCs w:val="21"/>
              </w:rPr>
              <w:t>李</w:t>
            </w:r>
            <w:r>
              <w:rPr>
                <w:rFonts w:ascii="宋体" w:hAnsi="宋体" w:cs="宋体"/>
                <w:sz w:val="21"/>
                <w:szCs w:val="21"/>
              </w:rPr>
              <w:t xml:space="preserve">  </w:t>
            </w:r>
            <w:r>
              <w:rPr>
                <w:rFonts w:ascii="宋体" w:hAnsi="宋体" w:cs="宋体"/>
                <w:w w:val="114"/>
                <w:sz w:val="21"/>
                <w:szCs w:val="21"/>
              </w:rPr>
              <w:t>村</w:t>
            </w:r>
            <w:r>
              <w:rPr>
                <w:rFonts w:ascii="宋体" w:hAnsi="宋体" w:cs="宋体"/>
                <w:w w:val="125"/>
                <w:sz w:val="21"/>
                <w:szCs w:val="21"/>
              </w:rPr>
              <w:t>（</w:t>
            </w:r>
            <w:r>
              <w:rPr>
                <w:rFonts w:ascii="宋体" w:hAnsi="宋体" w:cs="宋体"/>
                <w:w w:val="114"/>
                <w:sz w:val="21"/>
                <w:szCs w:val="21"/>
              </w:rPr>
              <w:t>已拆</w:t>
            </w:r>
            <w:r>
              <w:rPr>
                <w:rFonts w:ascii="宋体" w:hAnsi="宋体" w:cs="宋体"/>
                <w:sz w:val="21"/>
                <w:szCs w:val="21"/>
              </w:rPr>
              <w:t>迁）</w:t>
            </w:r>
          </w:p>
        </w:tc>
        <w:tc>
          <w:tcPr>
            <w:tcW w:w="546"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龚店镇</w:t>
            </w:r>
          </w:p>
        </w:tc>
        <w:tc>
          <w:tcPr>
            <w:tcW w:w="546"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泥河张村</w:t>
            </w:r>
          </w:p>
        </w:tc>
        <w:tc>
          <w:tcPr>
            <w:tcW w:w="545"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余营村</w:t>
            </w:r>
          </w:p>
        </w:tc>
        <w:tc>
          <w:tcPr>
            <w:tcW w:w="546"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席庄村</w:t>
            </w:r>
          </w:p>
        </w:tc>
        <w:tc>
          <w:tcPr>
            <w:tcW w:w="546"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下寨</w:t>
            </w:r>
          </w:p>
        </w:tc>
        <w:tc>
          <w:tcPr>
            <w:tcW w:w="546"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最大值</w:t>
            </w:r>
          </w:p>
        </w:tc>
        <w:tc>
          <w:tcPr>
            <w:tcW w:w="546"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最小值</w:t>
            </w:r>
          </w:p>
        </w:tc>
        <w:tc>
          <w:tcPr>
            <w:tcW w:w="618"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均值</w:t>
            </w:r>
          </w:p>
        </w:tc>
        <w:tc>
          <w:tcPr>
            <w:tcW w:w="485" w:type="dxa"/>
            <w:vAlign w:val="center"/>
          </w:tcPr>
          <w:p>
            <w:pPr>
              <w:spacing w:line="240" w:lineRule="auto"/>
              <w:ind w:firstLine="0" w:firstLineChars="0"/>
              <w:jc w:val="center"/>
              <w:rPr>
                <w:rFonts w:eastAsia="Times New Roman" w:cs="Times New Roman"/>
                <w:sz w:val="21"/>
                <w:szCs w:val="21"/>
              </w:rPr>
            </w:pPr>
            <w:r>
              <w:rPr>
                <w:rFonts w:ascii="宋体" w:hAnsi="宋体" w:cs="宋体"/>
                <w:sz w:val="21"/>
                <w:szCs w:val="21"/>
              </w:rPr>
              <w:t>检出率</w:t>
            </w:r>
            <w:r>
              <w:rPr>
                <w:rFonts w:eastAsia="Times New Roman" w:cs="Times New Roman"/>
                <w:sz w:val="21"/>
                <w:szCs w:val="21"/>
              </w:rPr>
              <w:t>%</w:t>
            </w:r>
          </w:p>
        </w:tc>
        <w:tc>
          <w:tcPr>
            <w:tcW w:w="728"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标准值</w:t>
            </w:r>
          </w:p>
        </w:tc>
        <w:tc>
          <w:tcPr>
            <w:tcW w:w="367" w:type="dxa"/>
            <w:textDirection w:val="tbRlV"/>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超标率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eastAsia="Times New Roman" w:cs="Times New Roman"/>
                <w:sz w:val="21"/>
                <w:szCs w:val="21"/>
              </w:rPr>
              <w:t>©</w:t>
            </w:r>
            <w:r>
              <w:rPr>
                <w:rFonts w:ascii="宋体" w:hAnsi="宋体" w:cs="宋体"/>
                <w:sz w:val="21"/>
                <w:szCs w:val="21"/>
              </w:rPr>
              <w:t>井深</w:t>
            </w:r>
            <w:r>
              <w:rPr>
                <w:rFonts w:ascii="宋体" w:hAnsi="宋体" w:cs="宋体"/>
                <w:w w:val="98"/>
                <w:sz w:val="21"/>
                <w:szCs w:val="21"/>
              </w:rPr>
              <w:t>，（</w:t>
            </w:r>
            <w:r>
              <w:rPr>
                <w:rFonts w:eastAsia="Times New Roman" w:cs="Times New Roman"/>
                <w:sz w:val="21"/>
                <w:szCs w:val="21"/>
              </w:rPr>
              <w:t>m</w:t>
            </w:r>
            <w:r>
              <w:rPr>
                <w:rFonts w:ascii="宋体" w:hAnsi="宋体" w:cs="宋体"/>
                <w:sz w:val="21"/>
                <w:szCs w:val="21"/>
              </w:rPr>
              <w:t>）</w:t>
            </w:r>
          </w:p>
        </w:tc>
        <w:tc>
          <w:tcPr>
            <w:tcW w:w="546" w:type="dxa"/>
            <w:vAlign w:val="center"/>
          </w:tcPr>
          <w:p>
            <w:pPr>
              <w:spacing w:line="240" w:lineRule="auto"/>
              <w:ind w:firstLine="0" w:firstLineChars="0"/>
              <w:jc w:val="center"/>
              <w:rPr>
                <w:rFonts w:cs="Times New Roman"/>
                <w:sz w:val="21"/>
                <w:szCs w:val="21"/>
              </w:rPr>
            </w:pPr>
            <w:r>
              <w:rPr>
                <w:rFonts w:hint="eastAsia" w:cs="Times New Roman"/>
                <w:sz w:val="21"/>
                <w:szCs w:val="21"/>
              </w:rPr>
              <w:t>40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97"/>
                <w:sz w:val="21"/>
                <w:szCs w:val="21"/>
              </w:rPr>
              <w:t>14</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97"/>
                <w:sz w:val="21"/>
                <w:szCs w:val="21"/>
              </w:rPr>
              <w:t>16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97"/>
                <w:sz w:val="21"/>
                <w:szCs w:val="21"/>
              </w:rPr>
              <w:t>16</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97"/>
                <w:sz w:val="21"/>
                <w:szCs w:val="21"/>
              </w:rPr>
              <w:t>18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107</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113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eastAsia="Times New Roman" w:cs="Times New Roman"/>
                <w:sz w:val="21"/>
                <w:szCs w:val="21"/>
              </w:rPr>
              <w:t>©</w:t>
            </w:r>
            <w:r>
              <w:rPr>
                <w:rFonts w:ascii="宋体" w:hAnsi="宋体" w:cs="宋体"/>
                <w:sz w:val="21"/>
                <w:szCs w:val="21"/>
              </w:rPr>
              <w:t>水位</w:t>
            </w:r>
            <w:r>
              <w:rPr>
                <w:rFonts w:ascii="宋体" w:hAnsi="宋体" w:cs="宋体"/>
                <w:w w:val="98"/>
                <w:sz w:val="21"/>
                <w:szCs w:val="21"/>
              </w:rPr>
              <w:t>，（</w:t>
            </w:r>
            <w:r>
              <w:rPr>
                <w:rFonts w:eastAsia="Times New Roman" w:cs="Times New Roman"/>
                <w:sz w:val="21"/>
                <w:szCs w:val="21"/>
              </w:rPr>
              <w:t>m</w:t>
            </w:r>
            <w:r>
              <w:rPr>
                <w:rFonts w:ascii="宋体" w:hAnsi="宋体" w:cs="宋体"/>
                <w:sz w:val="21"/>
                <w:szCs w:val="21"/>
              </w:rPr>
              <w:t>）</w:t>
            </w:r>
          </w:p>
        </w:tc>
        <w:tc>
          <w:tcPr>
            <w:tcW w:w="546" w:type="dxa"/>
            <w:vAlign w:val="center"/>
          </w:tcPr>
          <w:p>
            <w:pPr>
              <w:spacing w:line="240" w:lineRule="auto"/>
              <w:ind w:firstLine="0" w:firstLineChars="0"/>
              <w:jc w:val="center"/>
              <w:rPr>
                <w:rFonts w:cs="Times New Roman"/>
                <w:sz w:val="21"/>
                <w:szCs w:val="21"/>
              </w:rPr>
            </w:pPr>
            <w:r>
              <w:rPr>
                <w:rFonts w:hint="eastAsia" w:cs="Times New Roman"/>
                <w:sz w:val="21"/>
                <w:szCs w:val="21"/>
              </w:rPr>
              <w:t>4.2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52</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57</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52</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水温（</w:t>
            </w:r>
            <w:r>
              <w:rPr>
                <w:rFonts w:eastAsia="Times New Roman" w:cs="Times New Roman"/>
                <w:sz w:val="21"/>
                <w:szCs w:val="21"/>
              </w:rPr>
              <w:t>℃</w:t>
            </w:r>
            <w:r>
              <w:rPr>
                <w:rFonts w:ascii="宋体" w:hAnsi="宋体" w:cs="宋体"/>
                <w:sz w:val="21"/>
                <w:szCs w:val="21"/>
              </w:rPr>
              <w:t>）</w:t>
            </w:r>
          </w:p>
        </w:tc>
        <w:tc>
          <w:tcPr>
            <w:tcW w:w="546" w:type="dxa"/>
            <w:vAlign w:val="center"/>
          </w:tcPr>
          <w:p>
            <w:pPr>
              <w:spacing w:line="240" w:lineRule="auto"/>
              <w:ind w:firstLine="0" w:firstLineChars="0"/>
              <w:jc w:val="center"/>
              <w:rPr>
                <w:rFonts w:cs="Times New Roman"/>
                <w:sz w:val="21"/>
                <w:szCs w:val="21"/>
              </w:rPr>
            </w:pPr>
            <w:r>
              <w:rPr>
                <w:rFonts w:hint="eastAsia" w:cs="Times New Roman"/>
                <w:sz w:val="21"/>
                <w:szCs w:val="21"/>
              </w:rPr>
              <w:t>7.8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101"/>
                <w:sz w:val="21"/>
                <w:szCs w:val="21"/>
              </w:rPr>
              <w:t>21.</w:t>
            </w:r>
            <w:r>
              <w:rPr>
                <w:rFonts w:eastAsia="Times New Roman" w:cs="Times New Roman"/>
                <w:sz w:val="21"/>
                <w:szCs w:val="21"/>
              </w:rPr>
              <w:t>4</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16.2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101"/>
                <w:sz w:val="21"/>
                <w:szCs w:val="21"/>
              </w:rPr>
              <w:t>20.</w:t>
            </w:r>
            <w:r>
              <w:rPr>
                <w:rFonts w:eastAsia="Times New Roman" w:cs="Times New Roman"/>
                <w:sz w:val="21"/>
                <w:szCs w:val="21"/>
              </w:rPr>
              <w:t>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101"/>
                <w:sz w:val="21"/>
                <w:szCs w:val="21"/>
              </w:rPr>
              <w:t>20.</w:t>
            </w:r>
            <w:r>
              <w:rPr>
                <w:rFonts w:eastAsia="Times New Roman" w:cs="Times New Roman"/>
                <w:sz w:val="21"/>
                <w:szCs w:val="21"/>
              </w:rPr>
              <w:t>8</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101"/>
                <w:sz w:val="21"/>
                <w:szCs w:val="21"/>
              </w:rPr>
              <w:t>21.</w:t>
            </w:r>
            <w:r>
              <w:rPr>
                <w:rFonts w:eastAsia="Times New Roman" w:cs="Times New Roman"/>
                <w:sz w:val="21"/>
                <w:szCs w:val="21"/>
              </w:rPr>
              <w:t>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16</w:t>
            </w:r>
            <w:r>
              <w:rPr>
                <w:rFonts w:hint="eastAsia" w:cs="Times New Roman"/>
                <w:sz w:val="21"/>
                <w:szCs w:val="21"/>
              </w:rPr>
              <w:t>.</w:t>
            </w:r>
            <w:r>
              <w:rPr>
                <w:rFonts w:eastAsia="Times New Roman" w:cs="Times New Roman"/>
                <w:sz w:val="21"/>
                <w:szCs w:val="21"/>
              </w:rPr>
              <w:t>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15.3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pH</w:t>
            </w:r>
          </w:p>
        </w:tc>
        <w:tc>
          <w:tcPr>
            <w:tcW w:w="546" w:type="dxa"/>
            <w:vAlign w:val="center"/>
          </w:tcPr>
          <w:p>
            <w:pPr>
              <w:spacing w:line="240" w:lineRule="auto"/>
              <w:ind w:firstLine="0" w:firstLineChars="0"/>
              <w:jc w:val="center"/>
              <w:rPr>
                <w:rFonts w:cs="Times New Roman"/>
                <w:sz w:val="21"/>
                <w:szCs w:val="21"/>
              </w:rPr>
            </w:pPr>
            <w:r>
              <w:rPr>
                <w:rFonts w:hint="eastAsia" w:cs="Times New Roman"/>
                <w:sz w:val="21"/>
                <w:szCs w:val="21"/>
              </w:rPr>
              <w:t>7.3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7.41</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7.08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7.45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7.39</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7.42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7.13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7.15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7.45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7.08</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7.31</w:t>
            </w:r>
          </w:p>
        </w:tc>
        <w:tc>
          <w:tcPr>
            <w:tcW w:w="485" w:type="dxa"/>
            <w:vAlign w:val="center"/>
          </w:tcPr>
          <w:p>
            <w:pPr>
              <w:spacing w:line="240" w:lineRule="auto"/>
              <w:ind w:firstLine="0" w:firstLineChars="0"/>
              <w:jc w:val="center"/>
              <w:rPr>
                <w:rFonts w:eastAsia="Times New Roman" w:cs="Times New Roman"/>
                <w:sz w:val="21"/>
                <w:szCs w:val="21"/>
              </w:rPr>
            </w:pPr>
            <w:r>
              <w:rPr>
                <w:rFonts w:hint="eastAsia"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6.5</w:t>
            </w:r>
            <w:r>
              <w:rPr>
                <w:rFonts w:ascii="宋体" w:hAnsi="宋体" w:cs="宋体"/>
                <w:sz w:val="21"/>
                <w:szCs w:val="21"/>
              </w:rPr>
              <w:t>～</w:t>
            </w:r>
            <w:r>
              <w:rPr>
                <w:rFonts w:eastAsia="Times New Roman" w:cs="Times New Roman"/>
                <w:sz w:val="21"/>
                <w:szCs w:val="21"/>
              </w:rPr>
              <w:t>8.5</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氨氮</w:t>
            </w:r>
          </w:p>
        </w:tc>
        <w:tc>
          <w:tcPr>
            <w:tcW w:w="546" w:type="dxa"/>
            <w:vAlign w:val="center"/>
          </w:tcPr>
          <w:p>
            <w:pPr>
              <w:spacing w:line="240" w:lineRule="auto"/>
              <w:ind w:firstLine="0" w:firstLineChars="0"/>
              <w:jc w:val="center"/>
              <w:rPr>
                <w:rFonts w:cs="Times New Roman"/>
                <w:sz w:val="21"/>
                <w:szCs w:val="21"/>
              </w:rPr>
            </w:pPr>
            <w:r>
              <w:rPr>
                <w:rFonts w:eastAsia="Times New Roman" w:cs="Times New Roman"/>
                <w:w w:val="101"/>
                <w:sz w:val="21"/>
                <w:szCs w:val="21"/>
              </w:rPr>
              <w:t>0.</w:t>
            </w:r>
            <w:r>
              <w:rPr>
                <w:rFonts w:hint="eastAsia" w:cs="Times New Roman"/>
                <w:w w:val="101"/>
                <w:sz w:val="21"/>
                <w:szCs w:val="21"/>
              </w:rPr>
              <w:t>155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0.062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0.468</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0.339</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0.067</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0.033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0.468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0.033</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0.19</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80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0.5</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硝酸盐</w:t>
            </w:r>
          </w:p>
        </w:tc>
        <w:tc>
          <w:tcPr>
            <w:tcW w:w="546" w:type="dxa"/>
            <w:vAlign w:val="center"/>
          </w:tcPr>
          <w:p>
            <w:pPr>
              <w:spacing w:line="240" w:lineRule="auto"/>
              <w:ind w:firstLine="0" w:firstLineChars="0"/>
              <w:jc w:val="center"/>
              <w:rPr>
                <w:rFonts w:cs="Times New Roman"/>
                <w:sz w:val="21"/>
                <w:szCs w:val="21"/>
              </w:rPr>
            </w:pPr>
            <w:r>
              <w:rPr>
                <w:rFonts w:hint="eastAsia" w:cs="Times New Roman"/>
                <w:sz w:val="21"/>
                <w:szCs w:val="21"/>
              </w:rPr>
              <w:t>4.895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17.9</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2.71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0.35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0.35</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0.35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3.28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2.65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17.9</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0.35</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3.90</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20</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亚硝酸盐</w:t>
            </w:r>
          </w:p>
        </w:tc>
        <w:tc>
          <w:tcPr>
            <w:tcW w:w="546" w:type="dxa"/>
            <w:vAlign w:val="center"/>
          </w:tcPr>
          <w:p>
            <w:pPr>
              <w:spacing w:line="240" w:lineRule="auto"/>
              <w:ind w:firstLine="0" w:firstLineChars="0"/>
              <w:jc w:val="center"/>
              <w:rPr>
                <w:rFonts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w:t>
            </w:r>
            <w:r>
              <w:rPr>
                <w:rFonts w:eastAsia="Times New Roman" w:cs="Times New Roman"/>
                <w:w w:val="97"/>
                <w:sz w:val="21"/>
                <w:szCs w:val="21"/>
              </w:rPr>
              <w:t>13</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w:t>
            </w:r>
            <w:r>
              <w:rPr>
                <w:rFonts w:eastAsia="Times New Roman" w:cs="Times New Roman"/>
                <w:w w:val="97"/>
                <w:sz w:val="21"/>
                <w:szCs w:val="21"/>
              </w:rPr>
              <w:t>11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0.234</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w:t>
            </w:r>
            <w:r>
              <w:rPr>
                <w:rFonts w:eastAsia="Times New Roman" w:cs="Times New Roman"/>
                <w:w w:val="97"/>
                <w:sz w:val="21"/>
                <w:szCs w:val="21"/>
              </w:rPr>
              <w:t>15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0.234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0.011</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0.04</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总硬度</w:t>
            </w:r>
          </w:p>
        </w:tc>
        <w:tc>
          <w:tcPr>
            <w:tcW w:w="546" w:type="dxa"/>
            <w:vAlign w:val="center"/>
          </w:tcPr>
          <w:p>
            <w:pPr>
              <w:spacing w:line="240" w:lineRule="auto"/>
              <w:ind w:firstLine="0" w:firstLineChars="0"/>
              <w:jc w:val="center"/>
              <w:rPr>
                <w:rFonts w:cs="Times New Roman"/>
                <w:sz w:val="21"/>
                <w:szCs w:val="21"/>
              </w:rPr>
            </w:pPr>
            <w:r>
              <w:rPr>
                <w:rFonts w:hint="eastAsia" w:cs="Times New Roman"/>
                <w:sz w:val="21"/>
                <w:szCs w:val="21"/>
              </w:rPr>
              <w:t>325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358</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231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222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240</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241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216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194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358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193</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236</w:t>
            </w:r>
            <w:r>
              <w:rPr>
                <w:rFonts w:hint="eastAsia" w:cs="Times New Roman"/>
                <w:sz w:val="21"/>
                <w:szCs w:val="21"/>
              </w:rPr>
              <w:t>.</w:t>
            </w:r>
            <w:r>
              <w:rPr>
                <w:rFonts w:eastAsia="Times New Roman" w:cs="Times New Roman"/>
                <w:sz w:val="21"/>
                <w:szCs w:val="21"/>
              </w:rPr>
              <w:t>88</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450</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耗氧量（</w:t>
            </w:r>
            <w:r>
              <w:rPr>
                <w:rFonts w:eastAsia="Times New Roman" w:cs="Times New Roman"/>
                <w:sz w:val="21"/>
                <w:szCs w:val="21"/>
              </w:rPr>
              <w:t>CODMn</w:t>
            </w:r>
            <w:r>
              <w:rPr>
                <w:rFonts w:ascii="宋体" w:hAnsi="宋体" w:cs="宋体"/>
                <w:sz w:val="21"/>
                <w:szCs w:val="21"/>
              </w:rPr>
              <w:t>）</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99"/>
                <w:sz w:val="21"/>
                <w:szCs w:val="21"/>
              </w:rPr>
              <w:t>1.0</w:t>
            </w:r>
            <w:r>
              <w:rPr>
                <w:rFonts w:eastAsia="Times New Roman" w:cs="Times New Roman"/>
                <w:sz w:val="21"/>
                <w:szCs w:val="21"/>
              </w:rPr>
              <w:t>6</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96"/>
                <w:sz w:val="21"/>
                <w:szCs w:val="21"/>
              </w:rPr>
              <w:t>1.4</w:t>
            </w:r>
            <w:r>
              <w:rPr>
                <w:rFonts w:eastAsia="Times New Roman" w:cs="Times New Roman"/>
                <w:sz w:val="21"/>
                <w:szCs w:val="21"/>
              </w:rPr>
              <w:t>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0.82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0.85</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96"/>
                <w:sz w:val="21"/>
                <w:szCs w:val="21"/>
              </w:rPr>
              <w:t>1.4</w:t>
            </w:r>
            <w:r>
              <w:rPr>
                <w:rFonts w:eastAsia="Times New Roman" w:cs="Times New Roman"/>
                <w:sz w:val="21"/>
                <w:szCs w:val="21"/>
              </w:rPr>
              <w:t>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96"/>
                <w:sz w:val="21"/>
                <w:szCs w:val="21"/>
              </w:rPr>
              <w:t>1.2</w:t>
            </w:r>
            <w:r>
              <w:rPr>
                <w:rFonts w:eastAsia="Times New Roman" w:cs="Times New Roman"/>
                <w:sz w:val="21"/>
                <w:szCs w:val="21"/>
              </w:rPr>
              <w:t>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w w:val="96"/>
                <w:sz w:val="21"/>
                <w:szCs w:val="21"/>
              </w:rPr>
              <w:t>1.4</w:t>
            </w:r>
            <w:r>
              <w:rPr>
                <w:rFonts w:eastAsia="Times New Roman" w:cs="Times New Roman"/>
                <w:sz w:val="21"/>
                <w:szCs w:val="21"/>
              </w:rPr>
              <w:t>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0.8</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0.96</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硫酸盐</w:t>
            </w:r>
          </w:p>
        </w:tc>
        <w:tc>
          <w:tcPr>
            <w:tcW w:w="546" w:type="dxa"/>
            <w:vAlign w:val="center"/>
          </w:tcPr>
          <w:p>
            <w:pPr>
              <w:spacing w:line="240" w:lineRule="auto"/>
              <w:ind w:firstLine="0" w:firstLineChars="0"/>
              <w:jc w:val="center"/>
              <w:rPr>
                <w:rFonts w:cs="Times New Roman"/>
                <w:sz w:val="21"/>
                <w:szCs w:val="21"/>
              </w:rPr>
            </w:pPr>
            <w:r>
              <w:rPr>
                <w:rFonts w:hint="eastAsia" w:cs="Times New Roman"/>
                <w:sz w:val="21"/>
                <w:szCs w:val="21"/>
              </w:rPr>
              <w:t>82.3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22</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11</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19</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11</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18.83</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250</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氯化物</w:t>
            </w:r>
          </w:p>
        </w:tc>
        <w:tc>
          <w:tcPr>
            <w:tcW w:w="546" w:type="dxa"/>
            <w:vAlign w:val="center"/>
          </w:tcPr>
          <w:p>
            <w:pPr>
              <w:spacing w:line="240" w:lineRule="auto"/>
              <w:ind w:firstLine="0" w:firstLineChars="0"/>
              <w:jc w:val="center"/>
              <w:rPr>
                <w:rFonts w:cs="Times New Roman"/>
                <w:sz w:val="21"/>
                <w:szCs w:val="21"/>
              </w:rPr>
            </w:pPr>
            <w:r>
              <w:rPr>
                <w:rFonts w:hint="eastAsia" w:cs="Times New Roman"/>
                <w:sz w:val="21"/>
                <w:szCs w:val="21"/>
              </w:rPr>
              <w:t>73.3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64</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22</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23.04</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250</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溶解性总固体</w:t>
            </w:r>
          </w:p>
        </w:tc>
        <w:tc>
          <w:tcPr>
            <w:tcW w:w="546" w:type="dxa"/>
            <w:vAlign w:val="center"/>
          </w:tcPr>
          <w:p>
            <w:pPr>
              <w:spacing w:line="240" w:lineRule="auto"/>
              <w:ind w:firstLine="0" w:firstLineChars="0"/>
              <w:jc w:val="center"/>
              <w:rPr>
                <w:rFonts w:cs="Times New Roman"/>
                <w:sz w:val="21"/>
                <w:szCs w:val="21"/>
              </w:rPr>
            </w:pPr>
            <w:r>
              <w:rPr>
                <w:rFonts w:hint="eastAsia" w:cs="Times New Roman"/>
                <w:sz w:val="21"/>
                <w:szCs w:val="21"/>
              </w:rPr>
              <w:t>832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547</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260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423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444</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452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281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253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547</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253</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364.81</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1000</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总大肠菌群</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3.0</w:t>
            </w:r>
            <w:r>
              <w:rPr>
                <w:rFonts w:ascii="宋体" w:hAnsi="宋体" w:cs="宋体"/>
                <w:sz w:val="21"/>
                <w:szCs w:val="21"/>
              </w:rPr>
              <w:t>个</w:t>
            </w:r>
            <w:r>
              <w:rPr>
                <w:rFonts w:eastAsia="Times New Roman" w:cs="Times New Roman"/>
                <w:sz w:val="21"/>
                <w:szCs w:val="21"/>
              </w:rPr>
              <w:t>/L</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挥发酚类</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0.002</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ascii="宋体" w:hAnsi="宋体" w:cs="宋体"/>
                <w:sz w:val="21"/>
                <w:szCs w:val="21"/>
              </w:rPr>
              <w:t>总氰化物</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0.05</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氟化物</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0.02</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铁</w:t>
            </w:r>
          </w:p>
        </w:tc>
        <w:tc>
          <w:tcPr>
            <w:tcW w:w="546" w:type="dxa"/>
            <w:vAlign w:val="center"/>
          </w:tcPr>
          <w:p>
            <w:pPr>
              <w:spacing w:line="240" w:lineRule="auto"/>
              <w:ind w:firstLine="0" w:firstLineChars="0"/>
              <w:jc w:val="center"/>
              <w:rPr>
                <w:rFonts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0.46</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2.84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1.07</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1.08</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0.23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0.53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0.35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2.84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0.23</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0.91</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锰</w:t>
            </w:r>
          </w:p>
        </w:tc>
        <w:tc>
          <w:tcPr>
            <w:tcW w:w="546" w:type="dxa"/>
            <w:vAlign w:val="center"/>
          </w:tcPr>
          <w:p>
            <w:pPr>
              <w:spacing w:line="240" w:lineRule="auto"/>
              <w:ind w:firstLine="0" w:firstLineChars="0"/>
              <w:jc w:val="center"/>
              <w:rPr>
                <w:rFonts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18</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11.3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14.6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12.9</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12.7</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23.2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20.5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25.55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11.3</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17.34</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锌</w:t>
            </w:r>
          </w:p>
        </w:tc>
        <w:tc>
          <w:tcPr>
            <w:tcW w:w="546" w:type="dxa"/>
            <w:vAlign w:val="center"/>
          </w:tcPr>
          <w:p>
            <w:pPr>
              <w:spacing w:line="240" w:lineRule="auto"/>
              <w:ind w:firstLine="0" w:firstLineChars="0"/>
              <w:jc w:val="center"/>
              <w:rPr>
                <w:rFonts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72</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72.4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45.7</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51.7</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48.4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59.8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57.6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95.8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45.7</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62.93</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砷</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43.3</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7.95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26.2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26.9</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29.2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7.99</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8.16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43.3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7.95</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20.38</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铅</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298</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238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239</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251</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255</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228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242</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536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228</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285.88</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汞</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铬</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63.8</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14</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23</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22.2</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22.1</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63.8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22.43</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95" w:type="dxa"/>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镉</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ND</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21.7</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11.6</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10.6</w:t>
            </w:r>
          </w:p>
        </w:tc>
        <w:tc>
          <w:tcPr>
            <w:tcW w:w="54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10.8</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19</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19</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21.7</w:t>
            </w:r>
          </w:p>
        </w:tc>
        <w:tc>
          <w:tcPr>
            <w:tcW w:w="546"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10.6</w:t>
            </w:r>
          </w:p>
        </w:tc>
        <w:tc>
          <w:tcPr>
            <w:tcW w:w="61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15.92</w:t>
            </w:r>
          </w:p>
        </w:tc>
        <w:tc>
          <w:tcPr>
            <w:tcW w:w="485"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100</w:t>
            </w:r>
          </w:p>
        </w:tc>
        <w:tc>
          <w:tcPr>
            <w:tcW w:w="728"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w:t>
            </w:r>
          </w:p>
        </w:tc>
        <w:tc>
          <w:tcPr>
            <w:tcW w:w="367" w:type="dxa"/>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bl>
    <w:p>
      <w:pPr>
        <w:ind w:firstLine="480"/>
      </w:pPr>
      <w:r>
        <w:t>由上表可知，各监测点位监测因子均满足《地下水环境质量标准》</w:t>
      </w:r>
      <w:r>
        <w:rPr>
          <w:rFonts w:hint="eastAsia"/>
        </w:rPr>
        <w:t>（</w:t>
      </w:r>
      <w:r>
        <w:t>GBT14848-2017</w:t>
      </w:r>
      <w:r>
        <w:rPr>
          <w:rFonts w:hint="eastAsia"/>
        </w:rPr>
        <w:t>）</w:t>
      </w:r>
      <w:r>
        <w:t>中的Ⅲ类标准。项目区域地下水环境质量状况良好。</w:t>
      </w:r>
    </w:p>
    <w:p>
      <w:pPr>
        <w:pStyle w:val="6"/>
        <w:ind w:firstLine="0" w:firstLineChars="0"/>
        <w:rPr>
          <w:lang w:val="en-US"/>
        </w:rPr>
      </w:pPr>
      <w:bookmarkStart w:id="122" w:name="_Toc24502"/>
      <w:bookmarkStart w:id="123" w:name="_Toc24332"/>
      <w:bookmarkStart w:id="124" w:name="_Toc11963"/>
      <w:r>
        <w:rPr>
          <w:rFonts w:hint="eastAsia"/>
          <w:lang w:val="en-US"/>
        </w:rPr>
        <w:t>5.5 声环境质量现状监测与评价</w:t>
      </w:r>
      <w:bookmarkEnd w:id="122"/>
      <w:bookmarkEnd w:id="123"/>
      <w:bookmarkEnd w:id="124"/>
    </w:p>
    <w:p>
      <w:pPr>
        <w:pStyle w:val="7"/>
        <w:ind w:firstLine="562"/>
      </w:pPr>
      <w:r>
        <w:rPr>
          <w:rFonts w:hint="eastAsia"/>
        </w:rPr>
        <w:t>5.5.1 监测点位布设</w:t>
      </w:r>
    </w:p>
    <w:p>
      <w:pPr>
        <w:ind w:firstLine="480"/>
      </w:pPr>
      <w:r>
        <w:t>根据项特点及周围环境情况，本次评价声环境监测点在厂界四周共</w:t>
      </w:r>
      <w:r>
        <w:rPr>
          <w:rFonts w:hint="eastAsia"/>
        </w:rPr>
        <w:t>四</w:t>
      </w:r>
      <w:r>
        <w:t>个监测点。</w:t>
      </w:r>
    </w:p>
    <w:p>
      <w:pPr>
        <w:pStyle w:val="7"/>
        <w:ind w:firstLine="562"/>
      </w:pPr>
      <w:r>
        <w:rPr>
          <w:rFonts w:hint="eastAsia"/>
        </w:rPr>
        <w:t>5.5.2 监测分析方法</w:t>
      </w:r>
    </w:p>
    <w:p>
      <w:pPr>
        <w:widowControl/>
        <w:ind w:firstLine="438"/>
        <w:jc w:val="center"/>
        <w:rPr>
          <w:rFonts w:cs="宋体"/>
          <w:b/>
          <w:bCs/>
          <w:spacing w:val="-11"/>
          <w:lang w:bidi="zh-CN"/>
        </w:rPr>
      </w:pPr>
      <w:r>
        <w:rPr>
          <w:rFonts w:hint="eastAsia" w:cs="宋体"/>
          <w:b/>
          <w:bCs/>
          <w:spacing w:val="-11"/>
          <w:lang w:bidi="zh-CN"/>
        </w:rPr>
        <w:t>表5.5-1  噪声环境质量现状监测分析方法</w:t>
      </w:r>
    </w:p>
    <w:tbl>
      <w:tblPr>
        <w:tblStyle w:val="28"/>
        <w:tblW w:w="503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59"/>
        <w:gridCol w:w="1450"/>
        <w:gridCol w:w="2630"/>
        <w:gridCol w:w="2267"/>
        <w:gridCol w:w="1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457" w:type="dxa"/>
            <w:vAlign w:val="center"/>
          </w:tcPr>
          <w:p>
            <w:pPr>
              <w:pStyle w:val="38"/>
              <w:rPr>
                <w:rFonts w:hint="default"/>
              </w:rPr>
            </w:pPr>
            <w:r>
              <w:t>检测类别</w:t>
            </w:r>
          </w:p>
        </w:tc>
        <w:tc>
          <w:tcPr>
            <w:tcW w:w="1449" w:type="dxa"/>
            <w:vAlign w:val="center"/>
          </w:tcPr>
          <w:p>
            <w:pPr>
              <w:pStyle w:val="38"/>
              <w:rPr>
                <w:rFonts w:hint="default"/>
              </w:rPr>
            </w:pPr>
            <w:r>
              <w:t>检测项目</w:t>
            </w:r>
          </w:p>
        </w:tc>
        <w:tc>
          <w:tcPr>
            <w:tcW w:w="2627" w:type="dxa"/>
            <w:vAlign w:val="center"/>
          </w:tcPr>
          <w:p>
            <w:pPr>
              <w:pStyle w:val="38"/>
              <w:rPr>
                <w:rFonts w:hint="default"/>
              </w:rPr>
            </w:pPr>
            <w:r>
              <w:t>检测标准（方法）</w:t>
            </w:r>
          </w:p>
        </w:tc>
        <w:tc>
          <w:tcPr>
            <w:tcW w:w="2265" w:type="dxa"/>
            <w:vAlign w:val="center"/>
          </w:tcPr>
          <w:p>
            <w:pPr>
              <w:pStyle w:val="38"/>
              <w:rPr>
                <w:rFonts w:hint="default"/>
              </w:rPr>
            </w:pPr>
            <w:r>
              <w:t>检测仪器</w:t>
            </w:r>
          </w:p>
        </w:tc>
        <w:tc>
          <w:tcPr>
            <w:tcW w:w="1346" w:type="dxa"/>
            <w:vAlign w:val="center"/>
          </w:tcPr>
          <w:p>
            <w:pPr>
              <w:pStyle w:val="38"/>
              <w:rPr>
                <w:rFonts w:hint="default"/>
              </w:rPr>
            </w:pPr>
            <w:r>
              <w:t>检出限/</w:t>
            </w:r>
          </w:p>
          <w:p>
            <w:pPr>
              <w:pStyle w:val="38"/>
              <w:rPr>
                <w:rFonts w:hint="default"/>
              </w:rPr>
            </w:pPr>
            <w:r>
              <w:t>最低检出浓度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457" w:type="dxa"/>
            <w:vAlign w:val="center"/>
          </w:tcPr>
          <w:p>
            <w:pPr>
              <w:pStyle w:val="38"/>
              <w:rPr>
                <w:rFonts w:hint="default"/>
              </w:rPr>
            </w:pPr>
            <w:r>
              <w:t>噪声</w:t>
            </w:r>
          </w:p>
        </w:tc>
        <w:tc>
          <w:tcPr>
            <w:tcW w:w="1449" w:type="dxa"/>
            <w:vAlign w:val="center"/>
          </w:tcPr>
          <w:p>
            <w:pPr>
              <w:pStyle w:val="38"/>
              <w:rPr>
                <w:rFonts w:hint="default"/>
              </w:rPr>
            </w:pPr>
            <w:r>
              <w:t>环境噪声</w:t>
            </w:r>
          </w:p>
        </w:tc>
        <w:tc>
          <w:tcPr>
            <w:tcW w:w="2627" w:type="dxa"/>
            <w:vAlign w:val="center"/>
          </w:tcPr>
          <w:p>
            <w:pPr>
              <w:pStyle w:val="38"/>
              <w:rPr>
                <w:rFonts w:hint="default"/>
              </w:rPr>
            </w:pPr>
            <w:r>
              <w:t>声环境质量标准</w:t>
            </w:r>
          </w:p>
        </w:tc>
        <w:tc>
          <w:tcPr>
            <w:tcW w:w="2265" w:type="dxa"/>
            <w:vAlign w:val="center"/>
          </w:tcPr>
          <w:p>
            <w:pPr>
              <w:pStyle w:val="38"/>
              <w:rPr>
                <w:rFonts w:hint="default"/>
              </w:rPr>
            </w:pPr>
            <w:r>
              <w:rPr>
                <w:rFonts w:hint="default"/>
              </w:rPr>
              <w:t>GB 3096-2008</w:t>
            </w:r>
          </w:p>
        </w:tc>
        <w:tc>
          <w:tcPr>
            <w:tcW w:w="1346" w:type="dxa"/>
            <w:vAlign w:val="center"/>
          </w:tcPr>
          <w:p>
            <w:pPr>
              <w:pStyle w:val="38"/>
              <w:rPr>
                <w:rFonts w:hint="default"/>
              </w:rPr>
            </w:pPr>
            <w:r>
              <w:t>/</w:t>
            </w:r>
          </w:p>
        </w:tc>
      </w:tr>
    </w:tbl>
    <w:p>
      <w:pPr>
        <w:pStyle w:val="7"/>
        <w:ind w:firstLine="562"/>
      </w:pPr>
      <w:r>
        <w:rPr>
          <w:rFonts w:hint="eastAsia"/>
        </w:rPr>
        <w:t>5.5.3 监测时间及监测频率</w:t>
      </w:r>
    </w:p>
    <w:p>
      <w:pPr>
        <w:ind w:firstLine="480"/>
      </w:pPr>
      <w:r>
        <w:t>连续监测2天，每天昼、夜各监测一次。</w:t>
      </w:r>
    </w:p>
    <w:p>
      <w:pPr>
        <w:pStyle w:val="7"/>
        <w:ind w:firstLine="562"/>
      </w:pPr>
      <w:r>
        <w:rPr>
          <w:rFonts w:hint="eastAsia"/>
        </w:rPr>
        <w:t>5.5.4 评价方法</w:t>
      </w:r>
    </w:p>
    <w:p>
      <w:pPr>
        <w:ind w:firstLine="480"/>
      </w:pPr>
      <w:r>
        <w:t>根据声环境现状监测结果，采用等效声级法，结合噪声评价标准，对厂址声环境质量现状进行评价。</w:t>
      </w:r>
    </w:p>
    <w:p>
      <w:pPr>
        <w:pStyle w:val="7"/>
        <w:ind w:firstLine="562"/>
      </w:pPr>
      <w:r>
        <w:rPr>
          <w:rFonts w:hint="eastAsia"/>
        </w:rPr>
        <w:t>5.5.5 评价标准</w:t>
      </w:r>
    </w:p>
    <w:p>
      <w:pPr>
        <w:ind w:firstLine="480"/>
      </w:pPr>
      <w:r>
        <w:t>本次声环境质量现状评价执行《声环境质量标准》（GB3096-2008）</w:t>
      </w:r>
      <w:r>
        <w:rPr>
          <w:rFonts w:hint="eastAsia"/>
        </w:rPr>
        <w:t>3</w:t>
      </w:r>
      <w:r>
        <w:t>类标准要求，本次声环境质量评价标准见表5.5-1。</w:t>
      </w:r>
    </w:p>
    <w:p>
      <w:pPr>
        <w:pStyle w:val="13"/>
        <w:autoSpaceDE w:val="0"/>
        <w:autoSpaceDN w:val="0"/>
        <w:ind w:firstLine="482"/>
        <w:jc w:val="center"/>
        <w:rPr>
          <w:rFonts w:ascii="Times New Roman" w:hAnsi="Times New Roman"/>
          <w:b/>
          <w:bCs/>
        </w:rPr>
      </w:pPr>
      <w:r>
        <w:rPr>
          <w:rFonts w:hint="eastAsia" w:ascii="Times New Roman" w:hAnsi="Times New Roman"/>
          <w:b/>
          <w:bCs/>
        </w:rPr>
        <w:t>表</w:t>
      </w:r>
      <w:r>
        <w:rPr>
          <w:rFonts w:ascii="Times New Roman" w:hAnsi="Times New Roman"/>
          <w:b/>
          <w:bCs/>
        </w:rPr>
        <w:t>5.5-</w:t>
      </w:r>
      <w:r>
        <w:rPr>
          <w:rFonts w:hint="eastAsia" w:ascii="Times New Roman" w:hAnsi="Times New Roman"/>
          <w:b/>
          <w:bCs/>
          <w:lang w:val="en-US"/>
        </w:rPr>
        <w:t xml:space="preserve">2  </w:t>
      </w:r>
      <w:r>
        <w:rPr>
          <w:rFonts w:hint="eastAsia" w:ascii="Times New Roman" w:hAnsi="Times New Roman"/>
          <w:b/>
          <w:bCs/>
        </w:rPr>
        <w:t>声环境质量评价标准</w:t>
      </w:r>
    </w:p>
    <w:tbl>
      <w:tblPr>
        <w:tblStyle w:val="28"/>
        <w:tblW w:w="501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96"/>
        <w:gridCol w:w="3052"/>
        <w:gridCol w:w="315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2893" w:type="dxa"/>
            <w:vAlign w:val="center"/>
          </w:tcPr>
          <w:p>
            <w:pPr>
              <w:pStyle w:val="39"/>
              <w:autoSpaceDE w:val="0"/>
              <w:autoSpaceDN w:val="0"/>
              <w:spacing w:line="240" w:lineRule="auto"/>
              <w:ind w:firstLine="420"/>
              <w:rPr>
                <w:rFonts w:ascii="Times New Roman" w:hAnsi="Times New Roman"/>
                <w:sz w:val="21"/>
              </w:rPr>
            </w:pPr>
            <w:r>
              <w:rPr>
                <w:rFonts w:ascii="Times New Roman" w:hAnsi="Times New Roman"/>
                <w:sz w:val="21"/>
              </w:rPr>
              <w:t>声环境功能区类别</w:t>
            </w:r>
          </w:p>
        </w:tc>
        <w:tc>
          <w:tcPr>
            <w:tcW w:w="3049" w:type="dxa"/>
            <w:vAlign w:val="center"/>
          </w:tcPr>
          <w:p>
            <w:pPr>
              <w:pStyle w:val="39"/>
              <w:autoSpaceDE w:val="0"/>
              <w:autoSpaceDN w:val="0"/>
              <w:spacing w:line="240" w:lineRule="auto"/>
              <w:ind w:firstLine="420"/>
              <w:rPr>
                <w:rFonts w:ascii="Times New Roman" w:hAnsi="Times New Roman"/>
                <w:sz w:val="21"/>
              </w:rPr>
            </w:pPr>
            <w:r>
              <w:rPr>
                <w:rFonts w:ascii="Times New Roman" w:hAnsi="Times New Roman"/>
                <w:sz w:val="21"/>
              </w:rPr>
              <w:t>昼间</w:t>
            </w:r>
            <w:r>
              <w:rPr>
                <w:rFonts w:hint="eastAsia" w:ascii="Times New Roman" w:hAnsi="Times New Roman"/>
                <w:sz w:val="21"/>
              </w:rPr>
              <w:t>〔</w:t>
            </w:r>
            <w:r>
              <w:rPr>
                <w:rFonts w:ascii="Times New Roman" w:hAnsi="Times New Roman"/>
                <w:sz w:val="21"/>
              </w:rPr>
              <w:t>dB</w:t>
            </w:r>
            <w:r>
              <w:rPr>
                <w:rFonts w:hint="eastAsia" w:ascii="Times New Roman" w:hAnsi="Times New Roman"/>
                <w:sz w:val="21"/>
              </w:rPr>
              <w:t>（</w:t>
            </w:r>
            <w:r>
              <w:rPr>
                <w:rFonts w:ascii="Times New Roman" w:hAnsi="Times New Roman"/>
                <w:sz w:val="21"/>
              </w:rPr>
              <w:t>A</w:t>
            </w:r>
            <w:r>
              <w:rPr>
                <w:rFonts w:hint="eastAsia" w:ascii="Times New Roman" w:hAnsi="Times New Roman"/>
                <w:sz w:val="21"/>
              </w:rPr>
              <w:t>）〕</w:t>
            </w:r>
          </w:p>
        </w:tc>
        <w:tc>
          <w:tcPr>
            <w:tcW w:w="3149" w:type="dxa"/>
            <w:vAlign w:val="center"/>
          </w:tcPr>
          <w:p>
            <w:pPr>
              <w:pStyle w:val="39"/>
              <w:autoSpaceDE w:val="0"/>
              <w:autoSpaceDN w:val="0"/>
              <w:spacing w:line="240" w:lineRule="auto"/>
              <w:ind w:firstLine="420"/>
              <w:rPr>
                <w:rFonts w:ascii="Times New Roman" w:hAnsi="Times New Roman"/>
                <w:sz w:val="21"/>
              </w:rPr>
            </w:pPr>
            <w:r>
              <w:rPr>
                <w:rFonts w:ascii="Times New Roman" w:hAnsi="Times New Roman"/>
                <w:sz w:val="21"/>
              </w:rPr>
              <w:t>夜间</w:t>
            </w:r>
            <w:r>
              <w:rPr>
                <w:rFonts w:hint="eastAsia" w:ascii="Times New Roman" w:hAnsi="Times New Roman"/>
                <w:sz w:val="21"/>
              </w:rPr>
              <w:t>〔</w:t>
            </w:r>
            <w:r>
              <w:rPr>
                <w:rFonts w:ascii="Times New Roman" w:hAnsi="Times New Roman"/>
                <w:sz w:val="21"/>
              </w:rPr>
              <w:t>dB</w:t>
            </w:r>
            <w:r>
              <w:rPr>
                <w:rFonts w:hint="eastAsia" w:ascii="Times New Roman" w:hAnsi="Times New Roman"/>
                <w:sz w:val="21"/>
              </w:rPr>
              <w:t>（</w:t>
            </w:r>
            <w:r>
              <w:rPr>
                <w:rFonts w:ascii="Times New Roman" w:hAnsi="Times New Roman"/>
                <w:sz w:val="21"/>
              </w:rPr>
              <w:t>A</w:t>
            </w:r>
            <w:r>
              <w:rPr>
                <w:rFonts w:hint="eastAsia" w:ascii="Times New Roman" w:hAnsi="Times New Roman"/>
                <w:sz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2893" w:type="dxa"/>
            <w:vAlign w:val="center"/>
          </w:tcPr>
          <w:p>
            <w:pPr>
              <w:pStyle w:val="39"/>
              <w:autoSpaceDE w:val="0"/>
              <w:autoSpaceDN w:val="0"/>
              <w:spacing w:line="240" w:lineRule="auto"/>
              <w:ind w:firstLine="420"/>
              <w:rPr>
                <w:rFonts w:ascii="Times New Roman" w:hAnsi="Times New Roman"/>
                <w:sz w:val="21"/>
              </w:rPr>
            </w:pPr>
            <w:r>
              <w:rPr>
                <w:rFonts w:hint="eastAsia" w:ascii="Times New Roman" w:hAnsi="Times New Roman"/>
                <w:sz w:val="21"/>
                <w:lang w:val="en-US"/>
              </w:rPr>
              <w:t>3</w:t>
            </w:r>
            <w:r>
              <w:rPr>
                <w:rFonts w:ascii="Times New Roman" w:hAnsi="Times New Roman"/>
                <w:sz w:val="21"/>
              </w:rPr>
              <w:t>类</w:t>
            </w:r>
          </w:p>
        </w:tc>
        <w:tc>
          <w:tcPr>
            <w:tcW w:w="3049" w:type="dxa"/>
            <w:vAlign w:val="center"/>
          </w:tcPr>
          <w:p>
            <w:pPr>
              <w:pStyle w:val="39"/>
              <w:autoSpaceDE w:val="0"/>
              <w:autoSpaceDN w:val="0"/>
              <w:spacing w:line="240" w:lineRule="auto"/>
              <w:ind w:firstLine="420"/>
              <w:rPr>
                <w:rFonts w:ascii="Times New Roman" w:hAnsi="Times New Roman"/>
                <w:sz w:val="21"/>
                <w:lang w:val="en-US"/>
              </w:rPr>
            </w:pPr>
            <w:r>
              <w:rPr>
                <w:rFonts w:hint="eastAsia" w:ascii="Times New Roman" w:hAnsi="Times New Roman"/>
                <w:sz w:val="21"/>
                <w:lang w:val="en-US"/>
              </w:rPr>
              <w:t>65</w:t>
            </w:r>
          </w:p>
        </w:tc>
        <w:tc>
          <w:tcPr>
            <w:tcW w:w="3149" w:type="dxa"/>
            <w:vAlign w:val="center"/>
          </w:tcPr>
          <w:p>
            <w:pPr>
              <w:pStyle w:val="39"/>
              <w:autoSpaceDE w:val="0"/>
              <w:autoSpaceDN w:val="0"/>
              <w:spacing w:line="240" w:lineRule="auto"/>
              <w:ind w:firstLine="420"/>
              <w:rPr>
                <w:rFonts w:ascii="Times New Roman" w:hAnsi="Times New Roman"/>
                <w:sz w:val="21"/>
                <w:lang w:val="en-US"/>
              </w:rPr>
            </w:pPr>
            <w:r>
              <w:rPr>
                <w:rFonts w:hint="eastAsia" w:ascii="Times New Roman" w:hAnsi="Times New Roman"/>
                <w:sz w:val="21"/>
                <w:lang w:val="en-US"/>
              </w:rPr>
              <w:t>55</w:t>
            </w:r>
          </w:p>
        </w:tc>
      </w:tr>
    </w:tbl>
    <w:p>
      <w:pPr>
        <w:pStyle w:val="7"/>
        <w:ind w:firstLine="562"/>
      </w:pPr>
      <w:r>
        <w:rPr>
          <w:rFonts w:hint="eastAsia"/>
        </w:rPr>
        <w:t>5.5.6 监测结果统计及评价</w:t>
      </w:r>
    </w:p>
    <w:p>
      <w:pPr>
        <w:pStyle w:val="13"/>
        <w:autoSpaceDE w:val="0"/>
        <w:autoSpaceDN w:val="0"/>
        <w:ind w:firstLine="480"/>
        <w:rPr>
          <w:rFonts w:ascii="Times New Roman" w:hAnsi="Times New Roman"/>
        </w:rPr>
      </w:pPr>
      <w:r>
        <w:rPr>
          <w:rFonts w:ascii="Times New Roman" w:hAnsi="Times New Roman"/>
        </w:rPr>
        <w:t>本次声环境质量现状监测数据统计分析结果见表5.5-</w:t>
      </w:r>
      <w:r>
        <w:rPr>
          <w:rFonts w:hint="eastAsia" w:ascii="Times New Roman" w:hAnsi="Times New Roman"/>
          <w:lang w:val="en-US"/>
        </w:rPr>
        <w:t>3</w:t>
      </w:r>
      <w:r>
        <w:rPr>
          <w:rFonts w:ascii="Times New Roman" w:hAnsi="Times New Roman"/>
        </w:rPr>
        <w:t>。</w:t>
      </w:r>
    </w:p>
    <w:p>
      <w:pPr>
        <w:pStyle w:val="13"/>
        <w:autoSpaceDE w:val="0"/>
        <w:autoSpaceDN w:val="0"/>
        <w:ind w:firstLine="482"/>
        <w:jc w:val="center"/>
        <w:rPr>
          <w:rFonts w:ascii="Times New Roman" w:hAnsi="Times New Roman"/>
          <w:b/>
          <w:bCs/>
        </w:rPr>
      </w:pPr>
      <w:r>
        <w:rPr>
          <w:rFonts w:hint="eastAsia" w:ascii="Times New Roman" w:hAnsi="Times New Roman"/>
          <w:b/>
          <w:bCs/>
        </w:rPr>
        <w:t>表</w:t>
      </w:r>
      <w:r>
        <w:rPr>
          <w:rFonts w:ascii="Times New Roman" w:hAnsi="Times New Roman"/>
          <w:b/>
          <w:bCs/>
        </w:rPr>
        <w:t>5.5-</w:t>
      </w:r>
      <w:r>
        <w:rPr>
          <w:rFonts w:hint="eastAsia" w:ascii="Times New Roman" w:hAnsi="Times New Roman"/>
          <w:b/>
          <w:bCs/>
          <w:lang w:val="en-US"/>
        </w:rPr>
        <w:t xml:space="preserve">3  </w:t>
      </w:r>
      <w:r>
        <w:rPr>
          <w:rFonts w:hint="eastAsia" w:ascii="Times New Roman" w:hAnsi="Times New Roman"/>
          <w:b/>
          <w:bCs/>
        </w:rPr>
        <w:t>声环境质量现状监测结果统计一览表</w:t>
      </w:r>
    </w:p>
    <w:tbl>
      <w:tblPr>
        <w:tblStyle w:val="28"/>
        <w:tblW w:w="5014"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74"/>
        <w:gridCol w:w="1967"/>
        <w:gridCol w:w="1854"/>
        <w:gridCol w:w="1836"/>
        <w:gridCol w:w="197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474" w:type="dxa"/>
            <w:tcBorders>
              <w:tl2br w:val="nil"/>
              <w:tr2bl w:val="nil"/>
            </w:tcBorders>
            <w:vAlign w:val="center"/>
          </w:tcPr>
          <w:p>
            <w:pPr>
              <w:pStyle w:val="39"/>
              <w:autoSpaceDE w:val="0"/>
              <w:autoSpaceDN w:val="0"/>
              <w:spacing w:line="240" w:lineRule="auto"/>
              <w:ind w:firstLine="0" w:firstLineChars="0"/>
              <w:rPr>
                <w:rFonts w:ascii="Times New Roman" w:hAnsi="Times New Roman"/>
                <w:sz w:val="21"/>
                <w:szCs w:val="21"/>
              </w:rPr>
            </w:pPr>
            <w:r>
              <w:rPr>
                <w:rFonts w:ascii="Times New Roman" w:hAnsi="Times New Roman"/>
                <w:sz w:val="21"/>
                <w:szCs w:val="21"/>
              </w:rPr>
              <w:t>监测位置</w:t>
            </w:r>
          </w:p>
        </w:tc>
        <w:tc>
          <w:tcPr>
            <w:tcW w:w="1965" w:type="dxa"/>
            <w:tcBorders>
              <w:tl2br w:val="nil"/>
              <w:tr2bl w:val="nil"/>
            </w:tcBorders>
            <w:vAlign w:val="center"/>
          </w:tcPr>
          <w:p>
            <w:pPr>
              <w:pStyle w:val="39"/>
              <w:autoSpaceDE w:val="0"/>
              <w:autoSpaceDN w:val="0"/>
              <w:spacing w:line="240" w:lineRule="auto"/>
              <w:ind w:firstLine="0" w:firstLineChars="0"/>
              <w:rPr>
                <w:rFonts w:ascii="Times New Roman" w:hAnsi="Times New Roman"/>
                <w:sz w:val="21"/>
                <w:szCs w:val="21"/>
              </w:rPr>
            </w:pPr>
            <w:r>
              <w:rPr>
                <w:rFonts w:ascii="Times New Roman" w:hAnsi="Times New Roman"/>
                <w:sz w:val="21"/>
                <w:szCs w:val="21"/>
              </w:rPr>
              <w:t>监测时间</w:t>
            </w:r>
          </w:p>
        </w:tc>
        <w:tc>
          <w:tcPr>
            <w:tcW w:w="1852" w:type="dxa"/>
            <w:tcBorders>
              <w:tl2br w:val="nil"/>
              <w:tr2bl w:val="nil"/>
            </w:tcBorders>
            <w:vAlign w:val="center"/>
          </w:tcPr>
          <w:p>
            <w:pPr>
              <w:pStyle w:val="39"/>
              <w:autoSpaceDE w:val="0"/>
              <w:autoSpaceDN w:val="0"/>
              <w:spacing w:line="240" w:lineRule="auto"/>
              <w:ind w:firstLine="0" w:firstLineChars="0"/>
              <w:rPr>
                <w:rFonts w:ascii="Times New Roman" w:hAnsi="Times New Roman"/>
                <w:sz w:val="21"/>
                <w:szCs w:val="21"/>
              </w:rPr>
            </w:pPr>
            <w:r>
              <w:rPr>
                <w:rFonts w:ascii="Times New Roman" w:hAnsi="Times New Roman"/>
                <w:sz w:val="21"/>
                <w:szCs w:val="21"/>
              </w:rPr>
              <w:t>昼间</w:t>
            </w:r>
            <w:r>
              <w:rPr>
                <w:rFonts w:hint="eastAsia" w:ascii="Times New Roman" w:hAnsi="Times New Roman"/>
                <w:sz w:val="21"/>
                <w:szCs w:val="21"/>
              </w:rPr>
              <w:t>〔</w:t>
            </w:r>
            <w:r>
              <w:rPr>
                <w:rFonts w:ascii="Times New Roman" w:hAnsi="Times New Roman"/>
                <w:sz w:val="21"/>
                <w:szCs w:val="21"/>
              </w:rPr>
              <w:t>dB</w:t>
            </w:r>
            <w:r>
              <w:rPr>
                <w:rFonts w:hint="eastAsia" w:ascii="Times New Roman" w:hAnsi="Times New Roman"/>
                <w:sz w:val="21"/>
                <w:szCs w:val="21"/>
              </w:rPr>
              <w:t>（</w:t>
            </w:r>
            <w:r>
              <w:rPr>
                <w:rFonts w:ascii="Times New Roman" w:hAnsi="Times New Roman"/>
                <w:sz w:val="21"/>
                <w:szCs w:val="21"/>
              </w:rPr>
              <w:t>A</w:t>
            </w:r>
            <w:r>
              <w:rPr>
                <w:rFonts w:hint="eastAsia" w:ascii="Times New Roman" w:hAnsi="Times New Roman"/>
                <w:sz w:val="21"/>
                <w:szCs w:val="21"/>
              </w:rPr>
              <w:t>）〕</w:t>
            </w:r>
          </w:p>
        </w:tc>
        <w:tc>
          <w:tcPr>
            <w:tcW w:w="1834" w:type="dxa"/>
            <w:tcBorders>
              <w:tl2br w:val="nil"/>
              <w:tr2bl w:val="nil"/>
            </w:tcBorders>
            <w:vAlign w:val="center"/>
          </w:tcPr>
          <w:p>
            <w:pPr>
              <w:pStyle w:val="39"/>
              <w:autoSpaceDE w:val="0"/>
              <w:autoSpaceDN w:val="0"/>
              <w:spacing w:line="240" w:lineRule="auto"/>
              <w:ind w:firstLine="0" w:firstLineChars="0"/>
              <w:rPr>
                <w:rFonts w:ascii="Times New Roman" w:hAnsi="Times New Roman"/>
                <w:sz w:val="21"/>
                <w:szCs w:val="21"/>
              </w:rPr>
            </w:pPr>
            <w:r>
              <w:rPr>
                <w:rFonts w:ascii="Times New Roman" w:hAnsi="Times New Roman"/>
                <w:sz w:val="21"/>
                <w:szCs w:val="21"/>
              </w:rPr>
              <w:t>夜间</w:t>
            </w:r>
            <w:r>
              <w:rPr>
                <w:rFonts w:hint="eastAsia" w:ascii="Times New Roman" w:hAnsi="Times New Roman"/>
                <w:sz w:val="21"/>
                <w:szCs w:val="21"/>
              </w:rPr>
              <w:t>〔</w:t>
            </w:r>
            <w:r>
              <w:rPr>
                <w:rFonts w:ascii="Times New Roman" w:hAnsi="Times New Roman"/>
                <w:sz w:val="21"/>
                <w:szCs w:val="21"/>
              </w:rPr>
              <w:t>dB</w:t>
            </w:r>
            <w:r>
              <w:rPr>
                <w:rFonts w:hint="eastAsia" w:ascii="Times New Roman" w:hAnsi="Times New Roman"/>
                <w:sz w:val="21"/>
                <w:szCs w:val="21"/>
              </w:rPr>
              <w:t>（</w:t>
            </w:r>
            <w:r>
              <w:rPr>
                <w:rFonts w:ascii="Times New Roman" w:hAnsi="Times New Roman"/>
                <w:sz w:val="21"/>
                <w:szCs w:val="21"/>
              </w:rPr>
              <w:t>A</w:t>
            </w:r>
            <w:r>
              <w:rPr>
                <w:rFonts w:hint="eastAsia" w:ascii="Times New Roman" w:hAnsi="Times New Roman"/>
                <w:sz w:val="21"/>
                <w:szCs w:val="21"/>
              </w:rPr>
              <w:t>）〕</w:t>
            </w:r>
          </w:p>
        </w:tc>
        <w:tc>
          <w:tcPr>
            <w:tcW w:w="1974" w:type="dxa"/>
            <w:tcBorders>
              <w:tl2br w:val="nil"/>
              <w:tr2bl w:val="nil"/>
            </w:tcBorders>
            <w:vAlign w:val="center"/>
          </w:tcPr>
          <w:p>
            <w:pPr>
              <w:pStyle w:val="39"/>
              <w:autoSpaceDE w:val="0"/>
              <w:autoSpaceDN w:val="0"/>
              <w:spacing w:line="240" w:lineRule="auto"/>
              <w:ind w:firstLine="0" w:firstLineChars="0"/>
              <w:rPr>
                <w:rFonts w:ascii="Times New Roman" w:hAnsi="Times New Roman"/>
                <w:sz w:val="21"/>
                <w:szCs w:val="21"/>
              </w:rPr>
            </w:pPr>
            <w:r>
              <w:rPr>
                <w:rFonts w:ascii="Times New Roman" w:hAnsi="Times New Roman"/>
                <w:sz w:val="21"/>
                <w:szCs w:val="21"/>
              </w:rPr>
              <w:t>标准限值</w:t>
            </w:r>
            <w:r>
              <w:rPr>
                <w:rFonts w:hint="eastAsia" w:ascii="Times New Roman" w:hAnsi="Times New Roman"/>
                <w:sz w:val="21"/>
                <w:szCs w:val="21"/>
              </w:rPr>
              <w:t>〔</w:t>
            </w:r>
            <w:r>
              <w:rPr>
                <w:rFonts w:ascii="Times New Roman" w:hAnsi="Times New Roman"/>
                <w:sz w:val="21"/>
                <w:szCs w:val="21"/>
              </w:rPr>
              <w:t>dB</w:t>
            </w:r>
            <w:r>
              <w:rPr>
                <w:rFonts w:hint="eastAsia" w:ascii="Times New Roman" w:hAnsi="Times New Roman"/>
                <w:sz w:val="21"/>
                <w:szCs w:val="21"/>
              </w:rPr>
              <w:t>（</w:t>
            </w:r>
            <w:r>
              <w:rPr>
                <w:rFonts w:ascii="Times New Roman" w:hAnsi="Times New Roman"/>
                <w:sz w:val="21"/>
                <w:szCs w:val="21"/>
              </w:rPr>
              <w:t>A</w:t>
            </w:r>
            <w:r>
              <w:rPr>
                <w:rFonts w:hint="eastAsia" w:ascii="Times New Roman" w:hAnsi="Times New Roman"/>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474" w:type="dxa"/>
            <w:vMerge w:val="restart"/>
            <w:tcBorders>
              <w:tl2br w:val="nil"/>
              <w:tr2bl w:val="nil"/>
            </w:tcBorders>
            <w:vAlign w:val="center"/>
          </w:tcPr>
          <w:p>
            <w:pPr>
              <w:spacing w:line="240" w:lineRule="auto"/>
              <w:ind w:firstLine="0" w:firstLineChars="0"/>
              <w:jc w:val="center"/>
              <w:rPr>
                <w:sz w:val="21"/>
                <w:szCs w:val="21"/>
              </w:rPr>
            </w:pPr>
            <w:r>
              <w:rPr>
                <w:rFonts w:hint="eastAsia"/>
                <w:sz w:val="21"/>
                <w:szCs w:val="21"/>
              </w:rPr>
              <w:t>项目厂界东侧</w:t>
            </w:r>
          </w:p>
        </w:tc>
        <w:tc>
          <w:tcPr>
            <w:tcW w:w="1965"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2021.12.30</w:t>
            </w:r>
          </w:p>
        </w:tc>
        <w:tc>
          <w:tcPr>
            <w:tcW w:w="1852"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53</w:t>
            </w:r>
          </w:p>
        </w:tc>
        <w:tc>
          <w:tcPr>
            <w:tcW w:w="1834"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42</w:t>
            </w:r>
          </w:p>
        </w:tc>
        <w:tc>
          <w:tcPr>
            <w:tcW w:w="1974" w:type="dxa"/>
            <w:vMerge w:val="restart"/>
            <w:tcBorders>
              <w:tl2br w:val="nil"/>
              <w:tr2bl w:val="nil"/>
            </w:tcBorders>
            <w:vAlign w:val="center"/>
          </w:tcPr>
          <w:p>
            <w:pPr>
              <w:pStyle w:val="39"/>
              <w:autoSpaceDE w:val="0"/>
              <w:autoSpaceDN w:val="0"/>
              <w:spacing w:line="240" w:lineRule="auto"/>
              <w:ind w:firstLine="0" w:firstLineChars="0"/>
              <w:rPr>
                <w:rFonts w:ascii="Times New Roman" w:hAnsi="Times New Roman"/>
                <w:sz w:val="21"/>
                <w:szCs w:val="21"/>
                <w:lang w:val="en-US"/>
              </w:rPr>
            </w:pPr>
            <w:r>
              <w:rPr>
                <w:rFonts w:ascii="Times New Roman" w:hAnsi="Times New Roman"/>
                <w:sz w:val="21"/>
                <w:szCs w:val="21"/>
              </w:rPr>
              <w:t>昼间：</w:t>
            </w:r>
            <w:r>
              <w:rPr>
                <w:rFonts w:hint="eastAsia" w:ascii="Times New Roman" w:hAnsi="Times New Roman"/>
                <w:sz w:val="21"/>
                <w:szCs w:val="21"/>
                <w:lang w:val="en-US"/>
              </w:rPr>
              <w:t>65</w:t>
            </w:r>
          </w:p>
          <w:p>
            <w:pPr>
              <w:pStyle w:val="39"/>
              <w:autoSpaceDE w:val="0"/>
              <w:autoSpaceDN w:val="0"/>
              <w:spacing w:line="240" w:lineRule="auto"/>
              <w:ind w:firstLine="0" w:firstLineChars="0"/>
              <w:rPr>
                <w:rFonts w:ascii="Times New Roman" w:hAnsi="Times New Roman"/>
                <w:sz w:val="21"/>
                <w:szCs w:val="21"/>
                <w:lang w:val="en-US"/>
              </w:rPr>
            </w:pPr>
            <w:r>
              <w:rPr>
                <w:rFonts w:ascii="Times New Roman" w:hAnsi="Times New Roman"/>
                <w:sz w:val="21"/>
                <w:szCs w:val="21"/>
              </w:rPr>
              <w:t>夜间：</w:t>
            </w:r>
            <w:r>
              <w:rPr>
                <w:rFonts w:hint="eastAsia" w:ascii="Times New Roman" w:hAnsi="Times New Roman"/>
                <w:sz w:val="21"/>
                <w:szCs w:val="21"/>
                <w:lang w:val="en-US"/>
              </w:rPr>
              <w:t>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474" w:type="dxa"/>
            <w:vMerge w:val="continue"/>
            <w:tcBorders>
              <w:tl2br w:val="nil"/>
              <w:tr2bl w:val="nil"/>
            </w:tcBorders>
            <w:vAlign w:val="center"/>
          </w:tcPr>
          <w:p>
            <w:pPr>
              <w:pStyle w:val="39"/>
              <w:autoSpaceDE w:val="0"/>
              <w:autoSpaceDN w:val="0"/>
              <w:spacing w:line="240" w:lineRule="auto"/>
              <w:ind w:firstLine="0" w:firstLineChars="0"/>
              <w:rPr>
                <w:rFonts w:ascii="Times New Roman" w:hAnsi="Times New Roman"/>
                <w:sz w:val="21"/>
                <w:szCs w:val="21"/>
              </w:rPr>
            </w:pPr>
          </w:p>
        </w:tc>
        <w:tc>
          <w:tcPr>
            <w:tcW w:w="1965"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2021.12.31</w:t>
            </w:r>
          </w:p>
        </w:tc>
        <w:tc>
          <w:tcPr>
            <w:tcW w:w="1852"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57</w:t>
            </w:r>
          </w:p>
        </w:tc>
        <w:tc>
          <w:tcPr>
            <w:tcW w:w="1834"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42</w:t>
            </w:r>
          </w:p>
        </w:tc>
        <w:tc>
          <w:tcPr>
            <w:tcW w:w="1974" w:type="dxa"/>
            <w:vMerge w:val="continue"/>
            <w:tcBorders>
              <w:tl2br w:val="nil"/>
              <w:tr2bl w:val="nil"/>
            </w:tcBorders>
            <w:vAlign w:val="center"/>
          </w:tcPr>
          <w:p>
            <w:pPr>
              <w:pStyle w:val="39"/>
              <w:autoSpaceDE w:val="0"/>
              <w:autoSpaceDN w:val="0"/>
              <w:spacing w:line="240" w:lineRule="auto"/>
              <w:ind w:firstLine="0" w:firstLineChars="0"/>
              <w:rPr>
                <w:rFonts w:ascii="Times New Roman" w:hAns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474" w:type="dxa"/>
            <w:vMerge w:val="restart"/>
            <w:tcBorders>
              <w:tl2br w:val="nil"/>
              <w:tr2bl w:val="nil"/>
            </w:tcBorders>
            <w:vAlign w:val="center"/>
          </w:tcPr>
          <w:p>
            <w:pPr>
              <w:spacing w:line="240" w:lineRule="auto"/>
              <w:ind w:firstLine="0" w:firstLineChars="0"/>
              <w:jc w:val="center"/>
              <w:rPr>
                <w:sz w:val="21"/>
                <w:szCs w:val="21"/>
              </w:rPr>
            </w:pPr>
            <w:r>
              <w:rPr>
                <w:rFonts w:hint="eastAsia"/>
                <w:sz w:val="21"/>
                <w:szCs w:val="21"/>
              </w:rPr>
              <w:t>项目厂界西侧</w:t>
            </w:r>
          </w:p>
        </w:tc>
        <w:tc>
          <w:tcPr>
            <w:tcW w:w="1965"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C00000"/>
                <w:sz w:val="21"/>
                <w:szCs w:val="21"/>
              </w:rPr>
            </w:pPr>
            <w:r>
              <w:rPr>
                <w:rFonts w:hint="eastAsia" w:ascii="Times New Roman" w:hAnsi="Times New Roman"/>
                <w:color w:val="000000" w:themeColor="text1"/>
                <w:sz w:val="21"/>
                <w:szCs w:val="21"/>
                <w:lang w:val="en-US"/>
                <w14:textFill>
                  <w14:solidFill>
                    <w14:schemeClr w14:val="tx1"/>
                  </w14:solidFill>
                </w14:textFill>
              </w:rPr>
              <w:t>2021.12.30</w:t>
            </w:r>
          </w:p>
        </w:tc>
        <w:tc>
          <w:tcPr>
            <w:tcW w:w="1852"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54</w:t>
            </w:r>
          </w:p>
        </w:tc>
        <w:tc>
          <w:tcPr>
            <w:tcW w:w="1834"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44</w:t>
            </w:r>
          </w:p>
        </w:tc>
        <w:tc>
          <w:tcPr>
            <w:tcW w:w="1974" w:type="dxa"/>
            <w:vMerge w:val="continue"/>
            <w:tcBorders>
              <w:tl2br w:val="nil"/>
              <w:tr2bl w:val="nil"/>
            </w:tcBorders>
            <w:vAlign w:val="center"/>
          </w:tcPr>
          <w:p>
            <w:pPr>
              <w:pStyle w:val="39"/>
              <w:autoSpaceDE w:val="0"/>
              <w:autoSpaceDN w:val="0"/>
              <w:spacing w:line="240" w:lineRule="auto"/>
              <w:ind w:firstLine="0" w:firstLineChars="0"/>
              <w:rPr>
                <w:rFonts w:ascii="Times New Roman" w:hAnsi="Times New Roman"/>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474" w:type="dxa"/>
            <w:vMerge w:val="continue"/>
            <w:tcBorders>
              <w:tl2br w:val="nil"/>
              <w:tr2bl w:val="nil"/>
            </w:tcBorders>
            <w:vAlign w:val="center"/>
          </w:tcPr>
          <w:p>
            <w:pPr>
              <w:autoSpaceDE w:val="0"/>
              <w:autoSpaceDN w:val="0"/>
              <w:spacing w:line="240" w:lineRule="auto"/>
              <w:ind w:firstLine="0" w:firstLineChars="0"/>
              <w:jc w:val="center"/>
              <w:rPr>
                <w:sz w:val="21"/>
                <w:szCs w:val="21"/>
              </w:rPr>
            </w:pPr>
          </w:p>
        </w:tc>
        <w:tc>
          <w:tcPr>
            <w:tcW w:w="1965"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C00000"/>
                <w:sz w:val="21"/>
                <w:szCs w:val="21"/>
              </w:rPr>
            </w:pPr>
            <w:r>
              <w:rPr>
                <w:rFonts w:hint="eastAsia" w:ascii="Times New Roman" w:hAnsi="Times New Roman"/>
                <w:color w:val="000000" w:themeColor="text1"/>
                <w:sz w:val="21"/>
                <w:szCs w:val="21"/>
                <w:lang w:val="en-US"/>
                <w14:textFill>
                  <w14:solidFill>
                    <w14:schemeClr w14:val="tx1"/>
                  </w14:solidFill>
                </w14:textFill>
              </w:rPr>
              <w:t>2021.12.31</w:t>
            </w:r>
          </w:p>
        </w:tc>
        <w:tc>
          <w:tcPr>
            <w:tcW w:w="1852"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53</w:t>
            </w:r>
          </w:p>
        </w:tc>
        <w:tc>
          <w:tcPr>
            <w:tcW w:w="1834"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43</w:t>
            </w:r>
          </w:p>
        </w:tc>
        <w:tc>
          <w:tcPr>
            <w:tcW w:w="1974" w:type="dxa"/>
            <w:vMerge w:val="continue"/>
            <w:tcBorders>
              <w:tl2br w:val="nil"/>
              <w:tr2bl w:val="nil"/>
            </w:tcBorders>
            <w:vAlign w:val="center"/>
          </w:tcPr>
          <w:p>
            <w:pPr>
              <w:pStyle w:val="27"/>
              <w:autoSpaceDE w:val="0"/>
              <w:autoSpaceDN w:val="0"/>
              <w:spacing w:after="0" w:line="240" w:lineRule="auto"/>
              <w:ind w:left="0" w:leftChars="0" w:firstLine="0" w:firstLineChars="0"/>
              <w:jc w:val="center"/>
              <w:rPr>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474" w:type="dxa"/>
            <w:vMerge w:val="restart"/>
            <w:tcBorders>
              <w:tl2br w:val="nil"/>
              <w:tr2bl w:val="nil"/>
            </w:tcBorders>
            <w:vAlign w:val="center"/>
          </w:tcPr>
          <w:p>
            <w:pPr>
              <w:spacing w:line="240" w:lineRule="auto"/>
              <w:ind w:firstLine="0" w:firstLineChars="0"/>
              <w:jc w:val="center"/>
              <w:rPr>
                <w:sz w:val="21"/>
                <w:szCs w:val="21"/>
              </w:rPr>
            </w:pPr>
            <w:r>
              <w:rPr>
                <w:rFonts w:hint="eastAsia"/>
                <w:sz w:val="21"/>
                <w:szCs w:val="21"/>
              </w:rPr>
              <w:t>项目厂界南侧</w:t>
            </w:r>
          </w:p>
        </w:tc>
        <w:tc>
          <w:tcPr>
            <w:tcW w:w="1965"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C00000"/>
                <w:sz w:val="21"/>
                <w:szCs w:val="21"/>
              </w:rPr>
            </w:pPr>
            <w:r>
              <w:rPr>
                <w:rFonts w:hint="eastAsia" w:ascii="Times New Roman" w:hAnsi="Times New Roman"/>
                <w:color w:val="000000" w:themeColor="text1"/>
                <w:sz w:val="21"/>
                <w:szCs w:val="21"/>
                <w:lang w:val="en-US"/>
                <w14:textFill>
                  <w14:solidFill>
                    <w14:schemeClr w14:val="tx1"/>
                  </w14:solidFill>
                </w14:textFill>
              </w:rPr>
              <w:t>2021.12.30</w:t>
            </w:r>
          </w:p>
        </w:tc>
        <w:tc>
          <w:tcPr>
            <w:tcW w:w="1852"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55</w:t>
            </w:r>
          </w:p>
        </w:tc>
        <w:tc>
          <w:tcPr>
            <w:tcW w:w="1834"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46</w:t>
            </w:r>
          </w:p>
        </w:tc>
        <w:tc>
          <w:tcPr>
            <w:tcW w:w="1974" w:type="dxa"/>
            <w:vMerge w:val="continue"/>
            <w:tcBorders>
              <w:tl2br w:val="nil"/>
              <w:tr2bl w:val="nil"/>
            </w:tcBorders>
            <w:vAlign w:val="center"/>
          </w:tcPr>
          <w:p>
            <w:pPr>
              <w:autoSpaceDE w:val="0"/>
              <w:autoSpaceDN w:val="0"/>
              <w:spacing w:line="240" w:lineRule="auto"/>
              <w:ind w:firstLine="0" w:firstLineChars="0"/>
              <w:jc w:val="center"/>
              <w:rPr>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474" w:type="dxa"/>
            <w:vMerge w:val="continue"/>
            <w:tcBorders>
              <w:tl2br w:val="nil"/>
              <w:tr2bl w:val="nil"/>
            </w:tcBorders>
            <w:vAlign w:val="center"/>
          </w:tcPr>
          <w:p>
            <w:pPr>
              <w:autoSpaceDE w:val="0"/>
              <w:autoSpaceDN w:val="0"/>
              <w:spacing w:line="240" w:lineRule="auto"/>
              <w:ind w:firstLine="0" w:firstLineChars="0"/>
              <w:jc w:val="center"/>
              <w:rPr>
                <w:sz w:val="21"/>
                <w:szCs w:val="21"/>
              </w:rPr>
            </w:pPr>
          </w:p>
        </w:tc>
        <w:tc>
          <w:tcPr>
            <w:tcW w:w="1965"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C00000"/>
                <w:sz w:val="21"/>
                <w:szCs w:val="21"/>
              </w:rPr>
            </w:pPr>
            <w:r>
              <w:rPr>
                <w:rFonts w:hint="eastAsia" w:ascii="Times New Roman" w:hAnsi="Times New Roman"/>
                <w:color w:val="000000" w:themeColor="text1"/>
                <w:sz w:val="21"/>
                <w:szCs w:val="21"/>
                <w:lang w:val="en-US"/>
                <w14:textFill>
                  <w14:solidFill>
                    <w14:schemeClr w14:val="tx1"/>
                  </w14:solidFill>
                </w14:textFill>
              </w:rPr>
              <w:t>2021.12.31</w:t>
            </w:r>
          </w:p>
        </w:tc>
        <w:tc>
          <w:tcPr>
            <w:tcW w:w="1852"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56</w:t>
            </w:r>
          </w:p>
        </w:tc>
        <w:tc>
          <w:tcPr>
            <w:tcW w:w="1834"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41</w:t>
            </w:r>
          </w:p>
        </w:tc>
        <w:tc>
          <w:tcPr>
            <w:tcW w:w="1974" w:type="dxa"/>
            <w:vMerge w:val="continue"/>
            <w:tcBorders>
              <w:tl2br w:val="nil"/>
              <w:tr2bl w:val="nil"/>
            </w:tcBorders>
            <w:vAlign w:val="center"/>
          </w:tcPr>
          <w:p>
            <w:pPr>
              <w:autoSpaceDE w:val="0"/>
              <w:autoSpaceDN w:val="0"/>
              <w:spacing w:line="240" w:lineRule="auto"/>
              <w:ind w:firstLine="0" w:firstLineChars="0"/>
              <w:jc w:val="center"/>
              <w:rPr>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474" w:type="dxa"/>
            <w:vMerge w:val="restart"/>
            <w:tcBorders>
              <w:tl2br w:val="nil"/>
              <w:tr2bl w:val="nil"/>
            </w:tcBorders>
            <w:vAlign w:val="center"/>
          </w:tcPr>
          <w:p>
            <w:pPr>
              <w:spacing w:line="240" w:lineRule="auto"/>
              <w:ind w:firstLine="0" w:firstLineChars="0"/>
              <w:jc w:val="center"/>
              <w:rPr>
                <w:sz w:val="21"/>
                <w:szCs w:val="21"/>
              </w:rPr>
            </w:pPr>
            <w:r>
              <w:rPr>
                <w:rFonts w:hint="eastAsia"/>
                <w:sz w:val="21"/>
                <w:szCs w:val="21"/>
              </w:rPr>
              <w:t>项目厂界北侧</w:t>
            </w:r>
          </w:p>
        </w:tc>
        <w:tc>
          <w:tcPr>
            <w:tcW w:w="1965"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C00000"/>
                <w:sz w:val="21"/>
                <w:szCs w:val="21"/>
              </w:rPr>
            </w:pPr>
            <w:r>
              <w:rPr>
                <w:rFonts w:hint="eastAsia" w:ascii="Times New Roman" w:hAnsi="Times New Roman"/>
                <w:color w:val="000000" w:themeColor="text1"/>
                <w:sz w:val="21"/>
                <w:szCs w:val="21"/>
                <w:lang w:val="en-US"/>
                <w14:textFill>
                  <w14:solidFill>
                    <w14:schemeClr w14:val="tx1"/>
                  </w14:solidFill>
                </w14:textFill>
              </w:rPr>
              <w:t>2021.12.30</w:t>
            </w:r>
          </w:p>
        </w:tc>
        <w:tc>
          <w:tcPr>
            <w:tcW w:w="1852"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53</w:t>
            </w:r>
          </w:p>
        </w:tc>
        <w:tc>
          <w:tcPr>
            <w:tcW w:w="1834"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45</w:t>
            </w:r>
          </w:p>
        </w:tc>
        <w:tc>
          <w:tcPr>
            <w:tcW w:w="1974" w:type="dxa"/>
            <w:vMerge w:val="continue"/>
            <w:tcBorders>
              <w:tl2br w:val="nil"/>
              <w:tr2bl w:val="nil"/>
            </w:tcBorders>
            <w:vAlign w:val="center"/>
          </w:tcPr>
          <w:p>
            <w:pPr>
              <w:autoSpaceDE w:val="0"/>
              <w:autoSpaceDN w:val="0"/>
              <w:spacing w:line="240" w:lineRule="auto"/>
              <w:ind w:firstLine="0" w:firstLineChars="0"/>
              <w:jc w:val="center"/>
              <w:rPr>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474" w:type="dxa"/>
            <w:vMerge w:val="continue"/>
            <w:tcBorders>
              <w:tl2br w:val="nil"/>
              <w:tr2bl w:val="nil"/>
            </w:tcBorders>
            <w:vAlign w:val="center"/>
          </w:tcPr>
          <w:p>
            <w:pPr>
              <w:autoSpaceDE w:val="0"/>
              <w:autoSpaceDN w:val="0"/>
              <w:spacing w:line="240" w:lineRule="auto"/>
              <w:ind w:firstLine="0" w:firstLineChars="0"/>
              <w:jc w:val="center"/>
              <w:rPr>
                <w:sz w:val="21"/>
                <w:szCs w:val="21"/>
              </w:rPr>
            </w:pPr>
          </w:p>
        </w:tc>
        <w:tc>
          <w:tcPr>
            <w:tcW w:w="1965"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C00000"/>
                <w:sz w:val="21"/>
                <w:szCs w:val="21"/>
              </w:rPr>
            </w:pPr>
            <w:r>
              <w:rPr>
                <w:rFonts w:hint="eastAsia" w:ascii="Times New Roman" w:hAnsi="Times New Roman"/>
                <w:color w:val="000000" w:themeColor="text1"/>
                <w:sz w:val="21"/>
                <w:szCs w:val="21"/>
                <w:lang w:val="en-US"/>
                <w14:textFill>
                  <w14:solidFill>
                    <w14:schemeClr w14:val="tx1"/>
                  </w14:solidFill>
                </w14:textFill>
              </w:rPr>
              <w:t>2021.12.31</w:t>
            </w:r>
          </w:p>
        </w:tc>
        <w:tc>
          <w:tcPr>
            <w:tcW w:w="1852"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55</w:t>
            </w:r>
          </w:p>
        </w:tc>
        <w:tc>
          <w:tcPr>
            <w:tcW w:w="1834" w:type="dxa"/>
            <w:tcBorders>
              <w:tl2br w:val="nil"/>
              <w:tr2bl w:val="nil"/>
            </w:tcBorders>
            <w:vAlign w:val="center"/>
          </w:tcPr>
          <w:p>
            <w:pPr>
              <w:pStyle w:val="39"/>
              <w:autoSpaceDE w:val="0"/>
              <w:autoSpaceDN w:val="0"/>
              <w:spacing w:line="240" w:lineRule="auto"/>
              <w:ind w:firstLine="0" w:firstLineChars="0"/>
              <w:rPr>
                <w:rFonts w:ascii="Times New Roman" w:hAnsi="Times New Roman"/>
                <w:color w:val="000000" w:themeColor="text1"/>
                <w:sz w:val="21"/>
                <w:szCs w:val="21"/>
                <w:lang w:val="en-US"/>
                <w14:textFill>
                  <w14:solidFill>
                    <w14:schemeClr w14:val="tx1"/>
                  </w14:solidFill>
                </w14:textFill>
              </w:rPr>
            </w:pPr>
            <w:r>
              <w:rPr>
                <w:rFonts w:hint="eastAsia" w:ascii="Times New Roman" w:hAnsi="Times New Roman"/>
                <w:color w:val="000000" w:themeColor="text1"/>
                <w:sz w:val="21"/>
                <w:szCs w:val="21"/>
                <w:lang w:val="en-US"/>
                <w14:textFill>
                  <w14:solidFill>
                    <w14:schemeClr w14:val="tx1"/>
                  </w14:solidFill>
                </w14:textFill>
              </w:rPr>
              <w:t>42</w:t>
            </w:r>
          </w:p>
        </w:tc>
        <w:tc>
          <w:tcPr>
            <w:tcW w:w="1974" w:type="dxa"/>
            <w:vMerge w:val="continue"/>
            <w:tcBorders>
              <w:tl2br w:val="nil"/>
              <w:tr2bl w:val="nil"/>
            </w:tcBorders>
            <w:vAlign w:val="center"/>
          </w:tcPr>
          <w:p>
            <w:pPr>
              <w:autoSpaceDE w:val="0"/>
              <w:autoSpaceDN w:val="0"/>
              <w:spacing w:line="240" w:lineRule="auto"/>
              <w:ind w:firstLine="0" w:firstLineChars="0"/>
              <w:jc w:val="center"/>
              <w:rPr>
                <w:sz w:val="21"/>
                <w:szCs w:val="21"/>
              </w:rPr>
            </w:pPr>
          </w:p>
        </w:tc>
      </w:tr>
    </w:tbl>
    <w:p>
      <w:pPr>
        <w:pStyle w:val="13"/>
        <w:autoSpaceDE w:val="0"/>
        <w:autoSpaceDN w:val="0"/>
        <w:ind w:firstLine="480"/>
        <w:rPr>
          <w:rFonts w:ascii="Times New Roman" w:hAnsi="Times New Roman"/>
        </w:rPr>
      </w:pPr>
      <w:r>
        <w:rPr>
          <w:rFonts w:ascii="Times New Roman" w:hAnsi="Times New Roman"/>
        </w:rPr>
        <w:t>由表5</w:t>
      </w:r>
      <w:r>
        <w:rPr>
          <w:rFonts w:hint="eastAsia" w:ascii="Times New Roman" w:hAnsi="Times New Roman"/>
          <w:lang w:val="en-US"/>
        </w:rPr>
        <w:t>.5-3</w:t>
      </w:r>
      <w:r>
        <w:rPr>
          <w:rFonts w:ascii="Times New Roman" w:hAnsi="Times New Roman"/>
        </w:rPr>
        <w:t>可以看出：项目</w:t>
      </w:r>
      <w:r>
        <w:rPr>
          <w:rFonts w:hint="eastAsia" w:ascii="Times New Roman" w:hAnsi="Times New Roman"/>
        </w:rPr>
        <w:t>厂界</w:t>
      </w:r>
      <w:r>
        <w:rPr>
          <w:rFonts w:ascii="Times New Roman" w:hAnsi="Times New Roman"/>
        </w:rPr>
        <w:t>声环境质量现状昼、夜监测结果均能满足《声环境质量标准》（GB3096-2008）</w:t>
      </w:r>
      <w:r>
        <w:rPr>
          <w:rFonts w:hint="eastAsia" w:ascii="Times New Roman" w:hAnsi="Times New Roman"/>
          <w:lang w:val="en-US"/>
        </w:rPr>
        <w:t>3</w:t>
      </w:r>
      <w:r>
        <w:rPr>
          <w:rFonts w:ascii="Times New Roman" w:hAnsi="Times New Roman"/>
        </w:rPr>
        <w:t>类标准要求</w:t>
      </w:r>
      <w:r>
        <w:rPr>
          <w:rFonts w:hint="eastAsia" w:ascii="Times New Roman" w:hAnsi="Times New Roman"/>
        </w:rPr>
        <w:t>，</w:t>
      </w:r>
      <w:r>
        <w:rPr>
          <w:rFonts w:ascii="Times New Roman" w:hAnsi="Times New Roman"/>
        </w:rPr>
        <w:t>说明项目厂址所在区域声环境质量现状良好。</w:t>
      </w:r>
    </w:p>
    <w:p>
      <w:pPr>
        <w:pStyle w:val="6"/>
        <w:ind w:firstLine="0" w:firstLineChars="0"/>
        <w:rPr>
          <w:lang w:val="en-US"/>
        </w:rPr>
      </w:pPr>
      <w:bookmarkStart w:id="125" w:name="_Toc11453"/>
      <w:bookmarkStart w:id="126" w:name="_Toc12734"/>
      <w:bookmarkStart w:id="127" w:name="_Toc15168"/>
      <w:r>
        <w:rPr>
          <w:rFonts w:hint="eastAsia"/>
          <w:lang w:val="en-US"/>
        </w:rPr>
        <w:t>5.6 土壤环境质量现状调查与评价</w:t>
      </w:r>
      <w:bookmarkEnd w:id="125"/>
      <w:bookmarkEnd w:id="126"/>
      <w:bookmarkEnd w:id="127"/>
    </w:p>
    <w:p>
      <w:pPr>
        <w:pStyle w:val="7"/>
        <w:keepNext w:val="0"/>
        <w:keepLines w:val="0"/>
        <w:autoSpaceDE w:val="0"/>
        <w:autoSpaceDN w:val="0"/>
        <w:ind w:firstLine="562"/>
      </w:pPr>
      <w:r>
        <w:rPr>
          <w:rFonts w:hint="eastAsia"/>
        </w:rPr>
        <w:t>5.6.1 监测点位</w:t>
      </w:r>
    </w:p>
    <w:p>
      <w:pPr>
        <w:widowControl/>
        <w:autoSpaceDE w:val="0"/>
        <w:autoSpaceDN w:val="0"/>
        <w:ind w:firstLine="480"/>
        <w:jc w:val="left"/>
        <w:rPr>
          <w:color w:val="000000" w:themeColor="text1"/>
          <w14:textFill>
            <w14:solidFill>
              <w14:schemeClr w14:val="tx1"/>
            </w14:solidFill>
          </w14:textFill>
        </w:rPr>
      </w:pPr>
      <w:r>
        <w:rPr>
          <w:rFonts w:hint="eastAsia" w:cs="宋体"/>
          <w:color w:val="000000"/>
          <w:kern w:val="0"/>
          <w:lang w:bidi="ar"/>
        </w:rPr>
        <w:t>在项目所在地设置</w:t>
      </w:r>
      <w:r>
        <w:rPr>
          <w:rFonts w:hint="eastAsia" w:cs="Times New Roman"/>
          <w:color w:val="000000"/>
          <w:kern w:val="0"/>
          <w:lang w:bidi="ar"/>
        </w:rPr>
        <w:t>3</w:t>
      </w:r>
      <w:r>
        <w:rPr>
          <w:rFonts w:hint="eastAsia" w:cs="宋体"/>
          <w:color w:val="000000"/>
          <w:kern w:val="0"/>
          <w:lang w:bidi="ar"/>
        </w:rPr>
        <w:t>个土壤监测点位，</w:t>
      </w:r>
      <w:r>
        <w:rPr>
          <w:rFonts w:hint="eastAsia" w:cs="宋体"/>
          <w:color w:val="000000" w:themeColor="text1"/>
          <w:kern w:val="0"/>
          <w:lang w:bidi="ar"/>
          <w14:textFill>
            <w14:solidFill>
              <w14:schemeClr w14:val="tx1"/>
            </w14:solidFill>
          </w14:textFill>
        </w:rPr>
        <w:t>具体见表</w:t>
      </w:r>
      <w:r>
        <w:rPr>
          <w:rFonts w:cs="Times New Roman"/>
          <w:color w:val="000000" w:themeColor="text1"/>
          <w:kern w:val="0"/>
          <w:lang w:bidi="ar"/>
          <w14:textFill>
            <w14:solidFill>
              <w14:schemeClr w14:val="tx1"/>
            </w14:solidFill>
          </w14:textFill>
        </w:rPr>
        <w:t>5.</w:t>
      </w:r>
      <w:r>
        <w:rPr>
          <w:rFonts w:hint="eastAsia" w:cs="Times New Roman"/>
          <w:color w:val="000000" w:themeColor="text1"/>
          <w:kern w:val="0"/>
          <w:lang w:bidi="ar"/>
          <w14:textFill>
            <w14:solidFill>
              <w14:schemeClr w14:val="tx1"/>
            </w14:solidFill>
          </w14:textFill>
        </w:rPr>
        <w:t>6</w:t>
      </w:r>
      <w:r>
        <w:rPr>
          <w:rFonts w:cs="Times New Roman"/>
          <w:color w:val="000000" w:themeColor="text1"/>
          <w:kern w:val="0"/>
          <w:lang w:bidi="ar"/>
          <w14:textFill>
            <w14:solidFill>
              <w14:schemeClr w14:val="tx1"/>
            </w14:solidFill>
          </w14:textFill>
        </w:rPr>
        <w:t>-1</w:t>
      </w:r>
      <w:r>
        <w:rPr>
          <w:rFonts w:hint="eastAsia" w:cs="宋体"/>
          <w:color w:val="000000" w:themeColor="text1"/>
          <w:kern w:val="0"/>
          <w:lang w:bidi="ar"/>
          <w14:textFill>
            <w14:solidFill>
              <w14:schemeClr w14:val="tx1"/>
            </w14:solidFill>
          </w14:textFill>
        </w:rPr>
        <w:t>和附图4。</w:t>
      </w:r>
    </w:p>
    <w:p>
      <w:pPr>
        <w:pStyle w:val="7"/>
        <w:keepNext w:val="0"/>
        <w:keepLines w:val="0"/>
        <w:autoSpaceDE w:val="0"/>
        <w:autoSpaceDN w:val="0"/>
        <w:ind w:firstLine="562"/>
      </w:pPr>
      <w:r>
        <w:rPr>
          <w:rFonts w:hint="eastAsia"/>
        </w:rPr>
        <w:t>5.6.2 监测时间和频次</w:t>
      </w:r>
    </w:p>
    <w:p>
      <w:pPr>
        <w:widowControl/>
        <w:autoSpaceDE w:val="0"/>
        <w:autoSpaceDN w:val="0"/>
        <w:ind w:firstLine="480"/>
        <w:jc w:val="left"/>
        <w:rPr>
          <w:rFonts w:cs="宋体"/>
          <w:color w:val="000000"/>
          <w:kern w:val="0"/>
          <w:lang w:bidi="ar"/>
        </w:rPr>
      </w:pPr>
      <w:r>
        <w:rPr>
          <w:rFonts w:hint="eastAsia" w:cs="Times New Roman"/>
          <w:color w:val="000000"/>
          <w:kern w:val="0"/>
          <w:lang w:bidi="ar"/>
        </w:rPr>
        <w:t>2021年</w:t>
      </w:r>
      <w:r>
        <w:rPr>
          <w:rFonts w:hint="eastAsia" w:cs="宋体"/>
          <w:color w:val="000000"/>
          <w:kern w:val="0"/>
          <w:lang w:bidi="ar"/>
        </w:rPr>
        <w:t>12月30日监测</w:t>
      </w:r>
      <w:r>
        <w:rPr>
          <w:rFonts w:cs="Times New Roman"/>
          <w:color w:val="000000"/>
          <w:kern w:val="0"/>
          <w:lang w:bidi="ar"/>
        </w:rPr>
        <w:t>1</w:t>
      </w:r>
      <w:r>
        <w:rPr>
          <w:rFonts w:hint="eastAsia" w:cs="宋体"/>
          <w:color w:val="000000"/>
          <w:kern w:val="0"/>
          <w:lang w:bidi="ar"/>
        </w:rPr>
        <w:t>天、采样</w:t>
      </w:r>
      <w:r>
        <w:rPr>
          <w:rFonts w:cs="Times New Roman"/>
          <w:color w:val="000000"/>
          <w:kern w:val="0"/>
          <w:lang w:bidi="ar"/>
        </w:rPr>
        <w:t>1</w:t>
      </w:r>
      <w:r>
        <w:rPr>
          <w:rFonts w:hint="eastAsia" w:cs="宋体"/>
          <w:color w:val="000000"/>
          <w:kern w:val="0"/>
          <w:lang w:bidi="ar"/>
        </w:rPr>
        <w:t>次。</w:t>
      </w:r>
    </w:p>
    <w:p>
      <w:pPr>
        <w:widowControl/>
        <w:autoSpaceDE w:val="0"/>
        <w:autoSpaceDN w:val="0"/>
        <w:ind w:firstLine="482"/>
        <w:jc w:val="center"/>
        <w:rPr>
          <w:rFonts w:cs="Times New Roman"/>
          <w:b/>
          <w:bCs/>
          <w:color w:val="000000"/>
          <w:kern w:val="0"/>
          <w:lang w:bidi="ar"/>
        </w:rPr>
      </w:pPr>
      <w:r>
        <w:rPr>
          <w:rFonts w:hint="eastAsia" w:cs="Times New Roman"/>
          <w:b/>
          <w:bCs/>
          <w:color w:val="000000"/>
          <w:kern w:val="0"/>
          <w:lang w:bidi="ar"/>
        </w:rPr>
        <w:t>表5.6-1  土壤环境质量现状监测一览表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12"/>
        <w:gridCol w:w="1070"/>
        <w:gridCol w:w="1941"/>
        <w:gridCol w:w="2433"/>
        <w:gridCol w:w="1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6" w:type="pct"/>
            <w:vAlign w:val="center"/>
          </w:tcPr>
          <w:p>
            <w:pPr>
              <w:spacing w:line="240" w:lineRule="auto"/>
              <w:ind w:firstLine="0" w:firstLineChars="0"/>
              <w:jc w:val="center"/>
              <w:rPr>
                <w:sz w:val="21"/>
                <w:szCs w:val="21"/>
              </w:rPr>
            </w:pPr>
            <w:r>
              <w:rPr>
                <w:rFonts w:hint="eastAsia"/>
                <w:sz w:val="21"/>
                <w:szCs w:val="21"/>
              </w:rPr>
              <w:t>监测点位</w:t>
            </w:r>
          </w:p>
        </w:tc>
        <w:tc>
          <w:tcPr>
            <w:tcW w:w="576" w:type="pct"/>
            <w:vAlign w:val="center"/>
          </w:tcPr>
          <w:p>
            <w:pPr>
              <w:spacing w:line="240" w:lineRule="auto"/>
              <w:ind w:firstLine="0" w:firstLineChars="0"/>
              <w:jc w:val="center"/>
              <w:rPr>
                <w:sz w:val="21"/>
                <w:szCs w:val="21"/>
              </w:rPr>
            </w:pPr>
            <w:r>
              <w:rPr>
                <w:rFonts w:hint="eastAsia"/>
                <w:sz w:val="21"/>
                <w:szCs w:val="21"/>
              </w:rPr>
              <w:t>方位</w:t>
            </w:r>
          </w:p>
        </w:tc>
        <w:tc>
          <w:tcPr>
            <w:tcW w:w="1045" w:type="pct"/>
            <w:vAlign w:val="center"/>
          </w:tcPr>
          <w:p>
            <w:pPr>
              <w:spacing w:line="240" w:lineRule="auto"/>
              <w:ind w:firstLine="0" w:firstLineChars="0"/>
              <w:jc w:val="center"/>
              <w:rPr>
                <w:sz w:val="21"/>
                <w:szCs w:val="21"/>
              </w:rPr>
            </w:pPr>
            <w:r>
              <w:rPr>
                <w:rFonts w:hint="eastAsia"/>
                <w:sz w:val="21"/>
                <w:szCs w:val="21"/>
              </w:rPr>
              <w:t>点位类型</w:t>
            </w:r>
          </w:p>
        </w:tc>
        <w:tc>
          <w:tcPr>
            <w:tcW w:w="1310" w:type="pct"/>
            <w:vAlign w:val="center"/>
          </w:tcPr>
          <w:p>
            <w:pPr>
              <w:spacing w:line="240" w:lineRule="auto"/>
              <w:ind w:firstLine="0" w:firstLineChars="0"/>
              <w:jc w:val="center"/>
              <w:rPr>
                <w:sz w:val="21"/>
                <w:szCs w:val="21"/>
              </w:rPr>
            </w:pPr>
            <w:r>
              <w:rPr>
                <w:rFonts w:hint="eastAsia"/>
                <w:sz w:val="21"/>
                <w:szCs w:val="21"/>
              </w:rPr>
              <w:t>监测因子</w:t>
            </w:r>
          </w:p>
        </w:tc>
        <w:tc>
          <w:tcPr>
            <w:tcW w:w="661" w:type="pct"/>
            <w:vAlign w:val="center"/>
          </w:tcPr>
          <w:p>
            <w:pPr>
              <w:spacing w:line="240" w:lineRule="auto"/>
              <w:ind w:firstLine="0" w:firstLineChars="0"/>
              <w:jc w:val="center"/>
              <w:rPr>
                <w:sz w:val="21"/>
                <w:szCs w:val="21"/>
              </w:rPr>
            </w:pPr>
            <w:r>
              <w:rPr>
                <w:rFonts w:hint="eastAsia"/>
                <w:sz w:val="21"/>
                <w:szCs w:val="21"/>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6" w:type="pct"/>
            <w:vAlign w:val="center"/>
          </w:tcPr>
          <w:p>
            <w:pPr>
              <w:spacing w:line="240" w:lineRule="auto"/>
              <w:ind w:firstLine="0" w:firstLineChars="0"/>
              <w:jc w:val="center"/>
              <w:rPr>
                <w:sz w:val="21"/>
                <w:szCs w:val="21"/>
              </w:rPr>
            </w:pPr>
            <w:r>
              <w:rPr>
                <w:rFonts w:hint="eastAsia"/>
                <w:sz w:val="21"/>
                <w:szCs w:val="21"/>
              </w:rPr>
              <w:t>T1</w:t>
            </w:r>
          </w:p>
        </w:tc>
        <w:tc>
          <w:tcPr>
            <w:tcW w:w="576" w:type="pct"/>
            <w:vMerge w:val="restart"/>
            <w:vAlign w:val="center"/>
          </w:tcPr>
          <w:p>
            <w:pPr>
              <w:spacing w:line="240" w:lineRule="auto"/>
              <w:ind w:firstLine="0" w:firstLineChars="0"/>
              <w:jc w:val="center"/>
              <w:rPr>
                <w:sz w:val="21"/>
                <w:szCs w:val="21"/>
              </w:rPr>
            </w:pPr>
            <w:r>
              <w:rPr>
                <w:rFonts w:hint="eastAsia"/>
                <w:sz w:val="21"/>
                <w:szCs w:val="21"/>
              </w:rPr>
              <w:t>厂区内</w:t>
            </w:r>
          </w:p>
        </w:tc>
        <w:tc>
          <w:tcPr>
            <w:tcW w:w="1045" w:type="pct"/>
            <w:vAlign w:val="center"/>
          </w:tcPr>
          <w:p>
            <w:pPr>
              <w:spacing w:line="240" w:lineRule="auto"/>
              <w:ind w:firstLine="0" w:firstLineChars="0"/>
              <w:jc w:val="center"/>
              <w:rPr>
                <w:sz w:val="21"/>
                <w:szCs w:val="21"/>
              </w:rPr>
            </w:pPr>
            <w:r>
              <w:rPr>
                <w:rFonts w:hint="eastAsia"/>
                <w:sz w:val="21"/>
                <w:szCs w:val="21"/>
              </w:rPr>
              <w:t>表层采样</w:t>
            </w:r>
          </w:p>
        </w:tc>
        <w:tc>
          <w:tcPr>
            <w:tcW w:w="1310" w:type="pct"/>
            <w:vMerge w:val="restart"/>
            <w:vAlign w:val="center"/>
          </w:tcPr>
          <w:p>
            <w:pPr>
              <w:spacing w:line="240" w:lineRule="auto"/>
              <w:ind w:firstLine="0" w:firstLineChars="0"/>
              <w:jc w:val="center"/>
              <w:rPr>
                <w:sz w:val="21"/>
                <w:szCs w:val="21"/>
              </w:rPr>
            </w:pPr>
            <w:r>
              <w:rPr>
                <w:sz w:val="21"/>
                <w:szCs w:val="21"/>
              </w:rPr>
              <w:t>pH、镉、汞、砷、铜、铅、铬、锌、镍共</w:t>
            </w:r>
            <w:r>
              <w:rPr>
                <w:rFonts w:hint="eastAsia"/>
                <w:sz w:val="21"/>
                <w:szCs w:val="21"/>
              </w:rPr>
              <w:t>45</w:t>
            </w:r>
            <w:r>
              <w:rPr>
                <w:sz w:val="21"/>
                <w:szCs w:val="21"/>
              </w:rPr>
              <w:t>项</w:t>
            </w:r>
            <w:r>
              <w:rPr>
                <w:rFonts w:hint="eastAsia"/>
                <w:sz w:val="21"/>
                <w:szCs w:val="21"/>
              </w:rPr>
              <w:t>因子</w:t>
            </w:r>
          </w:p>
        </w:tc>
        <w:tc>
          <w:tcPr>
            <w:tcW w:w="661" w:type="pct"/>
            <w:vMerge w:val="restart"/>
            <w:vAlign w:val="center"/>
          </w:tcPr>
          <w:p>
            <w:pPr>
              <w:spacing w:line="240" w:lineRule="auto"/>
              <w:ind w:firstLine="0" w:firstLineChars="0"/>
              <w:jc w:val="center"/>
              <w:rPr>
                <w:sz w:val="21"/>
                <w:szCs w:val="21"/>
              </w:rPr>
            </w:pPr>
            <w:r>
              <w:rPr>
                <w:sz w:val="21"/>
                <w:szCs w:val="21"/>
              </w:rPr>
              <w:t>各</w:t>
            </w:r>
            <w:r>
              <w:rPr>
                <w:rFonts w:hint="eastAsia"/>
                <w:sz w:val="21"/>
                <w:szCs w:val="21"/>
              </w:rPr>
              <w:t>个点位</w:t>
            </w:r>
            <w:r>
              <w:rPr>
                <w:sz w:val="21"/>
                <w:szCs w:val="21"/>
              </w:rPr>
              <w:t>采样一次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6" w:type="pct"/>
            <w:vAlign w:val="center"/>
          </w:tcPr>
          <w:p>
            <w:pPr>
              <w:spacing w:line="240" w:lineRule="auto"/>
              <w:ind w:firstLine="0" w:firstLineChars="0"/>
              <w:jc w:val="center"/>
              <w:rPr>
                <w:sz w:val="21"/>
                <w:szCs w:val="21"/>
              </w:rPr>
            </w:pPr>
            <w:r>
              <w:rPr>
                <w:rFonts w:hint="eastAsia"/>
                <w:sz w:val="21"/>
                <w:szCs w:val="21"/>
              </w:rPr>
              <w:t>T2~T4</w:t>
            </w:r>
          </w:p>
        </w:tc>
        <w:tc>
          <w:tcPr>
            <w:tcW w:w="576" w:type="pct"/>
            <w:vMerge w:val="continue"/>
            <w:vAlign w:val="center"/>
          </w:tcPr>
          <w:p>
            <w:pPr>
              <w:spacing w:line="240" w:lineRule="auto"/>
              <w:ind w:firstLine="0" w:firstLineChars="0"/>
              <w:jc w:val="center"/>
              <w:rPr>
                <w:sz w:val="21"/>
                <w:szCs w:val="21"/>
              </w:rPr>
            </w:pPr>
          </w:p>
        </w:tc>
        <w:tc>
          <w:tcPr>
            <w:tcW w:w="1045" w:type="pct"/>
            <w:vAlign w:val="center"/>
          </w:tcPr>
          <w:p>
            <w:pPr>
              <w:spacing w:line="240" w:lineRule="auto"/>
              <w:ind w:firstLine="0" w:firstLineChars="0"/>
              <w:jc w:val="center"/>
              <w:rPr>
                <w:sz w:val="21"/>
                <w:szCs w:val="21"/>
              </w:rPr>
            </w:pPr>
            <w:r>
              <w:rPr>
                <w:rFonts w:hint="eastAsia"/>
                <w:sz w:val="21"/>
                <w:szCs w:val="21"/>
              </w:rPr>
              <w:t>柱状点取3个样0.2m、1.0m、2.0m</w:t>
            </w:r>
          </w:p>
        </w:tc>
        <w:tc>
          <w:tcPr>
            <w:tcW w:w="1310" w:type="pct"/>
            <w:vMerge w:val="continue"/>
            <w:vAlign w:val="center"/>
          </w:tcPr>
          <w:p>
            <w:pPr>
              <w:spacing w:line="240" w:lineRule="auto"/>
              <w:ind w:firstLine="0" w:firstLineChars="0"/>
              <w:jc w:val="center"/>
              <w:rPr>
                <w:sz w:val="21"/>
                <w:szCs w:val="21"/>
              </w:rPr>
            </w:pPr>
          </w:p>
        </w:tc>
        <w:tc>
          <w:tcPr>
            <w:tcW w:w="661"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6" w:type="pct"/>
            <w:vAlign w:val="center"/>
          </w:tcPr>
          <w:p>
            <w:pPr>
              <w:spacing w:line="240" w:lineRule="auto"/>
              <w:ind w:firstLine="0" w:firstLineChars="0"/>
              <w:jc w:val="center"/>
              <w:rPr>
                <w:sz w:val="21"/>
                <w:szCs w:val="21"/>
              </w:rPr>
            </w:pPr>
            <w:r>
              <w:rPr>
                <w:rFonts w:hint="eastAsia"/>
                <w:sz w:val="21"/>
                <w:szCs w:val="21"/>
              </w:rPr>
              <w:t>厂区西侧</w:t>
            </w:r>
          </w:p>
        </w:tc>
        <w:tc>
          <w:tcPr>
            <w:tcW w:w="576" w:type="pct"/>
            <w:vMerge w:val="restart"/>
            <w:vAlign w:val="center"/>
          </w:tcPr>
          <w:p>
            <w:pPr>
              <w:spacing w:line="240" w:lineRule="auto"/>
              <w:ind w:firstLine="0" w:firstLineChars="0"/>
              <w:jc w:val="center"/>
              <w:rPr>
                <w:sz w:val="21"/>
                <w:szCs w:val="21"/>
              </w:rPr>
            </w:pPr>
            <w:r>
              <w:rPr>
                <w:rFonts w:hint="eastAsia"/>
                <w:sz w:val="21"/>
                <w:szCs w:val="21"/>
              </w:rPr>
              <w:t>厂区外</w:t>
            </w:r>
          </w:p>
        </w:tc>
        <w:tc>
          <w:tcPr>
            <w:tcW w:w="1045" w:type="pct"/>
            <w:vMerge w:val="restart"/>
            <w:vAlign w:val="center"/>
          </w:tcPr>
          <w:p>
            <w:pPr>
              <w:spacing w:line="240" w:lineRule="auto"/>
              <w:ind w:firstLine="0" w:firstLineChars="0"/>
              <w:jc w:val="center"/>
              <w:rPr>
                <w:sz w:val="21"/>
                <w:szCs w:val="21"/>
              </w:rPr>
            </w:pPr>
            <w:r>
              <w:rPr>
                <w:rFonts w:hint="eastAsia"/>
                <w:sz w:val="21"/>
                <w:szCs w:val="21"/>
              </w:rPr>
              <w:t>表层采样</w:t>
            </w:r>
          </w:p>
        </w:tc>
        <w:tc>
          <w:tcPr>
            <w:tcW w:w="1310" w:type="pct"/>
            <w:vMerge w:val="continue"/>
            <w:vAlign w:val="center"/>
          </w:tcPr>
          <w:p>
            <w:pPr>
              <w:spacing w:line="240" w:lineRule="auto"/>
              <w:ind w:firstLine="0" w:firstLineChars="0"/>
              <w:jc w:val="center"/>
              <w:rPr>
                <w:sz w:val="21"/>
                <w:szCs w:val="21"/>
              </w:rPr>
            </w:pPr>
          </w:p>
        </w:tc>
        <w:tc>
          <w:tcPr>
            <w:tcW w:w="661" w:type="pct"/>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6" w:type="pct"/>
            <w:vAlign w:val="center"/>
          </w:tcPr>
          <w:p>
            <w:pPr>
              <w:spacing w:line="240" w:lineRule="auto"/>
              <w:ind w:firstLine="0" w:firstLineChars="0"/>
              <w:jc w:val="center"/>
              <w:rPr>
                <w:sz w:val="21"/>
                <w:szCs w:val="21"/>
              </w:rPr>
            </w:pPr>
            <w:r>
              <w:rPr>
                <w:rFonts w:hint="eastAsia"/>
                <w:sz w:val="21"/>
                <w:szCs w:val="21"/>
              </w:rPr>
              <w:t>厂区东侧</w:t>
            </w:r>
          </w:p>
        </w:tc>
        <w:tc>
          <w:tcPr>
            <w:tcW w:w="576" w:type="pct"/>
            <w:vMerge w:val="continue"/>
            <w:vAlign w:val="center"/>
          </w:tcPr>
          <w:p>
            <w:pPr>
              <w:spacing w:line="240" w:lineRule="auto"/>
              <w:ind w:firstLine="0" w:firstLineChars="0"/>
              <w:jc w:val="center"/>
              <w:rPr>
                <w:sz w:val="21"/>
                <w:szCs w:val="21"/>
              </w:rPr>
            </w:pPr>
          </w:p>
        </w:tc>
        <w:tc>
          <w:tcPr>
            <w:tcW w:w="1045" w:type="pct"/>
            <w:vMerge w:val="continue"/>
            <w:vAlign w:val="center"/>
          </w:tcPr>
          <w:p>
            <w:pPr>
              <w:spacing w:line="240" w:lineRule="auto"/>
              <w:ind w:firstLine="0" w:firstLineChars="0"/>
              <w:jc w:val="center"/>
              <w:rPr>
                <w:sz w:val="21"/>
                <w:szCs w:val="21"/>
              </w:rPr>
            </w:pPr>
          </w:p>
        </w:tc>
        <w:tc>
          <w:tcPr>
            <w:tcW w:w="1310" w:type="pct"/>
            <w:vMerge w:val="continue"/>
            <w:vAlign w:val="center"/>
          </w:tcPr>
          <w:p>
            <w:pPr>
              <w:spacing w:line="240" w:lineRule="auto"/>
              <w:ind w:firstLine="0" w:firstLineChars="0"/>
              <w:jc w:val="center"/>
              <w:rPr>
                <w:sz w:val="21"/>
                <w:szCs w:val="21"/>
              </w:rPr>
            </w:pPr>
          </w:p>
        </w:tc>
        <w:tc>
          <w:tcPr>
            <w:tcW w:w="661" w:type="pct"/>
            <w:vMerge w:val="continue"/>
            <w:vAlign w:val="center"/>
          </w:tcPr>
          <w:p>
            <w:pPr>
              <w:spacing w:line="240" w:lineRule="auto"/>
              <w:ind w:firstLine="0" w:firstLineChars="0"/>
              <w:jc w:val="center"/>
              <w:rPr>
                <w:sz w:val="21"/>
                <w:szCs w:val="21"/>
              </w:rPr>
            </w:pPr>
          </w:p>
        </w:tc>
      </w:tr>
    </w:tbl>
    <w:p>
      <w:pPr>
        <w:pStyle w:val="7"/>
        <w:keepNext w:val="0"/>
        <w:keepLines w:val="0"/>
        <w:autoSpaceDE w:val="0"/>
        <w:autoSpaceDN w:val="0"/>
        <w:ind w:firstLine="562"/>
      </w:pPr>
      <w:r>
        <w:rPr>
          <w:rFonts w:hint="eastAsia"/>
        </w:rPr>
        <w:t>5.6.3监测因子分析方法</w:t>
      </w:r>
    </w:p>
    <w:p>
      <w:pPr>
        <w:pStyle w:val="13"/>
        <w:tabs>
          <w:tab w:val="left" w:pos="2361"/>
        </w:tabs>
        <w:autoSpaceDE w:val="0"/>
        <w:autoSpaceDN w:val="0"/>
        <w:ind w:firstLine="480"/>
        <w:jc w:val="left"/>
        <w:rPr>
          <w:rFonts w:ascii="Times New Roman" w:hAnsi="Times New Roman" w:cs="Times New Roman"/>
          <w:color w:val="000000"/>
          <w:kern w:val="0"/>
          <w:lang w:val="en-US" w:bidi="ar"/>
        </w:rPr>
      </w:pPr>
      <w:r>
        <w:rPr>
          <w:rFonts w:hint="eastAsia" w:ascii="Times New Roman" w:hAnsi="Times New Roman" w:cs="Times New Roman"/>
          <w:color w:val="000000"/>
          <w:kern w:val="0"/>
          <w:lang w:val="en-US" w:bidi="ar"/>
        </w:rPr>
        <w:t>土壤各监测因子的分析方法见表5.6-2。</w:t>
      </w:r>
    </w:p>
    <w:p>
      <w:pPr>
        <w:pStyle w:val="13"/>
        <w:tabs>
          <w:tab w:val="left" w:pos="2361"/>
        </w:tabs>
        <w:autoSpaceDE w:val="0"/>
        <w:autoSpaceDN w:val="0"/>
        <w:spacing w:line="240" w:lineRule="auto"/>
        <w:ind w:firstLine="0" w:firstLineChars="0"/>
        <w:jc w:val="center"/>
        <w:rPr>
          <w:rFonts w:ascii="Times New Roman" w:hAnsi="Times New Roman" w:cs="Times New Roman"/>
          <w:b/>
          <w:bCs/>
          <w:color w:val="000000"/>
          <w:kern w:val="0"/>
          <w:lang w:val="en-US" w:bidi="ar"/>
        </w:rPr>
      </w:pPr>
      <w:r>
        <w:rPr>
          <w:rFonts w:hint="eastAsia" w:ascii="Times New Roman" w:hAnsi="Times New Roman" w:cs="Times New Roman"/>
          <w:b/>
          <w:bCs/>
          <w:color w:val="000000"/>
          <w:kern w:val="0"/>
          <w:lang w:val="en-US" w:bidi="ar"/>
        </w:rPr>
        <w:t>表5.6-2  土壤各监测因子分析方法一览表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8"/>
        <w:gridCol w:w="1059"/>
        <w:gridCol w:w="2929"/>
        <w:gridCol w:w="2786"/>
        <w:gridCol w:w="1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Align w:val="center"/>
          </w:tcPr>
          <w:p>
            <w:pPr>
              <w:pStyle w:val="38"/>
              <w:rPr>
                <w:rFonts w:hint="default"/>
                <w:b/>
                <w:bCs/>
                <w:kern w:val="0"/>
                <w:sz w:val="24"/>
                <w:szCs w:val="24"/>
              </w:rPr>
            </w:pPr>
            <w:r>
              <w:t>检测类别</w:t>
            </w:r>
          </w:p>
        </w:tc>
        <w:tc>
          <w:tcPr>
            <w:tcW w:w="1059" w:type="dxa"/>
            <w:vAlign w:val="center"/>
          </w:tcPr>
          <w:p>
            <w:pPr>
              <w:pStyle w:val="38"/>
              <w:rPr>
                <w:rFonts w:hint="default"/>
                <w:b/>
                <w:bCs/>
                <w:kern w:val="0"/>
                <w:sz w:val="24"/>
                <w:szCs w:val="24"/>
              </w:rPr>
            </w:pPr>
            <w:r>
              <w:t>检测项目</w:t>
            </w:r>
          </w:p>
        </w:tc>
        <w:tc>
          <w:tcPr>
            <w:tcW w:w="2929" w:type="dxa"/>
            <w:vAlign w:val="center"/>
          </w:tcPr>
          <w:p>
            <w:pPr>
              <w:pStyle w:val="38"/>
              <w:rPr>
                <w:rFonts w:hint="default"/>
                <w:b/>
                <w:bCs/>
                <w:kern w:val="0"/>
                <w:sz w:val="24"/>
                <w:szCs w:val="24"/>
              </w:rPr>
            </w:pPr>
            <w:r>
              <w:t>检测标准（方法）</w:t>
            </w:r>
          </w:p>
        </w:tc>
        <w:tc>
          <w:tcPr>
            <w:tcW w:w="2786" w:type="dxa"/>
            <w:vAlign w:val="center"/>
          </w:tcPr>
          <w:p>
            <w:pPr>
              <w:pStyle w:val="38"/>
              <w:rPr>
                <w:rFonts w:hint="default"/>
                <w:b/>
                <w:bCs/>
                <w:kern w:val="0"/>
                <w:sz w:val="24"/>
                <w:szCs w:val="24"/>
              </w:rPr>
            </w:pPr>
            <w:r>
              <w:t>检测仪器</w:t>
            </w:r>
          </w:p>
        </w:tc>
        <w:tc>
          <w:tcPr>
            <w:tcW w:w="1336" w:type="dxa"/>
            <w:vAlign w:val="center"/>
          </w:tcPr>
          <w:p>
            <w:pPr>
              <w:pStyle w:val="38"/>
              <w:rPr>
                <w:rFonts w:hint="default"/>
                <w:b/>
                <w:bCs/>
                <w:kern w:val="0"/>
                <w:sz w:val="24"/>
                <w:szCs w:val="24"/>
              </w:rPr>
            </w:pPr>
            <w:r>
              <w:t>检出限/最低检出浓度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restart"/>
          </w:tcPr>
          <w:p>
            <w:pPr>
              <w:ind w:firstLine="0" w:firstLineChars="0"/>
              <w:rPr>
                <w:rFonts w:cs="Times New Roman"/>
                <w:b/>
                <w:bCs/>
                <w:color w:val="000000"/>
                <w:kern w:val="0"/>
                <w:lang w:bidi="ar"/>
              </w:rPr>
            </w:pPr>
            <w:r>
              <w:rPr>
                <w:rFonts w:hint="eastAsia"/>
                <w:color w:val="000000"/>
                <w:sz w:val="21"/>
                <w:szCs w:val="21"/>
                <w:lang w:bidi="ar"/>
              </w:rPr>
              <w:t>土壤</w:t>
            </w:r>
          </w:p>
        </w:tc>
        <w:tc>
          <w:tcPr>
            <w:tcW w:w="1059" w:type="dxa"/>
            <w:vAlign w:val="center"/>
          </w:tcPr>
          <w:p>
            <w:pPr>
              <w:pStyle w:val="38"/>
              <w:rPr>
                <w:rFonts w:hint="default"/>
                <w:b/>
                <w:bCs/>
                <w:kern w:val="0"/>
                <w:sz w:val="24"/>
                <w:szCs w:val="24"/>
              </w:rPr>
            </w:pPr>
            <w:r>
              <w:t>pH值（无量纲）</w:t>
            </w:r>
          </w:p>
        </w:tc>
        <w:tc>
          <w:tcPr>
            <w:tcW w:w="2929" w:type="dxa"/>
            <w:vAlign w:val="center"/>
          </w:tcPr>
          <w:p>
            <w:pPr>
              <w:pStyle w:val="38"/>
              <w:rPr>
                <w:rFonts w:hint="default"/>
                <w:b/>
                <w:bCs/>
                <w:kern w:val="0"/>
                <w:sz w:val="24"/>
                <w:szCs w:val="24"/>
              </w:rPr>
            </w:pPr>
            <w:r>
              <w:t>HJ 962-2018 土壤pH值的测定 电位法</w:t>
            </w:r>
          </w:p>
        </w:tc>
        <w:tc>
          <w:tcPr>
            <w:tcW w:w="2786" w:type="dxa"/>
            <w:vAlign w:val="center"/>
          </w:tcPr>
          <w:p>
            <w:pPr>
              <w:pStyle w:val="38"/>
              <w:rPr>
                <w:rFonts w:hint="default"/>
                <w:b/>
                <w:bCs/>
                <w:kern w:val="0"/>
                <w:sz w:val="24"/>
                <w:szCs w:val="24"/>
              </w:rPr>
            </w:pPr>
            <w:r>
              <w:rPr>
                <w:lang w:val="zh-CN"/>
              </w:rPr>
              <w:t>离子计PXS-270 GLLS-JC-054</w:t>
            </w:r>
          </w:p>
        </w:tc>
        <w:tc>
          <w:tcPr>
            <w:tcW w:w="1336" w:type="dxa"/>
            <w:vAlign w:val="center"/>
          </w:tcPr>
          <w:p>
            <w:pPr>
              <w:pStyle w:val="38"/>
              <w:rPr>
                <w:rFonts w:hint="default"/>
                <w:b/>
                <w:bCs/>
                <w:kern w:val="0"/>
                <w:sz w:val="24"/>
                <w:szCs w:val="24"/>
              </w:rPr>
            </w:pP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锌</w:t>
            </w:r>
          </w:p>
        </w:tc>
        <w:tc>
          <w:tcPr>
            <w:tcW w:w="2929" w:type="dxa"/>
            <w:vAlign w:val="center"/>
          </w:tcPr>
          <w:p>
            <w:pPr>
              <w:pStyle w:val="38"/>
              <w:rPr>
                <w:rFonts w:hint="default"/>
                <w:b/>
                <w:bCs/>
                <w:kern w:val="0"/>
                <w:sz w:val="24"/>
                <w:szCs w:val="24"/>
              </w:rPr>
            </w:pPr>
            <w:r>
              <w:rPr>
                <w:rFonts w:hint="default"/>
              </w:rPr>
              <w:t>HJ 491-2019</w:t>
            </w:r>
            <w:r>
              <w:t>土壤和沉积物 铜、锌、铅、镍、铬的测定 火焰原子 吸收分光光度法</w:t>
            </w:r>
          </w:p>
        </w:tc>
        <w:tc>
          <w:tcPr>
            <w:tcW w:w="2786" w:type="dxa"/>
            <w:vAlign w:val="center"/>
          </w:tcPr>
          <w:p>
            <w:pPr>
              <w:pStyle w:val="38"/>
              <w:rPr>
                <w:rFonts w:hint="default"/>
                <w:b/>
                <w:bCs/>
                <w:kern w:val="0"/>
                <w:sz w:val="24"/>
                <w:szCs w:val="24"/>
              </w:rPr>
            </w:pPr>
            <w:r>
              <w:t>火焰原子吸收分光光度计\</w:t>
            </w:r>
            <w:r>
              <w:rPr>
                <w:rFonts w:hint="default"/>
              </w:rPr>
              <w:t>Agilent280FS</w:t>
            </w:r>
            <w:r>
              <w:t>\</w:t>
            </w:r>
            <w:r>
              <w:rPr>
                <w:rFonts w:hint="default"/>
              </w:rPr>
              <w:t>GLLS-JC-163</w:t>
            </w:r>
          </w:p>
        </w:tc>
        <w:tc>
          <w:tcPr>
            <w:tcW w:w="1336" w:type="dxa"/>
            <w:vAlign w:val="center"/>
          </w:tcPr>
          <w:p>
            <w:pPr>
              <w:pStyle w:val="38"/>
              <w:rPr>
                <w:rFonts w:hint="default"/>
                <w:b/>
                <w:bCs/>
                <w:kern w:val="0"/>
                <w:sz w:val="24"/>
                <w:szCs w:val="24"/>
              </w:rPr>
            </w:pPr>
            <w:r>
              <w:rPr>
                <w:rFonts w:hint="default"/>
              </w:rPr>
              <w:t>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砷</w:t>
            </w:r>
          </w:p>
        </w:tc>
        <w:tc>
          <w:tcPr>
            <w:tcW w:w="2929" w:type="dxa"/>
            <w:vAlign w:val="center"/>
          </w:tcPr>
          <w:p>
            <w:pPr>
              <w:pStyle w:val="38"/>
              <w:rPr>
                <w:rFonts w:hint="default"/>
                <w:b/>
                <w:bCs/>
                <w:kern w:val="0"/>
                <w:sz w:val="24"/>
                <w:szCs w:val="24"/>
              </w:rPr>
            </w:pPr>
            <w:r>
              <w:t>GB/T 22105.2-2008 土壤质量 总汞、总砷、总铅的测定 原子荧法 第2部分：土壤中总砷的测定</w:t>
            </w:r>
          </w:p>
        </w:tc>
        <w:tc>
          <w:tcPr>
            <w:tcW w:w="2786" w:type="dxa"/>
            <w:vAlign w:val="center"/>
          </w:tcPr>
          <w:p>
            <w:pPr>
              <w:pStyle w:val="38"/>
              <w:rPr>
                <w:rFonts w:hint="default"/>
                <w:b/>
                <w:bCs/>
                <w:kern w:val="0"/>
                <w:sz w:val="24"/>
                <w:szCs w:val="24"/>
              </w:rPr>
            </w:pPr>
            <w:r>
              <w:t>原子荧光分光光度计/AFS-8510/GLLS-JC-181</w:t>
            </w:r>
          </w:p>
        </w:tc>
        <w:tc>
          <w:tcPr>
            <w:tcW w:w="1336" w:type="dxa"/>
            <w:vAlign w:val="center"/>
          </w:tcPr>
          <w:p>
            <w:pPr>
              <w:pStyle w:val="38"/>
              <w:rPr>
                <w:rFonts w:hint="default"/>
                <w:b/>
                <w:bCs/>
                <w:kern w:val="0"/>
                <w:sz w:val="24"/>
                <w:szCs w:val="24"/>
              </w:rPr>
            </w:pPr>
            <w:r>
              <w:t>0.01mg/kg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镉</w:t>
            </w:r>
          </w:p>
        </w:tc>
        <w:tc>
          <w:tcPr>
            <w:tcW w:w="2929" w:type="dxa"/>
            <w:vAlign w:val="center"/>
          </w:tcPr>
          <w:p>
            <w:pPr>
              <w:pStyle w:val="38"/>
              <w:rPr>
                <w:rFonts w:hint="default"/>
                <w:b/>
                <w:bCs/>
                <w:kern w:val="0"/>
                <w:sz w:val="24"/>
                <w:szCs w:val="24"/>
              </w:rPr>
            </w:pPr>
            <w:r>
              <w:t>GB/T 17141-1997 土壤质量 铅、镉的测定 石墨炉原子吸收分光光度法</w:t>
            </w:r>
          </w:p>
        </w:tc>
        <w:tc>
          <w:tcPr>
            <w:tcW w:w="2786" w:type="dxa"/>
            <w:vAlign w:val="center"/>
          </w:tcPr>
          <w:p>
            <w:pPr>
              <w:pStyle w:val="38"/>
              <w:rPr>
                <w:rFonts w:hint="default"/>
                <w:b/>
                <w:bCs/>
                <w:kern w:val="0"/>
                <w:sz w:val="24"/>
                <w:szCs w:val="24"/>
              </w:rPr>
            </w:pPr>
            <w:r>
              <w:t>石墨炉原子吸收分光光度计Agilent280Z/GLLS-JC-279</w:t>
            </w:r>
          </w:p>
        </w:tc>
        <w:tc>
          <w:tcPr>
            <w:tcW w:w="1336" w:type="dxa"/>
            <w:vAlign w:val="center"/>
          </w:tcPr>
          <w:p>
            <w:pPr>
              <w:pStyle w:val="38"/>
              <w:rPr>
                <w:rFonts w:hint="default"/>
                <w:b/>
                <w:bCs/>
                <w:kern w:val="0"/>
                <w:sz w:val="24"/>
                <w:szCs w:val="24"/>
              </w:rPr>
            </w:pPr>
            <w:r>
              <w:t>0.01mg/kg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铬（六价）</w:t>
            </w:r>
          </w:p>
        </w:tc>
        <w:tc>
          <w:tcPr>
            <w:tcW w:w="2929" w:type="dxa"/>
            <w:vAlign w:val="center"/>
          </w:tcPr>
          <w:p>
            <w:pPr>
              <w:pStyle w:val="38"/>
              <w:rPr>
                <w:rFonts w:hint="default"/>
                <w:b/>
                <w:bCs/>
                <w:kern w:val="0"/>
                <w:sz w:val="24"/>
                <w:szCs w:val="24"/>
              </w:rPr>
            </w:pPr>
            <w:r>
              <w:t>HJ 1082-2019 土壤和沉积物 六价铬的测定 碱溶液提取-火焰原子吸收分光光度法</w:t>
            </w:r>
          </w:p>
        </w:tc>
        <w:tc>
          <w:tcPr>
            <w:tcW w:w="2786" w:type="dxa"/>
            <w:vAlign w:val="center"/>
          </w:tcPr>
          <w:p>
            <w:pPr>
              <w:pStyle w:val="38"/>
              <w:rPr>
                <w:rFonts w:hint="default"/>
                <w:b/>
                <w:bCs/>
                <w:kern w:val="0"/>
                <w:sz w:val="24"/>
                <w:szCs w:val="24"/>
              </w:rPr>
            </w:pPr>
            <w:r>
              <w:t>火焰原子吸收分光光度计\Agilent 280FS\GLLS-JC-278</w:t>
            </w:r>
          </w:p>
        </w:tc>
        <w:tc>
          <w:tcPr>
            <w:tcW w:w="1336" w:type="dxa"/>
            <w:vAlign w:val="center"/>
          </w:tcPr>
          <w:p>
            <w:pPr>
              <w:pStyle w:val="38"/>
              <w:rPr>
                <w:rFonts w:hint="default"/>
                <w:b/>
                <w:bCs/>
                <w:kern w:val="0"/>
                <w:sz w:val="24"/>
                <w:szCs w:val="24"/>
              </w:rPr>
            </w:pPr>
            <w:r>
              <w:t>0.5mg/kg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铜</w:t>
            </w:r>
          </w:p>
        </w:tc>
        <w:tc>
          <w:tcPr>
            <w:tcW w:w="2929" w:type="dxa"/>
            <w:vAlign w:val="center"/>
          </w:tcPr>
          <w:p>
            <w:pPr>
              <w:pStyle w:val="38"/>
              <w:rPr>
                <w:rFonts w:hint="default"/>
                <w:b/>
                <w:bCs/>
                <w:kern w:val="0"/>
                <w:sz w:val="24"/>
                <w:szCs w:val="24"/>
              </w:rPr>
            </w:pPr>
            <w:r>
              <w:t>HJ 491-2019 土壤和沉积物 铜、锌、铅、镍、铬的测定 火焰原子吸收分光光度法</w:t>
            </w:r>
          </w:p>
        </w:tc>
        <w:tc>
          <w:tcPr>
            <w:tcW w:w="2786" w:type="dxa"/>
            <w:vAlign w:val="center"/>
          </w:tcPr>
          <w:p>
            <w:pPr>
              <w:pStyle w:val="38"/>
              <w:rPr>
                <w:rFonts w:hint="default"/>
                <w:b/>
                <w:bCs/>
                <w:kern w:val="0"/>
                <w:sz w:val="24"/>
                <w:szCs w:val="24"/>
              </w:rPr>
            </w:pPr>
            <w:r>
              <w:t>火焰原子吸收分光光度计\Agilent280FS\GLLS-JC-163</w:t>
            </w:r>
          </w:p>
        </w:tc>
        <w:tc>
          <w:tcPr>
            <w:tcW w:w="1336" w:type="dxa"/>
            <w:vAlign w:val="center"/>
          </w:tcPr>
          <w:p>
            <w:pPr>
              <w:pStyle w:val="38"/>
              <w:rPr>
                <w:rFonts w:hint="default"/>
                <w:b/>
                <w:bCs/>
                <w:kern w:val="0"/>
                <w:sz w:val="24"/>
                <w:szCs w:val="24"/>
              </w:rPr>
            </w:pPr>
            <w:r>
              <w:t>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铅</w:t>
            </w:r>
          </w:p>
        </w:tc>
        <w:tc>
          <w:tcPr>
            <w:tcW w:w="2929" w:type="dxa"/>
            <w:vAlign w:val="center"/>
          </w:tcPr>
          <w:p>
            <w:pPr>
              <w:pStyle w:val="38"/>
              <w:rPr>
                <w:rFonts w:hint="default"/>
                <w:b/>
                <w:bCs/>
                <w:kern w:val="0"/>
                <w:sz w:val="24"/>
                <w:szCs w:val="24"/>
              </w:rPr>
            </w:pPr>
            <w:r>
              <w:t>GB/T 17141-1997 土壤质量 铅、镉的测定 石墨炉原子吸收分光光度法</w:t>
            </w:r>
          </w:p>
        </w:tc>
        <w:tc>
          <w:tcPr>
            <w:tcW w:w="2786" w:type="dxa"/>
            <w:vAlign w:val="center"/>
          </w:tcPr>
          <w:p>
            <w:pPr>
              <w:pStyle w:val="38"/>
              <w:rPr>
                <w:rFonts w:hint="default"/>
                <w:b/>
                <w:bCs/>
                <w:kern w:val="0"/>
                <w:sz w:val="24"/>
                <w:szCs w:val="24"/>
              </w:rPr>
            </w:pPr>
            <w:r>
              <w:t>石墨炉原子吸收分光光度计 Agilent 240Z/ GLLS-JC-132</w:t>
            </w:r>
          </w:p>
        </w:tc>
        <w:tc>
          <w:tcPr>
            <w:tcW w:w="1336" w:type="dxa"/>
            <w:vAlign w:val="center"/>
          </w:tcPr>
          <w:p>
            <w:pPr>
              <w:pStyle w:val="38"/>
              <w:rPr>
                <w:rFonts w:hint="default"/>
                <w:b/>
                <w:bCs/>
                <w:kern w:val="0"/>
                <w:sz w:val="24"/>
                <w:szCs w:val="24"/>
              </w:rPr>
            </w:pPr>
            <w:r>
              <w:t>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汞</w:t>
            </w:r>
          </w:p>
        </w:tc>
        <w:tc>
          <w:tcPr>
            <w:tcW w:w="2929" w:type="dxa"/>
            <w:vAlign w:val="center"/>
          </w:tcPr>
          <w:p>
            <w:pPr>
              <w:pStyle w:val="38"/>
              <w:rPr>
                <w:rFonts w:hint="default"/>
                <w:b/>
                <w:bCs/>
                <w:kern w:val="0"/>
                <w:sz w:val="24"/>
                <w:szCs w:val="24"/>
              </w:rPr>
            </w:pPr>
            <w:r>
              <w:t>GB/T 22105.1-2008 土壤质量 总汞、总砷、总铅的测定 原子荧光法 第 1 部分：土壤中总汞的测定</w:t>
            </w:r>
          </w:p>
        </w:tc>
        <w:tc>
          <w:tcPr>
            <w:tcW w:w="2786" w:type="dxa"/>
            <w:vAlign w:val="center"/>
          </w:tcPr>
          <w:p>
            <w:pPr>
              <w:pStyle w:val="38"/>
              <w:rPr>
                <w:rFonts w:hint="default"/>
                <w:b/>
                <w:bCs/>
                <w:kern w:val="0"/>
                <w:sz w:val="24"/>
                <w:szCs w:val="24"/>
              </w:rPr>
            </w:pPr>
            <w:r>
              <w:t>原子荧光分光光度计/AFS-230E/GLLS- JC-004</w:t>
            </w:r>
          </w:p>
        </w:tc>
        <w:tc>
          <w:tcPr>
            <w:tcW w:w="1336" w:type="dxa"/>
            <w:vAlign w:val="center"/>
          </w:tcPr>
          <w:p>
            <w:pPr>
              <w:pStyle w:val="38"/>
              <w:rPr>
                <w:rFonts w:hint="default"/>
              </w:rPr>
            </w:pPr>
            <w:r>
              <w:t>0.002</w:t>
            </w:r>
          </w:p>
          <w:p>
            <w:pPr>
              <w:pStyle w:val="38"/>
              <w:rPr>
                <w:rFonts w:hint="default"/>
                <w:b/>
                <w:bCs/>
                <w:kern w:val="0"/>
                <w:sz w:val="24"/>
                <w:szCs w:val="24"/>
              </w:rPr>
            </w:pPr>
            <w:r>
              <w:t>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镍</w:t>
            </w:r>
          </w:p>
        </w:tc>
        <w:tc>
          <w:tcPr>
            <w:tcW w:w="2929" w:type="dxa"/>
            <w:vAlign w:val="center"/>
          </w:tcPr>
          <w:p>
            <w:pPr>
              <w:pStyle w:val="38"/>
              <w:rPr>
                <w:rFonts w:hint="default"/>
                <w:b/>
                <w:bCs/>
                <w:kern w:val="0"/>
                <w:sz w:val="24"/>
                <w:szCs w:val="24"/>
              </w:rPr>
            </w:pPr>
            <w:r>
              <w:t>HJ 491-2019 土壤和沉积物铜、锌、铅、镍、铬的测定 火焰原子吸收分光光度法</w:t>
            </w:r>
          </w:p>
        </w:tc>
        <w:tc>
          <w:tcPr>
            <w:tcW w:w="2786" w:type="dxa"/>
            <w:vAlign w:val="center"/>
          </w:tcPr>
          <w:p>
            <w:pPr>
              <w:pStyle w:val="38"/>
              <w:rPr>
                <w:rFonts w:hint="default"/>
                <w:b/>
                <w:bCs/>
                <w:kern w:val="0"/>
                <w:sz w:val="24"/>
                <w:szCs w:val="24"/>
              </w:rPr>
            </w:pPr>
            <w:r>
              <w:t>火焰原子吸收分光光度计\Agilent280FS\GLLS-JC-163</w:t>
            </w:r>
          </w:p>
        </w:tc>
        <w:tc>
          <w:tcPr>
            <w:tcW w:w="1336" w:type="dxa"/>
            <w:vAlign w:val="center"/>
          </w:tcPr>
          <w:p>
            <w:pPr>
              <w:pStyle w:val="38"/>
              <w:rPr>
                <w:rFonts w:hint="default"/>
                <w:b/>
                <w:bCs/>
                <w:kern w:val="0"/>
                <w:sz w:val="24"/>
                <w:szCs w:val="24"/>
              </w:rPr>
            </w:pPr>
            <w:r>
              <w:t>3mg/kg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四氯化碳</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1.3μg/kg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氯仿</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1.1μg/kg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氯甲烷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1，1-二氯乙烷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1.2μg/kg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1-2，二氯乙烷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1.3μg/kg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1，1-二氯乙烯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顺-1，2二氯乙烯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1.3μg/kg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反-1，2-二氯乙烯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1.4μg/kg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二氯甲烷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1.5μg/kg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1，2-二氯丙烷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w:t>
            </w:r>
            <w:r>
              <w:t>1</w:t>
            </w:r>
            <w:r>
              <w:rPr>
                <w:rFonts w:hint="default"/>
              </w:rPr>
              <w:t>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1，1，1，2-四氯乙烷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1.2μg/kg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1，1，2，2-四氯乙烷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1.2μg/kg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四氯乙烯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1，1，1-三氯乙烷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1.3μg/kg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1，1，2-三氯乙烷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1.2μg/kg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三氯乙烯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1.2μg/kg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1，2，3-三氯丙烷</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1.2μg/kg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氯乙烯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t>1</w:t>
            </w:r>
            <w:r>
              <w:rPr>
                <w:rFonts w:hint="default"/>
              </w:rPr>
              <w:t>μg/kg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1.9µg/kg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氯苯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1.2µg/kg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1，2-二氯苯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1.5µg/kg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1，4-二氯苯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1.5µg/kg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乙苯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1.2µg/kg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苯乙烯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rPr>
            </w:pPr>
            <w:r>
              <w:t>{吹扫捕集-气相色谱</w:t>
            </w:r>
          </w:p>
          <w:p>
            <w:pPr>
              <w:pStyle w:val="38"/>
              <w:rPr>
                <w:rFonts w:hint="default"/>
              </w:rPr>
            </w:pPr>
            <w:r>
              <w:t>质谱联用\Agilent-</w:t>
            </w:r>
          </w:p>
          <w:p>
            <w:pPr>
              <w:pStyle w:val="38"/>
              <w:rPr>
                <w:rFonts w:hint="default"/>
                <w:b/>
                <w:bCs/>
                <w:kern w:val="0"/>
                <w:sz w:val="24"/>
                <w:szCs w:val="24"/>
              </w:rPr>
            </w:pPr>
            <w:r>
              <w:t>7890B/5977BMSD\G LLS-JC-008}</w:t>
            </w:r>
          </w:p>
        </w:tc>
        <w:tc>
          <w:tcPr>
            <w:tcW w:w="1336" w:type="dxa"/>
            <w:vAlign w:val="center"/>
          </w:tcPr>
          <w:p>
            <w:pPr>
              <w:pStyle w:val="38"/>
              <w:rPr>
                <w:rFonts w:hint="default"/>
                <w:b/>
                <w:bCs/>
                <w:kern w:val="0"/>
                <w:sz w:val="24"/>
                <w:szCs w:val="24"/>
              </w:rPr>
            </w:pPr>
            <w:r>
              <w:rPr>
                <w:rFonts w:hint="default"/>
              </w:rPr>
              <w:t>1.1µg/kg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eastAsia" w:eastAsia="宋体"/>
                <w:b/>
                <w:bCs/>
                <w:kern w:val="0"/>
                <w:sz w:val="24"/>
                <w:szCs w:val="24"/>
                <w:lang w:eastAsia="zh-CN"/>
              </w:rPr>
            </w:pPr>
            <w:r>
              <w:rPr>
                <w:rFonts w:hint="eastAsia"/>
                <w:lang w:eastAsia="zh-CN"/>
              </w:rPr>
              <w:t>甲苯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1.3µg/kg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eastAsia" w:eastAsia="宋体"/>
                <w:b/>
                <w:bCs/>
                <w:kern w:val="0"/>
                <w:sz w:val="24"/>
                <w:szCs w:val="24"/>
                <w:lang w:eastAsia="zh-CN"/>
              </w:rPr>
            </w:pPr>
            <w:r>
              <w:t>对-二</w:t>
            </w:r>
            <w:r>
              <w:rPr>
                <w:rFonts w:hint="eastAsia"/>
                <w:lang w:eastAsia="zh-CN"/>
              </w:rPr>
              <w:t>甲苯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 LLS-JC-008}</w:t>
            </w:r>
          </w:p>
        </w:tc>
        <w:tc>
          <w:tcPr>
            <w:tcW w:w="1336" w:type="dxa"/>
            <w:vAlign w:val="center"/>
          </w:tcPr>
          <w:p>
            <w:pPr>
              <w:pStyle w:val="38"/>
              <w:rPr>
                <w:rFonts w:hint="default"/>
                <w:b/>
                <w:bCs/>
                <w:kern w:val="0"/>
                <w:sz w:val="24"/>
                <w:szCs w:val="24"/>
              </w:rPr>
            </w:pPr>
            <w:r>
              <w:rPr>
                <w:rFonts w:hint="default"/>
              </w:rPr>
              <w:t>1.2µg/kg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eastAsia" w:eastAsia="宋体"/>
                <w:b/>
                <w:bCs/>
                <w:kern w:val="0"/>
                <w:sz w:val="24"/>
                <w:szCs w:val="24"/>
                <w:lang w:eastAsia="zh-CN"/>
              </w:rPr>
            </w:pPr>
            <w:r>
              <w:t>间-二</w:t>
            </w:r>
            <w:r>
              <w:rPr>
                <w:rFonts w:hint="eastAsia"/>
                <w:lang w:eastAsia="zh-CN"/>
              </w:rPr>
              <w:t>甲苯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1.2µg/kg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eastAsia" w:eastAsia="宋体"/>
                <w:b/>
                <w:bCs/>
                <w:kern w:val="0"/>
                <w:sz w:val="24"/>
                <w:szCs w:val="24"/>
                <w:lang w:eastAsia="zh-CN"/>
              </w:rPr>
            </w:pPr>
            <w:r>
              <w:t>邻-二</w:t>
            </w:r>
            <w:r>
              <w:rPr>
                <w:rFonts w:hint="eastAsia"/>
                <w:lang w:eastAsia="zh-CN"/>
              </w:rPr>
              <w:t>甲苯</w:t>
            </w:r>
          </w:p>
        </w:tc>
        <w:tc>
          <w:tcPr>
            <w:tcW w:w="2929" w:type="dxa"/>
            <w:vAlign w:val="center"/>
          </w:tcPr>
          <w:p>
            <w:pPr>
              <w:pStyle w:val="38"/>
              <w:rPr>
                <w:rFonts w:hint="default"/>
                <w:b/>
                <w:bCs/>
                <w:kern w:val="0"/>
                <w:sz w:val="24"/>
                <w:szCs w:val="24"/>
              </w:rPr>
            </w:pPr>
            <w:r>
              <w:t>HJ 605-2011 土壤和沉积物 挥发性有机物的测定 吹扫捕集-气相色谱-质谱法</w:t>
            </w:r>
          </w:p>
        </w:tc>
        <w:tc>
          <w:tcPr>
            <w:tcW w:w="2786" w:type="dxa"/>
            <w:vAlign w:val="center"/>
          </w:tcPr>
          <w:p>
            <w:pPr>
              <w:pStyle w:val="38"/>
              <w:rPr>
                <w:rFonts w:hint="default"/>
                <w:b/>
                <w:bCs/>
                <w:kern w:val="0"/>
                <w:sz w:val="24"/>
                <w:szCs w:val="24"/>
              </w:rPr>
            </w:pPr>
            <w:r>
              <w:t>{吹扫捕集-气相色谱质谱联用\Agilent-7890B/5977BMSD\GLLS-JC-008}</w:t>
            </w:r>
          </w:p>
        </w:tc>
        <w:tc>
          <w:tcPr>
            <w:tcW w:w="1336" w:type="dxa"/>
            <w:vAlign w:val="center"/>
          </w:tcPr>
          <w:p>
            <w:pPr>
              <w:pStyle w:val="38"/>
              <w:rPr>
                <w:rFonts w:hint="default"/>
                <w:b/>
                <w:bCs/>
                <w:kern w:val="0"/>
                <w:sz w:val="24"/>
                <w:szCs w:val="24"/>
              </w:rPr>
            </w:pPr>
            <w:r>
              <w:rPr>
                <w:rFonts w:hint="default"/>
              </w:rPr>
              <w:t>1.2µg/kg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硝基苯</w:t>
            </w:r>
          </w:p>
        </w:tc>
        <w:tc>
          <w:tcPr>
            <w:tcW w:w="2929" w:type="dxa"/>
            <w:vAlign w:val="center"/>
          </w:tcPr>
          <w:p>
            <w:pPr>
              <w:pStyle w:val="38"/>
              <w:rPr>
                <w:rFonts w:hint="default"/>
                <w:b/>
                <w:bCs/>
                <w:kern w:val="0"/>
                <w:sz w:val="24"/>
                <w:szCs w:val="24"/>
              </w:rPr>
            </w:pPr>
            <w:r>
              <w:t>HJ 834-2017 土壤和沉积物 半挥发性有机物的测定 气相色谱-质谱法</w:t>
            </w:r>
          </w:p>
        </w:tc>
        <w:tc>
          <w:tcPr>
            <w:tcW w:w="2786" w:type="dxa"/>
            <w:vAlign w:val="center"/>
          </w:tcPr>
          <w:p>
            <w:pPr>
              <w:pStyle w:val="38"/>
              <w:rPr>
                <w:rFonts w:hint="default"/>
                <w:b/>
                <w:bCs/>
                <w:kern w:val="0"/>
                <w:sz w:val="24"/>
                <w:szCs w:val="24"/>
              </w:rPr>
            </w:pPr>
            <w:r>
              <w:t>{气相色谱-质谱联用仪/Agilent 6890BGCSys-5973NMSD/GLLS-JC-185}</w:t>
            </w:r>
          </w:p>
        </w:tc>
        <w:tc>
          <w:tcPr>
            <w:tcW w:w="1336" w:type="dxa"/>
            <w:vAlign w:val="center"/>
          </w:tcPr>
          <w:p>
            <w:pPr>
              <w:pStyle w:val="38"/>
              <w:rPr>
                <w:rFonts w:hint="default"/>
                <w:b/>
                <w:bCs/>
                <w:kern w:val="0"/>
                <w:sz w:val="24"/>
                <w:szCs w:val="24"/>
              </w:rPr>
            </w:pPr>
            <w:r>
              <w:t>0.09mg/kg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苯胺</w:t>
            </w:r>
          </w:p>
        </w:tc>
        <w:tc>
          <w:tcPr>
            <w:tcW w:w="2929" w:type="dxa"/>
            <w:vAlign w:val="center"/>
          </w:tcPr>
          <w:p>
            <w:pPr>
              <w:pStyle w:val="38"/>
              <w:rPr>
                <w:rFonts w:hint="default"/>
                <w:b/>
                <w:bCs/>
                <w:kern w:val="0"/>
                <w:sz w:val="24"/>
                <w:szCs w:val="24"/>
              </w:rPr>
            </w:pPr>
            <w:r>
              <w:t>HJ 834-2017 土壤和沉积物 半挥发性有机物的测定 气相色谱-质谱法</w:t>
            </w:r>
          </w:p>
        </w:tc>
        <w:tc>
          <w:tcPr>
            <w:tcW w:w="2786" w:type="dxa"/>
            <w:vAlign w:val="center"/>
          </w:tcPr>
          <w:p>
            <w:pPr>
              <w:pStyle w:val="38"/>
              <w:rPr>
                <w:rFonts w:hint="default"/>
                <w:b/>
                <w:bCs/>
                <w:kern w:val="0"/>
                <w:sz w:val="24"/>
                <w:szCs w:val="24"/>
              </w:rPr>
            </w:pPr>
            <w:r>
              <w:t>{气相色谱-质谱联用仪/Agilent6890BGCSys-5973N MSD/GLLS-JC-185}</w:t>
            </w:r>
          </w:p>
        </w:tc>
        <w:tc>
          <w:tcPr>
            <w:tcW w:w="1336" w:type="dxa"/>
            <w:vAlign w:val="center"/>
          </w:tcPr>
          <w:p>
            <w:pPr>
              <w:pStyle w:val="38"/>
              <w:rPr>
                <w:rFonts w:hint="default"/>
                <w:b/>
                <w:bCs/>
                <w:kern w:val="0"/>
                <w:sz w:val="24"/>
                <w:szCs w:val="24"/>
              </w:rPr>
            </w:pPr>
            <w:r>
              <w:t>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2-氯酚</w:t>
            </w:r>
          </w:p>
        </w:tc>
        <w:tc>
          <w:tcPr>
            <w:tcW w:w="2929" w:type="dxa"/>
            <w:vAlign w:val="center"/>
          </w:tcPr>
          <w:p>
            <w:pPr>
              <w:pStyle w:val="38"/>
              <w:rPr>
                <w:rFonts w:hint="default"/>
                <w:b/>
                <w:bCs/>
                <w:kern w:val="0"/>
                <w:sz w:val="24"/>
                <w:szCs w:val="24"/>
              </w:rPr>
            </w:pPr>
            <w:r>
              <w:t>HJ 834-2017 土壤和沉积物 半挥发性有机物的测定 气相色谱-质谱法</w:t>
            </w:r>
          </w:p>
        </w:tc>
        <w:tc>
          <w:tcPr>
            <w:tcW w:w="2786" w:type="dxa"/>
            <w:vAlign w:val="center"/>
          </w:tcPr>
          <w:p>
            <w:pPr>
              <w:pStyle w:val="38"/>
              <w:rPr>
                <w:rFonts w:hint="default"/>
                <w:b/>
                <w:bCs/>
                <w:kern w:val="0"/>
                <w:sz w:val="24"/>
                <w:szCs w:val="24"/>
              </w:rPr>
            </w:pPr>
            <w:r>
              <w:t>{气相色谱-质谱联用仪/Agilent 6890BGCSys-5973NMSD/GLLS-JC-185}</w:t>
            </w:r>
          </w:p>
        </w:tc>
        <w:tc>
          <w:tcPr>
            <w:tcW w:w="1336" w:type="dxa"/>
            <w:vAlign w:val="center"/>
          </w:tcPr>
          <w:p>
            <w:pPr>
              <w:pStyle w:val="38"/>
              <w:rPr>
                <w:rFonts w:hint="default"/>
                <w:b/>
                <w:bCs/>
                <w:kern w:val="0"/>
                <w:sz w:val="24"/>
                <w:szCs w:val="24"/>
              </w:rPr>
            </w:pPr>
            <w:r>
              <w:t>0.06mg/kg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苯并〔a〕蒽</w:t>
            </w:r>
          </w:p>
        </w:tc>
        <w:tc>
          <w:tcPr>
            <w:tcW w:w="2929" w:type="dxa"/>
            <w:vAlign w:val="center"/>
          </w:tcPr>
          <w:p>
            <w:pPr>
              <w:pStyle w:val="38"/>
              <w:rPr>
                <w:rFonts w:hint="default"/>
                <w:b/>
                <w:bCs/>
                <w:kern w:val="0"/>
                <w:sz w:val="24"/>
                <w:szCs w:val="24"/>
              </w:rPr>
            </w:pPr>
            <w:r>
              <w:t>HJ 834-2017 土壤和沉积物 半挥发性有机物的测定 气相色谱-质谱法</w:t>
            </w:r>
          </w:p>
        </w:tc>
        <w:tc>
          <w:tcPr>
            <w:tcW w:w="2786" w:type="dxa"/>
            <w:vAlign w:val="center"/>
          </w:tcPr>
          <w:p>
            <w:pPr>
              <w:pStyle w:val="38"/>
              <w:rPr>
                <w:rFonts w:hint="default"/>
                <w:b/>
                <w:bCs/>
                <w:kern w:val="0"/>
                <w:sz w:val="24"/>
                <w:szCs w:val="24"/>
              </w:rPr>
            </w:pPr>
            <w:r>
              <w:t>{气相色谱-质谱联用仪/Agilent6890BGCSys-5973NMSD/GLLS-JC-185}</w:t>
            </w:r>
          </w:p>
        </w:tc>
        <w:tc>
          <w:tcPr>
            <w:tcW w:w="1336" w:type="dxa"/>
            <w:vAlign w:val="center"/>
          </w:tcPr>
          <w:p>
            <w:pPr>
              <w:pStyle w:val="38"/>
              <w:rPr>
                <w:rFonts w:hint="default"/>
                <w:b/>
                <w:bCs/>
                <w:kern w:val="0"/>
                <w:sz w:val="24"/>
                <w:szCs w:val="24"/>
              </w:rPr>
            </w:pPr>
            <w:r>
              <w:t>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苯并〔a〕芘</w:t>
            </w:r>
          </w:p>
        </w:tc>
        <w:tc>
          <w:tcPr>
            <w:tcW w:w="2929" w:type="dxa"/>
            <w:vAlign w:val="center"/>
          </w:tcPr>
          <w:p>
            <w:pPr>
              <w:pStyle w:val="38"/>
              <w:rPr>
                <w:rFonts w:hint="default"/>
                <w:b/>
                <w:bCs/>
                <w:kern w:val="0"/>
                <w:sz w:val="24"/>
                <w:szCs w:val="24"/>
              </w:rPr>
            </w:pPr>
            <w:r>
              <w:t>HJ 834-2017 土壤和沉积物 半挥发性有机物的测定 气相色谱-质谱法</w:t>
            </w:r>
          </w:p>
        </w:tc>
        <w:tc>
          <w:tcPr>
            <w:tcW w:w="2786" w:type="dxa"/>
            <w:vAlign w:val="center"/>
          </w:tcPr>
          <w:p>
            <w:pPr>
              <w:pStyle w:val="38"/>
              <w:rPr>
                <w:rFonts w:hint="default"/>
                <w:b/>
                <w:bCs/>
                <w:kern w:val="0"/>
                <w:sz w:val="24"/>
                <w:szCs w:val="24"/>
              </w:rPr>
            </w:pPr>
            <w:r>
              <w:t>{气相色谱-质谱联用仪/Agilent6890BGCSys-5973NMSD/GLLS-JC-185}</w:t>
            </w:r>
          </w:p>
        </w:tc>
        <w:tc>
          <w:tcPr>
            <w:tcW w:w="1336" w:type="dxa"/>
            <w:vAlign w:val="center"/>
          </w:tcPr>
          <w:p>
            <w:pPr>
              <w:pStyle w:val="38"/>
              <w:rPr>
                <w:rFonts w:hint="default"/>
                <w:b/>
                <w:bCs/>
                <w:kern w:val="0"/>
                <w:sz w:val="24"/>
                <w:szCs w:val="24"/>
              </w:rPr>
            </w:pPr>
            <w:r>
              <w:t>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苯并〔b〕荧蒽</w:t>
            </w:r>
          </w:p>
        </w:tc>
        <w:tc>
          <w:tcPr>
            <w:tcW w:w="2929" w:type="dxa"/>
            <w:vAlign w:val="center"/>
          </w:tcPr>
          <w:p>
            <w:pPr>
              <w:pStyle w:val="38"/>
              <w:rPr>
                <w:rFonts w:hint="default"/>
                <w:b/>
                <w:bCs/>
                <w:kern w:val="0"/>
                <w:sz w:val="24"/>
                <w:szCs w:val="24"/>
              </w:rPr>
            </w:pPr>
            <w:r>
              <w:t>HJ 834-2017 土壤和沉积物 半挥发性有机物的测定 气相色谱-质谱法</w:t>
            </w:r>
          </w:p>
        </w:tc>
        <w:tc>
          <w:tcPr>
            <w:tcW w:w="2786" w:type="dxa"/>
            <w:vAlign w:val="center"/>
          </w:tcPr>
          <w:p>
            <w:pPr>
              <w:pStyle w:val="38"/>
              <w:rPr>
                <w:rFonts w:hint="default"/>
                <w:b/>
                <w:bCs/>
                <w:kern w:val="0"/>
                <w:sz w:val="24"/>
                <w:szCs w:val="24"/>
              </w:rPr>
            </w:pPr>
            <w:r>
              <w:t>{气相色谱-质谱联用仪/Agilent 6890BGCSys-5973NMSD/GLLS-JC-185}</w:t>
            </w:r>
          </w:p>
        </w:tc>
        <w:tc>
          <w:tcPr>
            <w:tcW w:w="1336" w:type="dxa"/>
            <w:vAlign w:val="center"/>
          </w:tcPr>
          <w:p>
            <w:pPr>
              <w:pStyle w:val="38"/>
              <w:rPr>
                <w:rFonts w:hint="default"/>
                <w:b/>
                <w:bCs/>
                <w:kern w:val="0"/>
                <w:sz w:val="24"/>
                <w:szCs w:val="24"/>
              </w:rPr>
            </w:pPr>
            <w:r>
              <w:t>0.2mg/kg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苯并〔k〕荧蒽</w:t>
            </w:r>
          </w:p>
        </w:tc>
        <w:tc>
          <w:tcPr>
            <w:tcW w:w="2929" w:type="dxa"/>
            <w:vAlign w:val="center"/>
          </w:tcPr>
          <w:p>
            <w:pPr>
              <w:pStyle w:val="38"/>
              <w:rPr>
                <w:rFonts w:hint="default"/>
                <w:b/>
                <w:bCs/>
                <w:kern w:val="0"/>
                <w:sz w:val="24"/>
                <w:szCs w:val="24"/>
              </w:rPr>
            </w:pPr>
            <w:r>
              <w:t>HJ 834-2017 土壤和沉积物 半挥发性有机物的测定 气相色谱-质谱法</w:t>
            </w:r>
          </w:p>
        </w:tc>
        <w:tc>
          <w:tcPr>
            <w:tcW w:w="2786" w:type="dxa"/>
            <w:vAlign w:val="center"/>
          </w:tcPr>
          <w:p>
            <w:pPr>
              <w:pStyle w:val="38"/>
              <w:rPr>
                <w:rFonts w:hint="default"/>
                <w:b/>
                <w:bCs/>
                <w:kern w:val="0"/>
                <w:sz w:val="24"/>
                <w:szCs w:val="24"/>
              </w:rPr>
            </w:pPr>
            <w:r>
              <w:t>{气相色谱-质谱联用仪/Agilent 6890BGCSys - 5973N MSD/GLLS-JC-185}</w:t>
            </w:r>
          </w:p>
        </w:tc>
        <w:tc>
          <w:tcPr>
            <w:tcW w:w="1336" w:type="dxa"/>
            <w:vAlign w:val="center"/>
          </w:tcPr>
          <w:p>
            <w:pPr>
              <w:pStyle w:val="38"/>
              <w:rPr>
                <w:rFonts w:hint="default"/>
                <w:b/>
                <w:bCs/>
                <w:kern w:val="0"/>
                <w:sz w:val="24"/>
                <w:szCs w:val="24"/>
              </w:rPr>
            </w:pPr>
            <w:r>
              <w:t>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b/>
                <w:bCs/>
                <w:kern w:val="0"/>
                <w:sz w:val="24"/>
                <w:szCs w:val="24"/>
              </w:rPr>
            </w:pPr>
            <w:r>
              <w:t>䓛</w:t>
            </w:r>
          </w:p>
        </w:tc>
        <w:tc>
          <w:tcPr>
            <w:tcW w:w="2929" w:type="dxa"/>
            <w:vAlign w:val="center"/>
          </w:tcPr>
          <w:p>
            <w:pPr>
              <w:pStyle w:val="38"/>
              <w:rPr>
                <w:rFonts w:hint="default"/>
                <w:b/>
                <w:bCs/>
                <w:kern w:val="0"/>
                <w:sz w:val="24"/>
                <w:szCs w:val="24"/>
              </w:rPr>
            </w:pPr>
            <w:r>
              <w:t>HJ 834-2017 土壤和沉积物 半挥发性有机物的测定 气相色谱-质谱法</w:t>
            </w:r>
          </w:p>
        </w:tc>
        <w:tc>
          <w:tcPr>
            <w:tcW w:w="2786" w:type="dxa"/>
            <w:vAlign w:val="center"/>
          </w:tcPr>
          <w:p>
            <w:pPr>
              <w:pStyle w:val="38"/>
              <w:rPr>
                <w:rFonts w:hint="default"/>
                <w:b/>
                <w:bCs/>
                <w:kern w:val="0"/>
                <w:sz w:val="24"/>
                <w:szCs w:val="24"/>
              </w:rPr>
            </w:pPr>
            <w:r>
              <w:t>{气相色谱-质谱联用仪/Agilent6890BGCSys-5973NMSD/GLLS-JC-185}</w:t>
            </w:r>
          </w:p>
        </w:tc>
        <w:tc>
          <w:tcPr>
            <w:tcW w:w="1336" w:type="dxa"/>
            <w:vAlign w:val="center"/>
          </w:tcPr>
          <w:p>
            <w:pPr>
              <w:pStyle w:val="38"/>
              <w:rPr>
                <w:rFonts w:hint="default"/>
                <w:b/>
                <w:bCs/>
                <w:kern w:val="0"/>
                <w:sz w:val="24"/>
                <w:szCs w:val="24"/>
              </w:rPr>
            </w:pPr>
            <w:r>
              <w:t>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rPr>
            </w:pPr>
            <w:r>
              <w:t>二苯并〔a，h〕蒽</w:t>
            </w:r>
          </w:p>
        </w:tc>
        <w:tc>
          <w:tcPr>
            <w:tcW w:w="2929" w:type="dxa"/>
            <w:vAlign w:val="center"/>
          </w:tcPr>
          <w:p>
            <w:pPr>
              <w:pStyle w:val="38"/>
              <w:rPr>
                <w:rFonts w:hint="default"/>
              </w:rPr>
            </w:pPr>
            <w:r>
              <w:t>HJ 834-2017 土壤和沉积物 半挥发性有机物的测定 气相色谱-质谱法</w:t>
            </w:r>
          </w:p>
        </w:tc>
        <w:tc>
          <w:tcPr>
            <w:tcW w:w="2786" w:type="dxa"/>
            <w:vAlign w:val="center"/>
          </w:tcPr>
          <w:p>
            <w:pPr>
              <w:pStyle w:val="38"/>
              <w:rPr>
                <w:rFonts w:hint="default"/>
              </w:rPr>
            </w:pPr>
            <w:r>
              <w:t>{气相色谱-质谱联用仪/Agilent 6890BGCSys-5973NMSD/GLLS-JC-185}</w:t>
            </w:r>
          </w:p>
        </w:tc>
        <w:tc>
          <w:tcPr>
            <w:tcW w:w="1336" w:type="dxa"/>
            <w:vAlign w:val="center"/>
          </w:tcPr>
          <w:p>
            <w:pPr>
              <w:pStyle w:val="38"/>
              <w:rPr>
                <w:rFonts w:hint="default"/>
              </w:rPr>
            </w:pPr>
            <w:r>
              <w:t>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rPr>
            </w:pPr>
            <w:r>
              <w:t>茚并〔1，2，3-c，d〕芘</w:t>
            </w:r>
          </w:p>
        </w:tc>
        <w:tc>
          <w:tcPr>
            <w:tcW w:w="2929" w:type="dxa"/>
            <w:vAlign w:val="center"/>
          </w:tcPr>
          <w:p>
            <w:pPr>
              <w:pStyle w:val="38"/>
              <w:rPr>
                <w:rFonts w:hint="default"/>
              </w:rPr>
            </w:pPr>
            <w:r>
              <w:t>HJ 834-2017 土壤和沉积物 半挥发性有机物的测定 气相色谱-质谱法</w:t>
            </w:r>
          </w:p>
        </w:tc>
        <w:tc>
          <w:tcPr>
            <w:tcW w:w="2786" w:type="dxa"/>
            <w:vAlign w:val="center"/>
          </w:tcPr>
          <w:p>
            <w:pPr>
              <w:pStyle w:val="38"/>
              <w:rPr>
                <w:rFonts w:hint="default"/>
              </w:rPr>
            </w:pPr>
            <w:r>
              <w:t>{气相色谱-质谱联用仪/Agilent 6890BGCSys-5973NMSD/GLLS-JC-185}</w:t>
            </w:r>
          </w:p>
        </w:tc>
        <w:tc>
          <w:tcPr>
            <w:tcW w:w="1336" w:type="dxa"/>
            <w:vAlign w:val="center"/>
          </w:tcPr>
          <w:p>
            <w:pPr>
              <w:pStyle w:val="38"/>
              <w:rPr>
                <w:rFonts w:hint="default"/>
              </w:rPr>
            </w:pPr>
            <w:r>
              <w:t>0.1mg/kg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78" w:type="dxa"/>
            <w:vMerge w:val="continue"/>
          </w:tcPr>
          <w:p>
            <w:pPr>
              <w:ind w:firstLine="482"/>
              <w:rPr>
                <w:rFonts w:cs="Times New Roman"/>
                <w:b/>
                <w:bCs/>
                <w:color w:val="000000"/>
                <w:kern w:val="0"/>
                <w:lang w:bidi="ar"/>
              </w:rPr>
            </w:pPr>
          </w:p>
        </w:tc>
        <w:tc>
          <w:tcPr>
            <w:tcW w:w="1059" w:type="dxa"/>
            <w:vAlign w:val="center"/>
          </w:tcPr>
          <w:p>
            <w:pPr>
              <w:pStyle w:val="38"/>
              <w:rPr>
                <w:rFonts w:hint="default"/>
              </w:rPr>
            </w:pPr>
            <w:r>
              <w:t>萘</w:t>
            </w:r>
          </w:p>
        </w:tc>
        <w:tc>
          <w:tcPr>
            <w:tcW w:w="2929" w:type="dxa"/>
            <w:vAlign w:val="center"/>
          </w:tcPr>
          <w:p>
            <w:pPr>
              <w:pStyle w:val="38"/>
              <w:rPr>
                <w:rFonts w:hint="default"/>
              </w:rPr>
            </w:pPr>
            <w:r>
              <w:t>HJ 834-2017 土壤和沉积物 半挥发性有机物的测定 气相色谱-质谱法</w:t>
            </w:r>
          </w:p>
        </w:tc>
        <w:tc>
          <w:tcPr>
            <w:tcW w:w="2786" w:type="dxa"/>
            <w:vAlign w:val="center"/>
          </w:tcPr>
          <w:p>
            <w:pPr>
              <w:pStyle w:val="38"/>
              <w:rPr>
                <w:rFonts w:hint="default"/>
              </w:rPr>
            </w:pPr>
            <w:r>
              <w:t>{气相色谱-质谱联用仪/Agilent 6890BGCSys-5973NMSD/GLLS-JC-185}</w:t>
            </w:r>
          </w:p>
        </w:tc>
        <w:tc>
          <w:tcPr>
            <w:tcW w:w="1336" w:type="dxa"/>
            <w:vAlign w:val="center"/>
          </w:tcPr>
          <w:p>
            <w:pPr>
              <w:pStyle w:val="38"/>
              <w:rPr>
                <w:rFonts w:hint="default"/>
              </w:rPr>
            </w:pPr>
            <w:r>
              <w:t>0.09mg/kg</w:t>
            </w:r>
          </w:p>
        </w:tc>
      </w:tr>
    </w:tbl>
    <w:p>
      <w:pPr>
        <w:pStyle w:val="7"/>
        <w:ind w:firstLine="562"/>
      </w:pPr>
      <w:r>
        <w:rPr>
          <w:rFonts w:hint="eastAsia"/>
        </w:rPr>
        <w:t xml:space="preserve">5.6.4 </w:t>
      </w:r>
      <w:r>
        <w:t>评价标准</w:t>
      </w:r>
    </w:p>
    <w:p>
      <w:pPr>
        <w:widowControl/>
        <w:autoSpaceDE w:val="0"/>
        <w:autoSpaceDN w:val="0"/>
        <w:ind w:firstLine="480"/>
      </w:pPr>
      <w:r>
        <w:rPr>
          <w:rFonts w:hint="eastAsia" w:ascii="宋体" w:hAnsi="宋体" w:cs="宋体"/>
          <w:color w:val="000000"/>
          <w:kern w:val="0"/>
          <w:lang w:bidi="ar"/>
        </w:rPr>
        <w:t>按照《土壤环境质量 建设用地土壤污染风险管控标准》（</w:t>
      </w:r>
      <w:r>
        <w:rPr>
          <w:rFonts w:cs="Times New Roman"/>
          <w:color w:val="000000"/>
          <w:kern w:val="0"/>
          <w:lang w:bidi="ar"/>
        </w:rPr>
        <w:t>GB36600-2018</w:t>
      </w:r>
      <w:r>
        <w:rPr>
          <w:rFonts w:hint="eastAsia" w:ascii="宋体" w:hAnsi="宋体" w:cs="宋体"/>
          <w:color w:val="000000"/>
          <w:kern w:val="0"/>
          <w:lang w:bidi="ar"/>
        </w:rPr>
        <w:t>）进行评价。</w:t>
      </w:r>
    </w:p>
    <w:p>
      <w:pPr>
        <w:pStyle w:val="7"/>
        <w:ind w:firstLine="562"/>
      </w:pPr>
      <w:r>
        <w:rPr>
          <w:rFonts w:hint="eastAsia"/>
        </w:rPr>
        <w:t>5.6.5评价结果</w:t>
      </w:r>
    </w:p>
    <w:p>
      <w:pPr>
        <w:widowControl/>
        <w:autoSpaceDE w:val="0"/>
        <w:autoSpaceDN w:val="0"/>
        <w:ind w:firstLine="480"/>
      </w:pPr>
      <w:r>
        <w:rPr>
          <w:rFonts w:hint="eastAsia" w:ascii="宋体" w:hAnsi="宋体" w:cs="宋体"/>
          <w:color w:val="000000"/>
          <w:kern w:val="0"/>
          <w:lang w:bidi="ar"/>
        </w:rPr>
        <w:t>本项目用地类型为建设用地，执行《土壤环境质量 建设用地土壤污染风险管控标准（试行）》（</w:t>
      </w:r>
      <w:r>
        <w:rPr>
          <w:rFonts w:cs="Times New Roman"/>
          <w:color w:val="000000"/>
          <w:kern w:val="0"/>
          <w:lang w:bidi="ar"/>
        </w:rPr>
        <w:t>GB36600-2018</w:t>
      </w:r>
      <w:r>
        <w:rPr>
          <w:rFonts w:hint="eastAsia" w:ascii="宋体" w:hAnsi="宋体" w:cs="宋体"/>
          <w:color w:val="000000"/>
          <w:kern w:val="0"/>
          <w:lang w:bidi="ar"/>
        </w:rPr>
        <w:t>）第二类用地筛选值管控标准。</w:t>
      </w:r>
    </w:p>
    <w:p>
      <w:pPr>
        <w:widowControl/>
        <w:autoSpaceDE w:val="0"/>
        <w:autoSpaceDN w:val="0"/>
        <w:ind w:firstLine="0" w:firstLineChars="0"/>
        <w:jc w:val="center"/>
        <w:rPr>
          <w:rFonts w:cs="宋体"/>
          <w:b/>
          <w:bCs/>
          <w:color w:val="000000"/>
          <w:kern w:val="0"/>
          <w:lang w:bidi="ar"/>
        </w:rPr>
      </w:pPr>
      <w:r>
        <w:rPr>
          <w:rFonts w:hint="eastAsia" w:cs="宋体"/>
          <w:b/>
          <w:bCs/>
          <w:color w:val="000000"/>
          <w:kern w:val="0"/>
          <w:lang w:bidi="ar"/>
        </w:rPr>
        <w:t>表5.6-3  土壤环境质量现状监测及评价结果表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5"/>
        <w:gridCol w:w="1109"/>
        <w:gridCol w:w="1773"/>
        <w:gridCol w:w="1551"/>
        <w:gridCol w:w="885"/>
        <w:gridCol w:w="1626"/>
        <w:gridCol w:w="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检测项目</w:t>
            </w:r>
          </w:p>
        </w:tc>
        <w:tc>
          <w:tcPr>
            <w:tcW w:w="5318" w:type="dxa"/>
            <w:gridSpan w:val="4"/>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监测点位</w:t>
            </w:r>
          </w:p>
        </w:tc>
        <w:tc>
          <w:tcPr>
            <w:tcW w:w="1626"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GB36600</w:t>
            </w:r>
            <w:r>
              <w:rPr>
                <w:rFonts w:hint="default"/>
                <w:color w:val="000000" w:themeColor="text1"/>
                <w14:textFill>
                  <w14:solidFill>
                    <w14:schemeClr w14:val="tx1"/>
                  </w14:solidFill>
                </w14:textFill>
              </w:rPr>
              <w:t>-2018</w:t>
            </w:r>
            <w:r>
              <w:rPr>
                <w:color w:val="000000" w:themeColor="text1"/>
                <w14:textFill>
                  <w14:solidFill>
                    <w14:schemeClr w14:val="tx1"/>
                  </w14:solidFill>
                </w14:textFill>
              </w:rPr>
              <w:t>第二类用地筛选值</w:t>
            </w:r>
          </w:p>
        </w:tc>
        <w:tc>
          <w:tcPr>
            <w:tcW w:w="659"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评价结果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Merge w:val="continue"/>
            <w:vAlign w:val="center"/>
          </w:tcPr>
          <w:p>
            <w:pPr>
              <w:pStyle w:val="38"/>
              <w:rPr>
                <w:rFonts w:hint="default"/>
                <w:color w:val="000000" w:themeColor="text1"/>
                <w14:textFill>
                  <w14:solidFill>
                    <w14:schemeClr w14:val="tx1"/>
                  </w14:solidFill>
                </w14:textFill>
              </w:rPr>
            </w:pP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厂区西侧</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厂区东侧</w:t>
            </w: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单位</w:t>
            </w:r>
          </w:p>
        </w:tc>
        <w:tc>
          <w:tcPr>
            <w:tcW w:w="1626" w:type="dxa"/>
            <w:vMerge w:val="continue"/>
            <w:vAlign w:val="center"/>
          </w:tcPr>
          <w:p>
            <w:pPr>
              <w:pStyle w:val="38"/>
              <w:rPr>
                <w:rFonts w:hint="default"/>
                <w:color w:val="000000" w:themeColor="text1"/>
                <w14:textFill>
                  <w14:solidFill>
                    <w14:schemeClr w14:val="tx1"/>
                  </w14:solidFill>
                </w14:textFill>
              </w:rPr>
            </w:pPr>
          </w:p>
        </w:tc>
        <w:tc>
          <w:tcPr>
            <w:tcW w:w="659" w:type="dxa"/>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采样深度</w:t>
            </w:r>
          </w:p>
        </w:tc>
        <w:tc>
          <w:tcPr>
            <w:tcW w:w="1109"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0-0.2m</w:t>
            </w:r>
          </w:p>
        </w:tc>
        <w:tc>
          <w:tcPr>
            <w:tcW w:w="1773"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0-0.2m</w:t>
            </w:r>
          </w:p>
        </w:tc>
        <w:tc>
          <w:tcPr>
            <w:tcW w:w="1551"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0-0.2m</w:t>
            </w: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m</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PH</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7.75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7.68</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7.70</w:t>
            </w: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m</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6.5~8.5</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砷</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4.52</w:t>
            </w:r>
          </w:p>
        </w:tc>
        <w:tc>
          <w:tcPr>
            <w:tcW w:w="1773"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4.25</w:t>
            </w:r>
          </w:p>
        </w:tc>
        <w:tc>
          <w:tcPr>
            <w:tcW w:w="1551"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4.06</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60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镉</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0.41</w:t>
            </w:r>
          </w:p>
        </w:tc>
        <w:tc>
          <w:tcPr>
            <w:tcW w:w="1773"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0.41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0.39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65</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铬（六价）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5.7</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铜</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18000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铅</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19.6</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20.6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18.0</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800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汞</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0.062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0.044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0.049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镍</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36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kern w:val="0"/>
                <w14:textFill>
                  <w14:solidFill>
                    <w14:schemeClr w14:val="tx1"/>
                  </w14:solidFill>
                </w14:textFill>
              </w:rPr>
              <w:t>900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四氯化碳</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氯仿</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0.9mg/kg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氯甲烷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37mg/kg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1，1-二氯乙烷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9mg/kg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顺-1，2二氯乙烯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596mg/kg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反-1，2-二氯乙烯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54mg/kg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二氯甲烷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616mg/kg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1，1，1，2-四氯乙烷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1，1，2，2-四氯乙烷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四氯乙烯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1，1，1-三氯乙烷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840mg/kg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1，1，2-三氯乙烷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三氯乙烯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1，2，3-三氯丙烷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0.05</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0.43mg/kg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560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1，4-二氯苯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乙苯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1290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1200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对-</w:t>
            </w:r>
            <w:r>
              <w:rPr>
                <w:rFonts w:hint="eastAsia"/>
                <w:color w:val="000000" w:themeColor="text1"/>
                <w:lang w:eastAsia="zh-CN"/>
                <w14:textFill>
                  <w14:solidFill>
                    <w14:schemeClr w14:val="tx1"/>
                  </w14:solidFill>
                </w14:textFill>
              </w:rPr>
              <w:t>二甲苯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间-二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Merge w:val="continue"/>
            <w:vAlign w:val="center"/>
          </w:tcPr>
          <w:p>
            <w:pPr>
              <w:pStyle w:val="38"/>
              <w:rPr>
                <w:rFonts w:hint="default"/>
                <w:color w:val="000000" w:themeColor="text1"/>
                <w14:textFill>
                  <w14:solidFill>
                    <w14:schemeClr w14:val="tx1"/>
                  </w14:solidFill>
                </w14:textFill>
              </w:rPr>
            </w:pP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邻-二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640mg/kg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硝基苯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苯胺</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260mg/kg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2-氯酚</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2256mg/kg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苯并〔a〕蒽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苯并〔a〕芘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苯并〔b〕荧蒽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苯并〔k〕荧蒽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151mg/kg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䓛</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1293mg/kg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二苯并〔a，h〕蒽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茚并〔1，2，3-c，d〕芘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bl>
    <w:p>
      <w:pPr>
        <w:widowControl/>
        <w:autoSpaceDE w:val="0"/>
        <w:autoSpaceDN w:val="0"/>
        <w:ind w:firstLine="0" w:firstLineChars="0"/>
        <w:jc w:val="center"/>
        <w:rPr>
          <w:rFonts w:cs="宋体"/>
          <w:b/>
          <w:bCs/>
          <w:color w:val="000000"/>
          <w:kern w:val="0"/>
          <w:lang w:bidi="ar"/>
        </w:rPr>
      </w:pPr>
      <w:r>
        <w:rPr>
          <w:rFonts w:hint="eastAsia" w:cs="宋体"/>
          <w:b/>
          <w:bCs/>
          <w:color w:val="000000"/>
          <w:kern w:val="0"/>
          <w:lang w:bidi="ar"/>
        </w:rPr>
        <w:t>表5.6-3  土壤环境质量现状监测及评价结果表（续1）</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5"/>
        <w:gridCol w:w="1109"/>
        <w:gridCol w:w="1773"/>
        <w:gridCol w:w="1551"/>
        <w:gridCol w:w="885"/>
        <w:gridCol w:w="1626"/>
        <w:gridCol w:w="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检测项目</w:t>
            </w:r>
          </w:p>
        </w:tc>
        <w:tc>
          <w:tcPr>
            <w:tcW w:w="5318" w:type="dxa"/>
            <w:gridSpan w:val="4"/>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监测点位T2</w:t>
            </w:r>
          </w:p>
        </w:tc>
        <w:tc>
          <w:tcPr>
            <w:tcW w:w="1626"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GB36600</w:t>
            </w:r>
            <w:r>
              <w:rPr>
                <w:rFonts w:hint="default"/>
                <w:color w:val="000000" w:themeColor="text1"/>
                <w14:textFill>
                  <w14:solidFill>
                    <w14:schemeClr w14:val="tx1"/>
                  </w14:solidFill>
                </w14:textFill>
              </w:rPr>
              <w:t>-2018</w:t>
            </w:r>
            <w:r>
              <w:rPr>
                <w:color w:val="000000" w:themeColor="text1"/>
                <w14:textFill>
                  <w14:solidFill>
                    <w14:schemeClr w14:val="tx1"/>
                  </w14:solidFill>
                </w14:textFill>
              </w:rPr>
              <w:t>第二类用地筛选值</w:t>
            </w:r>
          </w:p>
        </w:tc>
        <w:tc>
          <w:tcPr>
            <w:tcW w:w="659"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评价结果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Merge w:val="continue"/>
            <w:vAlign w:val="center"/>
          </w:tcPr>
          <w:p>
            <w:pPr>
              <w:pStyle w:val="38"/>
              <w:rPr>
                <w:rFonts w:hint="default"/>
                <w:color w:val="000000" w:themeColor="text1"/>
                <w14:textFill>
                  <w14:solidFill>
                    <w14:schemeClr w14:val="tx1"/>
                  </w14:solidFill>
                </w14:textFill>
              </w:rPr>
            </w:pPr>
          </w:p>
        </w:tc>
        <w:tc>
          <w:tcPr>
            <w:tcW w:w="1109" w:type="dxa"/>
            <w:vMerge w:val="restart"/>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0-0.2m</w:t>
            </w:r>
          </w:p>
        </w:tc>
        <w:tc>
          <w:tcPr>
            <w:tcW w:w="1773" w:type="dxa"/>
            <w:vMerge w:val="restart"/>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w:t>
            </w:r>
            <w:r>
              <w:rPr>
                <w:color w:val="000000" w:themeColor="text1"/>
                <w14:textFill>
                  <w14:solidFill>
                    <w14:schemeClr w14:val="tx1"/>
                  </w14:solidFill>
                </w14:textFill>
              </w:rPr>
              <w:t>.2</w:t>
            </w:r>
            <w:r>
              <w:rPr>
                <w:rFonts w:hint="default"/>
                <w:color w:val="000000" w:themeColor="text1"/>
                <w14:textFill>
                  <w14:solidFill>
                    <w14:schemeClr w14:val="tx1"/>
                  </w14:solidFill>
                </w14:textFill>
              </w:rPr>
              <w:t>-</w:t>
            </w:r>
            <w:r>
              <w:rPr>
                <w:color w:val="000000" w:themeColor="text1"/>
                <w14:textFill>
                  <w14:solidFill>
                    <w14:schemeClr w14:val="tx1"/>
                  </w14:solidFill>
                </w14:textFill>
              </w:rPr>
              <w:t>1.0</w:t>
            </w:r>
            <w:r>
              <w:rPr>
                <w:rFonts w:hint="default"/>
                <w:color w:val="000000" w:themeColor="text1"/>
                <w14:textFill>
                  <w14:solidFill>
                    <w14:schemeClr w14:val="tx1"/>
                  </w14:solidFill>
                </w14:textFill>
              </w:rPr>
              <w:t>m</w:t>
            </w:r>
          </w:p>
        </w:tc>
        <w:tc>
          <w:tcPr>
            <w:tcW w:w="1551"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w:t>
            </w:r>
            <w:r>
              <w:rPr>
                <w:rFonts w:hint="default"/>
                <w:color w:val="000000" w:themeColor="text1"/>
                <w14:textFill>
                  <w14:solidFill>
                    <w14:schemeClr w14:val="tx1"/>
                  </w14:solidFill>
                </w14:textFill>
              </w:rPr>
              <w:t>0-</w:t>
            </w:r>
            <w:r>
              <w:rPr>
                <w:color w:val="000000" w:themeColor="text1"/>
                <w14:textFill>
                  <w14:solidFill>
                    <w14:schemeClr w14:val="tx1"/>
                  </w14:solidFill>
                </w14:textFill>
              </w:rPr>
              <w:t>2.0</w:t>
            </w:r>
            <w:r>
              <w:rPr>
                <w:rFonts w:hint="default"/>
                <w:color w:val="000000" w:themeColor="text1"/>
                <w14:textFill>
                  <w14:solidFill>
                    <w14:schemeClr w14:val="tx1"/>
                  </w14:solidFill>
                </w14:textFill>
              </w:rPr>
              <w:t>m</w:t>
            </w: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单位</w:t>
            </w:r>
          </w:p>
        </w:tc>
        <w:tc>
          <w:tcPr>
            <w:tcW w:w="1626" w:type="dxa"/>
            <w:vMerge w:val="continue"/>
            <w:vAlign w:val="center"/>
          </w:tcPr>
          <w:p>
            <w:pPr>
              <w:pStyle w:val="38"/>
              <w:rPr>
                <w:rFonts w:hint="default"/>
                <w:color w:val="000000" w:themeColor="text1"/>
                <w14:textFill>
                  <w14:solidFill>
                    <w14:schemeClr w14:val="tx1"/>
                  </w14:solidFill>
                </w14:textFill>
              </w:rPr>
            </w:pPr>
          </w:p>
        </w:tc>
        <w:tc>
          <w:tcPr>
            <w:tcW w:w="659" w:type="dxa"/>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采样深度</w:t>
            </w:r>
          </w:p>
        </w:tc>
        <w:tc>
          <w:tcPr>
            <w:tcW w:w="1109" w:type="dxa"/>
            <w:vMerge w:val="continue"/>
            <w:vAlign w:val="center"/>
          </w:tcPr>
          <w:p>
            <w:pPr>
              <w:pStyle w:val="38"/>
              <w:rPr>
                <w:rFonts w:hint="default"/>
                <w:color w:val="000000" w:themeColor="text1"/>
                <w14:textFill>
                  <w14:solidFill>
                    <w14:schemeClr w14:val="tx1"/>
                  </w14:solidFill>
                </w14:textFill>
              </w:rPr>
            </w:pPr>
          </w:p>
        </w:tc>
        <w:tc>
          <w:tcPr>
            <w:tcW w:w="1773" w:type="dxa"/>
            <w:vMerge w:val="continue"/>
            <w:vAlign w:val="center"/>
          </w:tcPr>
          <w:p>
            <w:pPr>
              <w:pStyle w:val="38"/>
              <w:rPr>
                <w:rFonts w:hint="default"/>
                <w:color w:val="000000" w:themeColor="text1"/>
                <w14:textFill>
                  <w14:solidFill>
                    <w14:schemeClr w14:val="tx1"/>
                  </w14:solidFill>
                </w14:textFill>
              </w:rPr>
            </w:pPr>
          </w:p>
        </w:tc>
        <w:tc>
          <w:tcPr>
            <w:tcW w:w="1551" w:type="dxa"/>
            <w:vMerge w:val="continue"/>
            <w:vAlign w:val="center"/>
          </w:tcPr>
          <w:p>
            <w:pPr>
              <w:pStyle w:val="38"/>
              <w:rPr>
                <w:rFonts w:hint="default"/>
                <w:color w:val="000000" w:themeColor="text1"/>
                <w14:textFill>
                  <w14:solidFill>
                    <w14:schemeClr w14:val="tx1"/>
                  </w14:solidFill>
                </w14:textFill>
              </w:rPr>
            </w:pP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m</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PH</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7.68</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7.65</w:t>
            </w: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m</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6.5~8.5</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砷</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5.12</w:t>
            </w:r>
          </w:p>
        </w:tc>
        <w:tc>
          <w:tcPr>
            <w:tcW w:w="1773"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5.52</w:t>
            </w:r>
          </w:p>
        </w:tc>
        <w:tc>
          <w:tcPr>
            <w:tcW w:w="1551"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4.95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60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镉</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0.44</w:t>
            </w:r>
          </w:p>
        </w:tc>
        <w:tc>
          <w:tcPr>
            <w:tcW w:w="1773"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0.46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0.39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65</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铬（六价）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5.7</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铜</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18000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铅</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22.5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23.3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20.5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800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汞</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0.077</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0.070</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0.062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镍</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46</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48</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kern w:val="0"/>
                <w14:textFill>
                  <w14:solidFill>
                    <w14:schemeClr w14:val="tx1"/>
                  </w14:solidFill>
                </w14:textFill>
              </w:rPr>
              <w:t>900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四氯化碳</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氯仿</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0.9mg/kg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氯甲烷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37mg/kg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1，1-二氯乙烷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9mg/kg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顺-1，2二氯乙烯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596mg/kg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反-1，2-二氯乙烯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54mg/kg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二氯甲烷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616mg/kg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1，1，1，2-四氯乙烷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1，1，2，2-四氯乙烷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四氯乙烯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1，1，1-三氯乙烷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840mg/kg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1，1，2-三氯乙烷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三氯乙烯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1，2，3-三氯丙烷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0.05</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0.43mg/kg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560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1，4-二氯苯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乙苯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1290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1200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对-二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间-二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Merge w:val="continue"/>
            <w:vAlign w:val="center"/>
          </w:tcPr>
          <w:p>
            <w:pPr>
              <w:pStyle w:val="38"/>
              <w:rPr>
                <w:rFonts w:hint="default"/>
                <w:color w:val="000000" w:themeColor="text1"/>
                <w14:textFill>
                  <w14:solidFill>
                    <w14:schemeClr w14:val="tx1"/>
                  </w14:solidFill>
                </w14:textFill>
              </w:rPr>
            </w:pP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邻-二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640mg/kg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硝基苯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苯胺</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260mg/kg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2-氯酚</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2256mg/kg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苯并〔a〕蒽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苯并〔a〕芘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苯并〔b〕荧蒽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苯并〔k〕荧蒽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151mg/kg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䓛</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1293mg/kg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二苯并〔a，h〕蒽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茚并〔1，2，3-c，d〕芘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bl>
    <w:p>
      <w:pPr>
        <w:widowControl/>
        <w:autoSpaceDE w:val="0"/>
        <w:autoSpaceDN w:val="0"/>
        <w:ind w:firstLine="0" w:firstLineChars="0"/>
        <w:jc w:val="center"/>
        <w:rPr>
          <w:rFonts w:cs="宋体"/>
          <w:b/>
          <w:bCs/>
          <w:color w:val="000000"/>
          <w:kern w:val="0"/>
          <w:lang w:bidi="ar"/>
        </w:rPr>
      </w:pPr>
      <w:r>
        <w:rPr>
          <w:rFonts w:hint="eastAsia" w:cs="宋体"/>
          <w:b/>
          <w:bCs/>
          <w:color w:val="000000"/>
          <w:kern w:val="0"/>
          <w:lang w:bidi="ar"/>
        </w:rPr>
        <w:t>表5.6-3  土壤环境质量现状监测及评价结果表（续2）</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5"/>
        <w:gridCol w:w="1109"/>
        <w:gridCol w:w="1773"/>
        <w:gridCol w:w="1551"/>
        <w:gridCol w:w="885"/>
        <w:gridCol w:w="1626"/>
        <w:gridCol w:w="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检测项目</w:t>
            </w:r>
          </w:p>
        </w:tc>
        <w:tc>
          <w:tcPr>
            <w:tcW w:w="5318" w:type="dxa"/>
            <w:gridSpan w:val="4"/>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监测点位T3</w:t>
            </w:r>
          </w:p>
        </w:tc>
        <w:tc>
          <w:tcPr>
            <w:tcW w:w="1626"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GB36600</w:t>
            </w:r>
            <w:r>
              <w:rPr>
                <w:rFonts w:hint="default"/>
                <w:color w:val="000000" w:themeColor="text1"/>
                <w14:textFill>
                  <w14:solidFill>
                    <w14:schemeClr w14:val="tx1"/>
                  </w14:solidFill>
                </w14:textFill>
              </w:rPr>
              <w:t>-2018</w:t>
            </w:r>
            <w:r>
              <w:rPr>
                <w:color w:val="000000" w:themeColor="text1"/>
                <w14:textFill>
                  <w14:solidFill>
                    <w14:schemeClr w14:val="tx1"/>
                  </w14:solidFill>
                </w14:textFill>
              </w:rPr>
              <w:t>第二类用地筛选值</w:t>
            </w:r>
          </w:p>
        </w:tc>
        <w:tc>
          <w:tcPr>
            <w:tcW w:w="659"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评价结果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Merge w:val="continue"/>
            <w:vAlign w:val="center"/>
          </w:tcPr>
          <w:p>
            <w:pPr>
              <w:pStyle w:val="38"/>
              <w:rPr>
                <w:rFonts w:hint="default"/>
                <w:color w:val="000000" w:themeColor="text1"/>
                <w14:textFill>
                  <w14:solidFill>
                    <w14:schemeClr w14:val="tx1"/>
                  </w14:solidFill>
                </w14:textFill>
              </w:rPr>
            </w:pPr>
          </w:p>
        </w:tc>
        <w:tc>
          <w:tcPr>
            <w:tcW w:w="1109" w:type="dxa"/>
            <w:vMerge w:val="restart"/>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0-0.2m</w:t>
            </w:r>
          </w:p>
        </w:tc>
        <w:tc>
          <w:tcPr>
            <w:tcW w:w="1773" w:type="dxa"/>
            <w:vMerge w:val="restart"/>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w:t>
            </w:r>
            <w:r>
              <w:rPr>
                <w:color w:val="000000" w:themeColor="text1"/>
                <w14:textFill>
                  <w14:solidFill>
                    <w14:schemeClr w14:val="tx1"/>
                  </w14:solidFill>
                </w14:textFill>
              </w:rPr>
              <w:t>.2</w:t>
            </w:r>
            <w:r>
              <w:rPr>
                <w:rFonts w:hint="default"/>
                <w:color w:val="000000" w:themeColor="text1"/>
                <w14:textFill>
                  <w14:solidFill>
                    <w14:schemeClr w14:val="tx1"/>
                  </w14:solidFill>
                </w14:textFill>
              </w:rPr>
              <w:t>-</w:t>
            </w:r>
            <w:r>
              <w:rPr>
                <w:color w:val="000000" w:themeColor="text1"/>
                <w14:textFill>
                  <w14:solidFill>
                    <w14:schemeClr w14:val="tx1"/>
                  </w14:solidFill>
                </w14:textFill>
              </w:rPr>
              <w:t>1.0</w:t>
            </w:r>
            <w:r>
              <w:rPr>
                <w:rFonts w:hint="default"/>
                <w:color w:val="000000" w:themeColor="text1"/>
                <w14:textFill>
                  <w14:solidFill>
                    <w14:schemeClr w14:val="tx1"/>
                  </w14:solidFill>
                </w14:textFill>
              </w:rPr>
              <w:t>m</w:t>
            </w:r>
          </w:p>
        </w:tc>
        <w:tc>
          <w:tcPr>
            <w:tcW w:w="1551"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w:t>
            </w:r>
            <w:r>
              <w:rPr>
                <w:rFonts w:hint="default"/>
                <w:color w:val="000000" w:themeColor="text1"/>
                <w14:textFill>
                  <w14:solidFill>
                    <w14:schemeClr w14:val="tx1"/>
                  </w14:solidFill>
                </w14:textFill>
              </w:rPr>
              <w:t>0-</w:t>
            </w:r>
            <w:r>
              <w:rPr>
                <w:color w:val="000000" w:themeColor="text1"/>
                <w14:textFill>
                  <w14:solidFill>
                    <w14:schemeClr w14:val="tx1"/>
                  </w14:solidFill>
                </w14:textFill>
              </w:rPr>
              <w:t>2.0</w:t>
            </w:r>
            <w:r>
              <w:rPr>
                <w:rFonts w:hint="default"/>
                <w:color w:val="000000" w:themeColor="text1"/>
                <w14:textFill>
                  <w14:solidFill>
                    <w14:schemeClr w14:val="tx1"/>
                  </w14:solidFill>
                </w14:textFill>
              </w:rPr>
              <w:t>m</w:t>
            </w: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单位</w:t>
            </w:r>
          </w:p>
        </w:tc>
        <w:tc>
          <w:tcPr>
            <w:tcW w:w="1626" w:type="dxa"/>
            <w:vMerge w:val="continue"/>
            <w:vAlign w:val="center"/>
          </w:tcPr>
          <w:p>
            <w:pPr>
              <w:pStyle w:val="38"/>
              <w:rPr>
                <w:rFonts w:hint="default"/>
                <w:color w:val="000000" w:themeColor="text1"/>
                <w14:textFill>
                  <w14:solidFill>
                    <w14:schemeClr w14:val="tx1"/>
                  </w14:solidFill>
                </w14:textFill>
              </w:rPr>
            </w:pPr>
          </w:p>
        </w:tc>
        <w:tc>
          <w:tcPr>
            <w:tcW w:w="659" w:type="dxa"/>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采样深度</w:t>
            </w:r>
          </w:p>
        </w:tc>
        <w:tc>
          <w:tcPr>
            <w:tcW w:w="1109" w:type="dxa"/>
            <w:vMerge w:val="continue"/>
            <w:vAlign w:val="center"/>
          </w:tcPr>
          <w:p>
            <w:pPr>
              <w:pStyle w:val="38"/>
              <w:rPr>
                <w:rFonts w:hint="default"/>
                <w:color w:val="000000" w:themeColor="text1"/>
                <w14:textFill>
                  <w14:solidFill>
                    <w14:schemeClr w14:val="tx1"/>
                  </w14:solidFill>
                </w14:textFill>
              </w:rPr>
            </w:pPr>
          </w:p>
        </w:tc>
        <w:tc>
          <w:tcPr>
            <w:tcW w:w="1773" w:type="dxa"/>
            <w:vMerge w:val="continue"/>
            <w:vAlign w:val="center"/>
          </w:tcPr>
          <w:p>
            <w:pPr>
              <w:pStyle w:val="38"/>
              <w:rPr>
                <w:rFonts w:hint="default"/>
                <w:color w:val="000000" w:themeColor="text1"/>
                <w14:textFill>
                  <w14:solidFill>
                    <w14:schemeClr w14:val="tx1"/>
                  </w14:solidFill>
                </w14:textFill>
              </w:rPr>
            </w:pPr>
          </w:p>
        </w:tc>
        <w:tc>
          <w:tcPr>
            <w:tcW w:w="1551" w:type="dxa"/>
            <w:vMerge w:val="continue"/>
            <w:vAlign w:val="center"/>
          </w:tcPr>
          <w:p>
            <w:pPr>
              <w:pStyle w:val="38"/>
              <w:rPr>
                <w:rFonts w:hint="default"/>
                <w:color w:val="000000" w:themeColor="text1"/>
                <w14:textFill>
                  <w14:solidFill>
                    <w14:schemeClr w14:val="tx1"/>
                  </w14:solidFill>
                </w14:textFill>
              </w:rPr>
            </w:pP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m</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PH</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7.68</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7.60</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7.60</w:t>
            </w: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m</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6.5~8.5</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砷</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4.35</w:t>
            </w:r>
          </w:p>
        </w:tc>
        <w:tc>
          <w:tcPr>
            <w:tcW w:w="1773"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4.41</w:t>
            </w:r>
          </w:p>
        </w:tc>
        <w:tc>
          <w:tcPr>
            <w:tcW w:w="1551"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4.25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60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镉</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0.44</w:t>
            </w:r>
          </w:p>
        </w:tc>
        <w:tc>
          <w:tcPr>
            <w:tcW w:w="1773"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0.46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0.42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65</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铬（六价）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5.7</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铜</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20</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18000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铅</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19.6</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20.5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18.8</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800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汞</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0.062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0.055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0.051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镍</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36</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30</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kern w:val="0"/>
                <w14:textFill>
                  <w14:solidFill>
                    <w14:schemeClr w14:val="tx1"/>
                  </w14:solidFill>
                </w14:textFill>
              </w:rPr>
              <w:t>900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四氯化碳</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氯仿</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0.9mg/kg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氯甲烷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37mg/kg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1，1-二氯乙烷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9mg/kg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顺-1，2二氯乙烯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596mg/kg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反-1，2-二氯乙烯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54mg/kg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二氯甲烷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616mg/kg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1，1，1，2-四氯乙烷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1，1，2，2-四氯乙烷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四氯乙烯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1，1，1-三氯乙烷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840mg/kg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1，1，2-三氯乙烷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三氯乙烯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1，2，3-三氯丙烷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0.05</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0.43mg/kg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560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1，4-二氯苯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乙苯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1290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1200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对-二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间-二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Merge w:val="continue"/>
            <w:vAlign w:val="center"/>
          </w:tcPr>
          <w:p>
            <w:pPr>
              <w:pStyle w:val="38"/>
              <w:rPr>
                <w:rFonts w:hint="default"/>
                <w:color w:val="000000" w:themeColor="text1"/>
                <w14:textFill>
                  <w14:solidFill>
                    <w14:schemeClr w14:val="tx1"/>
                  </w14:solidFill>
                </w14:textFill>
              </w:rPr>
            </w:pP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邻-二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640mg/kg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硝基苯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苯胺</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260mg/kg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2-氯酚</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2256mg/kg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苯并〔a〕蒽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苯并〔a〕芘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苯并〔b〕荧蒽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苯并〔k〕荧蒽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151mg/kg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䓛</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1293mg/kg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二苯并〔a，h〕蒽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茚并〔1，2，3-c，d〕芘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bl>
    <w:p>
      <w:pPr>
        <w:widowControl/>
        <w:autoSpaceDE w:val="0"/>
        <w:autoSpaceDN w:val="0"/>
        <w:ind w:firstLine="0" w:firstLineChars="0"/>
        <w:jc w:val="center"/>
        <w:rPr>
          <w:rFonts w:cs="宋体"/>
          <w:b/>
          <w:bCs/>
          <w:color w:val="000000"/>
          <w:kern w:val="0"/>
          <w:lang w:bidi="ar"/>
        </w:rPr>
      </w:pPr>
      <w:r>
        <w:rPr>
          <w:rFonts w:hint="eastAsia" w:cs="宋体"/>
          <w:b/>
          <w:bCs/>
          <w:color w:val="000000"/>
          <w:kern w:val="0"/>
          <w:lang w:bidi="ar"/>
        </w:rPr>
        <w:t>表5.6-3  土壤环境质量现状监测及评价结果表（续3）</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5"/>
        <w:gridCol w:w="1109"/>
        <w:gridCol w:w="1773"/>
        <w:gridCol w:w="1551"/>
        <w:gridCol w:w="885"/>
        <w:gridCol w:w="1626"/>
        <w:gridCol w:w="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检测项目</w:t>
            </w:r>
          </w:p>
        </w:tc>
        <w:tc>
          <w:tcPr>
            <w:tcW w:w="5318" w:type="dxa"/>
            <w:gridSpan w:val="4"/>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监测点位T4</w:t>
            </w:r>
          </w:p>
        </w:tc>
        <w:tc>
          <w:tcPr>
            <w:tcW w:w="1626"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GB36600</w:t>
            </w:r>
            <w:r>
              <w:rPr>
                <w:rFonts w:hint="default"/>
                <w:color w:val="000000" w:themeColor="text1"/>
                <w14:textFill>
                  <w14:solidFill>
                    <w14:schemeClr w14:val="tx1"/>
                  </w14:solidFill>
                </w14:textFill>
              </w:rPr>
              <w:t>-2018</w:t>
            </w:r>
            <w:r>
              <w:rPr>
                <w:color w:val="000000" w:themeColor="text1"/>
                <w14:textFill>
                  <w14:solidFill>
                    <w14:schemeClr w14:val="tx1"/>
                  </w14:solidFill>
                </w14:textFill>
              </w:rPr>
              <w:t>第二类用地筛选值</w:t>
            </w:r>
          </w:p>
        </w:tc>
        <w:tc>
          <w:tcPr>
            <w:tcW w:w="659"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评价结果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Merge w:val="continue"/>
            <w:vAlign w:val="center"/>
          </w:tcPr>
          <w:p>
            <w:pPr>
              <w:pStyle w:val="38"/>
              <w:rPr>
                <w:rFonts w:hint="default"/>
                <w:color w:val="000000" w:themeColor="text1"/>
                <w14:textFill>
                  <w14:solidFill>
                    <w14:schemeClr w14:val="tx1"/>
                  </w14:solidFill>
                </w14:textFill>
              </w:rPr>
            </w:pPr>
          </w:p>
        </w:tc>
        <w:tc>
          <w:tcPr>
            <w:tcW w:w="1109" w:type="dxa"/>
            <w:vMerge w:val="restart"/>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0-0.2m</w:t>
            </w:r>
          </w:p>
        </w:tc>
        <w:tc>
          <w:tcPr>
            <w:tcW w:w="1773" w:type="dxa"/>
            <w:vMerge w:val="restart"/>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w:t>
            </w:r>
            <w:r>
              <w:rPr>
                <w:color w:val="000000" w:themeColor="text1"/>
                <w14:textFill>
                  <w14:solidFill>
                    <w14:schemeClr w14:val="tx1"/>
                  </w14:solidFill>
                </w14:textFill>
              </w:rPr>
              <w:t>.2</w:t>
            </w:r>
            <w:r>
              <w:rPr>
                <w:rFonts w:hint="default"/>
                <w:color w:val="000000" w:themeColor="text1"/>
                <w14:textFill>
                  <w14:solidFill>
                    <w14:schemeClr w14:val="tx1"/>
                  </w14:solidFill>
                </w14:textFill>
              </w:rPr>
              <w:t>-</w:t>
            </w:r>
            <w:r>
              <w:rPr>
                <w:color w:val="000000" w:themeColor="text1"/>
                <w14:textFill>
                  <w14:solidFill>
                    <w14:schemeClr w14:val="tx1"/>
                  </w14:solidFill>
                </w14:textFill>
              </w:rPr>
              <w:t>1.0</w:t>
            </w:r>
            <w:r>
              <w:rPr>
                <w:rFonts w:hint="default"/>
                <w:color w:val="000000" w:themeColor="text1"/>
                <w14:textFill>
                  <w14:solidFill>
                    <w14:schemeClr w14:val="tx1"/>
                  </w14:solidFill>
                </w14:textFill>
              </w:rPr>
              <w:t>m</w:t>
            </w:r>
          </w:p>
        </w:tc>
        <w:tc>
          <w:tcPr>
            <w:tcW w:w="1551"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w:t>
            </w:r>
            <w:r>
              <w:rPr>
                <w:rFonts w:hint="default"/>
                <w:color w:val="000000" w:themeColor="text1"/>
                <w14:textFill>
                  <w14:solidFill>
                    <w14:schemeClr w14:val="tx1"/>
                  </w14:solidFill>
                </w14:textFill>
              </w:rPr>
              <w:t>0-</w:t>
            </w:r>
            <w:r>
              <w:rPr>
                <w:color w:val="000000" w:themeColor="text1"/>
                <w14:textFill>
                  <w14:solidFill>
                    <w14:schemeClr w14:val="tx1"/>
                  </w14:solidFill>
                </w14:textFill>
              </w:rPr>
              <w:t>2.0</w:t>
            </w:r>
            <w:r>
              <w:rPr>
                <w:rFonts w:hint="default"/>
                <w:color w:val="000000" w:themeColor="text1"/>
                <w14:textFill>
                  <w14:solidFill>
                    <w14:schemeClr w14:val="tx1"/>
                  </w14:solidFill>
                </w14:textFill>
              </w:rPr>
              <w:t>m</w:t>
            </w: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单位</w:t>
            </w:r>
          </w:p>
        </w:tc>
        <w:tc>
          <w:tcPr>
            <w:tcW w:w="1626" w:type="dxa"/>
            <w:vMerge w:val="continue"/>
            <w:vAlign w:val="center"/>
          </w:tcPr>
          <w:p>
            <w:pPr>
              <w:pStyle w:val="38"/>
              <w:rPr>
                <w:rFonts w:hint="default"/>
                <w:color w:val="000000" w:themeColor="text1"/>
                <w14:textFill>
                  <w14:solidFill>
                    <w14:schemeClr w14:val="tx1"/>
                  </w14:solidFill>
                </w14:textFill>
              </w:rPr>
            </w:pPr>
          </w:p>
        </w:tc>
        <w:tc>
          <w:tcPr>
            <w:tcW w:w="659" w:type="dxa"/>
            <w:vMerge w:val="continue"/>
            <w:vAlign w:val="center"/>
          </w:tcPr>
          <w:p>
            <w:pPr>
              <w:pStyle w:val="38"/>
              <w:rPr>
                <w:rFonts w:hint="default"/>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采样深度</w:t>
            </w:r>
          </w:p>
        </w:tc>
        <w:tc>
          <w:tcPr>
            <w:tcW w:w="1109" w:type="dxa"/>
            <w:vMerge w:val="continue"/>
            <w:vAlign w:val="center"/>
          </w:tcPr>
          <w:p>
            <w:pPr>
              <w:pStyle w:val="38"/>
              <w:rPr>
                <w:rFonts w:hint="default"/>
                <w:color w:val="000000" w:themeColor="text1"/>
                <w14:textFill>
                  <w14:solidFill>
                    <w14:schemeClr w14:val="tx1"/>
                  </w14:solidFill>
                </w14:textFill>
              </w:rPr>
            </w:pPr>
          </w:p>
        </w:tc>
        <w:tc>
          <w:tcPr>
            <w:tcW w:w="1773" w:type="dxa"/>
            <w:vMerge w:val="continue"/>
            <w:vAlign w:val="center"/>
          </w:tcPr>
          <w:p>
            <w:pPr>
              <w:pStyle w:val="38"/>
              <w:rPr>
                <w:rFonts w:hint="default"/>
                <w:color w:val="000000" w:themeColor="text1"/>
                <w14:textFill>
                  <w14:solidFill>
                    <w14:schemeClr w14:val="tx1"/>
                  </w14:solidFill>
                </w14:textFill>
              </w:rPr>
            </w:pPr>
          </w:p>
        </w:tc>
        <w:tc>
          <w:tcPr>
            <w:tcW w:w="1551" w:type="dxa"/>
            <w:vMerge w:val="continue"/>
            <w:vAlign w:val="center"/>
          </w:tcPr>
          <w:p>
            <w:pPr>
              <w:pStyle w:val="38"/>
              <w:rPr>
                <w:rFonts w:hint="default"/>
                <w:color w:val="000000" w:themeColor="text1"/>
                <w14:textFill>
                  <w14:solidFill>
                    <w14:schemeClr w14:val="tx1"/>
                  </w14:solidFill>
                </w14:textFill>
              </w:rPr>
            </w:pP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m</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PH</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7.58</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7.56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7.74</w:t>
            </w:r>
          </w:p>
        </w:tc>
        <w:tc>
          <w:tcPr>
            <w:tcW w:w="8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m</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6.5~8.5</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砷</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3.42</w:t>
            </w:r>
          </w:p>
        </w:tc>
        <w:tc>
          <w:tcPr>
            <w:tcW w:w="1773"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3.33</w:t>
            </w:r>
          </w:p>
        </w:tc>
        <w:tc>
          <w:tcPr>
            <w:tcW w:w="1551"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3.20</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60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镉</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0.45</w:t>
            </w:r>
          </w:p>
        </w:tc>
        <w:tc>
          <w:tcPr>
            <w:tcW w:w="1773"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0.36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0.33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65</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铬（六价）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ND</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5.7</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铜</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18000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铅</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22.1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19.6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19.1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 New Roman"/>
                <w:color w:val="000000" w:themeColor="text1"/>
                <w:kern w:val="0"/>
                <w:sz w:val="21"/>
                <w:szCs w:val="21"/>
                <w:lang w:bidi="ar"/>
                <w14:textFill>
                  <w14:solidFill>
                    <w14:schemeClr w14:val="tx1"/>
                  </w14:solidFill>
                </w14:textFill>
              </w:rPr>
              <w:t>800</w:t>
            </w:r>
            <w:r>
              <w:rPr>
                <w:color w:val="000000" w:themeColor="text1"/>
                <w:sz w:val="21"/>
                <w:szCs w:val="2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汞</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0.063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0.058</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0.050</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镍</w:t>
            </w:r>
          </w:p>
        </w:tc>
        <w:tc>
          <w:tcPr>
            <w:tcW w:w="110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44</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kern w:val="0"/>
                <w14:textFill>
                  <w14:solidFill>
                    <w14:schemeClr w14:val="tx1"/>
                  </w14:solidFill>
                </w14:textFill>
              </w:rPr>
              <w:t>900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四氯化碳</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氯仿</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0.9mg/kg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氯甲烷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37mg/kg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1，1-二氯乙烷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9mg/kg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顺-1，2二氯乙烯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596mg/kg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反-1，2-二氯乙烯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54mg/kg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二氯甲烷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616mg/kg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1，1，1，2-四氯乙烷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1，1，2，2-四氯乙烷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四氯乙烯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&lt;1.4</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1，1，1-三氯乙烷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840mg/kg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1，1，2-三氯乙烷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三氯乙烯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1，2，3-三氯丙烷</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0.05</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0.43mg/kg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4mg/kg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1，2-二氯苯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560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1，4-二氯苯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&lt;1.5</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乙苯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28mg/kg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苯乙烯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1290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&lt;1.3</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1200</w:t>
            </w:r>
            <w:r>
              <w:rPr>
                <w:color w:val="000000" w:themeColor="text1"/>
                <w14:textFill>
                  <w14:solidFill>
                    <w14:schemeClr w14:val="tx1"/>
                  </w14:solidFill>
                </w14:textFill>
              </w:rPr>
              <w:t>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对-二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Merge w:val="restart"/>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570mg/kg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间-二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Merge w:val="continue"/>
            <w:vAlign w:val="center"/>
          </w:tcPr>
          <w:p>
            <w:pPr>
              <w:pStyle w:val="38"/>
              <w:rPr>
                <w:rFonts w:hint="default"/>
                <w:color w:val="000000" w:themeColor="text1"/>
                <w14:textFill>
                  <w14:solidFill>
                    <w14:schemeClr w14:val="tx1"/>
                  </w14:solidFill>
                </w14:textFill>
              </w:rPr>
            </w:pP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eastAsia" w:eastAsia="宋体"/>
                <w:color w:val="000000" w:themeColor="text1"/>
                <w:lang w:eastAsia="zh-CN"/>
                <w14:textFill>
                  <w14:solidFill>
                    <w14:schemeClr w14:val="tx1"/>
                  </w14:solidFill>
                </w14:textFill>
              </w:rPr>
            </w:pPr>
            <w:r>
              <w:rPr>
                <w:color w:val="000000" w:themeColor="text1"/>
                <w14:textFill>
                  <w14:solidFill>
                    <w14:schemeClr w14:val="tx1"/>
                  </w14:solidFill>
                </w14:textFill>
              </w:rPr>
              <w:t>邻-二</w:t>
            </w:r>
            <w:r>
              <w:rPr>
                <w:rFonts w:hint="eastAsia"/>
                <w:color w:val="000000" w:themeColor="text1"/>
                <w:lang w:eastAsia="zh-CN"/>
                <w14:textFill>
                  <w14:solidFill>
                    <w14:schemeClr w14:val="tx1"/>
                  </w14:solidFill>
                </w14:textFill>
              </w:rPr>
              <w:t>甲苯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&lt;1.2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μg/kg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640mg/kg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硝基苯</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苯胺</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260mg/kg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2-氯酚</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&lt;0.06</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2256mg/kg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苯并〔a〕蒽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苯并〔a〕芘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苯并〔b〕荧蒽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&lt;0.2</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苯并〔k〕荧蒽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151mg/kg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䓛</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1293mg/kg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二苯并〔a，h〕蒽</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茚并〔1，2，3-c，d〕芘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&lt;0.1</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15mg/kg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85"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萘</w:t>
            </w:r>
          </w:p>
        </w:tc>
        <w:tc>
          <w:tcPr>
            <w:tcW w:w="110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773"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1551"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&lt;0.09</w:t>
            </w:r>
          </w:p>
        </w:tc>
        <w:tc>
          <w:tcPr>
            <w:tcW w:w="885" w:type="dxa"/>
            <w:vAlign w:val="center"/>
          </w:tcPr>
          <w:p>
            <w:pPr>
              <w:pStyle w:val="38"/>
              <w:rPr>
                <w:rFonts w:hint="default"/>
                <w:color w:val="000000" w:themeColor="text1"/>
                <w14:textFill>
                  <w14:solidFill>
                    <w14:schemeClr w14:val="tx1"/>
                  </w14:solidFill>
                </w14:textFill>
              </w:rPr>
            </w:pPr>
            <w:r>
              <w:rPr>
                <w:rFonts w:hint="default"/>
                <w:color w:val="000000" w:themeColor="text1"/>
                <w14:textFill>
                  <w14:solidFill>
                    <w14:schemeClr w14:val="tx1"/>
                  </w14:solidFill>
                </w14:textFill>
              </w:rPr>
              <w:t>mg/kg</w:t>
            </w:r>
          </w:p>
        </w:tc>
        <w:tc>
          <w:tcPr>
            <w:tcW w:w="1626"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70mg/kg</w:t>
            </w:r>
          </w:p>
        </w:tc>
        <w:tc>
          <w:tcPr>
            <w:tcW w:w="659" w:type="dxa"/>
            <w:vAlign w:val="center"/>
          </w:tcPr>
          <w:p>
            <w:pPr>
              <w:pStyle w:val="38"/>
              <w:rPr>
                <w:rFonts w:hint="default"/>
                <w:color w:val="000000" w:themeColor="text1"/>
                <w14:textFill>
                  <w14:solidFill>
                    <w14:schemeClr w14:val="tx1"/>
                  </w14:solidFill>
                </w14:textFill>
              </w:rPr>
            </w:pPr>
            <w:r>
              <w:rPr>
                <w:color w:val="000000" w:themeColor="text1"/>
                <w14:textFill>
                  <w14:solidFill>
                    <w14:schemeClr w14:val="tx1"/>
                  </w14:solidFill>
                </w14:textFill>
              </w:rPr>
              <w:t>合格</w:t>
            </w:r>
          </w:p>
        </w:tc>
      </w:tr>
    </w:tbl>
    <w:p>
      <w:pPr>
        <w:widowControl/>
        <w:autoSpaceDE w:val="0"/>
        <w:autoSpaceDN w:val="0"/>
        <w:ind w:firstLine="480"/>
        <w:rPr>
          <w:rFonts w:cs="宋体"/>
          <w:color w:val="000000"/>
          <w:kern w:val="0"/>
          <w:lang w:bidi="ar"/>
        </w:rPr>
      </w:pPr>
      <w:r>
        <w:rPr>
          <w:rFonts w:hint="eastAsia" w:cs="宋体"/>
          <w:color w:val="000000"/>
          <w:kern w:val="0"/>
          <w:lang w:bidi="ar"/>
        </w:rPr>
        <w:t>根据监测结果可知，项目所在地土壤各监测因子检出值未超过《土壤环境质量建设用地土壤污染风险管控标准（试行）》（</w:t>
      </w:r>
      <w:r>
        <w:rPr>
          <w:rFonts w:cs="宋体"/>
          <w:color w:val="000000"/>
          <w:kern w:val="0"/>
          <w:lang w:bidi="ar"/>
        </w:rPr>
        <w:t>GB36600-2018</w:t>
      </w:r>
      <w:r>
        <w:rPr>
          <w:rFonts w:hint="eastAsia" w:cs="宋体"/>
          <w:color w:val="000000"/>
          <w:kern w:val="0"/>
          <w:lang w:bidi="ar"/>
        </w:rPr>
        <w:t>）中的第二类用地筛选值，土壤环境质量现状良好。</w:t>
      </w:r>
    </w:p>
    <w:p>
      <w:pPr>
        <w:pStyle w:val="6"/>
        <w:ind w:firstLine="0" w:firstLineChars="0"/>
      </w:pPr>
      <w:bookmarkStart w:id="128" w:name="_Toc29406"/>
      <w:bookmarkStart w:id="129" w:name="_Toc7960"/>
      <w:bookmarkStart w:id="130" w:name="_Toc17072"/>
      <w:r>
        <w:rPr>
          <w:rFonts w:hint="eastAsia"/>
          <w:lang w:val="en-US"/>
        </w:rPr>
        <w:t xml:space="preserve">5.7 </w:t>
      </w:r>
      <w:r>
        <w:rPr>
          <w:rFonts w:hint="eastAsia"/>
        </w:rPr>
        <w:t>环境质量现状评价小结</w:t>
      </w:r>
      <w:bookmarkEnd w:id="128"/>
      <w:bookmarkEnd w:id="129"/>
      <w:bookmarkEnd w:id="130"/>
    </w:p>
    <w:p>
      <w:pPr>
        <w:pStyle w:val="7"/>
        <w:ind w:firstLine="562"/>
      </w:pPr>
      <w:r>
        <w:rPr>
          <w:rFonts w:hint="eastAsia"/>
        </w:rPr>
        <w:t>5.7.1 质量现状评价小结</w:t>
      </w:r>
    </w:p>
    <w:p>
      <w:pPr>
        <w:ind w:firstLine="480"/>
      </w:pPr>
      <w:r>
        <w:rPr>
          <w:rFonts w:hint="eastAsia"/>
        </w:rPr>
        <w:t>根据</w:t>
      </w:r>
      <w:r>
        <w:t>20</w:t>
      </w:r>
      <w:r>
        <w:rPr>
          <w:rFonts w:hint="eastAsia"/>
        </w:rPr>
        <w:t>21年度叶县环境空气质量自动监测系统大气环境环境质量现状监测数据，除</w:t>
      </w:r>
      <w:r>
        <w:t>PM</w:t>
      </w:r>
      <w:r>
        <w:rPr>
          <w:vertAlign w:val="subscript"/>
        </w:rPr>
        <w:t>10</w:t>
      </w:r>
      <w:r>
        <w:rPr>
          <w:rFonts w:hint="eastAsia"/>
        </w:rPr>
        <w:t>、</w:t>
      </w:r>
      <w:r>
        <w:t>PM</w:t>
      </w:r>
      <w:r>
        <w:rPr>
          <w:vertAlign w:val="subscript"/>
        </w:rPr>
        <w:t>2.5</w:t>
      </w:r>
      <w:r>
        <w:rPr>
          <w:rFonts w:hint="eastAsia"/>
        </w:rPr>
        <w:t>、</w:t>
      </w:r>
      <w:r>
        <w:t>O</w:t>
      </w:r>
      <w:r>
        <w:rPr>
          <w:vertAlign w:val="subscript"/>
        </w:rPr>
        <w:t>3</w:t>
      </w:r>
      <w:r>
        <w:rPr>
          <w:rFonts w:hint="eastAsia"/>
        </w:rPr>
        <w:t>超标外，其余各监测因子均达标。</w:t>
      </w:r>
    </w:p>
    <w:p>
      <w:pPr>
        <w:ind w:firstLine="480"/>
      </w:pPr>
      <w:r>
        <w:rPr>
          <w:rFonts w:hint="eastAsia"/>
        </w:rPr>
        <w:t>对特征因子颗粒物满足《环境空气质量标准》（GB3095-2012）</w:t>
      </w:r>
      <w:r>
        <w:rPr>
          <w:rFonts w:hint="eastAsia"/>
          <w:u w:val="single"/>
          <w:lang w:eastAsia="zh-CN"/>
        </w:rPr>
        <w:t>及修改单</w:t>
      </w:r>
      <w:r>
        <w:rPr>
          <w:rFonts w:hint="eastAsia"/>
        </w:rPr>
        <w:t>二级标准，非甲烷总烃满足《大气污染物综合排放标准详解》空气质量浓度参考限值，氨和硫化氢满足《环境影响评价技术导则大气环境》（HJ 2.2-2008）附录D标准。</w:t>
      </w:r>
    </w:p>
    <w:p>
      <w:pPr>
        <w:pStyle w:val="7"/>
        <w:ind w:firstLine="562"/>
      </w:pPr>
      <w:r>
        <w:rPr>
          <w:rFonts w:hint="eastAsia"/>
        </w:rPr>
        <w:t>5.7.2 地表水环境质量现状评价小结</w:t>
      </w:r>
    </w:p>
    <w:p>
      <w:pPr>
        <w:ind w:firstLine="480"/>
      </w:pPr>
      <w:r>
        <w:rPr>
          <w:rFonts w:hint="eastAsia"/>
        </w:rPr>
        <w:t>本次评价采用2021年平顶山生态环保部门发布叶县灰河水寨屈庄断面、沙河舞阳马湾断面的监测数据</w:t>
      </w:r>
      <w:r>
        <w:rPr>
          <w:rFonts w:hint="eastAsia"/>
          <w:lang w:eastAsia="zh-CN"/>
        </w:rPr>
        <w:t>，2021年度灰河叶县水寨屈庄断面各监测因子均满足《地表水环境质量标准》（GB38382002）IV类标准；2021年度沙河马湾断面各监测因子均满足《地表水环境质量标准》（GB3838-2002）III类标准，说明沙河水质现状较好。</w:t>
      </w:r>
    </w:p>
    <w:p>
      <w:pPr>
        <w:pStyle w:val="7"/>
        <w:ind w:firstLine="562"/>
      </w:pPr>
      <w:r>
        <w:rPr>
          <w:rFonts w:hint="eastAsia"/>
        </w:rPr>
        <w:t xml:space="preserve">5.7.3 </w:t>
      </w:r>
      <w:r>
        <w:t>地下水环境质量现状评价小结</w:t>
      </w:r>
    </w:p>
    <w:p>
      <w:pPr>
        <w:ind w:firstLine="480"/>
      </w:pPr>
      <w:r>
        <w:t>根据监测结果，</w:t>
      </w:r>
      <w:r>
        <w:rPr>
          <w:rFonts w:hint="eastAsia"/>
        </w:rPr>
        <w:t>监测点位</w:t>
      </w:r>
      <w:r>
        <w:t>全部检测因子均满足《地下水质量标准》（GB/T14848-2017）III类标准。</w:t>
      </w:r>
    </w:p>
    <w:p>
      <w:pPr>
        <w:pStyle w:val="7"/>
        <w:ind w:firstLine="562"/>
      </w:pPr>
      <w:r>
        <w:rPr>
          <w:rFonts w:hint="eastAsia"/>
        </w:rPr>
        <w:t>5.7.4 声环境质量现状评价小结</w:t>
      </w:r>
    </w:p>
    <w:p>
      <w:pPr>
        <w:ind w:firstLine="480"/>
      </w:pPr>
      <w:r>
        <w:t>项目</w:t>
      </w:r>
      <w:r>
        <w:rPr>
          <w:rFonts w:hint="eastAsia"/>
        </w:rPr>
        <w:t>厂界</w:t>
      </w:r>
      <w:r>
        <w:t>声环境质量现状昼、夜监测结果均能满足《声环境质量标准》（GB3096-2008）</w:t>
      </w:r>
      <w:r>
        <w:rPr>
          <w:rFonts w:hint="eastAsia"/>
        </w:rPr>
        <w:t>3</w:t>
      </w:r>
      <w:r>
        <w:t>类标准要求</w:t>
      </w:r>
      <w:r>
        <w:rPr>
          <w:rFonts w:hint="eastAsia"/>
        </w:rPr>
        <w:t>，</w:t>
      </w:r>
      <w:r>
        <w:t>说明项目厂址所在区域声环境质量现状良好。</w:t>
      </w:r>
    </w:p>
    <w:p>
      <w:pPr>
        <w:pStyle w:val="7"/>
        <w:keepNext w:val="0"/>
        <w:keepLines w:val="0"/>
        <w:autoSpaceDE w:val="0"/>
        <w:autoSpaceDN w:val="0"/>
        <w:ind w:firstLine="562"/>
      </w:pPr>
      <w:r>
        <w:rPr>
          <w:rFonts w:hint="eastAsia"/>
        </w:rPr>
        <w:t xml:space="preserve">5.7.5 </w:t>
      </w:r>
      <w:r>
        <w:t>土壤环境质量现状评价小结</w:t>
      </w:r>
    </w:p>
    <w:p>
      <w:pPr>
        <w:pStyle w:val="13"/>
        <w:autoSpaceDE w:val="0"/>
        <w:autoSpaceDN w:val="0"/>
        <w:ind w:firstLine="480"/>
      </w:pPr>
      <w:r>
        <w:t>根据监测结果，项目各</w:t>
      </w:r>
      <w:r>
        <w:rPr>
          <w:rFonts w:hint="eastAsia"/>
          <w:lang w:eastAsia="zh-CN"/>
        </w:rPr>
        <w:t>监测点位</w:t>
      </w:r>
      <w:r>
        <w:t>各检测因子均满足相应土壤环境质量筛选值要求，土壤环境质量较好。</w:t>
      </w:r>
    </w:p>
    <w:p>
      <w:pPr>
        <w:pStyle w:val="6"/>
        <w:ind w:firstLine="643"/>
        <w:rPr>
          <w:color w:val="000000" w:themeColor="text1"/>
          <w14:textFill>
            <w14:solidFill>
              <w14:schemeClr w14:val="tx1"/>
            </w14:solidFill>
          </w14:textFill>
        </w:rPr>
      </w:pPr>
      <w:bookmarkStart w:id="131" w:name="_Toc13978"/>
      <w:bookmarkStart w:id="132" w:name="_Toc12215"/>
      <w:bookmarkStart w:id="133" w:name="_Toc20469"/>
      <w:r>
        <w:rPr>
          <w:color w:val="000000" w:themeColor="text1"/>
          <w:lang w:val="en-US"/>
          <w14:textFill>
            <w14:solidFill>
              <w14:schemeClr w14:val="tx1"/>
            </w14:solidFill>
          </w14:textFill>
        </w:rPr>
        <w:t>5.8 区域污染源调查</w:t>
      </w:r>
      <w:bookmarkEnd w:id="131"/>
      <w:bookmarkEnd w:id="132"/>
      <w:bookmarkEnd w:id="133"/>
    </w:p>
    <w:p>
      <w:pPr>
        <w:pStyle w:val="13"/>
        <w:autoSpaceDE w:val="0"/>
        <w:autoSpaceDN w:val="0"/>
        <w:ind w:firstLine="480"/>
        <w:rPr>
          <w:rFonts w:ascii="Times New Roman" w:hAnsi="Times New Roman" w:cs="Times New Roman"/>
        </w:rPr>
      </w:pPr>
      <w:r>
        <w:rPr>
          <w:rFonts w:ascii="Times New Roman" w:hAnsi="Times New Roman" w:cs="Times New Roman"/>
        </w:rPr>
        <w:t>本项目拟建厂址位于平顶山尼龙新材料产业集聚区内，厂址周围工厂企业较多，区域内污染源调查内容详见表</w:t>
      </w:r>
      <w:r>
        <w:rPr>
          <w:rFonts w:ascii="Times New Roman" w:hAnsi="Times New Roman" w:cs="Times New Roman"/>
          <w:lang w:val="en-US"/>
        </w:rPr>
        <w:t>5.8-1</w:t>
      </w:r>
      <w:r>
        <w:rPr>
          <w:rFonts w:ascii="Times New Roman" w:hAnsi="Times New Roman" w:cs="Times New Roman"/>
        </w:rPr>
        <w:t>。</w:t>
      </w:r>
    </w:p>
    <w:p>
      <w:pPr>
        <w:widowControl/>
        <w:autoSpaceDE w:val="0"/>
        <w:autoSpaceDN w:val="0"/>
        <w:ind w:firstLine="0" w:firstLineChars="0"/>
        <w:jc w:val="center"/>
        <w:rPr>
          <w:rFonts w:cs="宋体"/>
          <w:b/>
          <w:bCs/>
          <w:color w:val="000000"/>
          <w:kern w:val="0"/>
          <w:u w:val="single"/>
          <w:lang w:bidi="ar"/>
        </w:rPr>
      </w:pPr>
      <w:r>
        <w:rPr>
          <w:rFonts w:hint="eastAsia" w:cs="宋体"/>
          <w:b/>
          <w:bCs/>
          <w:color w:val="000000"/>
          <w:kern w:val="0"/>
          <w:u w:val="single"/>
          <w:lang w:bidi="ar"/>
        </w:rPr>
        <w:t>表5.8-1  集聚区现状主要企业污染物排放情况表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619"/>
        <w:gridCol w:w="2584"/>
        <w:gridCol w:w="3091"/>
        <w:gridCol w:w="1911"/>
        <w:gridCol w:w="108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序号</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建设单位</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项目名称</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污染因子</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1</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河南神马氢化学有限责任公司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河南神马尼龙化工有限责任公司尼龙化工产业配套氢氨项目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、NO</w:t>
            </w:r>
            <w:r>
              <w:rPr>
                <w:rFonts w:hint="default" w:ascii="Times New Roman" w:hAnsi="Times New Roman" w:eastAsia="宋体" w:cs="Times New Roman"/>
                <w:bCs/>
                <w:color w:val="auto"/>
                <w:sz w:val="21"/>
                <w:szCs w:val="21"/>
                <w:vertAlign w:val="subscript"/>
              </w:rPr>
              <w:t>X</w:t>
            </w:r>
            <w:r>
              <w:rPr>
                <w:rFonts w:hint="default" w:ascii="Times New Roman" w:hAnsi="Times New Roman" w:eastAsia="宋体" w:cs="Times New Roman"/>
                <w:bCs/>
                <w:color w:val="auto"/>
                <w:sz w:val="21"/>
                <w:szCs w:val="21"/>
              </w:rPr>
              <w:t>、硫酸雾、NH</w:t>
            </w:r>
            <w:r>
              <w:rPr>
                <w:rFonts w:hint="default" w:ascii="Times New Roman" w:hAnsi="Times New Roman" w:eastAsia="宋体" w:cs="Times New Roman"/>
                <w:bCs/>
                <w:color w:val="auto"/>
                <w:sz w:val="21"/>
                <w:szCs w:val="21"/>
                <w:vertAlign w:val="subscript"/>
              </w:rPr>
              <w:t>3</w:t>
            </w:r>
            <w:r>
              <w:rPr>
                <w:rFonts w:hint="default" w:ascii="Times New Roman" w:hAnsi="Times New Roman" w:eastAsia="宋体" w:cs="Times New Roman"/>
                <w:bCs/>
                <w:color w:val="auto"/>
                <w:sz w:val="21"/>
                <w:szCs w:val="21"/>
              </w:rPr>
              <w:t>、H</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S、非甲烷总烃</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在建项目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2</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sz w:val="21"/>
                <w:szCs w:val="21"/>
              </w:rPr>
              <w:t>河南恒泰源新材料有限公司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sz w:val="21"/>
                <w:szCs w:val="21"/>
              </w:rPr>
              <w:t>年产10万吨鞋底原液、11.5万吨聚酯多元醇、8万吨可降解塑料TPUPBAT、600万只金属包装桶项目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VOCs、苯乙烯、PM</w:t>
            </w:r>
            <w:r>
              <w:rPr>
                <w:rFonts w:hint="default" w:ascii="Times New Roman" w:hAnsi="Times New Roman" w:eastAsia="宋体" w:cs="Times New Roman"/>
                <w:bCs/>
                <w:color w:val="auto"/>
                <w:sz w:val="21"/>
                <w:szCs w:val="21"/>
                <w:vertAlign w:val="subscript"/>
              </w:rPr>
              <w:t>10</w:t>
            </w: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、NO</w:t>
            </w:r>
            <w:r>
              <w:rPr>
                <w:rFonts w:hint="default" w:ascii="Times New Roman" w:hAnsi="Times New Roman" w:eastAsia="宋体" w:cs="Times New Roman"/>
                <w:bCs/>
                <w:color w:val="auto"/>
                <w:sz w:val="21"/>
                <w:szCs w:val="21"/>
                <w:vertAlign w:val="subscript"/>
              </w:rPr>
              <w:t>X</w:t>
            </w:r>
            <w:r>
              <w:rPr>
                <w:rFonts w:hint="default" w:ascii="Times New Roman" w:hAnsi="Times New Roman" w:eastAsia="宋体" w:cs="Times New Roman"/>
                <w:bCs/>
                <w:color w:val="auto"/>
                <w:sz w:val="21"/>
                <w:szCs w:val="21"/>
              </w:rPr>
              <w:t>、氨、硫化氢</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在建项目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3</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平顶山华博润新材料有限公司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年产1.5万吨CPU、5万吨TPU粒子及制品投资项目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、NO</w:t>
            </w:r>
            <w:r>
              <w:rPr>
                <w:rFonts w:hint="default" w:ascii="Times New Roman" w:hAnsi="Times New Roman" w:eastAsia="宋体" w:cs="Times New Roman"/>
                <w:bCs/>
                <w:color w:val="auto"/>
                <w:sz w:val="21"/>
                <w:szCs w:val="21"/>
                <w:vertAlign w:val="subscript"/>
              </w:rPr>
              <w:t>X</w:t>
            </w:r>
            <w:r>
              <w:rPr>
                <w:rFonts w:hint="default" w:ascii="Times New Roman" w:hAnsi="Times New Roman" w:eastAsia="宋体" w:cs="Times New Roman"/>
                <w:bCs/>
                <w:color w:val="auto"/>
                <w:sz w:val="21"/>
                <w:szCs w:val="21"/>
              </w:rPr>
              <w:t>、VOCs、MDI</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在建项目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4</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河南银吉钨钼科技有限公司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年产6000吨钼酸铵项目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sz w:val="21"/>
                <w:szCs w:val="21"/>
              </w:rPr>
              <w:t>NOx、硫酸、氨</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在建项目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5</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中国平煤神马能源化工集团有限责任公司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5万吨/年己二腈项目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、NOx、HCN、氨、CO、硫酸雾、丁二烯、环己烷、酚类、HCl、镍、二噁英、硫化氢、酚类和非甲烷总烃</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在建项目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6</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河南神马隆腾新材料有限公司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年产5万吨聚氨酯组合料项目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TVOC、MDI、TDI、甲苯、二甲苯、NH</w:t>
            </w:r>
            <w:r>
              <w:rPr>
                <w:rFonts w:hint="default" w:ascii="Times New Roman" w:hAnsi="Times New Roman" w:eastAsia="宋体" w:cs="Times New Roman"/>
                <w:bCs/>
                <w:color w:val="auto"/>
                <w:sz w:val="21"/>
                <w:szCs w:val="21"/>
                <w:vertAlign w:val="subscript"/>
              </w:rPr>
              <w:t>3</w:t>
            </w:r>
            <w:r>
              <w:rPr>
                <w:rFonts w:hint="default" w:ascii="Times New Roman" w:hAnsi="Times New Roman" w:eastAsia="宋体" w:cs="Times New Roman"/>
                <w:bCs/>
                <w:color w:val="auto"/>
                <w:sz w:val="21"/>
                <w:szCs w:val="21"/>
              </w:rPr>
              <w:t>、H</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S</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在建项目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7</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spacing w:val="-6"/>
                <w:sz w:val="21"/>
                <w:szCs w:val="21"/>
              </w:rPr>
              <w:t>平顶山市丹尼尔科技有限公司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spacing w:val="-6"/>
                <w:sz w:val="21"/>
                <w:szCs w:val="21"/>
              </w:rPr>
              <w:t>年产4万吨聚氨酯材料项目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VOCs、SO</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、NO</w:t>
            </w:r>
            <w:r>
              <w:rPr>
                <w:rFonts w:hint="default" w:ascii="Times New Roman" w:hAnsi="Times New Roman" w:eastAsia="宋体" w:cs="Times New Roman"/>
                <w:bCs/>
                <w:color w:val="auto"/>
                <w:sz w:val="21"/>
                <w:szCs w:val="21"/>
                <w:vertAlign w:val="subscript"/>
              </w:rPr>
              <w:t>X</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在建项目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8</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平顶山昌明科技有限公司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30万吨/年尼龙产业链副产物资源综合利用项目（一期工程）</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sz w:val="21"/>
                <w:szCs w:val="21"/>
              </w:rPr>
              <w:t>NH</w:t>
            </w:r>
            <w:r>
              <w:rPr>
                <w:rFonts w:hint="default" w:ascii="Times New Roman" w:hAnsi="Times New Roman" w:eastAsia="宋体" w:cs="Times New Roman"/>
                <w:sz w:val="21"/>
                <w:szCs w:val="21"/>
                <w:vertAlign w:val="subscript"/>
              </w:rPr>
              <w:t>3</w:t>
            </w:r>
            <w:r>
              <w:rPr>
                <w:rFonts w:hint="default" w:ascii="Times New Roman" w:hAnsi="Times New Roman" w:eastAsia="宋体" w:cs="Times New Roman"/>
                <w:sz w:val="21"/>
                <w:szCs w:val="21"/>
              </w:rPr>
              <w:t>、</w:t>
            </w:r>
            <w:r>
              <w:rPr>
                <w:rFonts w:hint="default" w:ascii="Times New Roman" w:hAnsi="Times New Roman" w:eastAsia="宋体" w:cs="Times New Roman"/>
                <w:bCs/>
                <w:color w:val="auto"/>
                <w:sz w:val="21"/>
                <w:szCs w:val="21"/>
              </w:rPr>
              <w:t>VOCs、苯</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在建项目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9</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sz w:val="21"/>
                <w:szCs w:val="21"/>
              </w:rPr>
              <w:t>平顶山耀顺新材料有限公司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caps/>
                <w:color w:val="auto"/>
                <w:sz w:val="21"/>
                <w:szCs w:val="21"/>
              </w:rPr>
              <w:t>3.5万吨尼龙制品项目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sz w:val="21"/>
                <w:szCs w:val="21"/>
              </w:rPr>
              <w:t>TVOC、TDI、NOx</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拟建项目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10</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中国平煤神马集团尼龙科技有限公司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color w:val="auto"/>
                <w:sz w:val="21"/>
                <w:szCs w:val="21"/>
              </w:rPr>
            </w:pPr>
            <w:r>
              <w:rPr>
                <w:rFonts w:hint="default" w:ascii="Times New Roman" w:hAnsi="Times New Roman" w:eastAsia="宋体" w:cs="Times New Roman"/>
                <w:caps/>
                <w:color w:val="auto"/>
                <w:sz w:val="21"/>
                <w:szCs w:val="21"/>
              </w:rPr>
              <w:t>己内酰胺节能环保技术提升及应用项目（一期）</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、NO</w:t>
            </w:r>
            <w:r>
              <w:rPr>
                <w:rFonts w:hint="default" w:ascii="Times New Roman" w:hAnsi="Times New Roman" w:eastAsia="宋体" w:cs="Times New Roman"/>
                <w:bCs/>
                <w:color w:val="auto"/>
                <w:sz w:val="21"/>
                <w:szCs w:val="21"/>
                <w:vertAlign w:val="subscript"/>
              </w:rPr>
              <w:t>X</w:t>
            </w:r>
            <w:r>
              <w:rPr>
                <w:rFonts w:hint="default" w:ascii="Times New Roman" w:hAnsi="Times New Roman" w:eastAsia="宋体" w:cs="Times New Roman"/>
                <w:bCs/>
                <w:color w:val="auto"/>
                <w:sz w:val="21"/>
                <w:szCs w:val="21"/>
              </w:rPr>
              <w:t>、甲苯、苯、氨、非甲烷总烃</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拟建项目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11</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平顶山旭威化工科技有限公司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aps/>
                <w:color w:val="auto"/>
                <w:sz w:val="21"/>
                <w:szCs w:val="21"/>
              </w:rPr>
            </w:pPr>
            <w:r>
              <w:rPr>
                <w:rFonts w:hint="default" w:ascii="Times New Roman" w:hAnsi="Times New Roman" w:eastAsia="宋体" w:cs="Times New Roman"/>
                <w:color w:val="auto"/>
                <w:sz w:val="21"/>
                <w:szCs w:val="21"/>
              </w:rPr>
              <w:t>3万吨/年抗氧化剂项目（一期工程）</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二甲苯、HCl、甲醇、氨、硫化氢</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拟建项目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12</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平顶山尼龙城建设投资有限公司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平顶山第三污水处理厂扩建工程（5万吨/日）</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sz w:val="21"/>
                <w:szCs w:val="21"/>
              </w:rPr>
              <w:t>NH</w:t>
            </w:r>
            <w:r>
              <w:rPr>
                <w:rFonts w:hint="default" w:ascii="Times New Roman" w:hAnsi="Times New Roman" w:eastAsia="宋体" w:cs="Times New Roman"/>
                <w:sz w:val="21"/>
                <w:szCs w:val="21"/>
                <w:vertAlign w:val="subscript"/>
              </w:rPr>
              <w:t>3</w:t>
            </w:r>
            <w:r>
              <w:rPr>
                <w:rFonts w:hint="default" w:ascii="Times New Roman" w:hAnsi="Times New Roman" w:eastAsia="宋体" w:cs="Times New Roman"/>
                <w:sz w:val="21"/>
                <w:szCs w:val="21"/>
              </w:rPr>
              <w:t>、H</w:t>
            </w:r>
            <w:r>
              <w:rPr>
                <w:rFonts w:hint="default" w:ascii="Times New Roman" w:hAnsi="Times New Roman" w:eastAsia="宋体" w:cs="Times New Roman"/>
                <w:sz w:val="21"/>
                <w:szCs w:val="21"/>
                <w:vertAlign w:val="subscript"/>
              </w:rPr>
              <w:t>2</w:t>
            </w:r>
            <w:r>
              <w:rPr>
                <w:rFonts w:hint="default" w:ascii="Times New Roman" w:hAnsi="Times New Roman" w:eastAsia="宋体" w:cs="Times New Roman"/>
                <w:sz w:val="21"/>
                <w:szCs w:val="21"/>
              </w:rPr>
              <w:t>S</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在建项目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13</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sz w:val="21"/>
                <w:szCs w:val="21"/>
              </w:rPr>
              <w:t>蔚源生物科技（平顶山）有限公司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年产8500吨药物中间体、高端香料项目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、NOx、甲醇、乙醛、甲苯、氨、硫酸、硫化氢、酚类和非甲烷总烃</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拟建项目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33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14</w:t>
            </w:r>
          </w:p>
        </w:tc>
        <w:tc>
          <w:tcPr>
            <w:tcW w:w="1391"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aps/>
                <w:sz w:val="21"/>
                <w:szCs w:val="21"/>
              </w:rPr>
              <w:t>河南尤尼特化工新材料有限公司</w:t>
            </w:r>
          </w:p>
        </w:tc>
        <w:tc>
          <w:tcPr>
            <w:tcW w:w="1664"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aps/>
                <w:sz w:val="21"/>
                <w:szCs w:val="21"/>
              </w:rPr>
              <w:t>10000吨/年间苯二甲腈项目</w:t>
            </w:r>
          </w:p>
        </w:tc>
        <w:tc>
          <w:tcPr>
            <w:tcW w:w="1029" w:type="pct"/>
            <w:tcBorders>
              <w:righ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r>
              <w:rPr>
                <w:rFonts w:hint="default" w:ascii="Times New Roman" w:hAnsi="Times New Roman" w:eastAsia="宋体" w:cs="Times New Roman"/>
                <w:bCs/>
                <w:color w:val="auto"/>
                <w:sz w:val="21"/>
                <w:szCs w:val="21"/>
              </w:rPr>
              <w:t>、NOx、CO、氨、苯、二甲苯、吡啶、环己烷、硫酸雾、氯气、氯化氢、硫化氢和非甲烷总烃</w:t>
            </w:r>
          </w:p>
        </w:tc>
        <w:tc>
          <w:tcPr>
            <w:tcW w:w="583" w:type="pct"/>
            <w:tcBorders>
              <w:left w:val="single" w:color="auto" w:sz="2"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拟建项目</w:t>
            </w:r>
          </w:p>
        </w:tc>
      </w:tr>
    </w:tbl>
    <w:p>
      <w:pPr>
        <w:pStyle w:val="27"/>
        <w:ind w:left="480" w:firstLine="480"/>
      </w:pPr>
    </w:p>
    <w:p>
      <w:pPr>
        <w:pStyle w:val="25"/>
        <w:widowControl/>
        <w:spacing w:beforeAutospacing="0" w:afterAutospacing="0"/>
        <w:ind w:firstLine="480"/>
        <w:sectPr>
          <w:pgSz w:w="11906" w:h="16838"/>
          <w:pgMar w:top="1417" w:right="1417" w:bottom="1417" w:left="1417" w:header="737" w:footer="737" w:gutter="0"/>
          <w:pgBorders>
            <w:top w:val="none" w:sz="0" w:space="0"/>
            <w:left w:val="none" w:sz="0" w:space="0"/>
            <w:bottom w:val="none" w:sz="0" w:space="0"/>
            <w:right w:val="none" w:sz="0" w:space="0"/>
          </w:pgBorders>
          <w:cols w:space="425" w:num="1"/>
          <w:docGrid w:type="lines" w:linePitch="312" w:charSpace="0"/>
        </w:sectPr>
      </w:pPr>
    </w:p>
    <w:p>
      <w:pPr>
        <w:pStyle w:val="5"/>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bookmarkStart w:id="134" w:name="_Toc9781"/>
      <w:bookmarkStart w:id="135" w:name="_Toc29603"/>
      <w:bookmarkStart w:id="136" w:name="_Toc5686"/>
      <w:bookmarkStart w:id="137" w:name="_Toc7284"/>
      <w:r>
        <w:t>第六章  环境影响预测与评价</w:t>
      </w:r>
      <w:bookmarkEnd w:id="134"/>
      <w:bookmarkEnd w:id="135"/>
      <w:bookmarkEnd w:id="136"/>
      <w:bookmarkEnd w:id="137"/>
    </w:p>
    <w:p>
      <w:pPr>
        <w:pStyle w:val="6"/>
        <w:ind w:firstLine="0" w:firstLineChars="0"/>
      </w:pPr>
      <w:bookmarkStart w:id="138" w:name="_Toc16534"/>
      <w:bookmarkStart w:id="139" w:name="_Toc16971"/>
      <w:bookmarkStart w:id="140" w:name="_Toc3023"/>
      <w:bookmarkStart w:id="141" w:name="_Toc9973"/>
      <w:r>
        <w:rPr>
          <w:lang w:val="en-US"/>
        </w:rPr>
        <w:t>6.1 建设期环境影响分析</w:t>
      </w:r>
      <w:bookmarkEnd w:id="138"/>
      <w:bookmarkEnd w:id="139"/>
      <w:bookmarkEnd w:id="140"/>
      <w:bookmarkEnd w:id="141"/>
    </w:p>
    <w:p>
      <w:pPr>
        <w:widowControl/>
        <w:ind w:firstLine="480"/>
        <w:rPr>
          <w:rFonts w:ascii="宋体" w:hAnsi="宋体"/>
          <w:color w:val="000000"/>
          <w:lang w:bidi="ar"/>
        </w:rPr>
      </w:pPr>
      <w:r>
        <w:rPr>
          <w:rFonts w:hint="eastAsia" w:ascii="宋体" w:hAnsi="宋体"/>
          <w:color w:val="000000"/>
          <w:lang w:bidi="ar"/>
        </w:rPr>
        <w:t>本项目建设期间，各项施工活动，物料运输将不可避免地产生废气、粉尘、废水、噪声和固体废弃物，并对周围环境产生污染影响，其中以施工期的噪声和粉尘污染最为突出。建设期内主要影响如下。</w:t>
      </w:r>
    </w:p>
    <w:p>
      <w:pPr>
        <w:pStyle w:val="7"/>
        <w:ind w:firstLine="562"/>
      </w:pPr>
      <w:bookmarkStart w:id="142" w:name="_Toc6791"/>
      <w:r>
        <w:t xml:space="preserve">6.1.1 </w:t>
      </w:r>
      <w:r>
        <w:rPr>
          <w:rFonts w:hint="eastAsia"/>
        </w:rPr>
        <w:t>环境空气影响分析</w:t>
      </w:r>
      <w:bookmarkEnd w:id="142"/>
    </w:p>
    <w:p>
      <w:pPr>
        <w:widowControl/>
        <w:ind w:firstLine="480"/>
        <w:rPr>
          <w:color w:val="000000"/>
          <w:lang w:bidi="ar"/>
        </w:rPr>
      </w:pPr>
      <w:r>
        <w:rPr>
          <w:rFonts w:hint="eastAsia"/>
          <w:color w:val="000000"/>
          <w:lang w:bidi="ar"/>
        </w:rPr>
        <w:t>建设施工过程中，燃油动力机械和运输车辆排放的废气，挖土、运土、填土、夯实和汽车运输过程的扬尘，装修产生的废气，临时食堂产生的油烟，都会给周围环境空气带来污染。污染大气的主要因子是</w:t>
      </w:r>
      <w:r>
        <w:rPr>
          <w:color w:val="000000"/>
          <w:lang w:bidi="ar"/>
        </w:rPr>
        <w:t>NO</w:t>
      </w:r>
      <w:r>
        <w:rPr>
          <w:color w:val="000000"/>
          <w:vertAlign w:val="subscript"/>
          <w:lang w:bidi="ar"/>
        </w:rPr>
        <w:t>2</w:t>
      </w:r>
      <w:r>
        <w:rPr>
          <w:rFonts w:hint="eastAsia"/>
          <w:color w:val="000000"/>
          <w:lang w:bidi="ar"/>
        </w:rPr>
        <w:t>、</w:t>
      </w:r>
      <w:r>
        <w:rPr>
          <w:color w:val="000000"/>
          <w:lang w:bidi="ar"/>
        </w:rPr>
        <w:t>CO</w:t>
      </w:r>
      <w:r>
        <w:rPr>
          <w:rFonts w:hint="eastAsia"/>
          <w:color w:val="000000"/>
          <w:lang w:bidi="ar"/>
        </w:rPr>
        <w:t>、</w:t>
      </w:r>
      <w:r>
        <w:rPr>
          <w:color w:val="000000"/>
          <w:lang w:bidi="ar"/>
        </w:rPr>
        <w:t>SO</w:t>
      </w:r>
      <w:r>
        <w:rPr>
          <w:color w:val="000000"/>
          <w:vertAlign w:val="subscript"/>
          <w:lang w:bidi="ar"/>
        </w:rPr>
        <w:t>2</w:t>
      </w:r>
      <w:r>
        <w:rPr>
          <w:rFonts w:hint="eastAsia"/>
          <w:color w:val="000000"/>
          <w:lang w:bidi="ar"/>
        </w:rPr>
        <w:t>、甲醛、油烟和扬尘等。</w:t>
      </w:r>
    </w:p>
    <w:p>
      <w:pPr>
        <w:widowControl/>
        <w:ind w:firstLine="480"/>
        <w:rPr>
          <w:color w:val="000000"/>
          <w:lang w:bidi="ar"/>
        </w:rPr>
      </w:pPr>
      <w:r>
        <w:rPr>
          <w:rFonts w:hint="eastAsia"/>
          <w:color w:val="000000"/>
          <w:lang w:bidi="ar"/>
        </w:rPr>
        <w:t>1、施工扬尘</w:t>
      </w:r>
    </w:p>
    <w:p>
      <w:pPr>
        <w:widowControl/>
        <w:ind w:firstLine="480"/>
        <w:rPr>
          <w:color w:val="000000"/>
          <w:lang w:bidi="ar"/>
        </w:rPr>
      </w:pPr>
      <w:r>
        <w:rPr>
          <w:rFonts w:hint="eastAsia"/>
          <w:color w:val="000000"/>
          <w:lang w:bidi="ar"/>
        </w:rPr>
        <w:t>施工过程扬尘污染的危害不容忽视。在施工现场的作业人员，如长时间吸入大量微细尘埃，不但会引起各种呼吸道疾病，而且，扬尘会夹带大量的病原菌，还会传染其他各种疾病，严重威胁施工人员的身体健康。此外，扬尘飘落在各种建筑物和绿叶植被上，将会影响景观。</w:t>
      </w:r>
    </w:p>
    <w:p>
      <w:pPr>
        <w:widowControl/>
        <w:ind w:firstLine="480"/>
        <w:rPr>
          <w:color w:val="000000"/>
          <w:lang w:bidi="ar"/>
        </w:rPr>
      </w:pPr>
      <w:r>
        <w:rPr>
          <w:rFonts w:hint="eastAsia"/>
          <w:color w:val="000000"/>
          <w:lang w:bidi="ar"/>
        </w:rPr>
        <w:t>对整个施工期而言，施工产生的扬尘主要集中在房屋建设阶段。按起尘的原因可分为风力起尘和动力起尘，其中风力起尘主要是由于露天堆放的建材（如沙土、水泥等）及裸露的施工区表层浮尘因天气干燥及大风，产生风尘扬尘；而动力起尘，主要是在建材的装卸、搅拌过程中，由于外力而产生的尘粒再悬浮而造成，其中施工及装卸车辆造成的扬尘最为严重。据有关文献资料介绍，车辆行驶产生的扬尘占总扬尘的</w:t>
      </w:r>
      <w:r>
        <w:rPr>
          <w:color w:val="000000"/>
          <w:lang w:bidi="ar"/>
        </w:rPr>
        <w:t>60%</w:t>
      </w:r>
      <w:r>
        <w:rPr>
          <w:rFonts w:hint="eastAsia"/>
          <w:color w:val="000000"/>
          <w:lang w:bidi="ar"/>
        </w:rPr>
        <w:t>上。不同车速和地面清洁程度的汽车扬尘产生情况见表</w:t>
      </w:r>
      <w:r>
        <w:rPr>
          <w:color w:val="000000"/>
          <w:lang w:bidi="ar"/>
        </w:rPr>
        <w:t>6.1-1</w:t>
      </w:r>
      <w:r>
        <w:rPr>
          <w:rFonts w:hint="eastAsia"/>
          <w:color w:val="000000"/>
          <w:lang w:bidi="ar"/>
        </w:rPr>
        <w:t>。</w:t>
      </w:r>
    </w:p>
    <w:p>
      <w:pPr>
        <w:widowControl/>
        <w:ind w:firstLine="0" w:firstLineChars="0"/>
        <w:jc w:val="center"/>
        <w:rPr>
          <w:b/>
          <w:bCs/>
          <w:color w:val="000000"/>
          <w:lang w:bidi="ar"/>
        </w:rPr>
      </w:pPr>
      <w:r>
        <w:rPr>
          <w:rFonts w:hint="eastAsia"/>
          <w:b/>
          <w:bCs/>
          <w:color w:val="000000"/>
          <w:lang w:bidi="ar"/>
        </w:rPr>
        <w:t>6.1-1  不同车速和地面清洁程度的汽车扬尘</w:t>
      </w:r>
      <w:r>
        <w:rPr>
          <w:b/>
          <w:bCs/>
          <w:color w:val="000000"/>
          <w:lang w:bidi="ar"/>
        </w:rPr>
        <w:t xml:space="preserve"> </w:t>
      </w:r>
      <w:r>
        <w:rPr>
          <w:rFonts w:hint="eastAsia"/>
          <w:b/>
          <w:bCs/>
          <w:color w:val="000000"/>
          <w:lang w:bidi="ar"/>
        </w:rPr>
        <w:t>单位：</w:t>
      </w:r>
      <w:r>
        <w:rPr>
          <w:b/>
          <w:bCs/>
          <w:color w:val="000000"/>
          <w:lang w:bidi="ar"/>
        </w:rPr>
        <w:t>kg/</w:t>
      </w:r>
      <w:r>
        <w:rPr>
          <w:rFonts w:hint="eastAsia"/>
          <w:b/>
          <w:bCs/>
          <w:color w:val="000000"/>
          <w:lang w:bidi="ar"/>
        </w:rPr>
        <w:t>辆</w:t>
      </w:r>
      <w:r>
        <w:rPr>
          <w:b/>
          <w:bCs/>
          <w:color w:val="000000"/>
          <w:lang w:bidi="ar"/>
        </w:rPr>
        <w:t>·km</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7"/>
        <w:gridCol w:w="1327"/>
        <w:gridCol w:w="1327"/>
        <w:gridCol w:w="1327"/>
        <w:gridCol w:w="1328"/>
        <w:gridCol w:w="1328"/>
        <w:gridCol w:w="1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4" w:type="pct"/>
            <w:vAlign w:val="center"/>
          </w:tcPr>
          <w:p>
            <w:pPr>
              <w:pStyle w:val="27"/>
              <w:spacing w:after="0" w:line="240" w:lineRule="auto"/>
              <w:ind w:left="0" w:leftChars="0" w:firstLine="0" w:firstLineChars="0"/>
              <w:jc w:val="center"/>
              <w:rPr>
                <w:sz w:val="21"/>
                <w:szCs w:val="21"/>
              </w:rPr>
            </w:pPr>
            <w:r>
              <w:rPr>
                <w:rFonts w:hint="eastAsia"/>
                <w:sz w:val="21"/>
                <w:szCs w:val="21"/>
              </w:rPr>
              <w:t>P（kg/m</w:t>
            </w:r>
            <w:r>
              <w:rPr>
                <w:rFonts w:hint="eastAsia"/>
                <w:sz w:val="21"/>
                <w:szCs w:val="21"/>
                <w:vertAlign w:val="superscript"/>
              </w:rPr>
              <w:t>2</w:t>
            </w:r>
            <w:r>
              <w:rPr>
                <w:rFonts w:hint="eastAsia"/>
                <w:sz w:val="21"/>
                <w:szCs w:val="21"/>
              </w:rPr>
              <w:t>）</w:t>
            </w:r>
          </w:p>
        </w:tc>
        <w:tc>
          <w:tcPr>
            <w:tcW w:w="714" w:type="pct"/>
            <w:vAlign w:val="center"/>
          </w:tcPr>
          <w:p>
            <w:pPr>
              <w:pStyle w:val="27"/>
              <w:spacing w:after="0" w:line="240" w:lineRule="auto"/>
              <w:ind w:left="0" w:leftChars="0" w:firstLine="0" w:firstLineChars="0"/>
              <w:jc w:val="center"/>
              <w:rPr>
                <w:sz w:val="21"/>
                <w:szCs w:val="21"/>
              </w:rPr>
            </w:pPr>
            <w:r>
              <w:rPr>
                <w:rFonts w:hint="eastAsia"/>
                <w:sz w:val="21"/>
                <w:szCs w:val="21"/>
              </w:rPr>
              <w:t>0.1</w:t>
            </w:r>
          </w:p>
        </w:tc>
        <w:tc>
          <w:tcPr>
            <w:tcW w:w="714" w:type="pct"/>
            <w:vAlign w:val="center"/>
          </w:tcPr>
          <w:p>
            <w:pPr>
              <w:pStyle w:val="27"/>
              <w:spacing w:after="0" w:line="240" w:lineRule="auto"/>
              <w:ind w:left="0" w:leftChars="0" w:firstLine="0" w:firstLineChars="0"/>
              <w:jc w:val="center"/>
              <w:rPr>
                <w:sz w:val="21"/>
                <w:szCs w:val="21"/>
              </w:rPr>
            </w:pPr>
            <w:r>
              <w:rPr>
                <w:rFonts w:hint="eastAsia"/>
                <w:sz w:val="21"/>
                <w:szCs w:val="21"/>
              </w:rPr>
              <w:t>0.2</w:t>
            </w:r>
          </w:p>
        </w:tc>
        <w:tc>
          <w:tcPr>
            <w:tcW w:w="714" w:type="pct"/>
            <w:vAlign w:val="center"/>
          </w:tcPr>
          <w:p>
            <w:pPr>
              <w:pStyle w:val="27"/>
              <w:spacing w:after="0" w:line="240" w:lineRule="auto"/>
              <w:ind w:left="0" w:leftChars="0" w:firstLine="0" w:firstLineChars="0"/>
              <w:jc w:val="center"/>
              <w:rPr>
                <w:sz w:val="21"/>
                <w:szCs w:val="21"/>
              </w:rPr>
            </w:pPr>
            <w:r>
              <w:rPr>
                <w:rFonts w:hint="eastAsia"/>
                <w:sz w:val="21"/>
                <w:szCs w:val="21"/>
              </w:rPr>
              <w:t>0.3</w:t>
            </w:r>
          </w:p>
        </w:tc>
        <w:tc>
          <w:tcPr>
            <w:tcW w:w="714" w:type="pct"/>
            <w:vAlign w:val="center"/>
          </w:tcPr>
          <w:p>
            <w:pPr>
              <w:pStyle w:val="27"/>
              <w:spacing w:after="0" w:line="240" w:lineRule="auto"/>
              <w:ind w:left="0" w:leftChars="0" w:firstLine="0" w:firstLineChars="0"/>
              <w:jc w:val="center"/>
              <w:rPr>
                <w:sz w:val="21"/>
                <w:szCs w:val="21"/>
              </w:rPr>
            </w:pPr>
            <w:r>
              <w:rPr>
                <w:rFonts w:hint="eastAsia"/>
                <w:sz w:val="21"/>
                <w:szCs w:val="21"/>
              </w:rPr>
              <w:t>0.4</w:t>
            </w:r>
          </w:p>
        </w:tc>
        <w:tc>
          <w:tcPr>
            <w:tcW w:w="714" w:type="pct"/>
            <w:vAlign w:val="center"/>
          </w:tcPr>
          <w:p>
            <w:pPr>
              <w:pStyle w:val="27"/>
              <w:spacing w:after="0" w:line="240" w:lineRule="auto"/>
              <w:ind w:left="0" w:leftChars="0" w:firstLine="0" w:firstLineChars="0"/>
              <w:jc w:val="center"/>
              <w:rPr>
                <w:sz w:val="21"/>
                <w:szCs w:val="21"/>
              </w:rPr>
            </w:pPr>
            <w:r>
              <w:rPr>
                <w:rFonts w:hint="eastAsia"/>
                <w:sz w:val="21"/>
                <w:szCs w:val="21"/>
              </w:rPr>
              <w:t>0.5</w:t>
            </w:r>
          </w:p>
        </w:tc>
        <w:tc>
          <w:tcPr>
            <w:tcW w:w="714" w:type="pct"/>
            <w:vAlign w:val="center"/>
          </w:tcPr>
          <w:p>
            <w:pPr>
              <w:pStyle w:val="27"/>
              <w:spacing w:after="0" w:line="240" w:lineRule="auto"/>
              <w:ind w:left="0" w:leftChars="0" w:firstLine="0" w:firstLineChars="0"/>
              <w:jc w:val="center"/>
              <w:rPr>
                <w:sz w:val="21"/>
                <w:szCs w:val="21"/>
              </w:rPr>
            </w:pPr>
            <w:r>
              <w:rPr>
                <w:rFonts w:hint="eastAsia"/>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4" w:type="pct"/>
            <w:vAlign w:val="center"/>
          </w:tcPr>
          <w:p>
            <w:pPr>
              <w:widowControl/>
              <w:spacing w:line="240" w:lineRule="auto"/>
              <w:ind w:firstLine="0" w:firstLineChars="0"/>
              <w:jc w:val="center"/>
              <w:rPr>
                <w:sz w:val="21"/>
                <w:szCs w:val="21"/>
              </w:rPr>
            </w:pPr>
            <w:r>
              <w:rPr>
                <w:rFonts w:hint="eastAsia"/>
                <w:sz w:val="21"/>
                <w:szCs w:val="21"/>
              </w:rPr>
              <w:t>5</w:t>
            </w:r>
            <w:r>
              <w:rPr>
                <w:rFonts w:hint="eastAsia" w:cs="Times New Roman"/>
                <w:color w:val="000000"/>
                <w:sz w:val="21"/>
                <w:szCs w:val="21"/>
                <w:lang w:bidi="ar"/>
              </w:rPr>
              <w:t>（</w:t>
            </w:r>
            <w:r>
              <w:rPr>
                <w:rFonts w:cs="Times New Roman"/>
                <w:color w:val="000000"/>
                <w:sz w:val="21"/>
                <w:szCs w:val="21"/>
                <w:lang w:bidi="ar"/>
              </w:rPr>
              <w:t>km/hr</w:t>
            </w:r>
            <w:r>
              <w:rPr>
                <w:rFonts w:hint="eastAsia" w:cs="Times New Roman"/>
                <w:color w:val="000000"/>
                <w:sz w:val="21"/>
                <w:szCs w:val="21"/>
                <w:lang w:bidi="ar"/>
              </w:rPr>
              <w:t>）</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0.051056</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0.0261665</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0.116382</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0.144408</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0.170715</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0.287108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4" w:type="pct"/>
            <w:vAlign w:val="center"/>
          </w:tcPr>
          <w:p>
            <w:pPr>
              <w:widowControl/>
              <w:spacing w:line="240" w:lineRule="auto"/>
              <w:ind w:firstLine="0" w:firstLineChars="0"/>
              <w:jc w:val="center"/>
              <w:rPr>
                <w:sz w:val="21"/>
                <w:szCs w:val="21"/>
              </w:rPr>
            </w:pPr>
            <w:r>
              <w:rPr>
                <w:rFonts w:hint="eastAsia"/>
                <w:sz w:val="21"/>
                <w:szCs w:val="21"/>
              </w:rPr>
              <w:t>10</w:t>
            </w:r>
            <w:r>
              <w:rPr>
                <w:rFonts w:hint="eastAsia" w:cs="Times New Roman"/>
                <w:color w:val="000000"/>
                <w:sz w:val="21"/>
                <w:szCs w:val="21"/>
                <w:lang w:bidi="ar"/>
              </w:rPr>
              <w:t>（</w:t>
            </w:r>
            <w:r>
              <w:rPr>
                <w:rFonts w:cs="Times New Roman"/>
                <w:color w:val="000000"/>
                <w:sz w:val="21"/>
                <w:szCs w:val="21"/>
                <w:lang w:bidi="ar"/>
              </w:rPr>
              <w:t>km/hr</w:t>
            </w:r>
            <w:r>
              <w:rPr>
                <w:rFonts w:hint="eastAsia" w:cs="Times New Roman"/>
                <w:color w:val="000000"/>
                <w:sz w:val="21"/>
                <w:szCs w:val="21"/>
                <w:lang w:bidi="ar"/>
              </w:rPr>
              <w:t>）</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0.102112</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0.171731</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0.232764</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0.288815</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0.341431</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0.574216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4" w:type="pct"/>
            <w:vAlign w:val="center"/>
          </w:tcPr>
          <w:p>
            <w:pPr>
              <w:widowControl/>
              <w:spacing w:line="240" w:lineRule="auto"/>
              <w:ind w:firstLine="0" w:firstLineChars="0"/>
              <w:jc w:val="center"/>
              <w:rPr>
                <w:sz w:val="21"/>
                <w:szCs w:val="21"/>
              </w:rPr>
            </w:pPr>
            <w:r>
              <w:rPr>
                <w:rFonts w:hint="eastAsia"/>
                <w:sz w:val="21"/>
                <w:szCs w:val="21"/>
              </w:rPr>
              <w:t>15</w:t>
            </w:r>
            <w:r>
              <w:rPr>
                <w:rFonts w:hint="eastAsia" w:cs="Times New Roman"/>
                <w:color w:val="000000"/>
                <w:sz w:val="21"/>
                <w:szCs w:val="21"/>
                <w:lang w:bidi="ar"/>
              </w:rPr>
              <w:t>（</w:t>
            </w:r>
            <w:r>
              <w:rPr>
                <w:rFonts w:cs="Times New Roman"/>
                <w:color w:val="000000"/>
                <w:sz w:val="21"/>
                <w:szCs w:val="21"/>
                <w:lang w:bidi="ar"/>
              </w:rPr>
              <w:t>km/hr</w:t>
            </w:r>
            <w:r>
              <w:rPr>
                <w:rFonts w:hint="eastAsia" w:cs="Times New Roman"/>
                <w:color w:val="000000"/>
                <w:sz w:val="21"/>
                <w:szCs w:val="21"/>
                <w:lang w:bidi="ar"/>
              </w:rPr>
              <w:t>）</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0.153167</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0.257596</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0.349146</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0.433223</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0.512146</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0.861323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4" w:type="pct"/>
            <w:vAlign w:val="center"/>
          </w:tcPr>
          <w:p>
            <w:pPr>
              <w:widowControl/>
              <w:spacing w:line="240" w:lineRule="auto"/>
              <w:ind w:firstLine="0" w:firstLineChars="0"/>
              <w:jc w:val="center"/>
              <w:rPr>
                <w:sz w:val="21"/>
                <w:szCs w:val="21"/>
              </w:rPr>
            </w:pPr>
            <w:r>
              <w:rPr>
                <w:rFonts w:hint="eastAsia"/>
                <w:sz w:val="21"/>
                <w:szCs w:val="21"/>
              </w:rPr>
              <w:t>20</w:t>
            </w:r>
            <w:r>
              <w:rPr>
                <w:rFonts w:hint="eastAsia" w:cs="Times New Roman"/>
                <w:color w:val="000000"/>
                <w:sz w:val="21"/>
                <w:szCs w:val="21"/>
                <w:lang w:bidi="ar"/>
              </w:rPr>
              <w:t>（</w:t>
            </w:r>
            <w:r>
              <w:rPr>
                <w:rFonts w:cs="Times New Roman"/>
                <w:color w:val="000000"/>
                <w:sz w:val="21"/>
                <w:szCs w:val="21"/>
                <w:lang w:bidi="ar"/>
              </w:rPr>
              <w:t>km/hr</w:t>
            </w:r>
            <w:r>
              <w:rPr>
                <w:rFonts w:hint="eastAsia" w:cs="Times New Roman"/>
                <w:color w:val="000000"/>
                <w:sz w:val="21"/>
                <w:szCs w:val="21"/>
                <w:lang w:bidi="ar"/>
              </w:rPr>
              <w:t>）</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0.255279</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0.429326</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0.58191</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0.722038</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0.853577</w:t>
            </w:r>
          </w:p>
        </w:tc>
        <w:tc>
          <w:tcPr>
            <w:tcW w:w="714" w:type="pct"/>
            <w:vAlign w:val="center"/>
          </w:tcPr>
          <w:p>
            <w:pPr>
              <w:widowControl/>
              <w:spacing w:line="240" w:lineRule="auto"/>
              <w:ind w:firstLine="0" w:firstLineChars="0"/>
              <w:jc w:val="center"/>
              <w:rPr>
                <w:sz w:val="21"/>
                <w:szCs w:val="21"/>
              </w:rPr>
            </w:pPr>
            <w:r>
              <w:rPr>
                <w:rFonts w:cs="Times New Roman"/>
                <w:color w:val="000000"/>
                <w:sz w:val="21"/>
                <w:szCs w:val="21"/>
                <w:lang w:bidi="ar"/>
              </w:rPr>
              <w:t>1.435539</w:t>
            </w:r>
          </w:p>
        </w:tc>
      </w:tr>
    </w:tbl>
    <w:p>
      <w:pPr>
        <w:ind w:firstLine="480"/>
      </w:pPr>
      <w:r>
        <w:rPr>
          <w:rFonts w:hint="eastAsia"/>
        </w:rPr>
        <w:t>施工期扬尘的另一个主要原因是露天堆场和裸露场地的风力扬尘。由于施工的需要，一些建材需露天堆放；一些施工点表层土壤需人工开挖、堆放，在气候干燥又有风的情况下，会产生扬尘。不同粒径尘粒的沉降速度见表</w:t>
      </w:r>
      <w:r>
        <w:t>6.1-2</w:t>
      </w:r>
      <w:r>
        <w:rPr>
          <w:rFonts w:hint="eastAsia"/>
        </w:rPr>
        <w:t>。</w:t>
      </w:r>
    </w:p>
    <w:p>
      <w:pPr>
        <w:widowControl/>
        <w:ind w:firstLine="0" w:firstLineChars="0"/>
        <w:jc w:val="center"/>
        <w:rPr>
          <w:b/>
          <w:bCs/>
          <w:color w:val="000000"/>
          <w:lang w:bidi="ar"/>
        </w:rPr>
      </w:pPr>
      <w:r>
        <w:rPr>
          <w:rFonts w:hint="eastAsia"/>
          <w:b/>
          <w:bCs/>
          <w:color w:val="000000"/>
          <w:lang w:bidi="ar"/>
        </w:rPr>
        <w:t>6.1-2  不同粒径尘粒的沉降速度</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31"/>
        <w:gridCol w:w="1160"/>
        <w:gridCol w:w="1060"/>
        <w:gridCol w:w="1120"/>
        <w:gridCol w:w="1000"/>
        <w:gridCol w:w="1070"/>
        <w:gridCol w:w="960"/>
        <w:gridCol w:w="8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31" w:type="dxa"/>
            <w:vAlign w:val="center"/>
          </w:tcPr>
          <w:p>
            <w:pPr>
              <w:widowControl/>
              <w:spacing w:line="240" w:lineRule="auto"/>
              <w:ind w:firstLine="0" w:firstLineChars="0"/>
              <w:jc w:val="center"/>
              <w:rPr>
                <w:sz w:val="21"/>
                <w:szCs w:val="21"/>
              </w:rPr>
            </w:pPr>
            <w:r>
              <w:rPr>
                <w:rFonts w:hint="eastAsia"/>
                <w:sz w:val="21"/>
                <w:szCs w:val="21"/>
              </w:rPr>
              <w:t>粒径（</w:t>
            </w:r>
            <w:r>
              <w:rPr>
                <w:sz w:val="21"/>
                <w:szCs w:val="21"/>
              </w:rPr>
              <w:t>μm</w:t>
            </w:r>
            <w:r>
              <w:rPr>
                <w:rFonts w:hint="eastAsia"/>
                <w:sz w:val="21"/>
                <w:szCs w:val="21"/>
              </w:rPr>
              <w:t>）</w:t>
            </w:r>
          </w:p>
        </w:tc>
        <w:tc>
          <w:tcPr>
            <w:tcW w:w="1160" w:type="dxa"/>
            <w:vAlign w:val="center"/>
          </w:tcPr>
          <w:p>
            <w:pPr>
              <w:widowControl/>
              <w:spacing w:line="240" w:lineRule="auto"/>
              <w:ind w:firstLine="0" w:firstLineChars="0"/>
              <w:jc w:val="center"/>
              <w:rPr>
                <w:sz w:val="21"/>
                <w:szCs w:val="21"/>
              </w:rPr>
            </w:pPr>
            <w:r>
              <w:rPr>
                <w:rFonts w:hint="eastAsia"/>
                <w:sz w:val="21"/>
                <w:szCs w:val="21"/>
              </w:rPr>
              <w:t>10</w:t>
            </w:r>
          </w:p>
        </w:tc>
        <w:tc>
          <w:tcPr>
            <w:tcW w:w="1060" w:type="dxa"/>
            <w:vAlign w:val="center"/>
          </w:tcPr>
          <w:p>
            <w:pPr>
              <w:widowControl/>
              <w:spacing w:line="240" w:lineRule="auto"/>
              <w:ind w:firstLine="0" w:firstLineChars="0"/>
              <w:jc w:val="center"/>
              <w:rPr>
                <w:sz w:val="21"/>
                <w:szCs w:val="21"/>
              </w:rPr>
            </w:pPr>
            <w:r>
              <w:rPr>
                <w:rFonts w:hint="eastAsia"/>
                <w:sz w:val="21"/>
                <w:szCs w:val="21"/>
              </w:rPr>
              <w:t>20</w:t>
            </w:r>
          </w:p>
        </w:tc>
        <w:tc>
          <w:tcPr>
            <w:tcW w:w="1120" w:type="dxa"/>
            <w:vAlign w:val="center"/>
          </w:tcPr>
          <w:p>
            <w:pPr>
              <w:widowControl/>
              <w:spacing w:line="240" w:lineRule="auto"/>
              <w:ind w:firstLine="0" w:firstLineChars="0"/>
              <w:jc w:val="center"/>
              <w:rPr>
                <w:sz w:val="21"/>
                <w:szCs w:val="21"/>
              </w:rPr>
            </w:pPr>
            <w:r>
              <w:rPr>
                <w:rFonts w:hint="eastAsia"/>
                <w:sz w:val="21"/>
                <w:szCs w:val="21"/>
              </w:rPr>
              <w:t>30</w:t>
            </w:r>
          </w:p>
        </w:tc>
        <w:tc>
          <w:tcPr>
            <w:tcW w:w="1000" w:type="dxa"/>
            <w:vAlign w:val="center"/>
          </w:tcPr>
          <w:p>
            <w:pPr>
              <w:widowControl/>
              <w:spacing w:line="240" w:lineRule="auto"/>
              <w:ind w:firstLine="0" w:firstLineChars="0"/>
              <w:jc w:val="center"/>
              <w:rPr>
                <w:sz w:val="21"/>
                <w:szCs w:val="21"/>
              </w:rPr>
            </w:pPr>
            <w:r>
              <w:rPr>
                <w:rFonts w:hint="eastAsia"/>
                <w:sz w:val="21"/>
                <w:szCs w:val="21"/>
              </w:rPr>
              <w:t>40</w:t>
            </w:r>
          </w:p>
        </w:tc>
        <w:tc>
          <w:tcPr>
            <w:tcW w:w="1070" w:type="dxa"/>
            <w:vAlign w:val="center"/>
          </w:tcPr>
          <w:p>
            <w:pPr>
              <w:widowControl/>
              <w:spacing w:line="240" w:lineRule="auto"/>
              <w:ind w:firstLine="0" w:firstLineChars="0"/>
              <w:jc w:val="center"/>
              <w:rPr>
                <w:sz w:val="21"/>
                <w:szCs w:val="21"/>
              </w:rPr>
            </w:pPr>
            <w:r>
              <w:rPr>
                <w:rFonts w:hint="eastAsia"/>
                <w:sz w:val="21"/>
                <w:szCs w:val="21"/>
              </w:rPr>
              <w:t>50</w:t>
            </w:r>
          </w:p>
        </w:tc>
        <w:tc>
          <w:tcPr>
            <w:tcW w:w="960" w:type="dxa"/>
            <w:vAlign w:val="center"/>
          </w:tcPr>
          <w:p>
            <w:pPr>
              <w:widowControl/>
              <w:spacing w:line="240" w:lineRule="auto"/>
              <w:ind w:firstLine="0" w:firstLineChars="0"/>
              <w:jc w:val="center"/>
              <w:rPr>
                <w:sz w:val="21"/>
                <w:szCs w:val="21"/>
              </w:rPr>
            </w:pPr>
            <w:r>
              <w:rPr>
                <w:rFonts w:hint="eastAsia"/>
                <w:sz w:val="21"/>
                <w:szCs w:val="21"/>
              </w:rPr>
              <w:t>60</w:t>
            </w:r>
          </w:p>
        </w:tc>
        <w:tc>
          <w:tcPr>
            <w:tcW w:w="891" w:type="dxa"/>
            <w:vAlign w:val="center"/>
          </w:tcPr>
          <w:p>
            <w:pPr>
              <w:widowControl/>
              <w:spacing w:line="240" w:lineRule="auto"/>
              <w:ind w:firstLine="0" w:firstLineChars="0"/>
              <w:jc w:val="center"/>
              <w:rPr>
                <w:sz w:val="21"/>
                <w:szCs w:val="21"/>
              </w:rPr>
            </w:pPr>
            <w:r>
              <w:rPr>
                <w:rFonts w:hint="eastAsia"/>
                <w:sz w:val="21"/>
                <w:szCs w:val="21"/>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31" w:type="dxa"/>
            <w:vAlign w:val="center"/>
          </w:tcPr>
          <w:p>
            <w:pPr>
              <w:widowControl/>
              <w:spacing w:line="240" w:lineRule="auto"/>
              <w:ind w:firstLine="0" w:firstLineChars="0"/>
              <w:jc w:val="center"/>
              <w:rPr>
                <w:sz w:val="21"/>
                <w:szCs w:val="21"/>
              </w:rPr>
            </w:pPr>
            <w:r>
              <w:rPr>
                <w:rFonts w:hint="eastAsia"/>
                <w:sz w:val="21"/>
                <w:szCs w:val="21"/>
              </w:rPr>
              <w:t>沉降速度（</w:t>
            </w:r>
            <w:r>
              <w:rPr>
                <w:sz w:val="21"/>
                <w:szCs w:val="21"/>
              </w:rPr>
              <w:t>m/s</w:t>
            </w:r>
            <w:r>
              <w:rPr>
                <w:rFonts w:hint="eastAsia"/>
                <w:sz w:val="21"/>
                <w:szCs w:val="21"/>
              </w:rPr>
              <w:t>）</w:t>
            </w:r>
          </w:p>
        </w:tc>
        <w:tc>
          <w:tcPr>
            <w:tcW w:w="1160" w:type="dxa"/>
            <w:vAlign w:val="center"/>
          </w:tcPr>
          <w:p>
            <w:pPr>
              <w:widowControl/>
              <w:spacing w:line="240" w:lineRule="auto"/>
              <w:ind w:firstLine="0" w:firstLineChars="0"/>
              <w:jc w:val="center"/>
              <w:rPr>
                <w:sz w:val="21"/>
                <w:szCs w:val="21"/>
              </w:rPr>
            </w:pPr>
            <w:r>
              <w:rPr>
                <w:sz w:val="21"/>
                <w:szCs w:val="21"/>
              </w:rPr>
              <w:t>0.003</w:t>
            </w:r>
          </w:p>
        </w:tc>
        <w:tc>
          <w:tcPr>
            <w:tcW w:w="1060" w:type="dxa"/>
            <w:vAlign w:val="center"/>
          </w:tcPr>
          <w:p>
            <w:pPr>
              <w:widowControl/>
              <w:spacing w:line="240" w:lineRule="auto"/>
              <w:ind w:firstLine="0" w:firstLineChars="0"/>
              <w:jc w:val="center"/>
              <w:rPr>
                <w:sz w:val="21"/>
                <w:szCs w:val="21"/>
              </w:rPr>
            </w:pPr>
            <w:r>
              <w:rPr>
                <w:sz w:val="21"/>
                <w:szCs w:val="21"/>
              </w:rPr>
              <w:t>0.012</w:t>
            </w:r>
          </w:p>
        </w:tc>
        <w:tc>
          <w:tcPr>
            <w:tcW w:w="1120" w:type="dxa"/>
            <w:vAlign w:val="center"/>
          </w:tcPr>
          <w:p>
            <w:pPr>
              <w:widowControl/>
              <w:spacing w:line="240" w:lineRule="auto"/>
              <w:ind w:firstLine="0" w:firstLineChars="0"/>
              <w:jc w:val="center"/>
              <w:rPr>
                <w:sz w:val="21"/>
                <w:szCs w:val="21"/>
              </w:rPr>
            </w:pPr>
            <w:r>
              <w:rPr>
                <w:sz w:val="21"/>
                <w:szCs w:val="21"/>
              </w:rPr>
              <w:t>0.027</w:t>
            </w:r>
          </w:p>
        </w:tc>
        <w:tc>
          <w:tcPr>
            <w:tcW w:w="1000" w:type="dxa"/>
            <w:vAlign w:val="center"/>
          </w:tcPr>
          <w:p>
            <w:pPr>
              <w:widowControl/>
              <w:spacing w:line="240" w:lineRule="auto"/>
              <w:ind w:firstLine="0" w:firstLineChars="0"/>
              <w:jc w:val="center"/>
              <w:rPr>
                <w:sz w:val="21"/>
                <w:szCs w:val="21"/>
              </w:rPr>
            </w:pPr>
            <w:r>
              <w:rPr>
                <w:sz w:val="21"/>
                <w:szCs w:val="21"/>
              </w:rPr>
              <w:t>0.048</w:t>
            </w:r>
          </w:p>
        </w:tc>
        <w:tc>
          <w:tcPr>
            <w:tcW w:w="1070" w:type="dxa"/>
            <w:vAlign w:val="center"/>
          </w:tcPr>
          <w:p>
            <w:pPr>
              <w:widowControl/>
              <w:spacing w:line="240" w:lineRule="auto"/>
              <w:ind w:firstLine="0" w:firstLineChars="0"/>
              <w:jc w:val="center"/>
              <w:rPr>
                <w:sz w:val="21"/>
                <w:szCs w:val="21"/>
              </w:rPr>
            </w:pPr>
            <w:r>
              <w:rPr>
                <w:sz w:val="21"/>
                <w:szCs w:val="21"/>
              </w:rPr>
              <w:t>0.075</w:t>
            </w:r>
          </w:p>
        </w:tc>
        <w:tc>
          <w:tcPr>
            <w:tcW w:w="960" w:type="dxa"/>
            <w:vAlign w:val="center"/>
          </w:tcPr>
          <w:p>
            <w:pPr>
              <w:widowControl/>
              <w:spacing w:line="240" w:lineRule="auto"/>
              <w:ind w:firstLine="0" w:firstLineChars="0"/>
              <w:jc w:val="center"/>
              <w:rPr>
                <w:sz w:val="21"/>
                <w:szCs w:val="21"/>
              </w:rPr>
            </w:pPr>
            <w:r>
              <w:rPr>
                <w:sz w:val="21"/>
                <w:szCs w:val="21"/>
              </w:rPr>
              <w:t>0.108</w:t>
            </w:r>
          </w:p>
        </w:tc>
        <w:tc>
          <w:tcPr>
            <w:tcW w:w="891" w:type="dxa"/>
            <w:vAlign w:val="center"/>
          </w:tcPr>
          <w:p>
            <w:pPr>
              <w:widowControl/>
              <w:spacing w:line="240" w:lineRule="auto"/>
              <w:ind w:firstLine="0" w:firstLineChars="0"/>
              <w:jc w:val="center"/>
              <w:rPr>
                <w:sz w:val="21"/>
                <w:szCs w:val="21"/>
              </w:rPr>
            </w:pPr>
            <w:r>
              <w:rPr>
                <w:sz w:val="21"/>
                <w:szCs w:val="21"/>
              </w:rPr>
              <w:t>0.147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31" w:type="dxa"/>
            <w:vAlign w:val="center"/>
          </w:tcPr>
          <w:p>
            <w:pPr>
              <w:widowControl/>
              <w:spacing w:line="240" w:lineRule="auto"/>
              <w:ind w:firstLine="0" w:firstLineChars="0"/>
              <w:jc w:val="center"/>
              <w:rPr>
                <w:sz w:val="21"/>
                <w:szCs w:val="21"/>
              </w:rPr>
            </w:pPr>
            <w:r>
              <w:rPr>
                <w:rFonts w:hint="eastAsia"/>
                <w:sz w:val="21"/>
                <w:szCs w:val="21"/>
              </w:rPr>
              <w:t>粒径（</w:t>
            </w:r>
            <w:r>
              <w:rPr>
                <w:sz w:val="21"/>
                <w:szCs w:val="21"/>
              </w:rPr>
              <w:t>μm</w:t>
            </w:r>
            <w:r>
              <w:rPr>
                <w:rFonts w:hint="eastAsia"/>
                <w:sz w:val="21"/>
                <w:szCs w:val="21"/>
              </w:rPr>
              <w:t>）</w:t>
            </w:r>
          </w:p>
        </w:tc>
        <w:tc>
          <w:tcPr>
            <w:tcW w:w="1160" w:type="dxa"/>
            <w:vAlign w:val="center"/>
          </w:tcPr>
          <w:p>
            <w:pPr>
              <w:widowControl/>
              <w:spacing w:line="240" w:lineRule="auto"/>
              <w:ind w:firstLine="0" w:firstLineChars="0"/>
              <w:jc w:val="center"/>
              <w:rPr>
                <w:sz w:val="21"/>
                <w:szCs w:val="21"/>
              </w:rPr>
            </w:pPr>
            <w:r>
              <w:rPr>
                <w:sz w:val="21"/>
                <w:szCs w:val="21"/>
              </w:rPr>
              <w:t>80</w:t>
            </w:r>
          </w:p>
        </w:tc>
        <w:tc>
          <w:tcPr>
            <w:tcW w:w="1060" w:type="dxa"/>
            <w:vAlign w:val="center"/>
          </w:tcPr>
          <w:p>
            <w:pPr>
              <w:widowControl/>
              <w:spacing w:line="240" w:lineRule="auto"/>
              <w:ind w:firstLine="0" w:firstLineChars="0"/>
              <w:jc w:val="center"/>
              <w:rPr>
                <w:sz w:val="21"/>
                <w:szCs w:val="21"/>
              </w:rPr>
            </w:pPr>
            <w:r>
              <w:rPr>
                <w:sz w:val="21"/>
                <w:szCs w:val="21"/>
              </w:rPr>
              <w:t>90</w:t>
            </w:r>
          </w:p>
        </w:tc>
        <w:tc>
          <w:tcPr>
            <w:tcW w:w="1120" w:type="dxa"/>
            <w:vAlign w:val="center"/>
          </w:tcPr>
          <w:p>
            <w:pPr>
              <w:widowControl/>
              <w:spacing w:line="240" w:lineRule="auto"/>
              <w:ind w:firstLine="0" w:firstLineChars="0"/>
              <w:jc w:val="center"/>
              <w:rPr>
                <w:sz w:val="21"/>
                <w:szCs w:val="21"/>
              </w:rPr>
            </w:pPr>
            <w:r>
              <w:rPr>
                <w:sz w:val="21"/>
                <w:szCs w:val="21"/>
              </w:rPr>
              <w:t>100</w:t>
            </w:r>
          </w:p>
        </w:tc>
        <w:tc>
          <w:tcPr>
            <w:tcW w:w="1000" w:type="dxa"/>
            <w:vAlign w:val="center"/>
          </w:tcPr>
          <w:p>
            <w:pPr>
              <w:widowControl/>
              <w:spacing w:line="240" w:lineRule="auto"/>
              <w:ind w:firstLine="0" w:firstLineChars="0"/>
              <w:jc w:val="center"/>
              <w:rPr>
                <w:sz w:val="21"/>
                <w:szCs w:val="21"/>
              </w:rPr>
            </w:pPr>
            <w:r>
              <w:rPr>
                <w:sz w:val="21"/>
                <w:szCs w:val="21"/>
              </w:rPr>
              <w:t>150</w:t>
            </w:r>
          </w:p>
        </w:tc>
        <w:tc>
          <w:tcPr>
            <w:tcW w:w="1070" w:type="dxa"/>
            <w:vAlign w:val="center"/>
          </w:tcPr>
          <w:p>
            <w:pPr>
              <w:widowControl/>
              <w:spacing w:line="240" w:lineRule="auto"/>
              <w:ind w:firstLine="0" w:firstLineChars="0"/>
              <w:jc w:val="center"/>
              <w:rPr>
                <w:sz w:val="21"/>
                <w:szCs w:val="21"/>
              </w:rPr>
            </w:pPr>
            <w:r>
              <w:rPr>
                <w:sz w:val="21"/>
                <w:szCs w:val="21"/>
              </w:rPr>
              <w:t>200</w:t>
            </w:r>
          </w:p>
        </w:tc>
        <w:tc>
          <w:tcPr>
            <w:tcW w:w="960" w:type="dxa"/>
            <w:vAlign w:val="center"/>
          </w:tcPr>
          <w:p>
            <w:pPr>
              <w:widowControl/>
              <w:spacing w:line="240" w:lineRule="auto"/>
              <w:ind w:firstLine="0" w:firstLineChars="0"/>
              <w:jc w:val="center"/>
              <w:rPr>
                <w:sz w:val="21"/>
                <w:szCs w:val="21"/>
              </w:rPr>
            </w:pPr>
            <w:r>
              <w:rPr>
                <w:sz w:val="21"/>
                <w:szCs w:val="21"/>
              </w:rPr>
              <w:t>250</w:t>
            </w:r>
          </w:p>
        </w:tc>
        <w:tc>
          <w:tcPr>
            <w:tcW w:w="891" w:type="dxa"/>
            <w:vAlign w:val="center"/>
          </w:tcPr>
          <w:p>
            <w:pPr>
              <w:widowControl/>
              <w:spacing w:line="240" w:lineRule="auto"/>
              <w:ind w:firstLine="0" w:firstLineChars="0"/>
              <w:jc w:val="center"/>
              <w:rPr>
                <w:sz w:val="21"/>
                <w:szCs w:val="21"/>
              </w:rPr>
            </w:pPr>
            <w:r>
              <w:rPr>
                <w:sz w:val="21"/>
                <w:szCs w:val="21"/>
              </w:rPr>
              <w:t>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31" w:type="dxa"/>
            <w:vAlign w:val="center"/>
          </w:tcPr>
          <w:p>
            <w:pPr>
              <w:widowControl/>
              <w:spacing w:line="240" w:lineRule="auto"/>
              <w:ind w:firstLine="0" w:firstLineChars="0"/>
              <w:jc w:val="center"/>
              <w:rPr>
                <w:sz w:val="21"/>
                <w:szCs w:val="21"/>
              </w:rPr>
            </w:pPr>
            <w:r>
              <w:rPr>
                <w:rFonts w:hint="eastAsia"/>
                <w:sz w:val="21"/>
                <w:szCs w:val="21"/>
              </w:rPr>
              <w:t>沉降速度（</w:t>
            </w:r>
            <w:r>
              <w:rPr>
                <w:sz w:val="21"/>
                <w:szCs w:val="21"/>
              </w:rPr>
              <w:t>m/s</w:t>
            </w:r>
            <w:r>
              <w:rPr>
                <w:rFonts w:hint="eastAsia"/>
                <w:sz w:val="21"/>
                <w:szCs w:val="21"/>
              </w:rPr>
              <w:t>）</w:t>
            </w:r>
          </w:p>
        </w:tc>
        <w:tc>
          <w:tcPr>
            <w:tcW w:w="1160" w:type="dxa"/>
            <w:vAlign w:val="center"/>
          </w:tcPr>
          <w:p>
            <w:pPr>
              <w:widowControl/>
              <w:spacing w:line="240" w:lineRule="auto"/>
              <w:ind w:firstLine="0" w:firstLineChars="0"/>
              <w:jc w:val="center"/>
              <w:rPr>
                <w:sz w:val="21"/>
                <w:szCs w:val="21"/>
              </w:rPr>
            </w:pPr>
            <w:r>
              <w:rPr>
                <w:sz w:val="21"/>
                <w:szCs w:val="21"/>
              </w:rPr>
              <w:t>0.158</w:t>
            </w:r>
          </w:p>
        </w:tc>
        <w:tc>
          <w:tcPr>
            <w:tcW w:w="1060" w:type="dxa"/>
            <w:vAlign w:val="center"/>
          </w:tcPr>
          <w:p>
            <w:pPr>
              <w:widowControl/>
              <w:spacing w:line="240" w:lineRule="auto"/>
              <w:ind w:firstLine="0" w:firstLineChars="0"/>
              <w:jc w:val="center"/>
              <w:rPr>
                <w:sz w:val="21"/>
                <w:szCs w:val="21"/>
              </w:rPr>
            </w:pPr>
            <w:r>
              <w:rPr>
                <w:sz w:val="21"/>
                <w:szCs w:val="21"/>
              </w:rPr>
              <w:t>0.170</w:t>
            </w:r>
          </w:p>
        </w:tc>
        <w:tc>
          <w:tcPr>
            <w:tcW w:w="1120" w:type="dxa"/>
            <w:vAlign w:val="center"/>
          </w:tcPr>
          <w:p>
            <w:pPr>
              <w:widowControl/>
              <w:spacing w:line="240" w:lineRule="auto"/>
              <w:ind w:firstLine="0" w:firstLineChars="0"/>
              <w:jc w:val="center"/>
              <w:rPr>
                <w:sz w:val="21"/>
                <w:szCs w:val="21"/>
              </w:rPr>
            </w:pPr>
            <w:r>
              <w:rPr>
                <w:sz w:val="21"/>
                <w:szCs w:val="21"/>
              </w:rPr>
              <w:t>0.182</w:t>
            </w:r>
          </w:p>
        </w:tc>
        <w:tc>
          <w:tcPr>
            <w:tcW w:w="1000" w:type="dxa"/>
            <w:vAlign w:val="center"/>
          </w:tcPr>
          <w:p>
            <w:pPr>
              <w:widowControl/>
              <w:spacing w:line="240" w:lineRule="auto"/>
              <w:ind w:firstLine="0" w:firstLineChars="0"/>
              <w:jc w:val="center"/>
              <w:rPr>
                <w:sz w:val="21"/>
                <w:szCs w:val="21"/>
              </w:rPr>
            </w:pPr>
            <w:r>
              <w:rPr>
                <w:sz w:val="21"/>
                <w:szCs w:val="21"/>
              </w:rPr>
              <w:t>0.239</w:t>
            </w:r>
          </w:p>
        </w:tc>
        <w:tc>
          <w:tcPr>
            <w:tcW w:w="1070" w:type="dxa"/>
            <w:vAlign w:val="center"/>
          </w:tcPr>
          <w:p>
            <w:pPr>
              <w:widowControl/>
              <w:spacing w:line="240" w:lineRule="auto"/>
              <w:ind w:firstLine="0" w:firstLineChars="0"/>
              <w:jc w:val="center"/>
              <w:rPr>
                <w:sz w:val="21"/>
                <w:szCs w:val="21"/>
              </w:rPr>
            </w:pPr>
            <w:r>
              <w:rPr>
                <w:sz w:val="21"/>
                <w:szCs w:val="21"/>
              </w:rPr>
              <w:t>0.804</w:t>
            </w:r>
          </w:p>
        </w:tc>
        <w:tc>
          <w:tcPr>
            <w:tcW w:w="960" w:type="dxa"/>
            <w:vAlign w:val="center"/>
          </w:tcPr>
          <w:p>
            <w:pPr>
              <w:widowControl/>
              <w:spacing w:line="240" w:lineRule="auto"/>
              <w:ind w:firstLine="0" w:firstLineChars="0"/>
              <w:jc w:val="center"/>
              <w:rPr>
                <w:sz w:val="21"/>
                <w:szCs w:val="21"/>
              </w:rPr>
            </w:pPr>
            <w:r>
              <w:rPr>
                <w:sz w:val="21"/>
                <w:szCs w:val="21"/>
              </w:rPr>
              <w:t>1.005</w:t>
            </w:r>
          </w:p>
        </w:tc>
        <w:tc>
          <w:tcPr>
            <w:tcW w:w="891" w:type="dxa"/>
            <w:vAlign w:val="center"/>
          </w:tcPr>
          <w:p>
            <w:pPr>
              <w:widowControl/>
              <w:spacing w:line="240" w:lineRule="auto"/>
              <w:ind w:firstLine="0" w:firstLineChars="0"/>
              <w:jc w:val="center"/>
              <w:rPr>
                <w:sz w:val="21"/>
                <w:szCs w:val="21"/>
              </w:rPr>
            </w:pPr>
            <w:r>
              <w:rPr>
                <w:sz w:val="21"/>
                <w:szCs w:val="21"/>
              </w:rPr>
              <w:t>1.829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31" w:type="dxa"/>
            <w:vAlign w:val="center"/>
          </w:tcPr>
          <w:p>
            <w:pPr>
              <w:widowControl/>
              <w:spacing w:line="240" w:lineRule="auto"/>
              <w:ind w:firstLine="0" w:firstLineChars="0"/>
              <w:jc w:val="center"/>
              <w:rPr>
                <w:sz w:val="21"/>
                <w:szCs w:val="21"/>
              </w:rPr>
            </w:pPr>
            <w:r>
              <w:rPr>
                <w:rFonts w:hint="eastAsia"/>
                <w:sz w:val="21"/>
                <w:szCs w:val="21"/>
              </w:rPr>
              <w:t>粒径（</w:t>
            </w:r>
            <w:r>
              <w:rPr>
                <w:sz w:val="21"/>
                <w:szCs w:val="21"/>
              </w:rPr>
              <w:t>μm</w:t>
            </w:r>
            <w:r>
              <w:rPr>
                <w:rFonts w:hint="eastAsia"/>
                <w:sz w:val="21"/>
                <w:szCs w:val="21"/>
              </w:rPr>
              <w:t>）</w:t>
            </w:r>
          </w:p>
        </w:tc>
        <w:tc>
          <w:tcPr>
            <w:tcW w:w="1160" w:type="dxa"/>
            <w:vAlign w:val="center"/>
          </w:tcPr>
          <w:p>
            <w:pPr>
              <w:widowControl/>
              <w:spacing w:line="240" w:lineRule="auto"/>
              <w:ind w:firstLine="0" w:firstLineChars="0"/>
              <w:jc w:val="center"/>
              <w:rPr>
                <w:sz w:val="21"/>
                <w:szCs w:val="21"/>
              </w:rPr>
            </w:pPr>
            <w:r>
              <w:rPr>
                <w:sz w:val="21"/>
                <w:szCs w:val="21"/>
              </w:rPr>
              <w:t>450</w:t>
            </w:r>
          </w:p>
        </w:tc>
        <w:tc>
          <w:tcPr>
            <w:tcW w:w="1060" w:type="dxa"/>
            <w:vAlign w:val="center"/>
          </w:tcPr>
          <w:p>
            <w:pPr>
              <w:widowControl/>
              <w:spacing w:line="240" w:lineRule="auto"/>
              <w:ind w:firstLine="0" w:firstLineChars="0"/>
              <w:jc w:val="center"/>
              <w:rPr>
                <w:sz w:val="21"/>
                <w:szCs w:val="21"/>
              </w:rPr>
            </w:pPr>
            <w:r>
              <w:rPr>
                <w:sz w:val="21"/>
                <w:szCs w:val="21"/>
              </w:rPr>
              <w:t>550</w:t>
            </w:r>
          </w:p>
        </w:tc>
        <w:tc>
          <w:tcPr>
            <w:tcW w:w="1120" w:type="dxa"/>
            <w:vAlign w:val="center"/>
          </w:tcPr>
          <w:p>
            <w:pPr>
              <w:widowControl/>
              <w:spacing w:line="240" w:lineRule="auto"/>
              <w:ind w:firstLine="0" w:firstLineChars="0"/>
              <w:jc w:val="center"/>
              <w:rPr>
                <w:sz w:val="21"/>
                <w:szCs w:val="21"/>
              </w:rPr>
            </w:pPr>
            <w:r>
              <w:rPr>
                <w:sz w:val="21"/>
                <w:szCs w:val="21"/>
              </w:rPr>
              <w:t>650</w:t>
            </w:r>
          </w:p>
        </w:tc>
        <w:tc>
          <w:tcPr>
            <w:tcW w:w="1000" w:type="dxa"/>
            <w:vAlign w:val="center"/>
          </w:tcPr>
          <w:p>
            <w:pPr>
              <w:widowControl/>
              <w:spacing w:line="240" w:lineRule="auto"/>
              <w:ind w:firstLine="0" w:firstLineChars="0"/>
              <w:jc w:val="center"/>
              <w:rPr>
                <w:sz w:val="21"/>
                <w:szCs w:val="21"/>
              </w:rPr>
            </w:pPr>
            <w:r>
              <w:rPr>
                <w:sz w:val="21"/>
                <w:szCs w:val="21"/>
              </w:rPr>
              <w:t>750</w:t>
            </w:r>
          </w:p>
        </w:tc>
        <w:tc>
          <w:tcPr>
            <w:tcW w:w="1070" w:type="dxa"/>
            <w:vAlign w:val="center"/>
          </w:tcPr>
          <w:p>
            <w:pPr>
              <w:widowControl/>
              <w:spacing w:line="240" w:lineRule="auto"/>
              <w:ind w:firstLine="0" w:firstLineChars="0"/>
              <w:jc w:val="center"/>
              <w:rPr>
                <w:sz w:val="21"/>
                <w:szCs w:val="21"/>
              </w:rPr>
            </w:pPr>
            <w:r>
              <w:rPr>
                <w:sz w:val="21"/>
                <w:szCs w:val="21"/>
              </w:rPr>
              <w:t>850</w:t>
            </w:r>
          </w:p>
        </w:tc>
        <w:tc>
          <w:tcPr>
            <w:tcW w:w="960" w:type="dxa"/>
            <w:vAlign w:val="center"/>
          </w:tcPr>
          <w:p>
            <w:pPr>
              <w:widowControl/>
              <w:spacing w:line="240" w:lineRule="auto"/>
              <w:ind w:firstLine="0" w:firstLineChars="0"/>
              <w:jc w:val="center"/>
              <w:rPr>
                <w:sz w:val="21"/>
                <w:szCs w:val="21"/>
              </w:rPr>
            </w:pPr>
            <w:r>
              <w:rPr>
                <w:sz w:val="21"/>
                <w:szCs w:val="21"/>
              </w:rPr>
              <w:t>950</w:t>
            </w:r>
          </w:p>
        </w:tc>
        <w:tc>
          <w:tcPr>
            <w:tcW w:w="891" w:type="dxa"/>
            <w:vAlign w:val="center"/>
          </w:tcPr>
          <w:p>
            <w:pPr>
              <w:widowControl/>
              <w:spacing w:line="240" w:lineRule="auto"/>
              <w:ind w:firstLine="0" w:firstLineChars="0"/>
              <w:jc w:val="center"/>
              <w:rPr>
                <w:sz w:val="21"/>
                <w:szCs w:val="21"/>
              </w:rPr>
            </w:pPr>
            <w:r>
              <w:rPr>
                <w:sz w:val="21"/>
                <w:szCs w:val="21"/>
              </w:rPr>
              <w:t>1050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31" w:type="dxa"/>
            <w:vAlign w:val="center"/>
          </w:tcPr>
          <w:p>
            <w:pPr>
              <w:widowControl/>
              <w:spacing w:line="240" w:lineRule="auto"/>
              <w:ind w:firstLine="0" w:firstLineChars="0"/>
              <w:jc w:val="center"/>
              <w:rPr>
                <w:sz w:val="21"/>
                <w:szCs w:val="21"/>
              </w:rPr>
            </w:pPr>
            <w:r>
              <w:rPr>
                <w:rFonts w:hint="eastAsia"/>
                <w:sz w:val="21"/>
                <w:szCs w:val="21"/>
              </w:rPr>
              <w:t>沉降速度（</w:t>
            </w:r>
            <w:r>
              <w:rPr>
                <w:sz w:val="21"/>
                <w:szCs w:val="21"/>
              </w:rPr>
              <w:t>m/s</w:t>
            </w:r>
            <w:r>
              <w:rPr>
                <w:rFonts w:hint="eastAsia"/>
                <w:sz w:val="21"/>
                <w:szCs w:val="21"/>
              </w:rPr>
              <w:t>）</w:t>
            </w:r>
          </w:p>
        </w:tc>
        <w:tc>
          <w:tcPr>
            <w:tcW w:w="1160" w:type="dxa"/>
            <w:vAlign w:val="center"/>
          </w:tcPr>
          <w:p>
            <w:pPr>
              <w:widowControl/>
              <w:spacing w:line="240" w:lineRule="auto"/>
              <w:ind w:firstLine="0" w:firstLineChars="0"/>
              <w:jc w:val="center"/>
              <w:rPr>
                <w:sz w:val="21"/>
                <w:szCs w:val="21"/>
              </w:rPr>
            </w:pPr>
            <w:r>
              <w:rPr>
                <w:sz w:val="21"/>
                <w:szCs w:val="21"/>
              </w:rPr>
              <w:t>2.211</w:t>
            </w:r>
          </w:p>
        </w:tc>
        <w:tc>
          <w:tcPr>
            <w:tcW w:w="1060" w:type="dxa"/>
            <w:vAlign w:val="center"/>
          </w:tcPr>
          <w:p>
            <w:pPr>
              <w:widowControl/>
              <w:spacing w:line="240" w:lineRule="auto"/>
              <w:ind w:firstLine="0" w:firstLineChars="0"/>
              <w:jc w:val="center"/>
              <w:rPr>
                <w:sz w:val="21"/>
                <w:szCs w:val="21"/>
              </w:rPr>
            </w:pPr>
            <w:r>
              <w:rPr>
                <w:sz w:val="21"/>
                <w:szCs w:val="21"/>
              </w:rPr>
              <w:t>2.614</w:t>
            </w:r>
          </w:p>
        </w:tc>
        <w:tc>
          <w:tcPr>
            <w:tcW w:w="1120" w:type="dxa"/>
            <w:vAlign w:val="center"/>
          </w:tcPr>
          <w:p>
            <w:pPr>
              <w:widowControl/>
              <w:spacing w:line="240" w:lineRule="auto"/>
              <w:ind w:firstLine="0" w:firstLineChars="0"/>
              <w:jc w:val="center"/>
              <w:rPr>
                <w:sz w:val="21"/>
                <w:szCs w:val="21"/>
              </w:rPr>
            </w:pPr>
            <w:r>
              <w:rPr>
                <w:sz w:val="21"/>
                <w:szCs w:val="21"/>
              </w:rPr>
              <w:t>3.016</w:t>
            </w:r>
          </w:p>
        </w:tc>
        <w:tc>
          <w:tcPr>
            <w:tcW w:w="1000" w:type="dxa"/>
            <w:vAlign w:val="center"/>
          </w:tcPr>
          <w:p>
            <w:pPr>
              <w:widowControl/>
              <w:spacing w:line="240" w:lineRule="auto"/>
              <w:ind w:firstLine="0" w:firstLineChars="0"/>
              <w:jc w:val="center"/>
              <w:rPr>
                <w:sz w:val="21"/>
                <w:szCs w:val="21"/>
              </w:rPr>
            </w:pPr>
            <w:r>
              <w:rPr>
                <w:sz w:val="21"/>
                <w:szCs w:val="21"/>
              </w:rPr>
              <w:t>3.418</w:t>
            </w:r>
          </w:p>
        </w:tc>
        <w:tc>
          <w:tcPr>
            <w:tcW w:w="1070" w:type="dxa"/>
            <w:vAlign w:val="center"/>
          </w:tcPr>
          <w:p>
            <w:pPr>
              <w:widowControl/>
              <w:spacing w:line="240" w:lineRule="auto"/>
              <w:ind w:firstLine="0" w:firstLineChars="0"/>
              <w:jc w:val="center"/>
              <w:rPr>
                <w:sz w:val="21"/>
                <w:szCs w:val="21"/>
              </w:rPr>
            </w:pPr>
            <w:r>
              <w:rPr>
                <w:sz w:val="21"/>
                <w:szCs w:val="21"/>
              </w:rPr>
              <w:t>3.820</w:t>
            </w:r>
          </w:p>
        </w:tc>
        <w:tc>
          <w:tcPr>
            <w:tcW w:w="960" w:type="dxa"/>
            <w:vAlign w:val="center"/>
          </w:tcPr>
          <w:p>
            <w:pPr>
              <w:widowControl/>
              <w:spacing w:line="240" w:lineRule="auto"/>
              <w:ind w:firstLine="0" w:firstLineChars="0"/>
              <w:jc w:val="center"/>
              <w:rPr>
                <w:sz w:val="21"/>
                <w:szCs w:val="21"/>
              </w:rPr>
            </w:pPr>
            <w:r>
              <w:rPr>
                <w:sz w:val="21"/>
                <w:szCs w:val="21"/>
              </w:rPr>
              <w:t>4.222</w:t>
            </w:r>
          </w:p>
        </w:tc>
        <w:tc>
          <w:tcPr>
            <w:tcW w:w="891" w:type="dxa"/>
            <w:vAlign w:val="center"/>
          </w:tcPr>
          <w:p>
            <w:pPr>
              <w:widowControl/>
              <w:spacing w:line="240" w:lineRule="auto"/>
              <w:ind w:firstLine="0" w:firstLineChars="0"/>
              <w:jc w:val="center"/>
              <w:rPr>
                <w:sz w:val="21"/>
                <w:szCs w:val="21"/>
              </w:rPr>
            </w:pPr>
            <w:r>
              <w:rPr>
                <w:sz w:val="21"/>
                <w:szCs w:val="21"/>
              </w:rPr>
              <w:t>4.624</w:t>
            </w:r>
          </w:p>
        </w:tc>
      </w:tr>
    </w:tbl>
    <w:p>
      <w:pPr>
        <w:widowControl/>
        <w:ind w:firstLine="480"/>
        <w:rPr>
          <w:color w:val="000000"/>
          <w:lang w:bidi="ar"/>
        </w:rPr>
      </w:pPr>
      <w:r>
        <w:rPr>
          <w:rFonts w:hint="eastAsia"/>
          <w:color w:val="000000"/>
          <w:lang w:bidi="ar"/>
        </w:rPr>
        <w:t>从表</w:t>
      </w:r>
      <w:r>
        <w:rPr>
          <w:color w:val="000000"/>
          <w:lang w:bidi="ar"/>
        </w:rPr>
        <w:t>6.1-2</w:t>
      </w:r>
      <w:r>
        <w:rPr>
          <w:rFonts w:hint="eastAsia"/>
          <w:color w:val="000000"/>
          <w:lang w:bidi="ar"/>
        </w:rPr>
        <w:t xml:space="preserve">可以看出，尘粒的沉降速度随粒径的增大而迅速增大。当粒径为 </w:t>
      </w:r>
      <w:r>
        <w:rPr>
          <w:color w:val="000000"/>
          <w:lang w:bidi="ar"/>
        </w:rPr>
        <w:t>250μm</w:t>
      </w:r>
      <w:r>
        <w:rPr>
          <w:rFonts w:hint="eastAsia"/>
          <w:color w:val="000000"/>
          <w:lang w:bidi="ar"/>
        </w:rPr>
        <w:t>，沉降速度为</w:t>
      </w:r>
      <w:r>
        <w:rPr>
          <w:color w:val="000000"/>
          <w:lang w:bidi="ar"/>
        </w:rPr>
        <w:t>1.005m/s</w:t>
      </w:r>
      <w:r>
        <w:rPr>
          <w:rFonts w:hint="eastAsia"/>
          <w:color w:val="000000"/>
          <w:lang w:bidi="ar"/>
        </w:rPr>
        <w:t>，因此可以认为当尘粒大于</w:t>
      </w:r>
      <w:r>
        <w:rPr>
          <w:color w:val="000000"/>
          <w:lang w:bidi="ar"/>
        </w:rPr>
        <w:t>250μm</w:t>
      </w:r>
      <w:r>
        <w:rPr>
          <w:rFonts w:hint="eastAsia"/>
          <w:color w:val="000000"/>
          <w:lang w:bidi="ar"/>
        </w:rPr>
        <w:t>时，主要影响范围在扬尘点下风向近距离范围内，而真正对外环境产生影响的是一些微小尘粒。在有风的情况下，施工扬尘会对该区域造成一定的影响。由起尘计算公式可知，</w:t>
      </w:r>
      <w:r>
        <w:rPr>
          <w:color w:val="000000"/>
          <w:lang w:bidi="ar"/>
        </w:rPr>
        <w:t>V</w:t>
      </w:r>
      <w:r>
        <w:rPr>
          <w:color w:val="000000"/>
          <w:vertAlign w:val="subscript"/>
          <w:lang w:bidi="ar"/>
        </w:rPr>
        <w:t>0</w:t>
      </w:r>
      <w:r>
        <w:rPr>
          <w:rFonts w:hint="eastAsia"/>
          <w:color w:val="000000"/>
          <w:lang w:bidi="ar"/>
        </w:rPr>
        <w:t>与粒径和含水率有关，因此，通过采取减少露天堆放和保证一定的含水率及减少裸露地面等措施后，风力起尘对环境的影响较小。</w:t>
      </w:r>
    </w:p>
    <w:p>
      <w:pPr>
        <w:widowControl/>
        <w:ind w:firstLine="480"/>
        <w:rPr>
          <w:color w:val="000000"/>
          <w:lang w:bidi="ar"/>
        </w:rPr>
      </w:pPr>
      <w:r>
        <w:rPr>
          <w:rFonts w:hint="eastAsia"/>
          <w:color w:val="000000"/>
          <w:lang w:bidi="ar"/>
        </w:rPr>
        <w:t>建设单位在施工期应当做到以下几点：</w:t>
      </w:r>
    </w:p>
    <w:p>
      <w:pPr>
        <w:widowControl/>
        <w:ind w:firstLine="480"/>
        <w:rPr>
          <w:color w:val="000000"/>
          <w:lang w:bidi="ar"/>
        </w:rPr>
      </w:pPr>
      <w:r>
        <w:rPr>
          <w:rFonts w:hint="eastAsia"/>
          <w:color w:val="000000"/>
          <w:lang w:bidi="ar"/>
        </w:rPr>
        <w:t>（1）施工单位应加强环境保护法律法规及有关管理规定的宣传，并将扬尘防治等环境保护知识纳入工人上岗前的培训教育内容，对所有进场人员进行环保教育，作业前对工人进行扬尘污染防治措施的技术交底，做到文明施工。</w:t>
      </w:r>
    </w:p>
    <w:p>
      <w:pPr>
        <w:widowControl/>
        <w:ind w:firstLine="480"/>
        <w:rPr>
          <w:color w:val="000000"/>
          <w:lang w:bidi="ar"/>
        </w:rPr>
      </w:pPr>
      <w:r>
        <w:rPr>
          <w:rFonts w:hint="eastAsia"/>
          <w:color w:val="000000"/>
          <w:lang w:bidi="ar"/>
        </w:rPr>
        <w:t>（2）建筑施工现场四周必须按国家有关标准规定设置连续围挡，设置高度不低于1.8米（临主干道围挡不低于2.5米）。建筑工程施工现场应使用坚固、美观、可周转使用的硬质施工围挡。根据项目实际情况要求四周边界设置不低于2.5米围挡，围挡由金属、混凝土、塑料等硬质材料制作。施工期间，建筑工地实行围挡全封闭施工，围挡下方设置不低于20cm高的防溢座以防止粉尘流失；任意两块围挡以及围挡与防溢座的拼接处都不能有大于0.5cm的缝隙，围挡不得有明显破损的漏洞。</w:t>
      </w:r>
    </w:p>
    <w:p>
      <w:pPr>
        <w:widowControl/>
        <w:ind w:firstLine="480"/>
        <w:rPr>
          <w:color w:val="000000"/>
          <w:lang w:bidi="ar"/>
        </w:rPr>
      </w:pPr>
      <w:r>
        <w:rPr>
          <w:rFonts w:hint="eastAsia"/>
          <w:color w:val="000000"/>
          <w:lang w:bidi="ar"/>
        </w:rPr>
        <w:t>（3）建筑施工现场出入口必须设置车辆冲洗池和定型化车辆自动冲洗装置，运输车辆驶出工地前，应对车轮、车身、车槽帮等部位进行清理或清洗以保证车辆清洁上路；洗车喷嘴静水压不低于0.5Mpa；洗车污水经沉淀后回用于抑尘，回用率100%；施工场所车辆入口和出口30m以内的路面上不应有明显泥印，以及砂石、灰土等易扬尘物料。</w:t>
      </w:r>
    </w:p>
    <w:p>
      <w:pPr>
        <w:widowControl/>
        <w:ind w:firstLine="480"/>
        <w:rPr>
          <w:color w:val="000000"/>
          <w:lang w:bidi="ar"/>
        </w:rPr>
      </w:pPr>
      <w:r>
        <w:rPr>
          <w:rFonts w:hint="eastAsia"/>
          <w:color w:val="000000"/>
          <w:lang w:bidi="ar"/>
        </w:rPr>
        <w:t>（4）建筑施工现场要设置排水管网，并设沉淀池，施工废水经沉淀后回用，雨水需经过沉淀池沉淀后方可排入市政雨水管网，排水设施应处于良好的使用状态。沉淀淤泥要及时清除或集中存放。</w:t>
      </w:r>
    </w:p>
    <w:p>
      <w:pPr>
        <w:widowControl/>
        <w:ind w:firstLine="480"/>
        <w:rPr>
          <w:color w:val="000000"/>
          <w:lang w:bidi="ar"/>
        </w:rPr>
      </w:pPr>
      <w:r>
        <w:rPr>
          <w:rFonts w:hint="eastAsia"/>
          <w:color w:val="000000"/>
          <w:lang w:bidi="ar"/>
        </w:rPr>
        <w:t>（5）建筑施工现场出入口、场内主要道路及生活区、工作区必须进行地面硬化，确保地面坚实平整；闲置场地应进行硬化、绿化等防尘处理。建筑材料、构件、料具应按照施工总平面图划定的区域堆放整齐。施工场地内土石方、建筑垃圾、建筑材料、拆除垃圾不得露天堆放，应覆盖防风抑尘网等，全面覆盖，并加强喷淋洒水等措施，以提高物料堆的含水率，进而起到抑尘的效果。</w:t>
      </w:r>
    </w:p>
    <w:p>
      <w:pPr>
        <w:widowControl/>
        <w:ind w:firstLine="480"/>
        <w:rPr>
          <w:color w:val="000000"/>
          <w:lang w:bidi="ar"/>
        </w:rPr>
      </w:pPr>
      <w:r>
        <w:rPr>
          <w:rFonts w:hint="eastAsia"/>
          <w:color w:val="000000"/>
          <w:lang w:bidi="ar"/>
        </w:rPr>
        <w:t>（6）运载建筑材料以及建筑垃圾的车辆要加盖篷布减少散落，做到运输密闭化；运输车辆行驶路线应避免穿越城市中心区，尽量避开居民点和环境敏感点。严格按照渣土管理有关规定，运输车辆不得超载，被运渣土不得含水太多，造成沿途泥浆滴漏，从而影响城市道路整洁，渣土必须及时清运并按照制定的运输路线行驶，运往指定的倾倒地点，以减少由于渣土产生的扬尘对环境空气质量的影响。</w:t>
      </w:r>
    </w:p>
    <w:p>
      <w:pPr>
        <w:widowControl/>
        <w:ind w:firstLine="480"/>
        <w:rPr>
          <w:color w:val="000000"/>
          <w:lang w:bidi="ar"/>
        </w:rPr>
      </w:pPr>
      <w:r>
        <w:rPr>
          <w:rFonts w:hint="eastAsia"/>
          <w:color w:val="000000"/>
          <w:lang w:bidi="ar"/>
        </w:rPr>
        <w:t>（7）渣土、建筑垃圾、拆除垃圾等运输过程中应当选择车况良好的运输车辆，以避免因车辆本身振动而造成土方或物料散落地面，从而产生扬尘污染。运输过程中限制车速，施工场地道路及时清扫，经常洒水，最大限度减轻道路运输扬尘的产生。</w:t>
      </w:r>
    </w:p>
    <w:p>
      <w:pPr>
        <w:widowControl/>
        <w:ind w:firstLine="480"/>
        <w:rPr>
          <w:color w:val="000000"/>
          <w:lang w:bidi="ar"/>
        </w:rPr>
      </w:pPr>
      <w:r>
        <w:rPr>
          <w:rFonts w:hint="eastAsia"/>
          <w:color w:val="000000"/>
          <w:lang w:bidi="ar"/>
        </w:rPr>
        <w:t>（8）建筑施工现场在进行土方开挖、回填、转运作业前，应对可能造成的扬尘污染程度进行判定，在正常施工情况下不能有效控制扬尘的，应当对拟作业的土方事先采取增加土方湿度等处理措施，以有效减少扬尘污染。施工过程中应当采取有效降尘防尘措施，多余土方应及时清运出场。现场堆置需要回填使用的土方应进行表面固化和覆盖。出现五级及以上大风天气，必须采取防扬尘应急措施，且不得进行土方开挖、回填、转运作业及工程拆除等作业。</w:t>
      </w:r>
    </w:p>
    <w:p>
      <w:pPr>
        <w:widowControl/>
        <w:ind w:firstLine="480"/>
        <w:rPr>
          <w:color w:val="000000"/>
          <w:lang w:bidi="ar"/>
        </w:rPr>
      </w:pPr>
      <w:r>
        <w:rPr>
          <w:rFonts w:hint="eastAsia"/>
          <w:color w:val="000000"/>
          <w:lang w:bidi="ar"/>
        </w:rPr>
        <w:t>（9）在建工程外脚手架必须采用符合标准要求的密目网进行全面封闭。并保持严密整洁；楼层内清理施工垃圾，应采取先洒水降尘后清扫的作业方法，并使用封闭式管道或装袋（或容器）使用垂直升降机械清运，严禁高处随意</w:t>
      </w:r>
      <w:r>
        <w:rPr>
          <w:rFonts w:hint="eastAsia"/>
          <w:color w:val="000000"/>
          <w:lang w:eastAsia="zh-CN" w:bidi="ar"/>
        </w:rPr>
        <w:t>抛洒</w:t>
      </w:r>
      <w:r>
        <w:rPr>
          <w:rFonts w:hint="eastAsia"/>
          <w:color w:val="000000"/>
          <w:lang w:bidi="ar"/>
        </w:rPr>
        <w:t>。</w:t>
      </w:r>
    </w:p>
    <w:p>
      <w:pPr>
        <w:widowControl/>
        <w:ind w:firstLine="480"/>
        <w:rPr>
          <w:color w:val="000000"/>
          <w:lang w:bidi="ar"/>
        </w:rPr>
      </w:pPr>
      <w:r>
        <w:rPr>
          <w:rFonts w:hint="eastAsia"/>
          <w:color w:val="000000"/>
          <w:lang w:bidi="ar"/>
        </w:rPr>
        <w:t>（10）应按相关规定使用散装水泥；城市建成区禁止现场搅拌混凝土和配制砂浆，普通砂浆使用散装预拌砂浆。</w:t>
      </w:r>
    </w:p>
    <w:p>
      <w:pPr>
        <w:widowControl/>
        <w:ind w:firstLine="480"/>
        <w:rPr>
          <w:color w:val="000000"/>
          <w:lang w:bidi="ar"/>
        </w:rPr>
      </w:pPr>
      <w:r>
        <w:rPr>
          <w:rFonts w:hint="eastAsia"/>
          <w:color w:val="000000"/>
          <w:lang w:bidi="ar"/>
        </w:rPr>
        <w:t>（11）拆除楼房，应当组织力量集中拆除，尽量缩短拆房时限。拆除前应先浇水，拆除过程中如有粉尘产生，应当边拆边浇控制粉尘，采取湿法作业。拆除旧房的建筑渣土应当在拆除后三日内清运，因特殊原因确不能及时清运的，应当对建筑渣土进行覆盖处理。建筑渣土清运过程中，应当在工地出口处敷设草垫，并委派专人对出口遗漏的渣土进行清扫。</w:t>
      </w:r>
    </w:p>
    <w:p>
      <w:pPr>
        <w:widowControl/>
        <w:ind w:firstLine="480"/>
        <w:rPr>
          <w:color w:val="000000"/>
          <w:lang w:bidi="ar"/>
        </w:rPr>
      </w:pPr>
      <w:r>
        <w:rPr>
          <w:rFonts w:hint="eastAsia"/>
          <w:color w:val="000000"/>
          <w:lang w:bidi="ar"/>
        </w:rPr>
        <w:t>（12）在施工工地主要扬尘产生点安装视频监控装置，实行施工全过程监控；城市主城区的施工工地渣土车和粉状物料运输车依法采取密闭措施并逐步安装卫星定位系统。成立施工期污染防治管理小组及居民监督小组，对施工期大气污染防治管理要做到目标责任制，具体到个人。同时，并在施工场外，周围居民点内设置施工期环保管理体制标识，标明负责人，接受周围居民的监督，一旦发现有对周围居民生活造成影响的环境问题，责任人应第一时间进行协调，及时解决问题，保证施工期扬尘等大气污染不会对周围居民生活造成影响。</w:t>
      </w:r>
    </w:p>
    <w:p>
      <w:pPr>
        <w:widowControl/>
        <w:ind w:firstLine="480"/>
        <w:rPr>
          <w:color w:val="000000"/>
          <w:lang w:bidi="ar"/>
        </w:rPr>
      </w:pPr>
      <w:r>
        <w:rPr>
          <w:rFonts w:hint="eastAsia"/>
          <w:color w:val="000000"/>
          <w:u w:val="single"/>
          <w:lang w:bidi="ar"/>
        </w:rPr>
        <w:t>根据现场踏勘，项目施工场地位于</w:t>
      </w:r>
      <w:r>
        <w:rPr>
          <w:rFonts w:hint="eastAsia"/>
          <w:u w:val="single"/>
          <w:lang w:eastAsia="zh-CN"/>
        </w:rPr>
        <w:t>平顶山市尼龙新材料产业集聚区</w:t>
      </w:r>
      <w:r>
        <w:rPr>
          <w:rFonts w:hint="eastAsia"/>
          <w:color w:val="000000"/>
          <w:u w:val="single"/>
          <w:lang w:bidi="ar"/>
        </w:rPr>
        <w:t>，距离最近的环境敏感点为东</w:t>
      </w:r>
      <w:r>
        <w:rPr>
          <w:rFonts w:hint="eastAsia"/>
          <w:color w:val="000000"/>
          <w:u w:val="single"/>
          <w:lang w:eastAsia="zh-CN" w:bidi="ar"/>
        </w:rPr>
        <w:t>南</w:t>
      </w:r>
      <w:r>
        <w:rPr>
          <w:rFonts w:hint="eastAsia"/>
          <w:color w:val="000000"/>
          <w:u w:val="single"/>
          <w:lang w:bidi="ar"/>
        </w:rPr>
        <w:t>侧</w:t>
      </w:r>
      <w:r>
        <w:rPr>
          <w:rFonts w:hint="eastAsia"/>
          <w:color w:val="000000"/>
          <w:u w:val="single"/>
          <w:lang w:eastAsia="zh-CN" w:bidi="ar"/>
        </w:rPr>
        <w:t>泥河张村</w:t>
      </w:r>
      <w:r>
        <w:rPr>
          <w:rFonts w:hint="eastAsia"/>
          <w:color w:val="000000"/>
          <w:u w:val="single"/>
          <w:lang w:val="en-US" w:eastAsia="zh-CN" w:bidi="ar"/>
        </w:rPr>
        <w:t>478</w:t>
      </w:r>
      <w:r>
        <w:rPr>
          <w:rFonts w:hint="eastAsia"/>
          <w:color w:val="000000"/>
          <w:u w:val="single"/>
          <w:lang w:bidi="ar"/>
        </w:rPr>
        <w:t>m。</w:t>
      </w:r>
      <w:r>
        <w:rPr>
          <w:rFonts w:hint="eastAsia"/>
          <w:color w:val="000000"/>
          <w:lang w:bidi="ar"/>
        </w:rPr>
        <w:t>施工扬尘必然会对其产生一定影响，因此，评价要求施工单位需严格落实以上措施，施工过程中做到施工文明化、运输密闭化、进出冲洗化、物料覆盖化、场地全硬化、工地围挡化的要求；在建工程外脚手架采用符合标准要求的密目网进行全面封闭，并保持严密整洁；五级以上大风天气禁止土方开挖、回填、转运作业及工程拆除等作业；施工场地及时打扫、洒水抑尘；建筑施工、拆迁过程全面达到防扬尘标准，加强管理，并做好周围居民的安抚工作，接受周围居民的监督，一旦出现扰民现象，须立即停止施工，并及时与周围居民进行通报，尽量将施工扬尘的影响降至最低。</w:t>
      </w:r>
    </w:p>
    <w:p>
      <w:pPr>
        <w:widowControl/>
        <w:ind w:firstLine="480"/>
        <w:rPr>
          <w:color w:val="000000"/>
          <w:lang w:bidi="ar"/>
        </w:rPr>
      </w:pPr>
      <w:r>
        <w:rPr>
          <w:rFonts w:hint="eastAsia"/>
          <w:color w:val="000000"/>
          <w:lang w:bidi="ar"/>
        </w:rPr>
        <w:t>2、机械及运输车辆燃油废气</w:t>
      </w:r>
    </w:p>
    <w:p>
      <w:pPr>
        <w:widowControl/>
        <w:ind w:firstLine="480"/>
        <w:rPr>
          <w:color w:val="000000"/>
          <w:lang w:bidi="ar"/>
        </w:rPr>
      </w:pPr>
      <w:r>
        <w:rPr>
          <w:rFonts w:hint="eastAsia"/>
          <w:color w:val="000000"/>
          <w:lang w:bidi="ar"/>
        </w:rPr>
        <w:t>施工阶段，频繁使用机动车辆运输建筑材料、施工设备及器材、建筑垃圾等，运输车辆一般是大型柴油车，产生一定量的燃油尾气，废气污染物为CO、NOx、THC等，由于车辆为非连续行驶状态，污染物排放时间及排放量相对较少，汽车尾气对周边环境及居民影响较小。</w:t>
      </w:r>
    </w:p>
    <w:p>
      <w:pPr>
        <w:widowControl/>
        <w:ind w:firstLine="480"/>
        <w:rPr>
          <w:color w:val="000000"/>
          <w:lang w:bidi="ar"/>
        </w:rPr>
      </w:pPr>
      <w:r>
        <w:rPr>
          <w:rFonts w:hint="eastAsia"/>
          <w:color w:val="000000"/>
          <w:lang w:bidi="ar"/>
        </w:rPr>
        <w:t>同时，施工场地内的运输车辆应禁止超载，不得使用劣质燃料；对车辆的尾气排放应进行监督管理。严格执行汽车监管办法的相关规定，避免排放黑烟，同时要注意车辆的维修与维护，使其保证在良好的状态下工作，以减少汽车尾气的排放量。</w:t>
      </w:r>
    </w:p>
    <w:p>
      <w:pPr>
        <w:widowControl/>
        <w:ind w:firstLine="480"/>
        <w:rPr>
          <w:color w:val="000000"/>
          <w:lang w:bidi="ar"/>
        </w:rPr>
      </w:pPr>
      <w:r>
        <w:rPr>
          <w:rFonts w:hint="eastAsia"/>
          <w:color w:val="000000"/>
          <w:lang w:bidi="ar"/>
        </w:rPr>
        <w:t>3、临时食堂</w:t>
      </w:r>
    </w:p>
    <w:p>
      <w:pPr>
        <w:widowControl/>
        <w:ind w:firstLine="480"/>
        <w:rPr>
          <w:color w:val="000000"/>
          <w:lang w:bidi="ar"/>
        </w:rPr>
      </w:pPr>
      <w:r>
        <w:rPr>
          <w:rFonts w:hint="eastAsia"/>
          <w:color w:val="000000"/>
          <w:lang w:bidi="ar"/>
        </w:rPr>
        <w:t>施工期因在驻地内设简易食堂供建筑工人就餐，因此会有少量饮食油烟及燃料废气产生。食堂燃料使用液化石油气，为清洁能源，污染物产生量较少，与油烟废气一起经抽油烟机引至室外房顶排放，对周围环境空气质量影响很小。</w:t>
      </w:r>
    </w:p>
    <w:p>
      <w:pPr>
        <w:widowControl/>
        <w:ind w:firstLine="480"/>
        <w:rPr>
          <w:color w:val="000000"/>
          <w:lang w:bidi="ar"/>
        </w:rPr>
      </w:pPr>
      <w:r>
        <w:rPr>
          <w:rFonts w:hint="eastAsia"/>
          <w:color w:val="000000"/>
          <w:lang w:bidi="ar"/>
        </w:rPr>
        <w:t>本项目食堂油烟产生量为0.11kg/d，油烟产生量较小，经抽油烟机引至室外房顶排放，对周围环境空气质量影响很小。</w:t>
      </w:r>
    </w:p>
    <w:p>
      <w:pPr>
        <w:pStyle w:val="7"/>
        <w:ind w:firstLine="562"/>
      </w:pPr>
      <w:bookmarkStart w:id="143" w:name="_Toc29193"/>
      <w:r>
        <w:t>6.1.2 水环境影响分析</w:t>
      </w:r>
      <w:bookmarkEnd w:id="143"/>
    </w:p>
    <w:p>
      <w:pPr>
        <w:widowControl/>
        <w:ind w:firstLine="480"/>
        <w:rPr>
          <w:color w:val="000000"/>
          <w:lang w:bidi="ar"/>
        </w:rPr>
      </w:pPr>
      <w:r>
        <w:rPr>
          <w:rFonts w:hint="eastAsia"/>
          <w:color w:val="000000"/>
          <w:lang w:bidi="ar"/>
        </w:rPr>
        <w:t>施工用水主要用于生活用水和工程用水，取自地下水井，用软管接入项目</w:t>
      </w:r>
      <w:r>
        <w:rPr>
          <w:rFonts w:hint="eastAsia"/>
          <w:color w:val="000000"/>
          <w:lang w:eastAsia="zh-CN" w:bidi="ar"/>
        </w:rPr>
        <w:t>地</w:t>
      </w:r>
      <w:r>
        <w:rPr>
          <w:rFonts w:hint="eastAsia"/>
          <w:color w:val="000000"/>
          <w:lang w:bidi="ar"/>
        </w:rPr>
        <w:t>。建设单位应先自行建立污水处理设施后进行建筑施工。</w:t>
      </w:r>
    </w:p>
    <w:p>
      <w:pPr>
        <w:widowControl/>
        <w:ind w:firstLine="480"/>
        <w:rPr>
          <w:color w:val="000000"/>
          <w:lang w:bidi="ar"/>
        </w:rPr>
      </w:pPr>
      <w:r>
        <w:rPr>
          <w:rFonts w:hint="eastAsia"/>
          <w:color w:val="000000"/>
          <w:lang w:bidi="ar"/>
        </w:rPr>
        <w:t>施工期的污水排放主要来自施工人员的生活污水和施工废水。</w:t>
      </w:r>
    </w:p>
    <w:p>
      <w:pPr>
        <w:widowControl/>
        <w:ind w:firstLine="480"/>
        <w:rPr>
          <w:color w:val="000000"/>
          <w:lang w:bidi="ar"/>
        </w:rPr>
      </w:pPr>
      <w:r>
        <w:rPr>
          <w:rFonts w:hint="eastAsia"/>
          <w:color w:val="000000"/>
          <w:lang w:bidi="ar"/>
        </w:rPr>
        <w:t>（</w:t>
      </w:r>
      <w:r>
        <w:rPr>
          <w:color w:val="000000"/>
          <w:lang w:bidi="ar"/>
        </w:rPr>
        <w:t>1</w:t>
      </w:r>
      <w:r>
        <w:rPr>
          <w:rFonts w:hint="eastAsia"/>
          <w:color w:val="000000"/>
          <w:lang w:bidi="ar"/>
        </w:rPr>
        <w:t>）生活污水</w:t>
      </w:r>
    </w:p>
    <w:p>
      <w:pPr>
        <w:widowControl/>
        <w:ind w:firstLine="480"/>
        <w:rPr>
          <w:color w:val="000000"/>
          <w:lang w:bidi="ar"/>
        </w:rPr>
      </w:pPr>
      <w:r>
        <w:rPr>
          <w:rFonts w:hint="eastAsia"/>
          <w:color w:val="000000"/>
          <w:lang w:bidi="ar"/>
        </w:rPr>
        <w:t>施工人员生活污水依托现有化粪池，定期清掏肥田，对周围水环境影响较小。</w:t>
      </w:r>
    </w:p>
    <w:p>
      <w:pPr>
        <w:widowControl/>
        <w:ind w:firstLine="480"/>
        <w:rPr>
          <w:color w:val="000000"/>
          <w:lang w:bidi="ar"/>
        </w:rPr>
      </w:pPr>
      <w:r>
        <w:rPr>
          <w:rFonts w:hint="eastAsia"/>
          <w:color w:val="000000"/>
          <w:lang w:bidi="ar"/>
        </w:rPr>
        <w:t>（</w:t>
      </w:r>
      <w:r>
        <w:rPr>
          <w:color w:val="000000"/>
          <w:lang w:bidi="ar"/>
        </w:rPr>
        <w:t>2</w:t>
      </w:r>
      <w:r>
        <w:rPr>
          <w:rFonts w:hint="eastAsia"/>
          <w:color w:val="000000"/>
          <w:lang w:bidi="ar"/>
        </w:rPr>
        <w:t>）施工废水</w:t>
      </w:r>
    </w:p>
    <w:p>
      <w:pPr>
        <w:widowControl/>
        <w:ind w:firstLine="480"/>
        <w:rPr>
          <w:color w:val="000000"/>
          <w:lang w:bidi="ar"/>
        </w:rPr>
      </w:pPr>
      <w:r>
        <w:rPr>
          <w:rFonts w:hint="eastAsia"/>
          <w:color w:val="000000"/>
          <w:lang w:bidi="ar"/>
        </w:rPr>
        <w:t>施工期的作业废水主要为各类作业废水如搅拌机清洗水、打桩泥浆水、洗石冲灰废水以及车辆的冲洗水等以及含砂雨水，主要污染物是悬浮物等。该施工废水若直接排放，可能会造成周边市政污水管网的堵塞，并污染周边的水环境及生态环境，对其造成一定影响。因此，本项目施工期主要道路将采用砼硬化路面，场地四周将敷设排水沟（管），并修建沉淀池和洗车池，洗车池设置在施工场地的出入口。含砂雨水、进出施工场地的车辆清洗废水以及施工机械冲洗废水等经施工场地内的排水沟（管）排入沉淀池进行沉淀澄清处理后回用。沉淀池设置为一座池子，对冲洗废水以及雨水进行二级沉淀后，重新用于施工机械以及车辆的冲洗水。由于施工机械以及车辆冲洗对水质要求不高，而且废水中主要含大颗粒沙砾，二级沉淀对大沙砾沉淀效果较好，因此废水经沉淀后回用于施工机械以及车辆的冲洗是可行的。同时施工现场的设备和车辆冲洗水沉淀处理前应有简单的隔油功能，防止机油外泄。</w:t>
      </w:r>
    </w:p>
    <w:p>
      <w:pPr>
        <w:widowControl/>
        <w:ind w:firstLine="480"/>
        <w:rPr>
          <w:color w:val="000000"/>
          <w:lang w:bidi="ar"/>
        </w:rPr>
      </w:pPr>
      <w:r>
        <w:rPr>
          <w:rFonts w:hint="eastAsia"/>
          <w:color w:val="000000"/>
          <w:lang w:bidi="ar"/>
        </w:rPr>
        <w:t>此外，在施工期的打桩阶段会产生一定量的泥浆水，由于本项目施工采用静压桩，打桩产生的泥浆水量很小，产生量约0.5</w:t>
      </w:r>
      <w:r>
        <w:rPr>
          <w:color w:val="000000"/>
          <w:lang w:bidi="ar"/>
        </w:rPr>
        <w:t>t/d</w:t>
      </w:r>
      <w:r>
        <w:rPr>
          <w:rFonts w:hint="eastAsia"/>
          <w:color w:val="000000"/>
          <w:lang w:bidi="ar"/>
        </w:rPr>
        <w:t>，根据类比监测调查</w:t>
      </w:r>
      <w:r>
        <w:rPr>
          <w:color w:val="000000"/>
          <w:lang w:bidi="ar"/>
        </w:rPr>
        <w:t>SS</w:t>
      </w:r>
      <w:r>
        <w:rPr>
          <w:rFonts w:hint="eastAsia"/>
          <w:color w:val="000000"/>
          <w:lang w:bidi="ar"/>
        </w:rPr>
        <w:t>为</w:t>
      </w:r>
      <w:r>
        <w:rPr>
          <w:color w:val="000000"/>
          <w:lang w:bidi="ar"/>
        </w:rPr>
        <w:t>1000mg/L~3000mg/L</w:t>
      </w:r>
      <w:r>
        <w:rPr>
          <w:rFonts w:hint="eastAsia"/>
          <w:color w:val="000000"/>
          <w:lang w:bidi="ar"/>
        </w:rPr>
        <w:t>，肆意排放会造成周边河道的污染，因此本项目泥浆水排入沉淀池进行沉淀澄清处理后回用，不得随意排放。施工打桩现场设置临时沉淀池，将泥浆水沉淀处理到</w:t>
      </w:r>
      <w:r>
        <w:rPr>
          <w:color w:val="000000"/>
          <w:lang w:bidi="ar"/>
        </w:rPr>
        <w:t>SS</w:t>
      </w:r>
      <w:r>
        <w:rPr>
          <w:rFonts w:hint="eastAsia"/>
          <w:color w:val="000000"/>
          <w:lang w:bidi="ar"/>
        </w:rPr>
        <w:t>≤</w:t>
      </w:r>
      <w:r>
        <w:rPr>
          <w:color w:val="000000"/>
          <w:lang w:bidi="ar"/>
        </w:rPr>
        <w:t>100mg/L</w:t>
      </w:r>
      <w:r>
        <w:rPr>
          <w:rFonts w:hint="eastAsia"/>
          <w:color w:val="000000"/>
          <w:lang w:bidi="ar"/>
        </w:rPr>
        <w:t>后，和处理后的作业废水一起用于喷淋施工地表开挖造成的裸露场地，防止裸露场地在大风天气里产生扬尘。</w:t>
      </w:r>
    </w:p>
    <w:p>
      <w:pPr>
        <w:widowControl/>
        <w:ind w:firstLine="480"/>
        <w:rPr>
          <w:color w:val="000000"/>
          <w:lang w:bidi="ar"/>
        </w:rPr>
      </w:pPr>
      <w:r>
        <w:rPr>
          <w:rFonts w:hint="eastAsia"/>
          <w:color w:val="000000"/>
          <w:lang w:bidi="ar"/>
        </w:rPr>
        <w:t>综上，本项目施工期作业废水及含砂雨水经处理后全部循环使用，无废水排放，对周围环境影响较小。</w:t>
      </w:r>
    </w:p>
    <w:p>
      <w:pPr>
        <w:pStyle w:val="7"/>
        <w:ind w:firstLine="562"/>
      </w:pPr>
      <w:bookmarkStart w:id="144" w:name="_Toc22990"/>
      <w:r>
        <w:t xml:space="preserve">6.1.3 </w:t>
      </w:r>
      <w:r>
        <w:rPr>
          <w:rFonts w:hint="eastAsia"/>
        </w:rPr>
        <w:t>声环境影响分析</w:t>
      </w:r>
      <w:bookmarkEnd w:id="144"/>
    </w:p>
    <w:p>
      <w:pPr>
        <w:widowControl/>
        <w:ind w:firstLine="480"/>
        <w:rPr>
          <w:color w:val="000000"/>
          <w:lang w:bidi="ar"/>
        </w:rPr>
      </w:pPr>
      <w:r>
        <w:rPr>
          <w:rFonts w:hint="eastAsia"/>
          <w:color w:val="000000"/>
          <w:lang w:bidi="ar"/>
        </w:rPr>
        <w:t>1、施工期噪声环境影响</w:t>
      </w:r>
    </w:p>
    <w:p>
      <w:pPr>
        <w:widowControl/>
        <w:ind w:firstLine="480"/>
        <w:rPr>
          <w:color w:val="000000"/>
          <w:lang w:bidi="ar"/>
        </w:rPr>
      </w:pPr>
      <w:r>
        <w:rPr>
          <w:rFonts w:hint="eastAsia"/>
          <w:color w:val="000000"/>
          <w:lang w:bidi="ar"/>
        </w:rPr>
        <w:t>项目施工期噪声主要来源于施工机械噪声和运输车辆噪声。在施工过程中，由于各 种施工机械设备的运转和各类车辆的运行，不可避免地将产生噪声污染。根据调查本项目的主要噪声源如下表</w:t>
      </w:r>
      <w:r>
        <w:rPr>
          <w:color w:val="000000"/>
          <w:lang w:bidi="ar"/>
        </w:rPr>
        <w:t>6.1-3</w:t>
      </w:r>
      <w:r>
        <w:rPr>
          <w:rFonts w:hint="eastAsia"/>
          <w:color w:val="000000"/>
          <w:lang w:bidi="ar"/>
        </w:rPr>
        <w:t>。</w:t>
      </w:r>
    </w:p>
    <w:p>
      <w:pPr>
        <w:widowControl/>
        <w:ind w:firstLine="0" w:firstLineChars="0"/>
        <w:jc w:val="center"/>
        <w:rPr>
          <w:b/>
          <w:bCs/>
          <w:color w:val="000000"/>
          <w:lang w:bidi="ar"/>
        </w:rPr>
      </w:pPr>
      <w:r>
        <w:rPr>
          <w:rFonts w:hint="eastAsia"/>
          <w:b/>
          <w:bCs/>
          <w:color w:val="000000"/>
          <w:lang w:bidi="ar"/>
        </w:rPr>
        <w:t>表6.1-3  施工机械噪声源一览表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71"/>
        <w:gridCol w:w="48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71" w:type="dxa"/>
            <w:vAlign w:val="center"/>
          </w:tcPr>
          <w:p>
            <w:pPr>
              <w:pStyle w:val="38"/>
              <w:rPr>
                <w:rFonts w:hint="default"/>
              </w:rPr>
            </w:pPr>
            <w:r>
              <w:t>声源</w:t>
            </w:r>
          </w:p>
        </w:tc>
        <w:tc>
          <w:tcPr>
            <w:tcW w:w="4821" w:type="dxa"/>
            <w:vAlign w:val="center"/>
          </w:tcPr>
          <w:p>
            <w:pPr>
              <w:pStyle w:val="38"/>
              <w:rPr>
                <w:rFonts w:hint="default"/>
              </w:rPr>
            </w:pPr>
            <w:r>
              <w:t>噪声源强 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71" w:type="dxa"/>
            <w:vAlign w:val="center"/>
          </w:tcPr>
          <w:p>
            <w:pPr>
              <w:pStyle w:val="38"/>
              <w:rPr>
                <w:rFonts w:hint="default"/>
              </w:rPr>
            </w:pPr>
            <w:r>
              <w:t>装载机</w:t>
            </w:r>
          </w:p>
        </w:tc>
        <w:tc>
          <w:tcPr>
            <w:tcW w:w="4821" w:type="dxa"/>
            <w:vAlign w:val="center"/>
          </w:tcPr>
          <w:p>
            <w:pPr>
              <w:pStyle w:val="38"/>
              <w:rPr>
                <w:rFonts w:hint="default"/>
              </w:rPr>
            </w:pPr>
            <w:r>
              <w: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71" w:type="dxa"/>
            <w:vAlign w:val="center"/>
          </w:tcPr>
          <w:p>
            <w:pPr>
              <w:pStyle w:val="38"/>
              <w:rPr>
                <w:rFonts w:hint="default"/>
              </w:rPr>
            </w:pPr>
            <w:r>
              <w:t>挖掘机</w:t>
            </w:r>
          </w:p>
        </w:tc>
        <w:tc>
          <w:tcPr>
            <w:tcW w:w="4821" w:type="dxa"/>
            <w:vAlign w:val="center"/>
          </w:tcPr>
          <w:p>
            <w:pPr>
              <w:pStyle w:val="38"/>
              <w:rPr>
                <w:rFonts w:hint="default"/>
              </w:rPr>
            </w:pPr>
            <w:r>
              <w: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471" w:type="dxa"/>
            <w:vAlign w:val="center"/>
          </w:tcPr>
          <w:p>
            <w:pPr>
              <w:pStyle w:val="38"/>
              <w:rPr>
                <w:rFonts w:hint="default"/>
              </w:rPr>
            </w:pPr>
            <w:r>
              <w:t>推土机</w:t>
            </w:r>
          </w:p>
        </w:tc>
        <w:tc>
          <w:tcPr>
            <w:tcW w:w="4821" w:type="dxa"/>
            <w:vAlign w:val="center"/>
          </w:tcPr>
          <w:p>
            <w:pPr>
              <w:pStyle w:val="38"/>
              <w:rPr>
                <w:rFonts w:hint="default"/>
              </w:rPr>
            </w:pPr>
            <w: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71" w:type="dxa"/>
            <w:vAlign w:val="center"/>
          </w:tcPr>
          <w:p>
            <w:pPr>
              <w:pStyle w:val="38"/>
              <w:rPr>
                <w:rFonts w:hint="default"/>
              </w:rPr>
            </w:pPr>
            <w:r>
              <w:t>电锯</w:t>
            </w:r>
          </w:p>
        </w:tc>
        <w:tc>
          <w:tcPr>
            <w:tcW w:w="4821" w:type="dxa"/>
            <w:vAlign w:val="center"/>
          </w:tcPr>
          <w:p>
            <w:pPr>
              <w:pStyle w:val="38"/>
              <w:rPr>
                <w:rFonts w:hint="default"/>
              </w:rPr>
            </w:pPr>
            <w: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71" w:type="dxa"/>
            <w:vAlign w:val="center"/>
          </w:tcPr>
          <w:p>
            <w:pPr>
              <w:pStyle w:val="38"/>
              <w:rPr>
                <w:rFonts w:hint="default"/>
              </w:rPr>
            </w:pPr>
            <w:r>
              <w:t>电锤</w:t>
            </w:r>
          </w:p>
        </w:tc>
        <w:tc>
          <w:tcPr>
            <w:tcW w:w="4821" w:type="dxa"/>
            <w:vAlign w:val="center"/>
          </w:tcPr>
          <w:p>
            <w:pPr>
              <w:pStyle w:val="38"/>
              <w:rPr>
                <w:rFonts w:hint="default"/>
              </w:rPr>
            </w:pPr>
            <w: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71" w:type="dxa"/>
            <w:vAlign w:val="center"/>
          </w:tcPr>
          <w:p>
            <w:pPr>
              <w:pStyle w:val="38"/>
              <w:rPr>
                <w:rFonts w:hint="default"/>
              </w:rPr>
            </w:pPr>
            <w:r>
              <w:t>电刨</w:t>
            </w:r>
          </w:p>
        </w:tc>
        <w:tc>
          <w:tcPr>
            <w:tcW w:w="4821" w:type="dxa"/>
            <w:vAlign w:val="center"/>
          </w:tcPr>
          <w:p>
            <w:pPr>
              <w:pStyle w:val="38"/>
              <w:rPr>
                <w:rFonts w:hint="default"/>
              </w:rPr>
            </w:pPr>
            <w:r>
              <w:t>85</w:t>
            </w:r>
          </w:p>
        </w:tc>
      </w:tr>
    </w:tbl>
    <w:p>
      <w:pPr>
        <w:widowControl/>
        <w:ind w:firstLine="480"/>
        <w:rPr>
          <w:color w:val="000000"/>
          <w:lang w:bidi="ar"/>
        </w:rPr>
      </w:pPr>
      <w:r>
        <w:rPr>
          <w:rFonts w:hint="eastAsia"/>
          <w:color w:val="000000"/>
          <w:lang w:bidi="ar"/>
        </w:rPr>
        <w:t>施工中使用的各种施工机械、运输车辆等都是噪声的产生源。假设所有设备均为稳态连续发声状态，在不考虑任何声屏障情况下，各设备采用最大噪声值进行预测，根据声环境导则无指向性点源几何发散衰减模式：</w:t>
      </w:r>
    </w:p>
    <w:p>
      <w:pPr>
        <w:widowControl/>
        <w:ind w:firstLine="480"/>
        <w:rPr>
          <w:color w:val="000000"/>
          <w:lang w:bidi="ar"/>
        </w:rPr>
      </w:pPr>
      <w:r>
        <w:rPr>
          <w:rFonts w:hint="eastAsia"/>
          <w:color w:val="000000"/>
        </w:rPr>
        <w:drawing>
          <wp:inline distT="0" distB="0" distL="114300" distR="114300">
            <wp:extent cx="2247900" cy="40005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74"/>
                    <a:stretch>
                      <a:fillRect/>
                    </a:stretch>
                  </pic:blipFill>
                  <pic:spPr>
                    <a:xfrm>
                      <a:off x="0" y="0"/>
                      <a:ext cx="2247900" cy="400050"/>
                    </a:xfrm>
                    <a:prstGeom prst="rect">
                      <a:avLst/>
                    </a:prstGeom>
                    <a:noFill/>
                    <a:ln>
                      <a:noFill/>
                    </a:ln>
                  </pic:spPr>
                </pic:pic>
              </a:graphicData>
            </a:graphic>
          </wp:inline>
        </w:drawing>
      </w:r>
    </w:p>
    <w:p>
      <w:pPr>
        <w:widowControl/>
        <w:ind w:firstLine="480"/>
        <w:rPr>
          <w:color w:val="000000"/>
          <w:lang w:bidi="ar"/>
        </w:rPr>
      </w:pPr>
      <w:r>
        <w:rPr>
          <w:rFonts w:hint="eastAsia"/>
          <w:color w:val="000000"/>
          <w:lang w:bidi="ar"/>
        </w:rPr>
        <w:t>式中：</w:t>
      </w:r>
    </w:p>
    <w:p>
      <w:pPr>
        <w:widowControl/>
        <w:ind w:firstLine="480"/>
        <w:rPr>
          <w:color w:val="000000"/>
          <w:lang w:bidi="ar"/>
        </w:rPr>
      </w:pPr>
      <w:r>
        <w:rPr>
          <w:color w:val="000000"/>
          <w:lang w:bidi="ar"/>
        </w:rPr>
        <w:t>Lp</w:t>
      </w:r>
      <w:r>
        <w:rPr>
          <w:rFonts w:hint="eastAsia"/>
          <w:color w:val="000000"/>
          <w:lang w:bidi="ar"/>
        </w:rPr>
        <w:t>（</w:t>
      </w:r>
      <w:r>
        <w:rPr>
          <w:color w:val="000000"/>
          <w:lang w:bidi="ar"/>
        </w:rPr>
        <w:t>r</w:t>
      </w:r>
      <w:r>
        <w:rPr>
          <w:rFonts w:hint="eastAsia"/>
          <w:color w:val="000000"/>
          <w:lang w:bidi="ar"/>
        </w:rPr>
        <w:t>）</w:t>
      </w:r>
      <w:r>
        <w:rPr>
          <w:color w:val="000000"/>
          <w:lang w:bidi="ar"/>
        </w:rPr>
        <w:t>——</w:t>
      </w:r>
      <w:r>
        <w:rPr>
          <w:rFonts w:hint="eastAsia"/>
          <w:color w:val="000000"/>
          <w:lang w:bidi="ar"/>
        </w:rPr>
        <w:t>距声源</w:t>
      </w:r>
      <w:r>
        <w:rPr>
          <w:color w:val="000000"/>
          <w:lang w:bidi="ar"/>
        </w:rPr>
        <w:t>r</w:t>
      </w:r>
      <w:r>
        <w:rPr>
          <w:rFonts w:hint="eastAsia"/>
          <w:color w:val="000000"/>
          <w:lang w:bidi="ar"/>
        </w:rPr>
        <w:t>处的</w:t>
      </w:r>
      <w:r>
        <w:rPr>
          <w:color w:val="000000"/>
          <w:lang w:bidi="ar"/>
        </w:rPr>
        <w:t>A</w:t>
      </w:r>
      <w:r>
        <w:rPr>
          <w:rFonts w:hint="eastAsia"/>
          <w:color w:val="000000"/>
          <w:lang w:bidi="ar"/>
        </w:rPr>
        <w:t>声级，</w:t>
      </w:r>
      <w:r>
        <w:rPr>
          <w:color w:val="000000"/>
          <w:lang w:bidi="ar"/>
        </w:rPr>
        <w:t>dB</w:t>
      </w:r>
    </w:p>
    <w:p>
      <w:pPr>
        <w:widowControl/>
        <w:ind w:firstLine="480"/>
        <w:rPr>
          <w:color w:val="000000"/>
          <w:lang w:bidi="ar"/>
        </w:rPr>
      </w:pPr>
      <w:r>
        <w:rPr>
          <w:color w:val="000000"/>
          <w:lang w:bidi="ar"/>
        </w:rPr>
        <w:t>Lp</w:t>
      </w:r>
      <w:r>
        <w:rPr>
          <w:rFonts w:hint="eastAsia"/>
          <w:color w:val="000000"/>
          <w:lang w:bidi="ar"/>
        </w:rPr>
        <w:t>（</w:t>
      </w:r>
      <w:r>
        <w:rPr>
          <w:color w:val="000000"/>
          <w:lang w:bidi="ar"/>
        </w:rPr>
        <w:t>r0</w:t>
      </w:r>
      <w:r>
        <w:rPr>
          <w:rFonts w:hint="eastAsia"/>
          <w:color w:val="000000"/>
          <w:lang w:bidi="ar"/>
        </w:rPr>
        <w:t>）</w:t>
      </w:r>
      <w:r>
        <w:rPr>
          <w:color w:val="000000"/>
          <w:lang w:bidi="ar"/>
        </w:rPr>
        <w:t>——</w:t>
      </w:r>
      <w:r>
        <w:rPr>
          <w:rFonts w:hint="eastAsia"/>
          <w:color w:val="000000"/>
          <w:lang w:bidi="ar"/>
        </w:rPr>
        <w:t>声源噪声功率级，</w:t>
      </w:r>
      <w:r>
        <w:rPr>
          <w:color w:val="000000"/>
          <w:lang w:bidi="ar"/>
        </w:rPr>
        <w:t>dB</w:t>
      </w:r>
    </w:p>
    <w:p>
      <w:pPr>
        <w:widowControl/>
        <w:ind w:firstLine="480"/>
        <w:rPr>
          <w:color w:val="000000"/>
          <w:lang w:bidi="ar"/>
        </w:rPr>
      </w:pPr>
      <w:r>
        <w:rPr>
          <w:color w:val="000000"/>
          <w:lang w:bidi="ar"/>
        </w:rPr>
        <w:t>r ——</w:t>
      </w:r>
      <w:r>
        <w:rPr>
          <w:rFonts w:hint="eastAsia"/>
          <w:color w:val="000000"/>
          <w:lang w:bidi="ar"/>
        </w:rPr>
        <w:t>受声点与声源距离，</w:t>
      </w:r>
      <w:r>
        <w:rPr>
          <w:color w:val="000000"/>
          <w:lang w:bidi="ar"/>
        </w:rPr>
        <w:t>m</w:t>
      </w:r>
    </w:p>
    <w:p>
      <w:pPr>
        <w:widowControl/>
        <w:ind w:firstLine="480"/>
        <w:rPr>
          <w:color w:val="000000"/>
          <w:lang w:bidi="ar"/>
        </w:rPr>
      </w:pPr>
      <w:r>
        <w:rPr>
          <w:rFonts w:hint="eastAsia"/>
          <w:color w:val="000000"/>
          <w:lang w:bidi="ar"/>
        </w:rPr>
        <w:t>点声源距离衰减情况如下表所示：</w:t>
      </w:r>
    </w:p>
    <w:p>
      <w:pPr>
        <w:widowControl/>
        <w:ind w:firstLine="0" w:firstLineChars="0"/>
        <w:jc w:val="center"/>
        <w:rPr>
          <w:b/>
          <w:bCs/>
          <w:color w:val="000000"/>
          <w:lang w:bidi="ar"/>
        </w:rPr>
      </w:pPr>
      <w:r>
        <w:rPr>
          <w:rFonts w:hint="eastAsia"/>
          <w:b/>
          <w:bCs/>
          <w:color w:val="000000"/>
          <w:lang w:bidi="ar"/>
        </w:rPr>
        <w:t>表6.1-4  点声源距离衰减情况</w:t>
      </w:r>
    </w:p>
    <w:tbl>
      <w:tblPr>
        <w:tblStyle w:val="2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0"/>
        <w:gridCol w:w="840"/>
        <w:gridCol w:w="719"/>
        <w:gridCol w:w="844"/>
        <w:gridCol w:w="844"/>
        <w:gridCol w:w="844"/>
        <w:gridCol w:w="844"/>
        <w:gridCol w:w="844"/>
        <w:gridCol w:w="844"/>
        <w:gridCol w:w="844"/>
        <w:gridCol w:w="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pPr>
              <w:pStyle w:val="38"/>
              <w:rPr>
                <w:rFonts w:hint="default"/>
              </w:rPr>
            </w:pPr>
            <w:r>
              <w:t>源强</w:t>
            </w:r>
          </w:p>
        </w:tc>
        <w:tc>
          <w:tcPr>
            <w:tcW w:w="4477" w:type="pct"/>
            <w:gridSpan w:val="10"/>
            <w:vAlign w:val="center"/>
          </w:tcPr>
          <w:p>
            <w:pPr>
              <w:pStyle w:val="38"/>
              <w:rPr>
                <w:rFonts w:hint="default"/>
              </w:rPr>
            </w:pPr>
            <w:r>
              <w:rPr>
                <w:rFonts w:hint="default"/>
              </w:rPr>
              <w:t>100dB</w:t>
            </w:r>
            <w:r>
              <w:t>（</w:t>
            </w:r>
            <w:r>
              <w:rPr>
                <w:rFonts w:hint="default"/>
              </w:rPr>
              <w:t>A</w:t>
            </w: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pPr>
              <w:pStyle w:val="38"/>
              <w:rPr>
                <w:rFonts w:hint="default"/>
              </w:rPr>
            </w:pPr>
            <w:r>
              <w:t>距离</w:t>
            </w:r>
          </w:p>
        </w:tc>
        <w:tc>
          <w:tcPr>
            <w:tcW w:w="452" w:type="pct"/>
            <w:vAlign w:val="center"/>
          </w:tcPr>
          <w:p>
            <w:pPr>
              <w:pStyle w:val="38"/>
              <w:rPr>
                <w:rFonts w:hint="default"/>
              </w:rPr>
            </w:pPr>
            <w:r>
              <w:t>30</w:t>
            </w:r>
          </w:p>
        </w:tc>
        <w:tc>
          <w:tcPr>
            <w:tcW w:w="387" w:type="pct"/>
            <w:vAlign w:val="center"/>
          </w:tcPr>
          <w:p>
            <w:pPr>
              <w:pStyle w:val="38"/>
              <w:rPr>
                <w:rFonts w:hint="default"/>
              </w:rPr>
            </w:pPr>
            <w:r>
              <w:t>50</w:t>
            </w:r>
          </w:p>
        </w:tc>
        <w:tc>
          <w:tcPr>
            <w:tcW w:w="454" w:type="pct"/>
            <w:vAlign w:val="center"/>
          </w:tcPr>
          <w:p>
            <w:pPr>
              <w:pStyle w:val="38"/>
              <w:rPr>
                <w:rFonts w:hint="default"/>
              </w:rPr>
            </w:pPr>
            <w:r>
              <w:t>100</w:t>
            </w:r>
          </w:p>
        </w:tc>
        <w:tc>
          <w:tcPr>
            <w:tcW w:w="454" w:type="pct"/>
            <w:vAlign w:val="center"/>
          </w:tcPr>
          <w:p>
            <w:pPr>
              <w:pStyle w:val="38"/>
              <w:rPr>
                <w:rFonts w:hint="default"/>
              </w:rPr>
            </w:pPr>
            <w:r>
              <w:t>150</w:t>
            </w:r>
          </w:p>
        </w:tc>
        <w:tc>
          <w:tcPr>
            <w:tcW w:w="454" w:type="pct"/>
            <w:vAlign w:val="center"/>
          </w:tcPr>
          <w:p>
            <w:pPr>
              <w:pStyle w:val="38"/>
              <w:rPr>
                <w:rFonts w:hint="default"/>
              </w:rPr>
            </w:pPr>
            <w:r>
              <w:t>200</w:t>
            </w:r>
          </w:p>
        </w:tc>
        <w:tc>
          <w:tcPr>
            <w:tcW w:w="454" w:type="pct"/>
            <w:vAlign w:val="center"/>
          </w:tcPr>
          <w:p>
            <w:pPr>
              <w:pStyle w:val="38"/>
              <w:rPr>
                <w:rFonts w:hint="default"/>
              </w:rPr>
            </w:pPr>
            <w:r>
              <w:t>300</w:t>
            </w:r>
          </w:p>
        </w:tc>
        <w:tc>
          <w:tcPr>
            <w:tcW w:w="454" w:type="pct"/>
            <w:vAlign w:val="center"/>
          </w:tcPr>
          <w:p>
            <w:pPr>
              <w:pStyle w:val="38"/>
              <w:rPr>
                <w:rFonts w:hint="default"/>
              </w:rPr>
            </w:pPr>
            <w:r>
              <w:t>400</w:t>
            </w:r>
          </w:p>
        </w:tc>
        <w:tc>
          <w:tcPr>
            <w:tcW w:w="454" w:type="pct"/>
            <w:vAlign w:val="center"/>
          </w:tcPr>
          <w:p>
            <w:pPr>
              <w:pStyle w:val="38"/>
              <w:rPr>
                <w:rFonts w:hint="default"/>
              </w:rPr>
            </w:pPr>
            <w:r>
              <w:t>500</w:t>
            </w:r>
          </w:p>
        </w:tc>
        <w:tc>
          <w:tcPr>
            <w:tcW w:w="454" w:type="pct"/>
            <w:vAlign w:val="center"/>
          </w:tcPr>
          <w:p>
            <w:pPr>
              <w:pStyle w:val="38"/>
              <w:rPr>
                <w:rFonts w:hint="default"/>
              </w:rPr>
            </w:pPr>
            <w:r>
              <w:t>600</w:t>
            </w:r>
          </w:p>
        </w:tc>
        <w:tc>
          <w:tcPr>
            <w:tcW w:w="454" w:type="pct"/>
            <w:vAlign w:val="center"/>
          </w:tcPr>
          <w:p>
            <w:pPr>
              <w:pStyle w:val="38"/>
              <w:rPr>
                <w:rFonts w:hint="default"/>
              </w:rPr>
            </w:pPr>
            <w:r>
              <w:t>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pPr>
              <w:pStyle w:val="38"/>
              <w:rPr>
                <w:rFonts w:hint="default"/>
              </w:rPr>
            </w:pPr>
            <w:r>
              <w:t>贡献值</w:t>
            </w:r>
          </w:p>
        </w:tc>
        <w:tc>
          <w:tcPr>
            <w:tcW w:w="452" w:type="pct"/>
            <w:vAlign w:val="center"/>
          </w:tcPr>
          <w:p>
            <w:pPr>
              <w:pStyle w:val="38"/>
              <w:rPr>
                <w:rFonts w:hint="default"/>
              </w:rPr>
            </w:pPr>
            <w:r>
              <w:rPr>
                <w:rFonts w:hint="default"/>
              </w:rPr>
              <w:t>70.45</w:t>
            </w:r>
          </w:p>
        </w:tc>
        <w:tc>
          <w:tcPr>
            <w:tcW w:w="387" w:type="pct"/>
            <w:vAlign w:val="center"/>
          </w:tcPr>
          <w:p>
            <w:pPr>
              <w:pStyle w:val="38"/>
              <w:rPr>
                <w:rFonts w:hint="default"/>
              </w:rPr>
            </w:pPr>
            <w:r>
              <w:rPr>
                <w:rFonts w:hint="default"/>
              </w:rPr>
              <w:t>66.02</w:t>
            </w:r>
          </w:p>
        </w:tc>
        <w:tc>
          <w:tcPr>
            <w:tcW w:w="454" w:type="pct"/>
            <w:vAlign w:val="center"/>
          </w:tcPr>
          <w:p>
            <w:pPr>
              <w:pStyle w:val="38"/>
              <w:rPr>
                <w:rFonts w:hint="default"/>
              </w:rPr>
            </w:pPr>
            <w:r>
              <w:rPr>
                <w:rFonts w:hint="default"/>
              </w:rPr>
              <w:t>60</w:t>
            </w:r>
          </w:p>
        </w:tc>
        <w:tc>
          <w:tcPr>
            <w:tcW w:w="454" w:type="pct"/>
            <w:vAlign w:val="center"/>
          </w:tcPr>
          <w:p>
            <w:pPr>
              <w:pStyle w:val="38"/>
              <w:rPr>
                <w:rFonts w:hint="default"/>
              </w:rPr>
            </w:pPr>
            <w:r>
              <w:rPr>
                <w:rFonts w:hint="default"/>
              </w:rPr>
              <w:t>56.48</w:t>
            </w:r>
          </w:p>
        </w:tc>
        <w:tc>
          <w:tcPr>
            <w:tcW w:w="454" w:type="pct"/>
            <w:vAlign w:val="center"/>
          </w:tcPr>
          <w:p>
            <w:pPr>
              <w:pStyle w:val="38"/>
              <w:rPr>
                <w:rFonts w:hint="default"/>
              </w:rPr>
            </w:pPr>
            <w:r>
              <w:rPr>
                <w:rFonts w:hint="default"/>
              </w:rPr>
              <w:t>53.97</w:t>
            </w:r>
          </w:p>
        </w:tc>
        <w:tc>
          <w:tcPr>
            <w:tcW w:w="454" w:type="pct"/>
            <w:vAlign w:val="center"/>
          </w:tcPr>
          <w:p>
            <w:pPr>
              <w:pStyle w:val="38"/>
              <w:rPr>
                <w:rFonts w:hint="default"/>
              </w:rPr>
            </w:pPr>
            <w:r>
              <w:rPr>
                <w:rFonts w:hint="default"/>
              </w:rPr>
              <w:t>50.45</w:t>
            </w:r>
          </w:p>
        </w:tc>
        <w:tc>
          <w:tcPr>
            <w:tcW w:w="454" w:type="pct"/>
            <w:vAlign w:val="center"/>
          </w:tcPr>
          <w:p>
            <w:pPr>
              <w:pStyle w:val="38"/>
              <w:rPr>
                <w:rFonts w:hint="default"/>
              </w:rPr>
            </w:pPr>
            <w:r>
              <w:rPr>
                <w:rFonts w:hint="default"/>
              </w:rPr>
              <w:t>47.96</w:t>
            </w:r>
          </w:p>
        </w:tc>
        <w:tc>
          <w:tcPr>
            <w:tcW w:w="454" w:type="pct"/>
            <w:vAlign w:val="center"/>
          </w:tcPr>
          <w:p>
            <w:pPr>
              <w:pStyle w:val="38"/>
              <w:rPr>
                <w:rFonts w:hint="default"/>
              </w:rPr>
            </w:pPr>
            <w:r>
              <w:rPr>
                <w:rFonts w:hint="default"/>
              </w:rPr>
              <w:t>46.02</w:t>
            </w:r>
          </w:p>
        </w:tc>
        <w:tc>
          <w:tcPr>
            <w:tcW w:w="454" w:type="pct"/>
            <w:vAlign w:val="center"/>
          </w:tcPr>
          <w:p>
            <w:pPr>
              <w:pStyle w:val="38"/>
              <w:rPr>
                <w:rFonts w:hint="default"/>
              </w:rPr>
            </w:pPr>
            <w:r>
              <w:rPr>
                <w:rFonts w:hint="default"/>
              </w:rPr>
              <w:t>44.43</w:t>
            </w:r>
          </w:p>
        </w:tc>
        <w:tc>
          <w:tcPr>
            <w:tcW w:w="454" w:type="pct"/>
            <w:vAlign w:val="center"/>
          </w:tcPr>
          <w:p>
            <w:pPr>
              <w:pStyle w:val="38"/>
              <w:rPr>
                <w:rFonts w:hint="default"/>
              </w:rPr>
            </w:pPr>
            <w:r>
              <w:rPr>
                <w:rFonts w:hint="default"/>
              </w:rPr>
              <w:t>43.09</w:t>
            </w:r>
          </w:p>
        </w:tc>
      </w:tr>
    </w:tbl>
    <w:p>
      <w:pPr>
        <w:widowControl/>
        <w:ind w:firstLine="480"/>
        <w:rPr>
          <w:color w:val="000000"/>
          <w:lang w:bidi="ar"/>
        </w:rPr>
      </w:pPr>
      <w:r>
        <w:rPr>
          <w:rFonts w:hint="eastAsia"/>
          <w:color w:val="000000"/>
          <w:lang w:bidi="ar"/>
        </w:rPr>
        <w:t>根据《建筑施工场界环境噪声排放标准》（</w:t>
      </w:r>
      <w:r>
        <w:rPr>
          <w:color w:val="000000"/>
          <w:lang w:bidi="ar"/>
        </w:rPr>
        <w:t>GB12523-2011</w:t>
      </w:r>
      <w:r>
        <w:rPr>
          <w:rFonts w:hint="eastAsia"/>
          <w:color w:val="000000"/>
          <w:lang w:bidi="ar"/>
        </w:rPr>
        <w:t>）的规定，施工噪声控制在昼间</w:t>
      </w:r>
      <w:r>
        <w:rPr>
          <w:color w:val="000000"/>
          <w:lang w:bidi="ar"/>
        </w:rPr>
        <w:t>70dB</w:t>
      </w:r>
      <w:r>
        <w:rPr>
          <w:rFonts w:hint="eastAsia"/>
          <w:color w:val="000000"/>
          <w:lang w:bidi="ar"/>
        </w:rPr>
        <w:t>（</w:t>
      </w:r>
      <w:r>
        <w:rPr>
          <w:color w:val="000000"/>
          <w:lang w:bidi="ar"/>
        </w:rPr>
        <w:t>A</w:t>
      </w:r>
      <w:r>
        <w:rPr>
          <w:rFonts w:hint="eastAsia"/>
          <w:color w:val="000000"/>
          <w:lang w:bidi="ar"/>
        </w:rPr>
        <w:t>），夜间控制在</w:t>
      </w:r>
      <w:r>
        <w:rPr>
          <w:color w:val="000000"/>
          <w:lang w:bidi="ar"/>
        </w:rPr>
        <w:t>55dB</w:t>
      </w:r>
      <w:r>
        <w:rPr>
          <w:rFonts w:hint="eastAsia"/>
          <w:color w:val="000000"/>
          <w:lang w:bidi="ar"/>
        </w:rPr>
        <w:t>（</w:t>
      </w:r>
      <w:r>
        <w:rPr>
          <w:color w:val="000000"/>
          <w:lang w:bidi="ar"/>
        </w:rPr>
        <w:t>A</w:t>
      </w:r>
      <w:r>
        <w:rPr>
          <w:rFonts w:hint="eastAsia"/>
          <w:color w:val="000000"/>
          <w:lang w:bidi="ar"/>
        </w:rPr>
        <w:t>）。项目施工机械最大声功率级按</w:t>
      </w:r>
      <w:r>
        <w:rPr>
          <w:color w:val="000000"/>
          <w:lang w:bidi="ar"/>
        </w:rPr>
        <w:t>100dB</w:t>
      </w:r>
      <w:r>
        <w:rPr>
          <w:rFonts w:hint="eastAsia"/>
          <w:color w:val="000000"/>
          <w:lang w:bidi="ar"/>
        </w:rPr>
        <w:t>（</w:t>
      </w:r>
      <w:r>
        <w:rPr>
          <w:color w:val="000000"/>
          <w:lang w:bidi="ar"/>
        </w:rPr>
        <w:t>A</w:t>
      </w:r>
      <w:r>
        <w:rPr>
          <w:rFonts w:hint="eastAsia"/>
          <w:color w:val="000000"/>
          <w:lang w:bidi="ar"/>
        </w:rPr>
        <w:t>）计算，白天衰减至</w:t>
      </w:r>
      <w:r>
        <w:rPr>
          <w:color w:val="000000"/>
          <w:lang w:bidi="ar"/>
        </w:rPr>
        <w:t>70dB</w:t>
      </w:r>
      <w:r>
        <w:rPr>
          <w:rFonts w:hint="eastAsia"/>
          <w:color w:val="000000"/>
          <w:lang w:bidi="ar"/>
        </w:rPr>
        <w:t>（</w:t>
      </w:r>
      <w:r>
        <w:rPr>
          <w:color w:val="000000"/>
          <w:lang w:bidi="ar"/>
        </w:rPr>
        <w:t>A</w:t>
      </w:r>
      <w:r>
        <w:rPr>
          <w:rFonts w:hint="eastAsia"/>
          <w:color w:val="000000"/>
          <w:lang w:bidi="ar"/>
        </w:rPr>
        <w:t>）时需要满足的衰减距离为</w:t>
      </w:r>
      <w:r>
        <w:rPr>
          <w:color w:val="000000"/>
          <w:lang w:bidi="ar"/>
        </w:rPr>
        <w:t>30m</w:t>
      </w:r>
      <w:r>
        <w:rPr>
          <w:rFonts w:hint="eastAsia"/>
          <w:color w:val="000000"/>
          <w:lang w:bidi="ar"/>
        </w:rPr>
        <w:t>，夜间衰减至</w:t>
      </w:r>
      <w:r>
        <w:rPr>
          <w:color w:val="000000"/>
          <w:lang w:bidi="ar"/>
        </w:rPr>
        <w:t>55dB</w:t>
      </w:r>
      <w:r>
        <w:rPr>
          <w:rFonts w:hint="eastAsia"/>
          <w:color w:val="000000"/>
          <w:lang w:bidi="ar"/>
        </w:rPr>
        <w:t>（</w:t>
      </w:r>
      <w:r>
        <w:rPr>
          <w:color w:val="000000"/>
          <w:lang w:bidi="ar"/>
        </w:rPr>
        <w:t>A</w:t>
      </w:r>
      <w:r>
        <w:rPr>
          <w:rFonts w:hint="eastAsia"/>
          <w:color w:val="000000"/>
          <w:lang w:bidi="ar"/>
        </w:rPr>
        <w:t>）时需要满足的衰减距离为</w:t>
      </w:r>
      <w:r>
        <w:rPr>
          <w:color w:val="000000"/>
          <w:lang w:bidi="ar"/>
        </w:rPr>
        <w:t>230m</w:t>
      </w:r>
      <w:r>
        <w:rPr>
          <w:rFonts w:hint="eastAsia"/>
          <w:color w:val="000000"/>
          <w:lang w:bidi="ar"/>
        </w:rPr>
        <w:t>。</w:t>
      </w:r>
      <w:r>
        <w:rPr>
          <w:rFonts w:hint="eastAsia"/>
          <w:color w:val="000000"/>
          <w:u w:val="single"/>
          <w:lang w:bidi="ar"/>
        </w:rPr>
        <w:t>距离本项目施工区域最近的敏感目标为环境敏感点为东</w:t>
      </w:r>
      <w:r>
        <w:rPr>
          <w:rFonts w:hint="eastAsia"/>
          <w:color w:val="000000"/>
          <w:u w:val="single"/>
          <w:lang w:eastAsia="zh-CN" w:bidi="ar"/>
        </w:rPr>
        <w:t>南</w:t>
      </w:r>
      <w:r>
        <w:rPr>
          <w:rFonts w:hint="eastAsia"/>
          <w:color w:val="000000"/>
          <w:u w:val="single"/>
          <w:lang w:bidi="ar"/>
        </w:rPr>
        <w:t>侧</w:t>
      </w:r>
      <w:r>
        <w:rPr>
          <w:rFonts w:hint="eastAsia"/>
          <w:color w:val="000000"/>
          <w:u w:val="single"/>
          <w:lang w:eastAsia="zh-CN" w:bidi="ar"/>
        </w:rPr>
        <w:t>泥河张村</w:t>
      </w:r>
      <w:r>
        <w:rPr>
          <w:rFonts w:hint="eastAsia"/>
          <w:color w:val="000000"/>
          <w:u w:val="single"/>
          <w:lang w:val="en-US" w:eastAsia="zh-CN" w:bidi="ar"/>
        </w:rPr>
        <w:t>478</w:t>
      </w:r>
      <w:r>
        <w:rPr>
          <w:rFonts w:hint="eastAsia"/>
          <w:color w:val="000000"/>
          <w:u w:val="single"/>
          <w:lang w:bidi="ar"/>
        </w:rPr>
        <w:t>m。</w:t>
      </w:r>
      <w:r>
        <w:rPr>
          <w:rFonts w:hint="eastAsia"/>
          <w:color w:val="000000"/>
          <w:lang w:bidi="ar"/>
        </w:rPr>
        <w:t>在严格控制夜间不施工的前提下，采用低噪声设备、</w:t>
      </w:r>
      <w:r>
        <w:rPr>
          <w:rFonts w:hint="eastAsia" w:ascii="宋体" w:hAnsi="宋体" w:cs="宋体"/>
          <w:color w:val="000000" w:themeColor="text1"/>
          <w:kern w:val="0"/>
          <w:u w:val="none"/>
          <w:lang w:eastAsia="zh-CN" w:bidi="ar"/>
          <w14:textFill>
            <w14:solidFill>
              <w14:schemeClr w14:val="tx1"/>
            </w14:solidFill>
          </w14:textFill>
        </w:rPr>
        <w:t>设备安装减震垫、加装隔音棉</w:t>
      </w:r>
      <w:r>
        <w:rPr>
          <w:rFonts w:hint="eastAsia" w:ascii="宋体" w:hAnsi="宋体" w:cs="宋体"/>
          <w:color w:val="000000" w:themeColor="text1"/>
          <w:kern w:val="0"/>
          <w:u w:val="none"/>
          <w:lang w:bidi="ar"/>
          <w14:textFill>
            <w14:solidFill>
              <w14:schemeClr w14:val="tx1"/>
            </w14:solidFill>
          </w14:textFill>
        </w:rPr>
        <w:t>等</w:t>
      </w:r>
      <w:r>
        <w:rPr>
          <w:rFonts w:hint="eastAsia"/>
          <w:color w:val="000000"/>
          <w:lang w:bidi="ar"/>
        </w:rPr>
        <w:t>，本项目施工期间产生的噪声不会对周围环境造成明显影响，其施工场界声环境可满足《建筑施工场界环境噪声排放标准》（</w:t>
      </w:r>
      <w:r>
        <w:rPr>
          <w:color w:val="000000"/>
          <w:lang w:bidi="ar"/>
        </w:rPr>
        <w:t>GB12523-2011</w:t>
      </w:r>
      <w:r>
        <w:rPr>
          <w:rFonts w:hint="eastAsia"/>
          <w:color w:val="000000"/>
          <w:lang w:bidi="ar"/>
        </w:rPr>
        <w:t>）要求，对区域声环境不会产生显著性不良影响。因生产工艺要求或者因特殊需要须昼夜连续作业的，施工单位必须报环境保护行政主管部门审批，公告周边居民，并采取有效措施，避免噪声扰民。未经批准，不得在夜间使用产生严重噪声污染的大型施工机具。施工现场夜间禁止使用电锯、风镐等高噪声设备。</w:t>
      </w:r>
    </w:p>
    <w:p>
      <w:pPr>
        <w:pStyle w:val="25"/>
        <w:widowControl/>
        <w:spacing w:beforeAutospacing="0" w:afterAutospacing="0"/>
        <w:ind w:firstLine="480"/>
        <w:jc w:val="both"/>
        <w:rPr>
          <w:rFonts w:cs="宋体"/>
          <w:color w:val="000000"/>
          <w:lang w:bidi="ar"/>
        </w:rPr>
      </w:pPr>
      <w:r>
        <w:rPr>
          <w:rFonts w:hint="eastAsia" w:cs="宋体"/>
          <w:color w:val="000000"/>
          <w:lang w:bidi="ar"/>
        </w:rPr>
        <w:t>为减轻施工期噪声对周边居民的影响，要求建设单位在施工期采取以下相应措施：</w:t>
      </w:r>
    </w:p>
    <w:p>
      <w:pPr>
        <w:pStyle w:val="25"/>
        <w:widowControl/>
        <w:spacing w:beforeAutospacing="0" w:afterAutospacing="0"/>
        <w:ind w:firstLine="480"/>
        <w:jc w:val="both"/>
        <w:rPr>
          <w:rFonts w:cs="宋体"/>
          <w:color w:val="000000"/>
          <w:lang w:bidi="ar"/>
        </w:rPr>
      </w:pPr>
      <w:r>
        <w:rPr>
          <w:rFonts w:hint="eastAsia" w:cs="宋体"/>
          <w:color w:val="000000"/>
          <w:lang w:bidi="ar"/>
        </w:rPr>
        <w:t>①首先从噪声源强进行控制：建设单位在与施工单位签订合同时，应要求其使用的主要机械设备为低噪声设备作为合同内容的一部分。尽量选用低噪声液压施工机械替代气压机械。如采用液压挖掘机；不使用汽锤打桩机。采用长螺旋钻机；使用商品混凝土，不使用混凝土搅拌机。同时，高噪声设备合理布局，尽量布置于施工场地西北侧，在高噪声设备周围设置屏障减轻噪声对周围环境的影响，控制施工厂界噪声不超过《建筑施工场界环境噪声排放标准》（GB12523-2011）。</w:t>
      </w:r>
    </w:p>
    <w:p>
      <w:pPr>
        <w:pStyle w:val="25"/>
        <w:widowControl/>
        <w:spacing w:beforeAutospacing="0" w:afterAutospacing="0"/>
        <w:ind w:firstLine="480"/>
        <w:jc w:val="both"/>
        <w:rPr>
          <w:rFonts w:cs="宋体"/>
          <w:color w:val="000000"/>
          <w:lang w:bidi="ar"/>
        </w:rPr>
      </w:pPr>
      <w:r>
        <w:rPr>
          <w:rFonts w:hint="eastAsia" w:cs="宋体"/>
          <w:color w:val="000000"/>
          <w:lang w:bidi="ar"/>
        </w:rPr>
        <w:t>②在施工过程中施工单位应设专人对设备进行定期保养和维护，并负责对现场工作人员进行培训，严格按操作规范使用各类机械对动力机械设备定期进行维修和养护，避免因松动部件振动或消声器损坏而加大设备工作时的声级。</w:t>
      </w:r>
    </w:p>
    <w:p>
      <w:pPr>
        <w:pStyle w:val="25"/>
        <w:widowControl/>
        <w:spacing w:beforeAutospacing="0" w:afterAutospacing="0"/>
        <w:ind w:firstLine="480"/>
        <w:jc w:val="both"/>
        <w:rPr>
          <w:rFonts w:cs="宋体"/>
          <w:color w:val="000000"/>
          <w:lang w:bidi="ar"/>
        </w:rPr>
      </w:pPr>
      <w:r>
        <w:rPr>
          <w:rFonts w:hint="eastAsia" w:cs="宋体"/>
          <w:color w:val="000000"/>
          <w:lang w:bidi="ar"/>
        </w:rPr>
        <w:t>③合理布置施工现场，应尽量避免在施工现场的同一地点安排大量的高噪声设备，造成局部声级过高。</w:t>
      </w:r>
    </w:p>
    <w:p>
      <w:pPr>
        <w:pStyle w:val="25"/>
        <w:widowControl/>
        <w:spacing w:beforeAutospacing="0" w:afterAutospacing="0"/>
        <w:ind w:firstLine="480"/>
        <w:jc w:val="both"/>
        <w:rPr>
          <w:rFonts w:cs="宋体"/>
          <w:color w:val="000000"/>
          <w:lang w:bidi="ar"/>
        </w:rPr>
      </w:pPr>
      <w:r>
        <w:rPr>
          <w:rFonts w:hint="eastAsia" w:cs="宋体"/>
          <w:color w:val="000000"/>
          <w:lang w:bidi="ar"/>
        </w:rPr>
        <w:t>④将有固定工作地点的施工机械尽量设置在距西侧、北侧居民区较远的位置，同时尽量将其入棚操作，可适当建立声屏障，施工场地四周建2.5m高的围挡。</w:t>
      </w:r>
    </w:p>
    <w:p>
      <w:pPr>
        <w:pStyle w:val="25"/>
        <w:widowControl/>
        <w:spacing w:beforeAutospacing="0" w:afterAutospacing="0"/>
        <w:ind w:firstLine="480"/>
        <w:jc w:val="both"/>
        <w:rPr>
          <w:rFonts w:cs="宋体"/>
          <w:color w:val="000000"/>
          <w:lang w:bidi="ar"/>
        </w:rPr>
      </w:pPr>
      <w:r>
        <w:rPr>
          <w:rFonts w:hint="eastAsia" w:cs="宋体"/>
          <w:color w:val="000000"/>
          <w:lang w:bidi="ar"/>
        </w:rPr>
        <w:t>⑤闲置不用的设备应立即关闭，运输车辆进入现场应减速慢行，并禁止各种车辆在施工场地鸣笛、超载，施工现场设置限速、禁止鸣笛、超载的标志牌；禁止用哨子、高音喇叭等指挥作业，减少人为噪声。同时，合理安排施工过程，不得在午间12时至14时和夜间22时至次日6时从事打桩、搅拌或浇注混凝土等高噪声作业，夜间禁止使用高噪设备，若必须夜间施工时，须先向环保部门申报并征得许可，同时事先通知周围居民，以取得谅解。</w:t>
      </w:r>
    </w:p>
    <w:p>
      <w:pPr>
        <w:pStyle w:val="25"/>
        <w:widowControl/>
        <w:spacing w:beforeAutospacing="0" w:afterAutospacing="0"/>
        <w:ind w:firstLine="480"/>
        <w:jc w:val="both"/>
        <w:rPr>
          <w:rFonts w:cs="宋体"/>
          <w:color w:val="000000"/>
          <w:lang w:bidi="ar"/>
        </w:rPr>
      </w:pPr>
      <w:r>
        <w:rPr>
          <w:rFonts w:hint="eastAsia" w:cs="宋体"/>
          <w:color w:val="000000"/>
          <w:lang w:bidi="ar"/>
        </w:rPr>
        <w:t>⑥产生振动的大型设备的底座安装减振器，通过基础减振来降低噪声影响。</w:t>
      </w:r>
    </w:p>
    <w:p>
      <w:pPr>
        <w:pStyle w:val="25"/>
        <w:widowControl/>
        <w:spacing w:beforeAutospacing="0" w:afterAutospacing="0"/>
        <w:ind w:firstLine="480"/>
        <w:jc w:val="both"/>
        <w:rPr>
          <w:rFonts w:cs="宋体"/>
          <w:color w:val="000000"/>
          <w:lang w:bidi="ar"/>
        </w:rPr>
      </w:pPr>
      <w:r>
        <w:rPr>
          <w:rFonts w:hint="eastAsia" w:cs="宋体"/>
          <w:color w:val="000000"/>
          <w:lang w:bidi="ar"/>
        </w:rPr>
        <w:t>⑦安装局部隔声罩和部分吸声结构，以降低高噪声设备噪声传播的强度，并通过车间隔声来降低噪声传播的强度。</w:t>
      </w:r>
    </w:p>
    <w:p>
      <w:pPr>
        <w:pStyle w:val="25"/>
        <w:widowControl/>
        <w:spacing w:beforeAutospacing="0" w:afterAutospacing="0"/>
        <w:ind w:firstLine="480"/>
        <w:jc w:val="both"/>
        <w:rPr>
          <w:rFonts w:cs="宋体"/>
          <w:color w:val="000000"/>
          <w:lang w:bidi="ar"/>
        </w:rPr>
      </w:pPr>
      <w:r>
        <w:rPr>
          <w:rFonts w:hint="eastAsia" w:cs="宋体"/>
          <w:color w:val="000000"/>
          <w:lang w:bidi="ar"/>
        </w:rPr>
        <w:t>⑧完善生态绿地系统，建设噪声防护绿带，在临近道路侧加强绿化植树，建设护林带，建筑物积极进行垂直绿化，减少施工期噪声对周围环境的影响。</w:t>
      </w:r>
    </w:p>
    <w:p>
      <w:pPr>
        <w:pStyle w:val="25"/>
        <w:widowControl/>
        <w:spacing w:beforeAutospacing="0" w:afterAutospacing="0"/>
        <w:ind w:firstLine="480"/>
        <w:jc w:val="both"/>
        <w:rPr>
          <w:rFonts w:cs="宋体"/>
          <w:color w:val="000000"/>
          <w:lang w:bidi="ar"/>
        </w:rPr>
      </w:pPr>
      <w:r>
        <w:rPr>
          <w:rFonts w:hint="eastAsia" w:cs="宋体"/>
          <w:color w:val="000000"/>
          <w:lang w:bidi="ar"/>
        </w:rPr>
        <w:t>⑨在施工场地东边界、南边界设置2.5m高的隔声屏障，减轻施工噪声对龚西村的影响。</w:t>
      </w:r>
    </w:p>
    <w:p>
      <w:pPr>
        <w:pStyle w:val="25"/>
        <w:widowControl/>
        <w:spacing w:beforeAutospacing="0" w:afterAutospacing="0"/>
        <w:ind w:firstLine="480"/>
        <w:jc w:val="both"/>
        <w:rPr>
          <w:rFonts w:cs="宋体"/>
          <w:color w:val="000000"/>
          <w:lang w:bidi="ar"/>
        </w:rPr>
      </w:pPr>
      <w:r>
        <w:rPr>
          <w:rFonts w:hint="eastAsia" w:cs="宋体"/>
          <w:color w:val="000000"/>
          <w:lang w:bidi="ar"/>
        </w:rPr>
        <w:t>⑩建设单位应将施工噪声控制纳入施工承包内容，并在施工和工程监理过程中设置专门管理小组，专人负责管理，以确保噪声措施的实施。同时，经常派专人对施工人员进行环保法制宣传，保证施工单位严格遵守环评提出的环保要求，加强现场科学管理，做好施工人员的环境保护意识，提倡文明施工，降低人为因素造成的施工噪声加重。</w:t>
      </w:r>
    </w:p>
    <w:p>
      <w:pPr>
        <w:pStyle w:val="25"/>
        <w:widowControl/>
        <w:spacing w:beforeAutospacing="0" w:afterAutospacing="0"/>
        <w:ind w:firstLine="480"/>
        <w:jc w:val="both"/>
        <w:rPr>
          <w:rFonts w:cs="宋体"/>
          <w:color w:val="000000"/>
          <w:lang w:bidi="ar"/>
        </w:rPr>
      </w:pPr>
      <w:r>
        <w:rPr>
          <w:rFonts w:hint="eastAsia" w:cs="宋体"/>
          <w:color w:val="000000"/>
          <w:lang w:bidi="ar"/>
        </w:rPr>
        <w:t>施工单位要对现场施工人员进行严格管理，做到文明施工，将施工期噪声影响降到最低限度。同时安排专人负责对周围居民进行沟通调节工作，一旦发生噪声扰民现象应立即停止施工，并做好调解解释工作。尽量减少施工噪声对周围居民的影响，施工期的影响是暂时的，随着施工期的结束而消失，采取以上措施，其影响在可接受的范围内。</w:t>
      </w:r>
    </w:p>
    <w:p>
      <w:pPr>
        <w:pStyle w:val="25"/>
        <w:widowControl/>
        <w:spacing w:beforeAutospacing="0" w:afterAutospacing="0"/>
        <w:ind w:firstLine="480"/>
        <w:jc w:val="both"/>
        <w:rPr>
          <w:rFonts w:cs="宋体"/>
          <w:color w:val="000000"/>
          <w:lang w:bidi="ar"/>
        </w:rPr>
      </w:pPr>
      <w:r>
        <w:rPr>
          <w:rFonts w:hint="eastAsia" w:cs="宋体"/>
          <w:color w:val="000000"/>
          <w:lang w:bidi="ar"/>
        </w:rPr>
        <w:t>2、车辆运输噪声影响分析</w:t>
      </w:r>
    </w:p>
    <w:p>
      <w:pPr>
        <w:pStyle w:val="25"/>
        <w:widowControl/>
        <w:spacing w:beforeAutospacing="0" w:afterAutospacing="0"/>
        <w:ind w:firstLine="480"/>
        <w:jc w:val="both"/>
        <w:rPr>
          <w:rFonts w:cs="宋体"/>
          <w:color w:val="000000"/>
          <w:lang w:bidi="ar"/>
        </w:rPr>
      </w:pPr>
      <w:r>
        <w:rPr>
          <w:rFonts w:hint="eastAsia" w:cs="宋体"/>
          <w:color w:val="000000"/>
          <w:lang w:bidi="ar"/>
        </w:rPr>
        <w:t>本项目位于</w:t>
      </w:r>
      <w:r>
        <w:rPr>
          <w:rFonts w:hint="eastAsia"/>
          <w:lang w:eastAsia="zh-CN"/>
        </w:rPr>
        <w:t>平顶山市尼龙新材料产业集聚区</w:t>
      </w:r>
      <w:r>
        <w:rPr>
          <w:rFonts w:hint="eastAsia" w:cs="宋体"/>
          <w:color w:val="000000"/>
          <w:lang w:bidi="ar"/>
        </w:rPr>
        <w:t>，为了降低车辆交通噪声对运输道路两侧居民的噪声影响，运输道路路面要经常维护修补，汽车也应经常维修保养，维持良好的车况。据加利福尼亚大学运输系统测定，依照速度限制，车速每降低40公里/小时，交通噪声水平可减少5dB（A）。需要注意的是不要设置减速带，因为这将造成车辆反复加减速，油门噪声变大，还会造成车辆颠簸，产生更刺耳的噪声。企业应对经常对运输车辆进行维修保养，维持其良好的车库，并派专人维护路面平整，在敏感点附近路段两端设置限速标准等措施，运输时段为昼间，严禁夜间运输，以最大限度地减轻交通噪声对沿线居民的影响。</w:t>
      </w:r>
    </w:p>
    <w:p>
      <w:pPr>
        <w:pStyle w:val="7"/>
        <w:ind w:firstLine="562"/>
      </w:pPr>
      <w:bookmarkStart w:id="145" w:name="_Toc27343"/>
      <w:r>
        <w:t xml:space="preserve">6.1.4 </w:t>
      </w:r>
      <w:r>
        <w:rPr>
          <w:rFonts w:hint="eastAsia"/>
        </w:rPr>
        <w:t>固体废物影响分析</w:t>
      </w:r>
      <w:bookmarkEnd w:id="145"/>
    </w:p>
    <w:p>
      <w:pPr>
        <w:ind w:firstLine="480"/>
      </w:pPr>
      <w:r>
        <w:rPr>
          <w:rFonts w:hint="eastAsia"/>
        </w:rPr>
        <w:t>施工期固废主要为土地开挖产生的弃土、施工工程产生的建筑垃圾、施工人员产生的生活垃圾。</w:t>
      </w:r>
    </w:p>
    <w:p>
      <w:pPr>
        <w:ind w:firstLine="480"/>
      </w:pPr>
      <w:r>
        <w:rPr>
          <w:rFonts w:hint="eastAsia"/>
        </w:rPr>
        <w:t>1、弃土</w:t>
      </w:r>
    </w:p>
    <w:p>
      <w:pPr>
        <w:ind w:firstLine="480"/>
      </w:pPr>
      <w:r>
        <w:rPr>
          <w:rFonts w:hint="eastAsia"/>
        </w:rPr>
        <w:t>项目施工期产生的弃土可作为一般固废进行处置，经平顶山市叶县渣土办许可后及时送往指定的建筑垃圾堆场，不得随意排放。</w:t>
      </w:r>
    </w:p>
    <w:p>
      <w:pPr>
        <w:ind w:firstLine="480"/>
      </w:pPr>
      <w:r>
        <w:rPr>
          <w:rFonts w:hint="eastAsia"/>
        </w:rPr>
        <w:t>2、建筑垃圾</w:t>
      </w:r>
    </w:p>
    <w:p>
      <w:pPr>
        <w:ind w:firstLine="480"/>
      </w:pPr>
      <w:r>
        <w:rPr>
          <w:rFonts w:hint="eastAsia"/>
        </w:rPr>
        <w:t>建筑垃圾的产生量与施工水平、建筑类型等多种因素有关，数据之间相差较大。建筑垃圾主要是无机类物质，有机成分含量较低。由于垃圾中的主要成分为无机垃圾，因此燃烧热值小，适于填埋处理。项目建设后期所产生的装修垃圾中含有的废油漆、有机溶剂、装修材料的边角废料等，一部分属于易燃、有毒有害物质，应慎重处理。</w:t>
      </w:r>
    </w:p>
    <w:p>
      <w:pPr>
        <w:ind w:firstLine="480"/>
      </w:pPr>
      <w:r>
        <w:rPr>
          <w:rFonts w:hint="eastAsia"/>
        </w:rPr>
        <w:t>施工单位应在施工场地内集中收集建筑垃圾，可以回用的进行再次利用，其余应运送到指定的建筑垃圾堆放点。建筑垃圾的处理应严格按照《城市建筑垃圾管理规定》进行处理，具体要求如下：</w:t>
      </w:r>
    </w:p>
    <w:p>
      <w:pPr>
        <w:ind w:firstLine="480"/>
      </w:pPr>
      <w:r>
        <w:rPr>
          <w:rFonts w:hint="eastAsia"/>
        </w:rPr>
        <w:t>（1）处置建筑垃圾的单位，应当向城市人民政府市容环境卫生主管部门提出申请，获得城市建筑垃圾处置核准后，方可处置。</w:t>
      </w:r>
    </w:p>
    <w:p>
      <w:pPr>
        <w:ind w:firstLine="480"/>
      </w:pPr>
      <w:r>
        <w:rPr>
          <w:rFonts w:hint="eastAsia"/>
        </w:rPr>
        <w:t>（2）建筑垃圾处置实行减量化、资源化、无害化和谁产生、谁承担处置责任的原则。施工单位不得将建筑垃圾交给个人或者未经核准从事建筑垃圾运输的单位运输。</w:t>
      </w:r>
    </w:p>
    <w:p>
      <w:pPr>
        <w:ind w:firstLine="480"/>
      </w:pPr>
      <w:r>
        <w:rPr>
          <w:rFonts w:hint="eastAsia"/>
        </w:rPr>
        <w:t>（3）企业不得将建筑垃圾混入生活垃圾，不得将危险废物混入建筑垃圾，不得擅自设立弃置场收纳建筑垃圾。不得随意倾倒、抛洒或者堆放建筑垃圾。</w:t>
      </w:r>
    </w:p>
    <w:p>
      <w:pPr>
        <w:ind w:firstLine="480"/>
      </w:pPr>
      <w:r>
        <w:rPr>
          <w:rFonts w:hint="eastAsia"/>
        </w:rPr>
        <w:t>（4）施工单位应当及时清运工程施工过程中产生的建筑垃圾，并按照城市人民政府市容环境卫生主管部门的规定处置，防止污染环境。</w:t>
      </w:r>
    </w:p>
    <w:p>
      <w:pPr>
        <w:ind w:firstLine="480"/>
      </w:pPr>
      <w:r>
        <w:rPr>
          <w:rFonts w:hint="eastAsia"/>
        </w:rPr>
        <w:t>（5）运输车辆应进行封闭，严禁在运输过程中产生遗落、抛洒，运输车辆及时进行清洗，应做到车身干净整洁，车轮及时冲洗，避免造成道路扬尘等二次污染。</w:t>
      </w:r>
    </w:p>
    <w:p>
      <w:pPr>
        <w:ind w:firstLine="480"/>
      </w:pPr>
      <w:r>
        <w:rPr>
          <w:rFonts w:hint="eastAsia"/>
        </w:rPr>
        <w:t>（6）合理安排运输时间及运输路线，及时向有关部门进行申请备案，尽量避开市区主要干道，降低运输车辆噪声对居民影响。</w:t>
      </w:r>
    </w:p>
    <w:p>
      <w:pPr>
        <w:pStyle w:val="7"/>
        <w:ind w:firstLine="562"/>
      </w:pPr>
      <w:bookmarkStart w:id="146" w:name="_Toc25936"/>
      <w:r>
        <w:rPr>
          <w:rFonts w:hint="eastAsia"/>
        </w:rPr>
        <w:t>6.1.5 生态环境影响分析</w:t>
      </w:r>
      <w:bookmarkEnd w:id="146"/>
    </w:p>
    <w:p>
      <w:pPr>
        <w:ind w:firstLine="480"/>
      </w:pPr>
      <w:r>
        <w:rPr>
          <w:rFonts w:hint="eastAsia"/>
        </w:rPr>
        <w:t>1、施工期对植被的影响</w:t>
      </w:r>
    </w:p>
    <w:p>
      <w:pPr>
        <w:ind w:firstLine="480"/>
      </w:pPr>
      <w:r>
        <w:rPr>
          <w:rFonts w:hint="eastAsia"/>
        </w:rPr>
        <w:t>本项目所处的区域主要为农村生态系统，居住、交通是其主要的环境功能。根据现场实地踏勘，建设项目所在地目前有部分厂房，植被覆盖率较低，其主要作物为当地常见小型灌木、大量季节性杂草，施工过程需对场地进行开挖、填筑和平整，清除地表植被。施工期清除的区域草本植物均为本地区常见物种，无珍稀植被存在。施工结束后将通过绿化手段建立新的人工绿地、林木，培养起新的复合生态系统，这将在一定的程度上补偿对原有生态的影响，并能使项目与周围环境更加协调，起到美化环境的效果。</w:t>
      </w:r>
    </w:p>
    <w:p>
      <w:pPr>
        <w:ind w:firstLine="480"/>
      </w:pPr>
      <w:r>
        <w:rPr>
          <w:rFonts w:hint="eastAsia"/>
        </w:rPr>
        <w:t>施工期对生态的影响只是暂时性的，施工完成后，厂区将进行绿化美化。因此，尽管施工期对建设区域植被有一定的不利影响，但随着施工期的结束和绿化设施的完善，这种影响也将随之消失。</w:t>
      </w:r>
    </w:p>
    <w:p>
      <w:pPr>
        <w:ind w:firstLine="480"/>
      </w:pPr>
      <w:r>
        <w:rPr>
          <w:rFonts w:hint="eastAsia"/>
        </w:rPr>
        <w:t>2、施工期对野生动物的影响</w:t>
      </w:r>
    </w:p>
    <w:p>
      <w:pPr>
        <w:ind w:firstLine="480"/>
      </w:pPr>
      <w:r>
        <w:rPr>
          <w:rFonts w:hint="eastAsia"/>
        </w:rPr>
        <w:t>因调查区内受人为活动的影响，区内大型野生动物已很少见，主要动物为昆虫、鸟类和爬行类，未发现国家重点保护野生动物。由于项目区域内的动物类型为常见种类，在区域其它地方都普遍存在，本区域数量较少，施工区对于动物的逃生、迁徙等较为有利，不会影响整个动物区系的组成。</w:t>
      </w:r>
    </w:p>
    <w:p>
      <w:pPr>
        <w:ind w:firstLine="480"/>
      </w:pPr>
      <w:r>
        <w:rPr>
          <w:rFonts w:hint="eastAsia"/>
        </w:rPr>
        <w:t>3、施工期水土流失</w:t>
      </w:r>
    </w:p>
    <w:p>
      <w:pPr>
        <w:ind w:firstLine="480"/>
      </w:pPr>
      <w:r>
        <w:rPr>
          <w:rFonts w:hint="eastAsia"/>
        </w:rPr>
        <w:t>施工期对周围生态环境的影响主要是施工活动造成的水土流失，特别是在雨季，若水土保持措施采取不当，可能会对施工区域四周生态环境造成影响。施工过程中如若对建筑垃圾、土石方处理不当，将会产生一定量的水土流失。造成水土流失的成因主要有：</w:t>
      </w:r>
    </w:p>
    <w:p>
      <w:pPr>
        <w:ind w:firstLine="480"/>
      </w:pPr>
      <w:r>
        <w:rPr>
          <w:rFonts w:hint="eastAsia"/>
        </w:rPr>
        <w:t>（1）开挖地表，使原有地表植被、土壤结构受到破坏，造成地表裸露，表层土抗蚀能力减弱，将加剧水土流失；</w:t>
      </w:r>
    </w:p>
    <w:p>
      <w:pPr>
        <w:ind w:firstLine="480"/>
      </w:pPr>
      <w:r>
        <w:rPr>
          <w:rFonts w:hint="eastAsia"/>
        </w:rPr>
        <w:t>（2）建设过程中施工区的土石渣料，不可避免地产生部分水土流失；</w:t>
      </w:r>
    </w:p>
    <w:p>
      <w:pPr>
        <w:ind w:firstLine="480"/>
      </w:pPr>
      <w:r>
        <w:rPr>
          <w:rFonts w:hint="eastAsia"/>
        </w:rPr>
        <w:t>（3）土石方因受地形和运输条件限制，不便运走时，由于结构疏松，空隙</w:t>
      </w:r>
    </w:p>
    <w:p>
      <w:pPr>
        <w:ind w:firstLine="480"/>
      </w:pPr>
      <w:r>
        <w:rPr>
          <w:rFonts w:hint="eastAsia"/>
        </w:rPr>
        <w:t>度增大，易产生水土流失；</w:t>
      </w:r>
    </w:p>
    <w:p>
      <w:pPr>
        <w:ind w:firstLine="480"/>
      </w:pPr>
      <w:r>
        <w:rPr>
          <w:rFonts w:hint="eastAsia"/>
        </w:rPr>
        <w:t>（4）取土回填也易产生水土流失。因此施工单位应做好水土保持工作，评价要求建设单位严格落实以下各项措施，将建设过程中对地表植被的影响以及土石方开挖造成水土流失的影响减轻到最小。</w:t>
      </w:r>
    </w:p>
    <w:p>
      <w:pPr>
        <w:ind w:firstLine="480"/>
      </w:pPr>
      <w:r>
        <w:rPr>
          <w:rFonts w:hint="eastAsia"/>
        </w:rPr>
        <w:t>（1）施工前应作详细计划，合理安排施工计划，施工时尽量按设计要求进行开挖，尽量减少开挖面，以减少植被的破坏，并最大限度降低对周边地块的影响；平整场地和道路时尽量做到挖填方平衡，对于多余土应合理布置堆放场地。避免不必要的水土流失和生态变化。</w:t>
      </w:r>
    </w:p>
    <w:p>
      <w:pPr>
        <w:ind w:firstLine="480"/>
      </w:pPr>
      <w:r>
        <w:rPr>
          <w:rFonts w:hint="eastAsia"/>
        </w:rPr>
        <w:t>（2）工程施工过程中特别注意做好生态环境的保护工作，如基坑开挖弃方的合理处置、对于落差较大的土石方开挖要设置必要的挡土墙对裸露的土壤进行围挡。对于开挖出来的表层覆土，回填时要尽量作为植树种草时的表层恢复土壤，同时设置必要的导流渠以疏导雨水，避免造成严重的水土流失。</w:t>
      </w:r>
    </w:p>
    <w:p>
      <w:pPr>
        <w:ind w:firstLine="480"/>
      </w:pPr>
      <w:r>
        <w:rPr>
          <w:rFonts w:hint="eastAsia"/>
        </w:rPr>
        <w:t>（3）应尽量避开雨季施工，并及时夯实地面。</w:t>
      </w:r>
    </w:p>
    <w:p>
      <w:pPr>
        <w:ind w:firstLine="480"/>
      </w:pPr>
      <w:r>
        <w:rPr>
          <w:rFonts w:hint="eastAsia"/>
        </w:rPr>
        <w:t>（4）各种防护措施与主体工程同步实施，以预防雨季路面逐流直接冲刷坡面而造成水土流失。若遇下雨，可用沙袋或草席压住坡面进行暂时防护，以减少水土流失。</w:t>
      </w:r>
    </w:p>
    <w:p>
      <w:pPr>
        <w:ind w:firstLine="480"/>
      </w:pPr>
      <w:r>
        <w:rPr>
          <w:rFonts w:hint="eastAsia"/>
        </w:rPr>
        <w:t>（5）对于土石方堆场，要修</w:t>
      </w:r>
      <w:r>
        <w:rPr>
          <w:rFonts w:hint="eastAsia"/>
          <w:lang w:eastAsia="zh-CN"/>
        </w:rPr>
        <w:t>“</w:t>
      </w:r>
      <w:r>
        <w:rPr>
          <w:rFonts w:hint="eastAsia"/>
        </w:rPr>
        <w:t>人</w:t>
      </w:r>
      <w:r>
        <w:rPr>
          <w:rFonts w:hint="eastAsia"/>
          <w:lang w:eastAsia="zh-CN"/>
        </w:rPr>
        <w:t>”</w:t>
      </w:r>
      <w:r>
        <w:rPr>
          <w:rFonts w:hint="eastAsia"/>
        </w:rPr>
        <w:t>字形排水沟、截水沟、围堰等，以降低降雨侵蚀力，对于小的堆场在雨期尽可能要覆盖，减轻水土流失。</w:t>
      </w:r>
    </w:p>
    <w:p>
      <w:pPr>
        <w:ind w:firstLine="480"/>
      </w:pPr>
      <w:r>
        <w:rPr>
          <w:rFonts w:hint="eastAsia"/>
        </w:rPr>
        <w:t>（6）必须通过制定切实可行的水土保持方案，做到了定点取土、定点排放，妥善处置弃渣，施工中做到边挖、边运、边整、边治，将因建设造成水土流失影响减轻到最小。</w:t>
      </w:r>
    </w:p>
    <w:p>
      <w:pPr>
        <w:ind w:firstLine="480"/>
      </w:pPr>
      <w:r>
        <w:rPr>
          <w:rFonts w:hint="eastAsia"/>
        </w:rPr>
        <w:t>（7）加强对施工现场的环境管理，必要时进行环境监测，以控制工程涉及区的环境污染。对工程涉及区域内的施工人员，应加强宣传、教育，强化其保护环境的意识，文明施工，达到工程建设和环境保护的同步发展。</w:t>
      </w:r>
    </w:p>
    <w:p>
      <w:pPr>
        <w:pStyle w:val="6"/>
        <w:ind w:firstLine="0" w:firstLineChars="0"/>
      </w:pPr>
      <w:bookmarkStart w:id="147" w:name="_Toc22672"/>
      <w:bookmarkStart w:id="148" w:name="_Toc1957"/>
      <w:bookmarkStart w:id="149" w:name="_Toc292"/>
      <w:bookmarkStart w:id="150" w:name="_Toc18825"/>
      <w:r>
        <w:rPr>
          <w:lang w:val="en-US"/>
        </w:rPr>
        <w:t>6.</w:t>
      </w:r>
      <w:r>
        <w:rPr>
          <w:rFonts w:hint="eastAsia"/>
          <w:lang w:val="en-US"/>
        </w:rPr>
        <w:t>2</w:t>
      </w:r>
      <w:r>
        <w:rPr>
          <w:lang w:val="en-US"/>
        </w:rPr>
        <w:t xml:space="preserve"> 环境空气影响预测与评价</w:t>
      </w:r>
      <w:bookmarkEnd w:id="147"/>
      <w:bookmarkEnd w:id="148"/>
      <w:bookmarkEnd w:id="149"/>
    </w:p>
    <w:p>
      <w:pPr>
        <w:pStyle w:val="7"/>
        <w:ind w:firstLine="560"/>
        <w:rPr>
          <w:b w:val="0"/>
          <w:bCs/>
        </w:rPr>
      </w:pPr>
      <w:r>
        <w:rPr>
          <w:b w:val="0"/>
          <w:bCs/>
        </w:rPr>
        <w:t>6.</w:t>
      </w:r>
      <w:r>
        <w:rPr>
          <w:rFonts w:hint="eastAsia"/>
          <w:b w:val="0"/>
          <w:bCs/>
        </w:rPr>
        <w:t>2</w:t>
      </w:r>
      <w:r>
        <w:rPr>
          <w:b w:val="0"/>
          <w:bCs/>
        </w:rPr>
        <w:t>.1 地面气候及气象要素特征</w:t>
      </w:r>
    </w:p>
    <w:p>
      <w:pPr>
        <w:widowControl/>
        <w:ind w:firstLine="480"/>
        <w:rPr>
          <w:rFonts w:cs="Times New Roman"/>
        </w:rPr>
      </w:pPr>
      <w:r>
        <w:rPr>
          <w:rFonts w:cs="Times New Roman"/>
        </w:rPr>
        <w:t>本项目位于平顶山尼龙新材料产业集聚区，在叶县境内，地面常规气象资料选</w:t>
      </w:r>
      <w:r>
        <w:rPr>
          <w:rFonts w:cs="Times New Roman"/>
          <w:color w:val="000000"/>
          <w:kern w:val="0"/>
          <w:lang w:bidi="ar"/>
        </w:rPr>
        <w:t>用叶县气象观测站（一般气象站，编号：57184，站点位置：E113.305628、N33.626788，高度87.00m）的观测结果。本次评价收集了叶县气象站近20年的气象观测资料和2020年全年气象资料。</w:t>
      </w:r>
    </w:p>
    <w:p>
      <w:pPr>
        <w:ind w:firstLine="482"/>
        <w:rPr>
          <w:b/>
        </w:rPr>
      </w:pPr>
      <w:r>
        <w:rPr>
          <w:rFonts w:hint="eastAsia"/>
          <w:b/>
        </w:rPr>
        <w:t>1、评价区域气候特征</w:t>
      </w:r>
    </w:p>
    <w:p>
      <w:pPr>
        <w:ind w:firstLine="480"/>
      </w:pPr>
      <w:r>
        <w:rPr>
          <w:rFonts w:hint="eastAsia"/>
        </w:rPr>
        <w:t>叶县处于暖温带和亚热带气候交错的边缘地区，具有明显的过渡性特征，其气候类型属暖温带大陆性季风气候。受季风影响，冬季常受西伯利亚极地冷空气团南下侵袭，气候寒冷，空气干燥，降水稀少。夏季为低气压系统控制，气候炎热，空气湿润，易产生强阵性降水。春秋季节属冬夏的过渡时期，时间短促，气候较为温和。</w:t>
      </w:r>
    </w:p>
    <w:p>
      <w:pPr>
        <w:ind w:firstLine="482"/>
        <w:rPr>
          <w:b/>
          <w:bCs/>
        </w:rPr>
      </w:pPr>
      <w:r>
        <w:rPr>
          <w:rFonts w:hint="eastAsia"/>
          <w:b/>
          <w:bCs/>
        </w:rPr>
        <w:t>2、地面气象特征</w:t>
      </w:r>
    </w:p>
    <w:p>
      <w:pPr>
        <w:ind w:firstLine="480"/>
      </w:pPr>
      <w:r>
        <w:t>叶县属暖温带大陆性季风气候，四季分明，降雨量年际变率大，形成了以干旱为主的气候特点。夏季常处于太平洋副热带高压后部，多吹偏东北风，暖湿气流势力较强，容易产生阵性降水，为全年的主要降水季节；冬季常受西伯利亚冷空气团南下影响，多吹偏西风，气候寒冷，空气干燥，降水稀少。根据该地近20年气象资料统计结果</w:t>
      </w:r>
      <w:r>
        <w:rPr>
          <w:rFonts w:hint="eastAsia"/>
        </w:rPr>
        <w:t>整编表如表</w:t>
      </w:r>
      <w:r>
        <w:t>6.</w:t>
      </w:r>
      <w:r>
        <w:rPr>
          <w:rFonts w:hint="eastAsia"/>
        </w:rPr>
        <w:t>2</w:t>
      </w:r>
      <w:r>
        <w:t>-1</w:t>
      </w:r>
      <w:r>
        <w:rPr>
          <w:rFonts w:hint="eastAsia"/>
        </w:rPr>
        <w:t>所示：</w:t>
      </w:r>
    </w:p>
    <w:p>
      <w:pPr>
        <w:ind w:firstLine="482"/>
        <w:jc w:val="center"/>
        <w:rPr>
          <w:b/>
          <w:bCs/>
        </w:rPr>
      </w:pPr>
      <w:r>
        <w:rPr>
          <w:rFonts w:hint="eastAsia"/>
          <w:b/>
          <w:bCs/>
        </w:rPr>
        <w:t>表</w:t>
      </w:r>
      <w:r>
        <w:rPr>
          <w:b/>
          <w:bCs/>
        </w:rPr>
        <w:t>6.</w:t>
      </w:r>
      <w:r>
        <w:rPr>
          <w:rFonts w:hint="eastAsia"/>
          <w:b/>
          <w:bCs/>
        </w:rPr>
        <w:t>2</w:t>
      </w:r>
      <w:r>
        <w:rPr>
          <w:b/>
          <w:bCs/>
        </w:rPr>
        <w:t xml:space="preserve">-1 </w:t>
      </w:r>
      <w:r>
        <w:rPr>
          <w:rFonts w:hint="eastAsia"/>
          <w:b/>
          <w:bCs/>
        </w:rPr>
        <w:t xml:space="preserve"> 叶县多年气象数据统计表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3"/>
        <w:gridCol w:w="2323"/>
        <w:gridCol w:w="2323"/>
        <w:gridCol w:w="23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50" w:type="pct"/>
            <w:vAlign w:val="center"/>
          </w:tcPr>
          <w:p>
            <w:pPr>
              <w:spacing w:line="240" w:lineRule="auto"/>
              <w:ind w:firstLine="0" w:firstLineChars="0"/>
              <w:jc w:val="center"/>
              <w:rPr>
                <w:sz w:val="21"/>
                <w:szCs w:val="21"/>
              </w:rPr>
            </w:pPr>
            <w:r>
              <w:rPr>
                <w:rFonts w:hint="eastAsia"/>
                <w:sz w:val="21"/>
                <w:szCs w:val="21"/>
              </w:rPr>
              <w:t>类别</w:t>
            </w:r>
          </w:p>
        </w:tc>
        <w:tc>
          <w:tcPr>
            <w:tcW w:w="1250" w:type="pct"/>
            <w:vAlign w:val="center"/>
          </w:tcPr>
          <w:p>
            <w:pPr>
              <w:spacing w:line="240" w:lineRule="auto"/>
              <w:ind w:firstLine="0" w:firstLineChars="0"/>
              <w:jc w:val="center"/>
              <w:rPr>
                <w:sz w:val="21"/>
                <w:szCs w:val="21"/>
              </w:rPr>
            </w:pPr>
            <w:r>
              <w:rPr>
                <w:rFonts w:hint="eastAsia"/>
                <w:sz w:val="21"/>
                <w:szCs w:val="21"/>
              </w:rPr>
              <w:t>参数</w:t>
            </w:r>
          </w:p>
        </w:tc>
        <w:tc>
          <w:tcPr>
            <w:tcW w:w="1250" w:type="pct"/>
            <w:vAlign w:val="center"/>
          </w:tcPr>
          <w:p>
            <w:pPr>
              <w:spacing w:line="240" w:lineRule="auto"/>
              <w:ind w:firstLine="0" w:firstLineChars="0"/>
              <w:jc w:val="center"/>
              <w:rPr>
                <w:sz w:val="21"/>
                <w:szCs w:val="21"/>
              </w:rPr>
            </w:pPr>
            <w:r>
              <w:rPr>
                <w:rFonts w:hint="eastAsia"/>
                <w:sz w:val="21"/>
                <w:szCs w:val="21"/>
              </w:rPr>
              <w:t>单位</w:t>
            </w:r>
          </w:p>
        </w:tc>
        <w:tc>
          <w:tcPr>
            <w:tcW w:w="1250" w:type="pct"/>
            <w:vAlign w:val="center"/>
          </w:tcPr>
          <w:p>
            <w:pPr>
              <w:spacing w:line="240" w:lineRule="auto"/>
              <w:ind w:firstLine="0" w:firstLineChars="0"/>
              <w:jc w:val="center"/>
              <w:rPr>
                <w:sz w:val="21"/>
                <w:szCs w:val="21"/>
              </w:rPr>
            </w:pPr>
            <w:r>
              <w:rPr>
                <w:rFonts w:hint="eastAsia"/>
                <w:sz w:val="21"/>
                <w:szCs w:val="21"/>
              </w:rPr>
              <w:t>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1250" w:type="pct"/>
            <w:vMerge w:val="restart"/>
            <w:vAlign w:val="center"/>
          </w:tcPr>
          <w:p>
            <w:pPr>
              <w:spacing w:line="240" w:lineRule="auto"/>
              <w:ind w:firstLine="0" w:firstLineChars="0"/>
              <w:jc w:val="center"/>
              <w:rPr>
                <w:sz w:val="21"/>
                <w:szCs w:val="21"/>
              </w:rPr>
            </w:pPr>
            <w:r>
              <w:rPr>
                <w:rFonts w:hint="eastAsia"/>
                <w:sz w:val="21"/>
                <w:szCs w:val="21"/>
              </w:rPr>
              <w:t>气温</w:t>
            </w:r>
          </w:p>
        </w:tc>
        <w:tc>
          <w:tcPr>
            <w:tcW w:w="1250" w:type="pct"/>
            <w:vAlign w:val="center"/>
          </w:tcPr>
          <w:p>
            <w:pPr>
              <w:spacing w:line="240" w:lineRule="auto"/>
              <w:ind w:firstLine="0" w:firstLineChars="0"/>
              <w:jc w:val="center"/>
              <w:rPr>
                <w:sz w:val="21"/>
                <w:szCs w:val="21"/>
              </w:rPr>
            </w:pPr>
            <w:r>
              <w:rPr>
                <w:rFonts w:hint="eastAsia"/>
                <w:sz w:val="21"/>
                <w:szCs w:val="21"/>
              </w:rPr>
              <w:t>年平均气温</w:t>
            </w:r>
          </w:p>
        </w:tc>
        <w:tc>
          <w:tcPr>
            <w:tcW w:w="1250" w:type="pct"/>
            <w:vAlign w:val="center"/>
          </w:tcPr>
          <w:p>
            <w:pPr>
              <w:spacing w:line="240" w:lineRule="auto"/>
              <w:ind w:firstLine="0" w:firstLineChars="0"/>
              <w:jc w:val="center"/>
              <w:rPr>
                <w:sz w:val="21"/>
                <w:szCs w:val="21"/>
              </w:rPr>
            </w:pPr>
            <w:r>
              <w:rPr>
                <w:rFonts w:hint="eastAsia"/>
                <w:sz w:val="21"/>
                <w:szCs w:val="21"/>
              </w:rPr>
              <w:t>℃</w:t>
            </w:r>
          </w:p>
        </w:tc>
        <w:tc>
          <w:tcPr>
            <w:tcW w:w="1250" w:type="pct"/>
            <w:vAlign w:val="center"/>
          </w:tcPr>
          <w:p>
            <w:pPr>
              <w:spacing w:line="240" w:lineRule="auto"/>
              <w:ind w:firstLine="0" w:firstLineChars="0"/>
              <w:jc w:val="center"/>
              <w:rPr>
                <w:sz w:val="21"/>
                <w:szCs w:val="21"/>
              </w:rPr>
            </w:pPr>
            <w:r>
              <w:rPr>
                <w:sz w:val="21"/>
                <w:szCs w:val="21"/>
              </w:rPr>
              <w:t>14.</w:t>
            </w:r>
            <w:r>
              <w:rPr>
                <w:rFonts w:hint="eastAsia"/>
                <w:sz w:val="21"/>
                <w:szCs w:val="21"/>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Merge w:val="continue"/>
            <w:vAlign w:val="center"/>
          </w:tcPr>
          <w:p>
            <w:pPr>
              <w:spacing w:line="240" w:lineRule="auto"/>
              <w:ind w:firstLine="0" w:firstLineChars="0"/>
              <w:jc w:val="center"/>
              <w:rPr>
                <w:sz w:val="21"/>
                <w:szCs w:val="21"/>
              </w:rPr>
            </w:pPr>
          </w:p>
        </w:tc>
        <w:tc>
          <w:tcPr>
            <w:tcW w:w="1250" w:type="pct"/>
            <w:vAlign w:val="center"/>
          </w:tcPr>
          <w:p>
            <w:pPr>
              <w:spacing w:line="240" w:lineRule="auto"/>
              <w:ind w:firstLine="0" w:firstLineChars="0"/>
              <w:jc w:val="center"/>
              <w:rPr>
                <w:sz w:val="21"/>
                <w:szCs w:val="21"/>
              </w:rPr>
            </w:pPr>
            <w:r>
              <w:rPr>
                <w:rFonts w:hint="eastAsia"/>
                <w:sz w:val="21"/>
                <w:szCs w:val="21"/>
              </w:rPr>
              <w:t>极端最高气温</w:t>
            </w:r>
          </w:p>
        </w:tc>
        <w:tc>
          <w:tcPr>
            <w:tcW w:w="1250" w:type="pct"/>
            <w:vAlign w:val="center"/>
          </w:tcPr>
          <w:p>
            <w:pPr>
              <w:spacing w:line="240" w:lineRule="auto"/>
              <w:ind w:firstLine="0" w:firstLineChars="0"/>
              <w:jc w:val="center"/>
              <w:rPr>
                <w:sz w:val="21"/>
                <w:szCs w:val="21"/>
              </w:rPr>
            </w:pPr>
            <w:r>
              <w:rPr>
                <w:rFonts w:hint="eastAsia"/>
                <w:sz w:val="21"/>
                <w:szCs w:val="21"/>
              </w:rPr>
              <w:t>℃</w:t>
            </w:r>
          </w:p>
        </w:tc>
        <w:tc>
          <w:tcPr>
            <w:tcW w:w="1250" w:type="pct"/>
            <w:vAlign w:val="center"/>
          </w:tcPr>
          <w:p>
            <w:pPr>
              <w:spacing w:line="240" w:lineRule="auto"/>
              <w:ind w:firstLine="0" w:firstLineChars="0"/>
              <w:jc w:val="center"/>
              <w:rPr>
                <w:sz w:val="21"/>
                <w:szCs w:val="21"/>
              </w:rPr>
            </w:pPr>
            <w:r>
              <w:rPr>
                <w:sz w:val="21"/>
                <w:szCs w:val="21"/>
              </w:rPr>
              <w:t>42.</w:t>
            </w:r>
            <w:r>
              <w:rPr>
                <w:rFonts w:hint="eastAsia"/>
                <w:sz w:val="21"/>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Merge w:val="continue"/>
            <w:vAlign w:val="center"/>
          </w:tcPr>
          <w:p>
            <w:pPr>
              <w:spacing w:line="240" w:lineRule="auto"/>
              <w:ind w:firstLine="0" w:firstLineChars="0"/>
              <w:jc w:val="center"/>
              <w:rPr>
                <w:sz w:val="21"/>
                <w:szCs w:val="21"/>
              </w:rPr>
            </w:pPr>
          </w:p>
        </w:tc>
        <w:tc>
          <w:tcPr>
            <w:tcW w:w="1250" w:type="pct"/>
            <w:vAlign w:val="center"/>
          </w:tcPr>
          <w:p>
            <w:pPr>
              <w:spacing w:line="240" w:lineRule="auto"/>
              <w:ind w:firstLine="0" w:firstLineChars="0"/>
              <w:jc w:val="center"/>
              <w:rPr>
                <w:sz w:val="21"/>
                <w:szCs w:val="21"/>
              </w:rPr>
            </w:pPr>
            <w:r>
              <w:rPr>
                <w:rFonts w:hint="eastAsia"/>
                <w:sz w:val="21"/>
                <w:szCs w:val="21"/>
              </w:rPr>
              <w:t>极端最低气温</w:t>
            </w:r>
          </w:p>
        </w:tc>
        <w:tc>
          <w:tcPr>
            <w:tcW w:w="1250" w:type="pct"/>
            <w:vAlign w:val="center"/>
          </w:tcPr>
          <w:p>
            <w:pPr>
              <w:spacing w:line="240" w:lineRule="auto"/>
              <w:ind w:firstLine="0" w:firstLineChars="0"/>
              <w:jc w:val="center"/>
              <w:rPr>
                <w:sz w:val="21"/>
                <w:szCs w:val="21"/>
              </w:rPr>
            </w:pPr>
            <w:r>
              <w:rPr>
                <w:rFonts w:hint="eastAsia"/>
                <w:sz w:val="21"/>
                <w:szCs w:val="21"/>
              </w:rPr>
              <w:t>℃</w:t>
            </w:r>
          </w:p>
        </w:tc>
        <w:tc>
          <w:tcPr>
            <w:tcW w:w="1250" w:type="pct"/>
            <w:vAlign w:val="center"/>
          </w:tcPr>
          <w:p>
            <w:pPr>
              <w:spacing w:line="240" w:lineRule="auto"/>
              <w:ind w:firstLine="0" w:firstLineChars="0"/>
              <w:jc w:val="center"/>
              <w:rPr>
                <w:sz w:val="21"/>
                <w:szCs w:val="21"/>
              </w:rPr>
            </w:pPr>
            <w:r>
              <w:rPr>
                <w:sz w:val="21"/>
                <w:szCs w:val="21"/>
              </w:rPr>
              <w:t>-1</w:t>
            </w:r>
            <w:r>
              <w:rPr>
                <w:rFonts w:hint="eastAsia"/>
                <w:sz w:val="21"/>
                <w:szCs w:val="21"/>
              </w:rPr>
              <w:t>8</w:t>
            </w:r>
            <w:r>
              <w:rPr>
                <w:sz w:val="21"/>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Align w:val="center"/>
          </w:tcPr>
          <w:p>
            <w:pPr>
              <w:spacing w:line="240" w:lineRule="auto"/>
              <w:ind w:firstLine="0" w:firstLineChars="0"/>
              <w:jc w:val="center"/>
              <w:rPr>
                <w:sz w:val="21"/>
                <w:szCs w:val="21"/>
              </w:rPr>
            </w:pPr>
            <w:r>
              <w:rPr>
                <w:rFonts w:hint="eastAsia"/>
                <w:sz w:val="21"/>
                <w:szCs w:val="21"/>
              </w:rPr>
              <w:t>气压</w:t>
            </w:r>
          </w:p>
        </w:tc>
        <w:tc>
          <w:tcPr>
            <w:tcW w:w="1250" w:type="pct"/>
            <w:vAlign w:val="center"/>
          </w:tcPr>
          <w:p>
            <w:pPr>
              <w:spacing w:line="240" w:lineRule="auto"/>
              <w:ind w:firstLine="0" w:firstLineChars="0"/>
              <w:jc w:val="center"/>
              <w:rPr>
                <w:sz w:val="21"/>
                <w:szCs w:val="21"/>
              </w:rPr>
            </w:pPr>
            <w:r>
              <w:rPr>
                <w:rFonts w:hint="eastAsia"/>
                <w:sz w:val="21"/>
                <w:szCs w:val="21"/>
              </w:rPr>
              <w:t>年平均气压</w:t>
            </w:r>
          </w:p>
        </w:tc>
        <w:tc>
          <w:tcPr>
            <w:tcW w:w="1250" w:type="pct"/>
            <w:vAlign w:val="center"/>
          </w:tcPr>
          <w:p>
            <w:pPr>
              <w:spacing w:line="240" w:lineRule="auto"/>
              <w:ind w:firstLine="0" w:firstLineChars="0"/>
              <w:jc w:val="center"/>
              <w:rPr>
                <w:sz w:val="21"/>
                <w:szCs w:val="21"/>
              </w:rPr>
            </w:pPr>
            <w:r>
              <w:rPr>
                <w:sz w:val="21"/>
                <w:szCs w:val="21"/>
              </w:rPr>
              <w:t>hPa</w:t>
            </w:r>
          </w:p>
        </w:tc>
        <w:tc>
          <w:tcPr>
            <w:tcW w:w="1250" w:type="pct"/>
            <w:vAlign w:val="center"/>
          </w:tcPr>
          <w:p>
            <w:pPr>
              <w:spacing w:line="240" w:lineRule="auto"/>
              <w:ind w:firstLine="0" w:firstLineChars="0"/>
              <w:jc w:val="center"/>
              <w:rPr>
                <w:sz w:val="21"/>
                <w:szCs w:val="21"/>
              </w:rPr>
            </w:pPr>
            <w:r>
              <w:rPr>
                <w:sz w:val="21"/>
                <w:szCs w:val="21"/>
              </w:rPr>
              <w:t>100</w:t>
            </w:r>
            <w:r>
              <w:rPr>
                <w:rFonts w:hint="eastAsia"/>
                <w:sz w:val="21"/>
                <w:szCs w:val="21"/>
              </w:rPr>
              <w:t>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Merge w:val="restart"/>
            <w:vAlign w:val="center"/>
          </w:tcPr>
          <w:p>
            <w:pPr>
              <w:spacing w:line="240" w:lineRule="auto"/>
              <w:ind w:firstLine="0" w:firstLineChars="0"/>
              <w:jc w:val="center"/>
              <w:rPr>
                <w:sz w:val="21"/>
                <w:szCs w:val="21"/>
              </w:rPr>
            </w:pPr>
            <w:r>
              <w:rPr>
                <w:rFonts w:hint="eastAsia"/>
                <w:sz w:val="21"/>
                <w:szCs w:val="21"/>
              </w:rPr>
              <w:t>降水量</w:t>
            </w:r>
          </w:p>
        </w:tc>
        <w:tc>
          <w:tcPr>
            <w:tcW w:w="1250" w:type="pct"/>
            <w:vAlign w:val="center"/>
          </w:tcPr>
          <w:p>
            <w:pPr>
              <w:spacing w:line="240" w:lineRule="auto"/>
              <w:ind w:firstLine="0" w:firstLineChars="0"/>
              <w:jc w:val="center"/>
              <w:rPr>
                <w:sz w:val="21"/>
                <w:szCs w:val="21"/>
              </w:rPr>
            </w:pPr>
            <w:r>
              <w:rPr>
                <w:rFonts w:hint="eastAsia"/>
                <w:sz w:val="21"/>
                <w:szCs w:val="21"/>
              </w:rPr>
              <w:t>年平均降水量</w:t>
            </w:r>
          </w:p>
        </w:tc>
        <w:tc>
          <w:tcPr>
            <w:tcW w:w="1250" w:type="pct"/>
            <w:vAlign w:val="center"/>
          </w:tcPr>
          <w:p>
            <w:pPr>
              <w:spacing w:line="240" w:lineRule="auto"/>
              <w:ind w:firstLine="0" w:firstLineChars="0"/>
              <w:jc w:val="center"/>
              <w:rPr>
                <w:sz w:val="21"/>
                <w:szCs w:val="21"/>
              </w:rPr>
            </w:pPr>
            <w:r>
              <w:rPr>
                <w:sz w:val="21"/>
                <w:szCs w:val="21"/>
              </w:rPr>
              <w:t>mm</w:t>
            </w:r>
          </w:p>
        </w:tc>
        <w:tc>
          <w:tcPr>
            <w:tcW w:w="1250" w:type="pct"/>
            <w:vAlign w:val="center"/>
          </w:tcPr>
          <w:p>
            <w:pPr>
              <w:spacing w:line="240" w:lineRule="auto"/>
              <w:ind w:firstLine="0" w:firstLineChars="0"/>
              <w:jc w:val="center"/>
              <w:rPr>
                <w:sz w:val="21"/>
                <w:szCs w:val="21"/>
              </w:rPr>
            </w:pPr>
            <w:r>
              <w:rPr>
                <w:sz w:val="21"/>
                <w:szCs w:val="21"/>
              </w:rPr>
              <w:t>800.</w:t>
            </w:r>
            <w:r>
              <w:rPr>
                <w:rFonts w:hint="eastAsia"/>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Merge w:val="continue"/>
            <w:vAlign w:val="center"/>
          </w:tcPr>
          <w:p>
            <w:pPr>
              <w:spacing w:line="240" w:lineRule="auto"/>
              <w:ind w:firstLine="0" w:firstLineChars="0"/>
              <w:jc w:val="center"/>
              <w:rPr>
                <w:sz w:val="21"/>
                <w:szCs w:val="21"/>
              </w:rPr>
            </w:pPr>
          </w:p>
        </w:tc>
        <w:tc>
          <w:tcPr>
            <w:tcW w:w="1250" w:type="pct"/>
            <w:vAlign w:val="center"/>
          </w:tcPr>
          <w:p>
            <w:pPr>
              <w:spacing w:line="240" w:lineRule="auto"/>
              <w:ind w:firstLine="0" w:firstLineChars="0"/>
              <w:jc w:val="center"/>
              <w:rPr>
                <w:sz w:val="21"/>
                <w:szCs w:val="21"/>
              </w:rPr>
            </w:pPr>
            <w:r>
              <w:rPr>
                <w:rFonts w:hint="eastAsia"/>
                <w:sz w:val="21"/>
                <w:szCs w:val="21"/>
              </w:rPr>
              <w:t>年最大降水量</w:t>
            </w:r>
          </w:p>
        </w:tc>
        <w:tc>
          <w:tcPr>
            <w:tcW w:w="1250" w:type="pct"/>
            <w:vAlign w:val="center"/>
          </w:tcPr>
          <w:p>
            <w:pPr>
              <w:spacing w:line="240" w:lineRule="auto"/>
              <w:ind w:firstLine="0" w:firstLineChars="0"/>
              <w:jc w:val="center"/>
              <w:rPr>
                <w:sz w:val="21"/>
                <w:szCs w:val="21"/>
              </w:rPr>
            </w:pPr>
            <w:r>
              <w:rPr>
                <w:sz w:val="21"/>
                <w:szCs w:val="21"/>
              </w:rPr>
              <w:t>mm</w:t>
            </w:r>
          </w:p>
        </w:tc>
        <w:tc>
          <w:tcPr>
            <w:tcW w:w="1250" w:type="pct"/>
            <w:vAlign w:val="center"/>
          </w:tcPr>
          <w:p>
            <w:pPr>
              <w:spacing w:line="240" w:lineRule="auto"/>
              <w:ind w:firstLine="0" w:firstLineChars="0"/>
              <w:jc w:val="center"/>
              <w:rPr>
                <w:sz w:val="21"/>
                <w:szCs w:val="21"/>
              </w:rPr>
            </w:pPr>
            <w:r>
              <w:rPr>
                <w:sz w:val="21"/>
                <w:szCs w:val="21"/>
              </w:rPr>
              <w:t>1323.</w:t>
            </w:r>
            <w:r>
              <w:rPr>
                <w:rFonts w:hint="eastAsia"/>
                <w:sz w:val="21"/>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Merge w:val="continue"/>
            <w:vAlign w:val="center"/>
          </w:tcPr>
          <w:p>
            <w:pPr>
              <w:spacing w:line="240" w:lineRule="auto"/>
              <w:ind w:firstLine="0" w:firstLineChars="0"/>
              <w:jc w:val="center"/>
              <w:rPr>
                <w:sz w:val="21"/>
                <w:szCs w:val="21"/>
              </w:rPr>
            </w:pPr>
          </w:p>
        </w:tc>
        <w:tc>
          <w:tcPr>
            <w:tcW w:w="1250" w:type="pct"/>
            <w:vAlign w:val="center"/>
          </w:tcPr>
          <w:p>
            <w:pPr>
              <w:spacing w:line="240" w:lineRule="auto"/>
              <w:ind w:firstLine="0" w:firstLineChars="0"/>
              <w:jc w:val="center"/>
              <w:rPr>
                <w:sz w:val="21"/>
                <w:szCs w:val="21"/>
              </w:rPr>
            </w:pPr>
            <w:r>
              <w:rPr>
                <w:rFonts w:hint="eastAsia"/>
                <w:sz w:val="21"/>
                <w:szCs w:val="21"/>
              </w:rPr>
              <w:t>年最小降水量</w:t>
            </w:r>
          </w:p>
        </w:tc>
        <w:tc>
          <w:tcPr>
            <w:tcW w:w="1250" w:type="pct"/>
            <w:vAlign w:val="center"/>
          </w:tcPr>
          <w:p>
            <w:pPr>
              <w:spacing w:line="240" w:lineRule="auto"/>
              <w:ind w:firstLine="0" w:firstLineChars="0"/>
              <w:jc w:val="center"/>
              <w:rPr>
                <w:sz w:val="21"/>
                <w:szCs w:val="21"/>
              </w:rPr>
            </w:pPr>
            <w:r>
              <w:rPr>
                <w:sz w:val="21"/>
                <w:szCs w:val="21"/>
              </w:rPr>
              <w:t>mm</w:t>
            </w:r>
          </w:p>
        </w:tc>
        <w:tc>
          <w:tcPr>
            <w:tcW w:w="1250" w:type="pct"/>
            <w:vAlign w:val="center"/>
          </w:tcPr>
          <w:p>
            <w:pPr>
              <w:spacing w:line="240" w:lineRule="auto"/>
              <w:ind w:firstLine="0" w:firstLineChars="0"/>
              <w:jc w:val="center"/>
              <w:rPr>
                <w:sz w:val="21"/>
                <w:szCs w:val="21"/>
              </w:rPr>
            </w:pPr>
            <w:r>
              <w:rPr>
                <w:sz w:val="21"/>
                <w:szCs w:val="21"/>
              </w:rPr>
              <w:t>373.9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Align w:val="center"/>
          </w:tcPr>
          <w:p>
            <w:pPr>
              <w:spacing w:line="240" w:lineRule="auto"/>
              <w:ind w:firstLine="0" w:firstLineChars="0"/>
              <w:jc w:val="center"/>
              <w:rPr>
                <w:sz w:val="21"/>
                <w:szCs w:val="21"/>
              </w:rPr>
            </w:pPr>
            <w:r>
              <w:rPr>
                <w:rFonts w:hint="eastAsia"/>
                <w:sz w:val="21"/>
                <w:szCs w:val="21"/>
              </w:rPr>
              <w:t>蒸发量</w:t>
            </w:r>
          </w:p>
        </w:tc>
        <w:tc>
          <w:tcPr>
            <w:tcW w:w="1250" w:type="pct"/>
            <w:vAlign w:val="center"/>
          </w:tcPr>
          <w:p>
            <w:pPr>
              <w:spacing w:line="240" w:lineRule="auto"/>
              <w:ind w:firstLine="0" w:firstLineChars="0"/>
              <w:jc w:val="center"/>
              <w:rPr>
                <w:sz w:val="21"/>
                <w:szCs w:val="21"/>
              </w:rPr>
            </w:pPr>
            <w:r>
              <w:rPr>
                <w:rFonts w:hint="eastAsia"/>
                <w:sz w:val="21"/>
                <w:szCs w:val="21"/>
              </w:rPr>
              <w:t>年平均蒸发量</w:t>
            </w:r>
          </w:p>
        </w:tc>
        <w:tc>
          <w:tcPr>
            <w:tcW w:w="1250" w:type="pct"/>
            <w:vAlign w:val="center"/>
          </w:tcPr>
          <w:p>
            <w:pPr>
              <w:spacing w:line="240" w:lineRule="auto"/>
              <w:ind w:firstLine="0" w:firstLineChars="0"/>
              <w:jc w:val="center"/>
              <w:rPr>
                <w:sz w:val="21"/>
                <w:szCs w:val="21"/>
              </w:rPr>
            </w:pPr>
            <w:r>
              <w:rPr>
                <w:sz w:val="21"/>
                <w:szCs w:val="21"/>
              </w:rPr>
              <w:t>mm</w:t>
            </w:r>
          </w:p>
        </w:tc>
        <w:tc>
          <w:tcPr>
            <w:tcW w:w="1250" w:type="pct"/>
            <w:vAlign w:val="center"/>
          </w:tcPr>
          <w:p>
            <w:pPr>
              <w:spacing w:line="240" w:lineRule="auto"/>
              <w:ind w:firstLine="0" w:firstLineChars="0"/>
              <w:jc w:val="center"/>
              <w:rPr>
                <w:sz w:val="21"/>
                <w:szCs w:val="21"/>
              </w:rPr>
            </w:pPr>
            <w:r>
              <w:rPr>
                <w:sz w:val="21"/>
                <w:szCs w:val="21"/>
              </w:rPr>
              <w:t>2825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Align w:val="center"/>
          </w:tcPr>
          <w:p>
            <w:pPr>
              <w:spacing w:line="240" w:lineRule="auto"/>
              <w:ind w:firstLine="0" w:firstLineChars="0"/>
              <w:jc w:val="center"/>
              <w:rPr>
                <w:sz w:val="21"/>
                <w:szCs w:val="21"/>
              </w:rPr>
            </w:pPr>
            <w:r>
              <w:rPr>
                <w:rFonts w:hint="eastAsia"/>
                <w:sz w:val="21"/>
                <w:szCs w:val="21"/>
              </w:rPr>
              <w:t>湿度</w:t>
            </w:r>
          </w:p>
        </w:tc>
        <w:tc>
          <w:tcPr>
            <w:tcW w:w="1250" w:type="pct"/>
            <w:vAlign w:val="center"/>
          </w:tcPr>
          <w:p>
            <w:pPr>
              <w:spacing w:line="240" w:lineRule="auto"/>
              <w:ind w:firstLine="0" w:firstLineChars="0"/>
              <w:jc w:val="center"/>
              <w:rPr>
                <w:sz w:val="21"/>
                <w:szCs w:val="21"/>
              </w:rPr>
            </w:pPr>
            <w:r>
              <w:rPr>
                <w:rFonts w:hint="eastAsia"/>
                <w:sz w:val="21"/>
                <w:szCs w:val="21"/>
              </w:rPr>
              <w:t>年相对湿度</w:t>
            </w:r>
          </w:p>
        </w:tc>
        <w:tc>
          <w:tcPr>
            <w:tcW w:w="1250" w:type="pct"/>
            <w:vAlign w:val="center"/>
          </w:tcPr>
          <w:p>
            <w:pPr>
              <w:spacing w:line="240" w:lineRule="auto"/>
              <w:ind w:firstLine="0" w:firstLineChars="0"/>
              <w:jc w:val="center"/>
              <w:rPr>
                <w:sz w:val="21"/>
                <w:szCs w:val="21"/>
              </w:rPr>
            </w:pPr>
            <w:r>
              <w:rPr>
                <w:sz w:val="21"/>
                <w:szCs w:val="21"/>
              </w:rPr>
              <w:t>%</w:t>
            </w:r>
          </w:p>
        </w:tc>
        <w:tc>
          <w:tcPr>
            <w:tcW w:w="1250" w:type="pct"/>
            <w:vAlign w:val="center"/>
          </w:tcPr>
          <w:p>
            <w:pPr>
              <w:spacing w:line="240" w:lineRule="auto"/>
              <w:ind w:firstLine="0" w:firstLineChars="0"/>
              <w:jc w:val="center"/>
              <w:rPr>
                <w:sz w:val="21"/>
                <w:szCs w:val="21"/>
              </w:rPr>
            </w:pPr>
            <w:r>
              <w:rPr>
                <w:sz w:val="21"/>
                <w:szCs w:val="21"/>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Align w:val="center"/>
          </w:tcPr>
          <w:p>
            <w:pPr>
              <w:spacing w:line="240" w:lineRule="auto"/>
              <w:ind w:firstLine="0" w:firstLineChars="0"/>
              <w:jc w:val="center"/>
              <w:rPr>
                <w:sz w:val="21"/>
                <w:szCs w:val="21"/>
              </w:rPr>
            </w:pPr>
            <w:r>
              <w:rPr>
                <w:rFonts w:hint="eastAsia"/>
                <w:sz w:val="21"/>
                <w:szCs w:val="21"/>
              </w:rPr>
              <w:t>日照</w:t>
            </w:r>
          </w:p>
        </w:tc>
        <w:tc>
          <w:tcPr>
            <w:tcW w:w="1250" w:type="pct"/>
            <w:vAlign w:val="center"/>
          </w:tcPr>
          <w:p>
            <w:pPr>
              <w:spacing w:line="240" w:lineRule="auto"/>
              <w:ind w:firstLine="0" w:firstLineChars="0"/>
              <w:jc w:val="center"/>
              <w:rPr>
                <w:sz w:val="21"/>
                <w:szCs w:val="21"/>
              </w:rPr>
            </w:pPr>
            <w:r>
              <w:rPr>
                <w:rFonts w:hint="eastAsia"/>
                <w:sz w:val="21"/>
                <w:szCs w:val="21"/>
              </w:rPr>
              <w:t>年平均年日照时数</w:t>
            </w:r>
          </w:p>
        </w:tc>
        <w:tc>
          <w:tcPr>
            <w:tcW w:w="1250" w:type="pct"/>
            <w:vAlign w:val="center"/>
          </w:tcPr>
          <w:p>
            <w:pPr>
              <w:spacing w:line="240" w:lineRule="auto"/>
              <w:ind w:firstLine="0" w:firstLineChars="0"/>
              <w:jc w:val="center"/>
              <w:rPr>
                <w:sz w:val="21"/>
                <w:szCs w:val="21"/>
              </w:rPr>
            </w:pPr>
            <w:r>
              <w:rPr>
                <w:sz w:val="21"/>
                <w:szCs w:val="21"/>
              </w:rPr>
              <w:t>h</w:t>
            </w:r>
          </w:p>
        </w:tc>
        <w:tc>
          <w:tcPr>
            <w:tcW w:w="1250" w:type="pct"/>
            <w:vAlign w:val="center"/>
          </w:tcPr>
          <w:p>
            <w:pPr>
              <w:spacing w:line="240" w:lineRule="auto"/>
              <w:ind w:firstLine="0" w:firstLineChars="0"/>
              <w:jc w:val="center"/>
              <w:rPr>
                <w:sz w:val="21"/>
                <w:szCs w:val="21"/>
              </w:rPr>
            </w:pPr>
            <w:r>
              <w:rPr>
                <w:sz w:val="21"/>
                <w:szCs w:val="21"/>
              </w:rPr>
              <w:t>2145.9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Merge w:val="restart"/>
            <w:vAlign w:val="center"/>
          </w:tcPr>
          <w:p>
            <w:pPr>
              <w:spacing w:line="240" w:lineRule="auto"/>
              <w:ind w:firstLine="0" w:firstLineChars="0"/>
              <w:jc w:val="center"/>
              <w:rPr>
                <w:sz w:val="21"/>
                <w:szCs w:val="21"/>
              </w:rPr>
            </w:pPr>
            <w:r>
              <w:rPr>
                <w:rFonts w:hint="eastAsia"/>
                <w:sz w:val="21"/>
                <w:szCs w:val="21"/>
              </w:rPr>
              <w:t>风速</w:t>
            </w:r>
          </w:p>
        </w:tc>
        <w:tc>
          <w:tcPr>
            <w:tcW w:w="1250" w:type="pct"/>
            <w:vAlign w:val="center"/>
          </w:tcPr>
          <w:p>
            <w:pPr>
              <w:spacing w:line="240" w:lineRule="auto"/>
              <w:ind w:firstLine="0" w:firstLineChars="0"/>
              <w:jc w:val="center"/>
              <w:rPr>
                <w:sz w:val="21"/>
                <w:szCs w:val="21"/>
              </w:rPr>
            </w:pPr>
            <w:r>
              <w:rPr>
                <w:rFonts w:hint="eastAsia"/>
                <w:sz w:val="21"/>
                <w:szCs w:val="21"/>
              </w:rPr>
              <w:t>多年平均风速</w:t>
            </w:r>
          </w:p>
        </w:tc>
        <w:tc>
          <w:tcPr>
            <w:tcW w:w="1250" w:type="pct"/>
            <w:vAlign w:val="center"/>
          </w:tcPr>
          <w:p>
            <w:pPr>
              <w:spacing w:line="240" w:lineRule="auto"/>
              <w:ind w:firstLine="0" w:firstLineChars="0"/>
              <w:jc w:val="center"/>
              <w:rPr>
                <w:sz w:val="21"/>
                <w:szCs w:val="21"/>
              </w:rPr>
            </w:pPr>
            <w:r>
              <w:rPr>
                <w:sz w:val="21"/>
                <w:szCs w:val="21"/>
              </w:rPr>
              <w:t>m/s</w:t>
            </w:r>
          </w:p>
        </w:tc>
        <w:tc>
          <w:tcPr>
            <w:tcW w:w="1250" w:type="pct"/>
            <w:vAlign w:val="center"/>
          </w:tcPr>
          <w:p>
            <w:pPr>
              <w:spacing w:line="240" w:lineRule="auto"/>
              <w:ind w:firstLine="0" w:firstLineChars="0"/>
              <w:jc w:val="center"/>
              <w:rPr>
                <w:sz w:val="21"/>
                <w:szCs w:val="21"/>
              </w:rPr>
            </w:pPr>
            <w:r>
              <w:rPr>
                <w:sz w:val="21"/>
                <w:szCs w:val="21"/>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Merge w:val="continue"/>
            <w:vAlign w:val="center"/>
          </w:tcPr>
          <w:p>
            <w:pPr>
              <w:spacing w:line="240" w:lineRule="auto"/>
              <w:ind w:firstLine="0" w:firstLineChars="0"/>
              <w:jc w:val="center"/>
              <w:rPr>
                <w:sz w:val="21"/>
                <w:szCs w:val="21"/>
              </w:rPr>
            </w:pPr>
          </w:p>
        </w:tc>
        <w:tc>
          <w:tcPr>
            <w:tcW w:w="1250" w:type="pct"/>
            <w:vAlign w:val="center"/>
          </w:tcPr>
          <w:p>
            <w:pPr>
              <w:spacing w:line="240" w:lineRule="auto"/>
              <w:ind w:firstLine="0" w:firstLineChars="0"/>
              <w:jc w:val="center"/>
              <w:rPr>
                <w:sz w:val="21"/>
                <w:szCs w:val="21"/>
              </w:rPr>
            </w:pPr>
            <w:r>
              <w:rPr>
                <w:rFonts w:hint="eastAsia"/>
                <w:sz w:val="21"/>
                <w:szCs w:val="21"/>
              </w:rPr>
              <w:t>年最大风速</w:t>
            </w:r>
          </w:p>
        </w:tc>
        <w:tc>
          <w:tcPr>
            <w:tcW w:w="1250" w:type="pct"/>
            <w:vAlign w:val="center"/>
          </w:tcPr>
          <w:p>
            <w:pPr>
              <w:spacing w:line="240" w:lineRule="auto"/>
              <w:ind w:firstLine="0" w:firstLineChars="0"/>
              <w:jc w:val="center"/>
              <w:rPr>
                <w:sz w:val="21"/>
                <w:szCs w:val="21"/>
              </w:rPr>
            </w:pPr>
            <w:r>
              <w:rPr>
                <w:sz w:val="21"/>
                <w:szCs w:val="21"/>
              </w:rPr>
              <w:t>m/s</w:t>
            </w:r>
          </w:p>
        </w:tc>
        <w:tc>
          <w:tcPr>
            <w:tcW w:w="1250" w:type="pct"/>
            <w:vAlign w:val="center"/>
          </w:tcPr>
          <w:p>
            <w:pPr>
              <w:spacing w:line="240" w:lineRule="auto"/>
              <w:ind w:firstLine="0" w:firstLineChars="0"/>
              <w:jc w:val="center"/>
              <w:rPr>
                <w:sz w:val="21"/>
                <w:szCs w:val="21"/>
              </w:rPr>
            </w:pPr>
            <w:r>
              <w:rPr>
                <w:rFonts w:hint="eastAsia"/>
                <w:sz w:val="21"/>
                <w:szCs w:val="21"/>
              </w:rPr>
              <w:t>24.0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Align w:val="center"/>
          </w:tcPr>
          <w:p>
            <w:pPr>
              <w:spacing w:line="240" w:lineRule="auto"/>
              <w:ind w:firstLine="0" w:firstLineChars="0"/>
              <w:jc w:val="center"/>
              <w:rPr>
                <w:sz w:val="21"/>
                <w:szCs w:val="21"/>
              </w:rPr>
            </w:pPr>
            <w:r>
              <w:rPr>
                <w:rFonts w:hint="eastAsia"/>
                <w:sz w:val="21"/>
                <w:szCs w:val="21"/>
              </w:rPr>
              <w:t>风向</w:t>
            </w:r>
          </w:p>
        </w:tc>
        <w:tc>
          <w:tcPr>
            <w:tcW w:w="1250" w:type="pct"/>
            <w:vAlign w:val="center"/>
          </w:tcPr>
          <w:p>
            <w:pPr>
              <w:spacing w:line="240" w:lineRule="auto"/>
              <w:ind w:firstLine="0" w:firstLineChars="0"/>
              <w:jc w:val="center"/>
              <w:rPr>
                <w:sz w:val="21"/>
                <w:szCs w:val="21"/>
              </w:rPr>
            </w:pPr>
            <w:r>
              <w:rPr>
                <w:rFonts w:hint="eastAsia"/>
                <w:sz w:val="21"/>
                <w:szCs w:val="21"/>
              </w:rPr>
              <w:t>年主导风向</w:t>
            </w:r>
          </w:p>
        </w:tc>
        <w:tc>
          <w:tcPr>
            <w:tcW w:w="1250" w:type="pct"/>
            <w:vAlign w:val="center"/>
          </w:tcPr>
          <w:p>
            <w:pPr>
              <w:spacing w:line="240" w:lineRule="auto"/>
              <w:ind w:firstLine="0" w:firstLineChars="0"/>
              <w:jc w:val="center"/>
              <w:rPr>
                <w:sz w:val="21"/>
                <w:szCs w:val="21"/>
              </w:rPr>
            </w:pPr>
            <w:r>
              <w:rPr>
                <w:sz w:val="21"/>
                <w:szCs w:val="21"/>
              </w:rPr>
              <w:t>/</w:t>
            </w:r>
          </w:p>
        </w:tc>
        <w:tc>
          <w:tcPr>
            <w:tcW w:w="1250" w:type="pct"/>
            <w:vAlign w:val="center"/>
          </w:tcPr>
          <w:p>
            <w:pPr>
              <w:spacing w:line="240" w:lineRule="auto"/>
              <w:ind w:firstLine="0" w:firstLineChars="0"/>
              <w:jc w:val="center"/>
              <w:rPr>
                <w:sz w:val="21"/>
                <w:szCs w:val="21"/>
              </w:rPr>
            </w:pPr>
            <w:r>
              <w:rPr>
                <w:rFonts w:hint="eastAsia"/>
                <w:sz w:val="21"/>
                <w:szCs w:val="21"/>
              </w:rPr>
              <w:t>NE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Align w:val="center"/>
          </w:tcPr>
          <w:p>
            <w:pPr>
              <w:spacing w:line="240" w:lineRule="auto"/>
              <w:ind w:firstLine="0" w:firstLineChars="0"/>
              <w:jc w:val="center"/>
              <w:rPr>
                <w:sz w:val="21"/>
                <w:szCs w:val="21"/>
              </w:rPr>
            </w:pPr>
            <w:r>
              <w:rPr>
                <w:rFonts w:hint="eastAsia"/>
                <w:sz w:val="21"/>
                <w:szCs w:val="21"/>
              </w:rPr>
              <w:t>无霜期</w:t>
            </w:r>
          </w:p>
        </w:tc>
        <w:tc>
          <w:tcPr>
            <w:tcW w:w="1250" w:type="pct"/>
            <w:vAlign w:val="center"/>
          </w:tcPr>
          <w:p>
            <w:pPr>
              <w:spacing w:line="240" w:lineRule="auto"/>
              <w:ind w:firstLine="0" w:firstLineChars="0"/>
              <w:jc w:val="center"/>
              <w:rPr>
                <w:sz w:val="21"/>
                <w:szCs w:val="21"/>
              </w:rPr>
            </w:pPr>
            <w:r>
              <w:rPr>
                <w:rFonts w:hint="eastAsia"/>
                <w:sz w:val="21"/>
                <w:szCs w:val="21"/>
              </w:rPr>
              <w:t>年平均无霜期</w:t>
            </w:r>
          </w:p>
        </w:tc>
        <w:tc>
          <w:tcPr>
            <w:tcW w:w="1250" w:type="pct"/>
            <w:vAlign w:val="center"/>
          </w:tcPr>
          <w:p>
            <w:pPr>
              <w:spacing w:line="240" w:lineRule="auto"/>
              <w:ind w:firstLine="0" w:firstLineChars="0"/>
              <w:jc w:val="center"/>
              <w:rPr>
                <w:sz w:val="21"/>
                <w:szCs w:val="21"/>
              </w:rPr>
            </w:pPr>
            <w:r>
              <w:rPr>
                <w:rFonts w:hint="eastAsia"/>
                <w:sz w:val="21"/>
                <w:szCs w:val="21"/>
              </w:rPr>
              <w:t>d</w:t>
            </w:r>
          </w:p>
        </w:tc>
        <w:tc>
          <w:tcPr>
            <w:tcW w:w="1250" w:type="pct"/>
            <w:vAlign w:val="center"/>
          </w:tcPr>
          <w:p>
            <w:pPr>
              <w:spacing w:line="240" w:lineRule="auto"/>
              <w:ind w:firstLine="0" w:firstLineChars="0"/>
              <w:jc w:val="center"/>
              <w:rPr>
                <w:sz w:val="21"/>
                <w:szCs w:val="21"/>
              </w:rPr>
            </w:pPr>
            <w:r>
              <w:rPr>
                <w:rFonts w:hint="eastAsia"/>
                <w:sz w:val="21"/>
                <w:szCs w:val="21"/>
              </w:rPr>
              <w:t>217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0" w:type="pct"/>
            <w:vAlign w:val="center"/>
          </w:tcPr>
          <w:p>
            <w:pPr>
              <w:spacing w:line="240" w:lineRule="auto"/>
              <w:ind w:firstLine="0" w:firstLineChars="0"/>
              <w:jc w:val="center"/>
              <w:rPr>
                <w:sz w:val="21"/>
                <w:szCs w:val="21"/>
              </w:rPr>
            </w:pPr>
            <w:r>
              <w:rPr>
                <w:rFonts w:hint="eastAsia"/>
                <w:sz w:val="21"/>
                <w:szCs w:val="21"/>
              </w:rPr>
              <w:t>冰冻期</w:t>
            </w:r>
          </w:p>
        </w:tc>
        <w:tc>
          <w:tcPr>
            <w:tcW w:w="1250" w:type="pct"/>
            <w:vAlign w:val="center"/>
          </w:tcPr>
          <w:p>
            <w:pPr>
              <w:spacing w:line="240" w:lineRule="auto"/>
              <w:ind w:firstLine="0" w:firstLineChars="0"/>
              <w:jc w:val="center"/>
              <w:rPr>
                <w:sz w:val="21"/>
                <w:szCs w:val="21"/>
              </w:rPr>
            </w:pPr>
            <w:r>
              <w:rPr>
                <w:rFonts w:hint="eastAsia"/>
                <w:sz w:val="21"/>
                <w:szCs w:val="21"/>
              </w:rPr>
              <w:t>年平均冰冻期</w:t>
            </w:r>
          </w:p>
        </w:tc>
        <w:tc>
          <w:tcPr>
            <w:tcW w:w="1250" w:type="pct"/>
            <w:vAlign w:val="center"/>
          </w:tcPr>
          <w:p>
            <w:pPr>
              <w:spacing w:line="240" w:lineRule="auto"/>
              <w:ind w:firstLine="0" w:firstLineChars="0"/>
              <w:jc w:val="center"/>
              <w:rPr>
                <w:sz w:val="21"/>
                <w:szCs w:val="21"/>
              </w:rPr>
            </w:pPr>
            <w:r>
              <w:rPr>
                <w:rFonts w:hint="eastAsia"/>
                <w:sz w:val="21"/>
                <w:szCs w:val="21"/>
              </w:rPr>
              <w:t>d</w:t>
            </w:r>
          </w:p>
        </w:tc>
        <w:tc>
          <w:tcPr>
            <w:tcW w:w="1250" w:type="pct"/>
            <w:vAlign w:val="center"/>
          </w:tcPr>
          <w:p>
            <w:pPr>
              <w:spacing w:line="240" w:lineRule="auto"/>
              <w:ind w:firstLine="0" w:firstLineChars="0"/>
              <w:jc w:val="center"/>
              <w:rPr>
                <w:sz w:val="21"/>
                <w:szCs w:val="21"/>
              </w:rPr>
            </w:pPr>
            <w:r>
              <w:rPr>
                <w:rFonts w:hint="eastAsia"/>
                <w:sz w:val="21"/>
                <w:szCs w:val="21"/>
              </w:rPr>
              <w:t>70</w:t>
            </w:r>
          </w:p>
        </w:tc>
      </w:tr>
    </w:tbl>
    <w:p>
      <w:pPr>
        <w:ind w:firstLine="480"/>
      </w:pPr>
      <w:r>
        <w:rPr>
          <w:rFonts w:hint="eastAsia"/>
        </w:rPr>
        <w:t>叶县多年风玫瑰图见图6</w:t>
      </w:r>
      <w:r>
        <w:t>.2-1</w:t>
      </w:r>
      <w:r>
        <w:rPr>
          <w:rFonts w:hint="eastAsia"/>
        </w:rPr>
        <w:t>。</w:t>
      </w:r>
    </w:p>
    <w:p>
      <w:pPr>
        <w:ind w:firstLine="480"/>
        <w:jc w:val="center"/>
      </w:pPr>
      <w:r>
        <w:drawing>
          <wp:inline distT="0" distB="0" distL="114300" distR="114300">
            <wp:extent cx="1944370" cy="1685925"/>
            <wp:effectExtent l="0" t="0" r="17780" b="9525"/>
            <wp:docPr id="135"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2"/>
                    <pic:cNvPicPr>
                      <a:picLocks noChangeAspect="1"/>
                    </pic:cNvPicPr>
                  </pic:nvPicPr>
                  <pic:blipFill>
                    <a:blip r:embed="rId75"/>
                    <a:stretch>
                      <a:fillRect/>
                    </a:stretch>
                  </pic:blipFill>
                  <pic:spPr>
                    <a:xfrm>
                      <a:off x="0" y="0"/>
                      <a:ext cx="1944370" cy="1685925"/>
                    </a:xfrm>
                    <a:prstGeom prst="rect">
                      <a:avLst/>
                    </a:prstGeom>
                    <a:noFill/>
                    <a:ln>
                      <a:noFill/>
                    </a:ln>
                  </pic:spPr>
                </pic:pic>
              </a:graphicData>
            </a:graphic>
          </wp:inline>
        </w:drawing>
      </w:r>
    </w:p>
    <w:p>
      <w:pPr>
        <w:ind w:firstLine="0" w:firstLineChars="0"/>
        <w:jc w:val="center"/>
        <w:rPr>
          <w:b/>
          <w:bCs/>
        </w:rPr>
      </w:pPr>
      <w:r>
        <w:rPr>
          <w:rFonts w:hint="eastAsia"/>
          <w:b/>
          <w:bCs/>
        </w:rPr>
        <w:t>图6.2-1  叶县风玫瑰图</w:t>
      </w:r>
    </w:p>
    <w:p>
      <w:pPr>
        <w:ind w:firstLine="482"/>
        <w:rPr>
          <w:b/>
          <w:bCs/>
        </w:rPr>
      </w:pPr>
      <w:r>
        <w:rPr>
          <w:rFonts w:hint="eastAsia"/>
          <w:b/>
          <w:bCs/>
        </w:rPr>
        <w:t>3、基准年地面气象要素</w:t>
      </w:r>
    </w:p>
    <w:p>
      <w:pPr>
        <w:ind w:firstLine="480"/>
      </w:pPr>
      <w:r>
        <w:rPr>
          <w:rFonts w:hint="eastAsia"/>
        </w:rPr>
        <w:t>本次评价近年地面气象资料采用年</w:t>
      </w:r>
      <w:r>
        <w:t>20</w:t>
      </w:r>
      <w:r>
        <w:rPr>
          <w:rFonts w:hint="eastAsia"/>
        </w:rPr>
        <w:t>20叶县气象观测站逐时逐次的观测数据。</w:t>
      </w:r>
    </w:p>
    <w:p>
      <w:pPr>
        <w:ind w:firstLine="480"/>
      </w:pPr>
      <w:r>
        <w:rPr>
          <w:rFonts w:hint="eastAsia"/>
        </w:rPr>
        <w:t>（</w:t>
      </w:r>
      <w:r>
        <w:t>1</w:t>
      </w:r>
      <w:r>
        <w:rPr>
          <w:rFonts w:hint="eastAsia"/>
        </w:rPr>
        <w:t>）温度</w:t>
      </w:r>
    </w:p>
    <w:p>
      <w:pPr>
        <w:ind w:firstLine="480"/>
      </w:pPr>
      <w:r>
        <w:rPr>
          <w:rFonts w:hint="eastAsia"/>
        </w:rPr>
        <w:t>2020年叶县平均气温15.49℃，其中1月至4月、10月至12月的平均气温在平均值以下，以1月份最低，为2.25℃，5月至9月份的平均气温在年均值以上，以8月份最高，为26.56℃。</w:t>
      </w:r>
    </w:p>
    <w:p>
      <w:pPr>
        <w:ind w:firstLine="480"/>
      </w:pPr>
      <w:r>
        <w:rPr>
          <w:rFonts w:hint="eastAsia"/>
        </w:rPr>
        <w:t>各月平均气温统计结果分别见表</w:t>
      </w:r>
      <w:r>
        <w:t>6.</w:t>
      </w:r>
      <w:r>
        <w:rPr>
          <w:rFonts w:hint="eastAsia"/>
        </w:rPr>
        <w:t>2</w:t>
      </w:r>
      <w:r>
        <w:t>-2</w:t>
      </w:r>
      <w:r>
        <w:rPr>
          <w:rFonts w:hint="eastAsia"/>
        </w:rPr>
        <w:t>和图</w:t>
      </w:r>
      <w:r>
        <w:t>6.1-</w:t>
      </w:r>
      <w:r>
        <w:rPr>
          <w:rFonts w:hint="eastAsia"/>
        </w:rPr>
        <w:t>2。</w:t>
      </w:r>
    </w:p>
    <w:p>
      <w:pPr>
        <w:ind w:firstLine="482"/>
        <w:jc w:val="center"/>
        <w:rPr>
          <w:b/>
          <w:bCs/>
        </w:rPr>
      </w:pPr>
      <w:r>
        <w:rPr>
          <w:rFonts w:hint="eastAsia"/>
          <w:b/>
          <w:bCs/>
        </w:rPr>
        <w:t>表</w:t>
      </w:r>
      <w:r>
        <w:rPr>
          <w:b/>
          <w:bCs/>
        </w:rPr>
        <w:t>6.</w:t>
      </w:r>
      <w:r>
        <w:rPr>
          <w:rFonts w:hint="eastAsia"/>
          <w:b/>
          <w:bCs/>
        </w:rPr>
        <w:t>2</w:t>
      </w:r>
      <w:r>
        <w:rPr>
          <w:b/>
          <w:bCs/>
        </w:rPr>
        <w:t xml:space="preserve">-2 </w:t>
      </w:r>
      <w:r>
        <w:rPr>
          <w:rFonts w:hint="eastAsia"/>
          <w:b/>
          <w:bCs/>
        </w:rPr>
        <w:t xml:space="preserve"> 平均气温的月变化（℃）</w:t>
      </w:r>
    </w:p>
    <w:tbl>
      <w:tblPr>
        <w:tblStyle w:val="29"/>
        <w:tblW w:w="506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722"/>
        <w:gridCol w:w="591"/>
        <w:gridCol w:w="759"/>
        <w:gridCol w:w="694"/>
        <w:gridCol w:w="703"/>
        <w:gridCol w:w="759"/>
        <w:gridCol w:w="750"/>
        <w:gridCol w:w="741"/>
        <w:gridCol w:w="750"/>
        <w:gridCol w:w="703"/>
        <w:gridCol w:w="761"/>
        <w:gridCol w:w="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 w:type="dxa"/>
            <w:vAlign w:val="center"/>
          </w:tcPr>
          <w:p>
            <w:pPr>
              <w:spacing w:line="240" w:lineRule="auto"/>
              <w:ind w:firstLine="0" w:firstLineChars="0"/>
              <w:jc w:val="center"/>
              <w:rPr>
                <w:sz w:val="21"/>
                <w:szCs w:val="21"/>
              </w:rPr>
            </w:pPr>
            <w:r>
              <w:rPr>
                <w:rFonts w:hint="eastAsia"/>
                <w:sz w:val="21"/>
                <w:szCs w:val="21"/>
              </w:rPr>
              <w:t>月份</w:t>
            </w:r>
          </w:p>
        </w:tc>
        <w:tc>
          <w:tcPr>
            <w:tcW w:w="722" w:type="dxa"/>
            <w:vAlign w:val="center"/>
          </w:tcPr>
          <w:p>
            <w:pPr>
              <w:spacing w:line="240" w:lineRule="auto"/>
              <w:ind w:firstLine="0" w:firstLineChars="0"/>
              <w:jc w:val="center"/>
              <w:rPr>
                <w:sz w:val="21"/>
                <w:szCs w:val="21"/>
              </w:rPr>
            </w:pPr>
            <w:r>
              <w:rPr>
                <w:sz w:val="21"/>
                <w:szCs w:val="21"/>
              </w:rPr>
              <w:t>1</w:t>
            </w:r>
            <w:r>
              <w:rPr>
                <w:rFonts w:hint="eastAsia"/>
                <w:sz w:val="21"/>
                <w:szCs w:val="21"/>
              </w:rPr>
              <w:t>月</w:t>
            </w:r>
          </w:p>
        </w:tc>
        <w:tc>
          <w:tcPr>
            <w:tcW w:w="591" w:type="dxa"/>
            <w:vAlign w:val="center"/>
          </w:tcPr>
          <w:p>
            <w:pPr>
              <w:spacing w:line="240" w:lineRule="auto"/>
              <w:ind w:firstLine="0" w:firstLineChars="0"/>
              <w:jc w:val="center"/>
              <w:rPr>
                <w:sz w:val="21"/>
                <w:szCs w:val="21"/>
              </w:rPr>
            </w:pPr>
            <w:r>
              <w:rPr>
                <w:rFonts w:hint="eastAsia"/>
                <w:sz w:val="21"/>
                <w:szCs w:val="21"/>
              </w:rPr>
              <w:t>2月</w:t>
            </w:r>
          </w:p>
        </w:tc>
        <w:tc>
          <w:tcPr>
            <w:tcW w:w="759" w:type="dxa"/>
            <w:vAlign w:val="center"/>
          </w:tcPr>
          <w:p>
            <w:pPr>
              <w:spacing w:line="240" w:lineRule="auto"/>
              <w:ind w:firstLine="0" w:firstLineChars="0"/>
              <w:jc w:val="center"/>
              <w:rPr>
                <w:sz w:val="21"/>
                <w:szCs w:val="21"/>
              </w:rPr>
            </w:pPr>
            <w:r>
              <w:rPr>
                <w:rFonts w:hint="eastAsia"/>
                <w:sz w:val="21"/>
                <w:szCs w:val="21"/>
              </w:rPr>
              <w:t>3月</w:t>
            </w:r>
          </w:p>
        </w:tc>
        <w:tc>
          <w:tcPr>
            <w:tcW w:w="694" w:type="dxa"/>
            <w:vAlign w:val="center"/>
          </w:tcPr>
          <w:p>
            <w:pPr>
              <w:spacing w:line="240" w:lineRule="auto"/>
              <w:ind w:firstLine="0" w:firstLineChars="0"/>
              <w:jc w:val="center"/>
              <w:rPr>
                <w:sz w:val="21"/>
                <w:szCs w:val="21"/>
              </w:rPr>
            </w:pPr>
            <w:r>
              <w:rPr>
                <w:rFonts w:hint="eastAsia"/>
                <w:sz w:val="21"/>
                <w:szCs w:val="21"/>
              </w:rPr>
              <w:t>4月</w:t>
            </w:r>
          </w:p>
        </w:tc>
        <w:tc>
          <w:tcPr>
            <w:tcW w:w="703" w:type="dxa"/>
            <w:vAlign w:val="center"/>
          </w:tcPr>
          <w:p>
            <w:pPr>
              <w:spacing w:line="240" w:lineRule="auto"/>
              <w:ind w:firstLine="0" w:firstLineChars="0"/>
              <w:jc w:val="center"/>
              <w:rPr>
                <w:sz w:val="21"/>
                <w:szCs w:val="21"/>
              </w:rPr>
            </w:pPr>
            <w:r>
              <w:rPr>
                <w:rFonts w:hint="eastAsia"/>
                <w:sz w:val="21"/>
                <w:szCs w:val="21"/>
              </w:rPr>
              <w:t>5月</w:t>
            </w:r>
          </w:p>
        </w:tc>
        <w:tc>
          <w:tcPr>
            <w:tcW w:w="759" w:type="dxa"/>
            <w:vAlign w:val="center"/>
          </w:tcPr>
          <w:p>
            <w:pPr>
              <w:spacing w:line="240" w:lineRule="auto"/>
              <w:ind w:firstLine="0" w:firstLineChars="0"/>
              <w:jc w:val="center"/>
              <w:rPr>
                <w:sz w:val="21"/>
                <w:szCs w:val="21"/>
              </w:rPr>
            </w:pPr>
            <w:r>
              <w:rPr>
                <w:rFonts w:hint="eastAsia"/>
                <w:sz w:val="21"/>
                <w:szCs w:val="21"/>
              </w:rPr>
              <w:t>6月</w:t>
            </w:r>
          </w:p>
        </w:tc>
        <w:tc>
          <w:tcPr>
            <w:tcW w:w="750" w:type="dxa"/>
            <w:vAlign w:val="center"/>
          </w:tcPr>
          <w:p>
            <w:pPr>
              <w:spacing w:line="240" w:lineRule="auto"/>
              <w:ind w:firstLine="0" w:firstLineChars="0"/>
              <w:jc w:val="center"/>
              <w:rPr>
                <w:sz w:val="21"/>
                <w:szCs w:val="21"/>
              </w:rPr>
            </w:pPr>
            <w:r>
              <w:rPr>
                <w:rFonts w:hint="eastAsia"/>
                <w:sz w:val="21"/>
                <w:szCs w:val="21"/>
              </w:rPr>
              <w:t>7月</w:t>
            </w:r>
          </w:p>
        </w:tc>
        <w:tc>
          <w:tcPr>
            <w:tcW w:w="741" w:type="dxa"/>
            <w:vAlign w:val="center"/>
          </w:tcPr>
          <w:p>
            <w:pPr>
              <w:spacing w:line="240" w:lineRule="auto"/>
              <w:ind w:firstLine="0" w:firstLineChars="0"/>
              <w:jc w:val="center"/>
              <w:rPr>
                <w:sz w:val="21"/>
                <w:szCs w:val="21"/>
              </w:rPr>
            </w:pPr>
            <w:r>
              <w:rPr>
                <w:rFonts w:hint="eastAsia"/>
                <w:sz w:val="21"/>
                <w:szCs w:val="21"/>
              </w:rPr>
              <w:t>8月</w:t>
            </w:r>
          </w:p>
        </w:tc>
        <w:tc>
          <w:tcPr>
            <w:tcW w:w="750" w:type="dxa"/>
            <w:vAlign w:val="center"/>
          </w:tcPr>
          <w:p>
            <w:pPr>
              <w:spacing w:line="240" w:lineRule="auto"/>
              <w:ind w:firstLine="0" w:firstLineChars="0"/>
              <w:jc w:val="center"/>
              <w:rPr>
                <w:sz w:val="21"/>
                <w:szCs w:val="21"/>
              </w:rPr>
            </w:pPr>
            <w:r>
              <w:rPr>
                <w:rFonts w:hint="eastAsia"/>
                <w:sz w:val="21"/>
                <w:szCs w:val="21"/>
              </w:rPr>
              <w:t>9月</w:t>
            </w:r>
          </w:p>
        </w:tc>
        <w:tc>
          <w:tcPr>
            <w:tcW w:w="703" w:type="dxa"/>
            <w:vAlign w:val="center"/>
          </w:tcPr>
          <w:p>
            <w:pPr>
              <w:spacing w:line="240" w:lineRule="auto"/>
              <w:ind w:firstLine="0" w:firstLineChars="0"/>
              <w:jc w:val="center"/>
              <w:rPr>
                <w:sz w:val="21"/>
                <w:szCs w:val="21"/>
              </w:rPr>
            </w:pPr>
            <w:r>
              <w:rPr>
                <w:sz w:val="21"/>
                <w:szCs w:val="21"/>
              </w:rPr>
              <w:t>1</w:t>
            </w:r>
            <w:r>
              <w:rPr>
                <w:rFonts w:hint="eastAsia"/>
                <w:sz w:val="21"/>
                <w:szCs w:val="21"/>
              </w:rPr>
              <w:t>0月</w:t>
            </w:r>
          </w:p>
        </w:tc>
        <w:tc>
          <w:tcPr>
            <w:tcW w:w="761" w:type="dxa"/>
            <w:vAlign w:val="center"/>
          </w:tcPr>
          <w:p>
            <w:pPr>
              <w:spacing w:line="240" w:lineRule="auto"/>
              <w:ind w:firstLine="0" w:firstLineChars="0"/>
              <w:jc w:val="center"/>
              <w:rPr>
                <w:sz w:val="21"/>
                <w:szCs w:val="21"/>
              </w:rPr>
            </w:pPr>
            <w:r>
              <w:rPr>
                <w:sz w:val="21"/>
                <w:szCs w:val="21"/>
              </w:rPr>
              <w:t>1</w:t>
            </w:r>
            <w:r>
              <w:rPr>
                <w:rFonts w:hint="eastAsia"/>
                <w:sz w:val="21"/>
                <w:szCs w:val="21"/>
              </w:rPr>
              <w:t>1月</w:t>
            </w:r>
          </w:p>
        </w:tc>
        <w:tc>
          <w:tcPr>
            <w:tcW w:w="705" w:type="dxa"/>
            <w:vAlign w:val="center"/>
          </w:tcPr>
          <w:p>
            <w:pPr>
              <w:spacing w:line="240" w:lineRule="auto"/>
              <w:ind w:firstLine="0" w:firstLineChars="0"/>
              <w:jc w:val="center"/>
              <w:rPr>
                <w:sz w:val="21"/>
                <w:szCs w:val="21"/>
              </w:rPr>
            </w:pPr>
            <w:r>
              <w:rPr>
                <w:sz w:val="21"/>
                <w:szCs w:val="21"/>
              </w:rPr>
              <w:t>1</w:t>
            </w:r>
            <w:r>
              <w:rPr>
                <w:rFonts w:hint="eastAsia"/>
                <w:sz w:val="21"/>
                <w:szCs w:val="21"/>
              </w:rPr>
              <w:t>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 w:type="dxa"/>
            <w:vAlign w:val="center"/>
          </w:tcPr>
          <w:p>
            <w:pPr>
              <w:spacing w:line="240" w:lineRule="auto"/>
              <w:ind w:firstLine="0" w:firstLineChars="0"/>
              <w:jc w:val="center"/>
              <w:rPr>
                <w:sz w:val="21"/>
                <w:szCs w:val="21"/>
              </w:rPr>
            </w:pPr>
            <w:r>
              <w:rPr>
                <w:rFonts w:hint="eastAsia"/>
                <w:sz w:val="21"/>
                <w:szCs w:val="21"/>
              </w:rPr>
              <w:t>温度</w:t>
            </w:r>
          </w:p>
        </w:tc>
        <w:tc>
          <w:tcPr>
            <w:tcW w:w="722" w:type="dxa"/>
            <w:vAlign w:val="center"/>
          </w:tcPr>
          <w:p>
            <w:pPr>
              <w:spacing w:line="240" w:lineRule="auto"/>
              <w:ind w:firstLine="0" w:firstLineChars="0"/>
              <w:jc w:val="center"/>
              <w:rPr>
                <w:sz w:val="21"/>
                <w:szCs w:val="21"/>
              </w:rPr>
            </w:pPr>
            <w:r>
              <w:rPr>
                <w:rFonts w:hint="eastAsia"/>
                <w:sz w:val="21"/>
                <w:szCs w:val="21"/>
              </w:rPr>
              <w:t>2.25</w:t>
            </w:r>
          </w:p>
        </w:tc>
        <w:tc>
          <w:tcPr>
            <w:tcW w:w="591" w:type="dxa"/>
            <w:vAlign w:val="center"/>
          </w:tcPr>
          <w:p>
            <w:pPr>
              <w:spacing w:line="240" w:lineRule="auto"/>
              <w:ind w:firstLine="0" w:firstLineChars="0"/>
              <w:jc w:val="center"/>
              <w:rPr>
                <w:sz w:val="21"/>
                <w:szCs w:val="21"/>
              </w:rPr>
            </w:pPr>
            <w:r>
              <w:rPr>
                <w:rFonts w:hint="eastAsia"/>
                <w:sz w:val="21"/>
                <w:szCs w:val="21"/>
              </w:rPr>
              <w:t>5.89</w:t>
            </w:r>
          </w:p>
        </w:tc>
        <w:tc>
          <w:tcPr>
            <w:tcW w:w="759" w:type="dxa"/>
            <w:vAlign w:val="center"/>
          </w:tcPr>
          <w:p>
            <w:pPr>
              <w:spacing w:line="240" w:lineRule="auto"/>
              <w:ind w:firstLine="0" w:firstLineChars="0"/>
              <w:jc w:val="center"/>
              <w:rPr>
                <w:sz w:val="21"/>
                <w:szCs w:val="21"/>
              </w:rPr>
            </w:pPr>
            <w:r>
              <w:rPr>
                <w:rFonts w:hint="eastAsia"/>
                <w:sz w:val="21"/>
                <w:szCs w:val="21"/>
              </w:rPr>
              <w:t>11.06</w:t>
            </w:r>
          </w:p>
        </w:tc>
        <w:tc>
          <w:tcPr>
            <w:tcW w:w="694" w:type="dxa"/>
            <w:vAlign w:val="center"/>
          </w:tcPr>
          <w:p>
            <w:pPr>
              <w:spacing w:line="240" w:lineRule="auto"/>
              <w:ind w:firstLine="0" w:firstLineChars="0"/>
              <w:jc w:val="center"/>
              <w:rPr>
                <w:sz w:val="21"/>
                <w:szCs w:val="21"/>
              </w:rPr>
            </w:pPr>
            <w:r>
              <w:rPr>
                <w:rFonts w:hint="eastAsia"/>
                <w:sz w:val="21"/>
                <w:szCs w:val="21"/>
              </w:rPr>
              <w:t>14.96</w:t>
            </w:r>
          </w:p>
        </w:tc>
        <w:tc>
          <w:tcPr>
            <w:tcW w:w="703" w:type="dxa"/>
            <w:vAlign w:val="center"/>
          </w:tcPr>
          <w:p>
            <w:pPr>
              <w:spacing w:line="240" w:lineRule="auto"/>
              <w:ind w:firstLine="0" w:firstLineChars="0"/>
              <w:jc w:val="center"/>
              <w:rPr>
                <w:sz w:val="21"/>
                <w:szCs w:val="21"/>
              </w:rPr>
            </w:pPr>
            <w:r>
              <w:rPr>
                <w:rFonts w:hint="eastAsia"/>
                <w:sz w:val="21"/>
                <w:szCs w:val="21"/>
              </w:rPr>
              <w:t>23.16</w:t>
            </w:r>
          </w:p>
        </w:tc>
        <w:tc>
          <w:tcPr>
            <w:tcW w:w="759" w:type="dxa"/>
            <w:vAlign w:val="center"/>
          </w:tcPr>
          <w:p>
            <w:pPr>
              <w:spacing w:line="240" w:lineRule="auto"/>
              <w:ind w:firstLine="0" w:firstLineChars="0"/>
              <w:jc w:val="center"/>
              <w:rPr>
                <w:sz w:val="21"/>
                <w:szCs w:val="21"/>
              </w:rPr>
            </w:pPr>
            <w:r>
              <w:rPr>
                <w:rFonts w:hint="eastAsia"/>
                <w:sz w:val="21"/>
                <w:szCs w:val="21"/>
              </w:rPr>
              <w:t>25.83</w:t>
            </w:r>
          </w:p>
        </w:tc>
        <w:tc>
          <w:tcPr>
            <w:tcW w:w="750" w:type="dxa"/>
            <w:vAlign w:val="center"/>
          </w:tcPr>
          <w:p>
            <w:pPr>
              <w:spacing w:line="240" w:lineRule="auto"/>
              <w:ind w:firstLine="0" w:firstLineChars="0"/>
              <w:jc w:val="center"/>
              <w:rPr>
                <w:sz w:val="21"/>
                <w:szCs w:val="21"/>
              </w:rPr>
            </w:pPr>
            <w:r>
              <w:rPr>
                <w:rFonts w:hint="eastAsia"/>
                <w:sz w:val="21"/>
                <w:szCs w:val="21"/>
              </w:rPr>
              <w:t>25.31</w:t>
            </w:r>
          </w:p>
        </w:tc>
        <w:tc>
          <w:tcPr>
            <w:tcW w:w="741" w:type="dxa"/>
            <w:vAlign w:val="center"/>
          </w:tcPr>
          <w:p>
            <w:pPr>
              <w:spacing w:line="240" w:lineRule="auto"/>
              <w:ind w:firstLine="0" w:firstLineChars="0"/>
              <w:jc w:val="center"/>
              <w:rPr>
                <w:sz w:val="21"/>
                <w:szCs w:val="21"/>
              </w:rPr>
            </w:pPr>
            <w:r>
              <w:rPr>
                <w:rFonts w:hint="eastAsia"/>
                <w:sz w:val="21"/>
                <w:szCs w:val="21"/>
              </w:rPr>
              <w:t>26.56</w:t>
            </w:r>
          </w:p>
        </w:tc>
        <w:tc>
          <w:tcPr>
            <w:tcW w:w="750" w:type="dxa"/>
            <w:vAlign w:val="center"/>
          </w:tcPr>
          <w:p>
            <w:pPr>
              <w:spacing w:line="240" w:lineRule="auto"/>
              <w:ind w:firstLine="0" w:firstLineChars="0"/>
              <w:jc w:val="center"/>
              <w:rPr>
                <w:sz w:val="21"/>
                <w:szCs w:val="21"/>
              </w:rPr>
            </w:pPr>
            <w:r>
              <w:rPr>
                <w:rFonts w:hint="eastAsia"/>
                <w:sz w:val="21"/>
                <w:szCs w:val="21"/>
              </w:rPr>
              <w:t>22.15</w:t>
            </w:r>
          </w:p>
        </w:tc>
        <w:tc>
          <w:tcPr>
            <w:tcW w:w="703" w:type="dxa"/>
            <w:vAlign w:val="center"/>
          </w:tcPr>
          <w:p>
            <w:pPr>
              <w:spacing w:line="240" w:lineRule="auto"/>
              <w:ind w:firstLine="0" w:firstLineChars="0"/>
              <w:jc w:val="center"/>
              <w:rPr>
                <w:sz w:val="21"/>
                <w:szCs w:val="21"/>
              </w:rPr>
            </w:pPr>
            <w:r>
              <w:rPr>
                <w:rFonts w:hint="eastAsia"/>
                <w:sz w:val="21"/>
                <w:szCs w:val="21"/>
              </w:rPr>
              <w:t>15.03</w:t>
            </w:r>
          </w:p>
        </w:tc>
        <w:tc>
          <w:tcPr>
            <w:tcW w:w="761" w:type="dxa"/>
            <w:vAlign w:val="center"/>
          </w:tcPr>
          <w:p>
            <w:pPr>
              <w:spacing w:line="240" w:lineRule="auto"/>
              <w:ind w:firstLine="0" w:firstLineChars="0"/>
              <w:jc w:val="center"/>
              <w:rPr>
                <w:sz w:val="21"/>
                <w:szCs w:val="21"/>
              </w:rPr>
            </w:pPr>
            <w:r>
              <w:rPr>
                <w:rFonts w:hint="eastAsia"/>
                <w:sz w:val="21"/>
                <w:szCs w:val="21"/>
              </w:rPr>
              <w:t>10.61</w:t>
            </w:r>
          </w:p>
        </w:tc>
        <w:tc>
          <w:tcPr>
            <w:tcW w:w="705" w:type="dxa"/>
            <w:vAlign w:val="center"/>
          </w:tcPr>
          <w:p>
            <w:pPr>
              <w:spacing w:line="240" w:lineRule="auto"/>
              <w:ind w:firstLine="0" w:firstLineChars="0"/>
              <w:jc w:val="center"/>
              <w:rPr>
                <w:sz w:val="21"/>
                <w:szCs w:val="21"/>
              </w:rPr>
            </w:pPr>
            <w:r>
              <w:rPr>
                <w:rFonts w:hint="eastAsia"/>
                <w:sz w:val="21"/>
                <w:szCs w:val="21"/>
              </w:rPr>
              <w:t>2.81</w:t>
            </w:r>
          </w:p>
        </w:tc>
      </w:tr>
    </w:tbl>
    <w:p>
      <w:pPr>
        <w:ind w:firstLine="0" w:firstLineChars="0"/>
        <w:jc w:val="center"/>
      </w:pPr>
    </w:p>
    <w:p>
      <w:pPr>
        <w:ind w:firstLine="0" w:firstLineChars="0"/>
        <w:jc w:val="center"/>
      </w:pPr>
      <w:r>
        <w:drawing>
          <wp:inline distT="0" distB="0" distL="114300" distR="114300">
            <wp:extent cx="5543550" cy="2971800"/>
            <wp:effectExtent l="0" t="0" r="0" b="0"/>
            <wp:docPr id="137"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3"/>
                    <pic:cNvPicPr>
                      <a:picLocks noChangeAspect="1"/>
                    </pic:cNvPicPr>
                  </pic:nvPicPr>
                  <pic:blipFill>
                    <a:blip r:embed="rId76"/>
                    <a:stretch>
                      <a:fillRect/>
                    </a:stretch>
                  </pic:blipFill>
                  <pic:spPr>
                    <a:xfrm>
                      <a:off x="0" y="0"/>
                      <a:ext cx="5543550" cy="2971800"/>
                    </a:xfrm>
                    <a:prstGeom prst="rect">
                      <a:avLst/>
                    </a:prstGeom>
                    <a:noFill/>
                    <a:ln>
                      <a:noFill/>
                    </a:ln>
                  </pic:spPr>
                </pic:pic>
              </a:graphicData>
            </a:graphic>
          </wp:inline>
        </w:drawing>
      </w:r>
    </w:p>
    <w:p>
      <w:pPr>
        <w:ind w:firstLine="482"/>
        <w:jc w:val="center"/>
        <w:rPr>
          <w:b/>
          <w:bCs/>
        </w:rPr>
      </w:pPr>
      <w:r>
        <w:rPr>
          <w:rFonts w:hint="eastAsia"/>
          <w:b/>
          <w:bCs/>
        </w:rPr>
        <w:t>图</w:t>
      </w:r>
      <w:r>
        <w:rPr>
          <w:b/>
          <w:bCs/>
        </w:rPr>
        <w:t>6.</w:t>
      </w:r>
      <w:r>
        <w:rPr>
          <w:rFonts w:hint="eastAsia"/>
          <w:b/>
          <w:bCs/>
        </w:rPr>
        <w:t>2</w:t>
      </w:r>
      <w:r>
        <w:rPr>
          <w:b/>
          <w:bCs/>
        </w:rPr>
        <w:t>-</w:t>
      </w:r>
      <w:r>
        <w:rPr>
          <w:rFonts w:hint="eastAsia"/>
          <w:b/>
          <w:bCs/>
        </w:rPr>
        <w:t>2</w:t>
      </w:r>
      <w:r>
        <w:rPr>
          <w:b/>
          <w:bCs/>
        </w:rPr>
        <w:t xml:space="preserve"> </w:t>
      </w:r>
      <w:r>
        <w:rPr>
          <w:rFonts w:hint="eastAsia"/>
          <w:b/>
          <w:bCs/>
        </w:rPr>
        <w:t xml:space="preserve"> 区域2020年平均气温月变化曲线</w:t>
      </w:r>
    </w:p>
    <w:p>
      <w:pPr>
        <w:widowControl/>
        <w:ind w:firstLine="480"/>
        <w:jc w:val="left"/>
        <w:rPr>
          <w:rFonts w:ascii="宋体" w:hAnsi="宋体" w:cs="宋体"/>
          <w:color w:val="000000"/>
          <w:kern w:val="0"/>
          <w:lang w:bidi="ar"/>
        </w:rPr>
      </w:pPr>
    </w:p>
    <w:p>
      <w:pPr>
        <w:widowControl/>
        <w:ind w:firstLine="480"/>
        <w:jc w:val="left"/>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）风速</w:t>
      </w:r>
    </w:p>
    <w:p>
      <w:pPr>
        <w:widowControl/>
        <w:ind w:firstLine="480"/>
        <w:jc w:val="left"/>
        <w:rPr>
          <w:rFonts w:ascii="宋体" w:hAnsi="宋体" w:cs="宋体"/>
          <w:color w:val="000000"/>
          <w:kern w:val="0"/>
          <w:lang w:bidi="ar"/>
        </w:rPr>
      </w:pPr>
      <w:r>
        <w:rPr>
          <w:rFonts w:cs="Times New Roman"/>
          <w:color w:val="000000"/>
          <w:kern w:val="0"/>
          <w:lang w:bidi="ar"/>
        </w:rPr>
        <w:t>20</w:t>
      </w:r>
      <w:r>
        <w:rPr>
          <w:rFonts w:hint="eastAsia" w:cs="Times New Roman"/>
          <w:color w:val="000000"/>
          <w:kern w:val="0"/>
          <w:lang w:bidi="ar"/>
        </w:rPr>
        <w:t>20</w:t>
      </w:r>
      <w:r>
        <w:rPr>
          <w:rFonts w:hint="eastAsia" w:ascii="宋体" w:hAnsi="宋体" w:cs="宋体"/>
          <w:color w:val="000000"/>
          <w:kern w:val="0"/>
          <w:lang w:bidi="ar"/>
        </w:rPr>
        <w:t>年各月平均风速统计结果见表</w:t>
      </w:r>
      <w:r>
        <w:rPr>
          <w:rFonts w:cs="Times New Roman"/>
          <w:color w:val="000000"/>
          <w:kern w:val="0"/>
          <w:lang w:bidi="ar"/>
        </w:rPr>
        <w:t>6.</w:t>
      </w:r>
      <w:r>
        <w:rPr>
          <w:rFonts w:hint="eastAsia" w:cs="Times New Roman"/>
          <w:color w:val="000000"/>
          <w:kern w:val="0"/>
          <w:lang w:bidi="ar"/>
        </w:rPr>
        <w:t>2</w:t>
      </w:r>
      <w:r>
        <w:rPr>
          <w:rFonts w:cs="Times New Roman"/>
          <w:color w:val="000000"/>
          <w:kern w:val="0"/>
          <w:lang w:bidi="ar"/>
        </w:rPr>
        <w:t>-3</w:t>
      </w:r>
      <w:r>
        <w:rPr>
          <w:rFonts w:hint="eastAsia" w:ascii="宋体" w:hAnsi="宋体" w:cs="宋体"/>
          <w:color w:val="000000"/>
          <w:kern w:val="0"/>
          <w:lang w:bidi="ar"/>
        </w:rPr>
        <w:t>、图</w:t>
      </w:r>
      <w:r>
        <w:rPr>
          <w:rFonts w:cs="Times New Roman"/>
          <w:color w:val="000000"/>
          <w:kern w:val="0"/>
          <w:lang w:bidi="ar"/>
        </w:rPr>
        <w:t>6.</w:t>
      </w:r>
      <w:r>
        <w:rPr>
          <w:rFonts w:hint="eastAsia" w:cs="Times New Roman"/>
          <w:color w:val="000000"/>
          <w:kern w:val="0"/>
          <w:lang w:bidi="ar"/>
        </w:rPr>
        <w:t>2</w:t>
      </w:r>
      <w:r>
        <w:rPr>
          <w:rFonts w:cs="Times New Roman"/>
          <w:color w:val="000000"/>
          <w:kern w:val="0"/>
          <w:lang w:bidi="ar"/>
        </w:rPr>
        <w:t>-</w:t>
      </w:r>
      <w:r>
        <w:rPr>
          <w:rFonts w:hint="eastAsia" w:cs="Times New Roman"/>
          <w:color w:val="000000"/>
          <w:kern w:val="0"/>
          <w:lang w:bidi="ar"/>
        </w:rPr>
        <w:t>3</w:t>
      </w:r>
      <w:r>
        <w:rPr>
          <w:rFonts w:hint="eastAsia" w:ascii="宋体" w:hAnsi="宋体" w:cs="宋体"/>
          <w:color w:val="000000"/>
          <w:kern w:val="0"/>
          <w:lang w:bidi="ar"/>
        </w:rPr>
        <w:t>。</w:t>
      </w:r>
    </w:p>
    <w:p>
      <w:pPr>
        <w:ind w:firstLine="482"/>
        <w:jc w:val="center"/>
        <w:rPr>
          <w:b/>
          <w:bCs/>
        </w:rPr>
      </w:pPr>
      <w:r>
        <w:rPr>
          <w:rFonts w:hint="eastAsia"/>
          <w:b/>
          <w:bCs/>
        </w:rPr>
        <w:t>表</w:t>
      </w:r>
      <w:r>
        <w:rPr>
          <w:b/>
          <w:bCs/>
        </w:rPr>
        <w:t>6.</w:t>
      </w:r>
      <w:r>
        <w:rPr>
          <w:rFonts w:hint="eastAsia"/>
          <w:b/>
          <w:bCs/>
        </w:rPr>
        <w:t>2</w:t>
      </w:r>
      <w:r>
        <w:rPr>
          <w:b/>
          <w:bCs/>
        </w:rPr>
        <w:t xml:space="preserve">-3 </w:t>
      </w:r>
      <w:r>
        <w:rPr>
          <w:rFonts w:hint="eastAsia"/>
          <w:b/>
          <w:bCs/>
        </w:rPr>
        <w:t xml:space="preserve"> </w:t>
      </w:r>
      <w:r>
        <w:rPr>
          <w:b/>
          <w:bCs/>
        </w:rPr>
        <w:t>20</w:t>
      </w:r>
      <w:r>
        <w:rPr>
          <w:rFonts w:hint="eastAsia"/>
          <w:b/>
          <w:bCs/>
        </w:rPr>
        <w:t>20年月平均风速（</w:t>
      </w:r>
      <w:r>
        <w:rPr>
          <w:b/>
          <w:bCs/>
        </w:rPr>
        <w:t>m/s</w:t>
      </w:r>
      <w:r>
        <w:rPr>
          <w:rFonts w:hint="eastAsia"/>
          <w:b/>
          <w:bCs/>
        </w:rPr>
        <w:t>）</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9"/>
        <w:gridCol w:w="684"/>
        <w:gridCol w:w="685"/>
        <w:gridCol w:w="665"/>
        <w:gridCol w:w="647"/>
        <w:gridCol w:w="722"/>
        <w:gridCol w:w="666"/>
        <w:gridCol w:w="731"/>
        <w:gridCol w:w="666"/>
        <w:gridCol w:w="759"/>
        <w:gridCol w:w="713"/>
        <w:gridCol w:w="693"/>
        <w:gridCol w:w="7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9" w:type="dxa"/>
            <w:vAlign w:val="center"/>
          </w:tcPr>
          <w:p>
            <w:pPr>
              <w:pStyle w:val="38"/>
              <w:rPr>
                <w:rFonts w:hint="default"/>
              </w:rPr>
            </w:pPr>
            <w:r>
              <w:t>月份</w:t>
            </w:r>
          </w:p>
        </w:tc>
        <w:tc>
          <w:tcPr>
            <w:tcW w:w="684" w:type="dxa"/>
            <w:vAlign w:val="center"/>
          </w:tcPr>
          <w:p>
            <w:pPr>
              <w:pStyle w:val="38"/>
              <w:rPr>
                <w:rFonts w:hint="default"/>
              </w:rPr>
            </w:pPr>
            <w:r>
              <w:rPr>
                <w:rFonts w:hint="default"/>
              </w:rPr>
              <w:t>1</w:t>
            </w:r>
            <w:r>
              <w:t>月</w:t>
            </w:r>
          </w:p>
        </w:tc>
        <w:tc>
          <w:tcPr>
            <w:tcW w:w="685" w:type="dxa"/>
            <w:vAlign w:val="center"/>
          </w:tcPr>
          <w:p>
            <w:pPr>
              <w:pStyle w:val="38"/>
              <w:rPr>
                <w:rFonts w:hint="default"/>
              </w:rPr>
            </w:pPr>
            <w:r>
              <w:t>2月</w:t>
            </w:r>
          </w:p>
        </w:tc>
        <w:tc>
          <w:tcPr>
            <w:tcW w:w="665" w:type="dxa"/>
            <w:vAlign w:val="center"/>
          </w:tcPr>
          <w:p>
            <w:pPr>
              <w:pStyle w:val="38"/>
              <w:rPr>
                <w:rFonts w:hint="default"/>
              </w:rPr>
            </w:pPr>
            <w:r>
              <w:t>3月</w:t>
            </w:r>
          </w:p>
        </w:tc>
        <w:tc>
          <w:tcPr>
            <w:tcW w:w="647" w:type="dxa"/>
            <w:vAlign w:val="center"/>
          </w:tcPr>
          <w:p>
            <w:pPr>
              <w:pStyle w:val="38"/>
              <w:rPr>
                <w:rFonts w:hint="default"/>
              </w:rPr>
            </w:pPr>
            <w:r>
              <w:t>4月</w:t>
            </w:r>
          </w:p>
        </w:tc>
        <w:tc>
          <w:tcPr>
            <w:tcW w:w="722" w:type="dxa"/>
            <w:vAlign w:val="center"/>
          </w:tcPr>
          <w:p>
            <w:pPr>
              <w:pStyle w:val="38"/>
              <w:rPr>
                <w:rFonts w:hint="default"/>
              </w:rPr>
            </w:pPr>
            <w:r>
              <w:t>5月</w:t>
            </w:r>
          </w:p>
        </w:tc>
        <w:tc>
          <w:tcPr>
            <w:tcW w:w="666" w:type="dxa"/>
            <w:vAlign w:val="center"/>
          </w:tcPr>
          <w:p>
            <w:pPr>
              <w:pStyle w:val="38"/>
              <w:rPr>
                <w:rFonts w:hint="default"/>
              </w:rPr>
            </w:pPr>
            <w:r>
              <w:t>6月</w:t>
            </w:r>
          </w:p>
        </w:tc>
        <w:tc>
          <w:tcPr>
            <w:tcW w:w="731" w:type="dxa"/>
            <w:vAlign w:val="center"/>
          </w:tcPr>
          <w:p>
            <w:pPr>
              <w:pStyle w:val="38"/>
              <w:rPr>
                <w:rFonts w:hint="default"/>
              </w:rPr>
            </w:pPr>
            <w:r>
              <w:t>7月</w:t>
            </w:r>
          </w:p>
        </w:tc>
        <w:tc>
          <w:tcPr>
            <w:tcW w:w="666" w:type="dxa"/>
            <w:vAlign w:val="center"/>
          </w:tcPr>
          <w:p>
            <w:pPr>
              <w:pStyle w:val="38"/>
              <w:rPr>
                <w:rFonts w:hint="default"/>
              </w:rPr>
            </w:pPr>
            <w:r>
              <w:t>8月</w:t>
            </w:r>
          </w:p>
        </w:tc>
        <w:tc>
          <w:tcPr>
            <w:tcW w:w="759" w:type="dxa"/>
            <w:vAlign w:val="center"/>
          </w:tcPr>
          <w:p>
            <w:pPr>
              <w:pStyle w:val="38"/>
              <w:rPr>
                <w:rFonts w:hint="default"/>
              </w:rPr>
            </w:pPr>
            <w:r>
              <w:t>9月</w:t>
            </w:r>
          </w:p>
        </w:tc>
        <w:tc>
          <w:tcPr>
            <w:tcW w:w="713" w:type="dxa"/>
            <w:vAlign w:val="center"/>
          </w:tcPr>
          <w:p>
            <w:pPr>
              <w:pStyle w:val="38"/>
              <w:rPr>
                <w:rFonts w:hint="default"/>
              </w:rPr>
            </w:pPr>
            <w:r>
              <w:rPr>
                <w:rFonts w:hint="default"/>
              </w:rPr>
              <w:t>1</w:t>
            </w:r>
            <w:r>
              <w:t>0月</w:t>
            </w:r>
          </w:p>
        </w:tc>
        <w:tc>
          <w:tcPr>
            <w:tcW w:w="693" w:type="dxa"/>
            <w:vAlign w:val="center"/>
          </w:tcPr>
          <w:p>
            <w:pPr>
              <w:pStyle w:val="38"/>
              <w:rPr>
                <w:rFonts w:hint="default"/>
              </w:rPr>
            </w:pPr>
            <w:r>
              <w:rPr>
                <w:rFonts w:hint="default"/>
              </w:rPr>
              <w:t>1</w:t>
            </w:r>
            <w:r>
              <w:t>1月</w:t>
            </w:r>
          </w:p>
        </w:tc>
        <w:tc>
          <w:tcPr>
            <w:tcW w:w="732" w:type="dxa"/>
            <w:vAlign w:val="center"/>
          </w:tcPr>
          <w:p>
            <w:pPr>
              <w:pStyle w:val="38"/>
              <w:rPr>
                <w:rFonts w:hint="default"/>
              </w:rPr>
            </w:pPr>
            <w:r>
              <w:rPr>
                <w:rFonts w:hint="default"/>
              </w:rPr>
              <w:t>1</w:t>
            </w:r>
            <w:r>
              <w:t>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9" w:type="dxa"/>
            <w:vAlign w:val="center"/>
          </w:tcPr>
          <w:p>
            <w:pPr>
              <w:pStyle w:val="38"/>
              <w:rPr>
                <w:rFonts w:hint="default"/>
              </w:rPr>
            </w:pPr>
            <w:r>
              <w:t>风速</w:t>
            </w:r>
          </w:p>
        </w:tc>
        <w:tc>
          <w:tcPr>
            <w:tcW w:w="684" w:type="dxa"/>
            <w:vAlign w:val="center"/>
          </w:tcPr>
          <w:p>
            <w:pPr>
              <w:pStyle w:val="38"/>
              <w:rPr>
                <w:rFonts w:hint="default"/>
              </w:rPr>
            </w:pPr>
            <w:r>
              <w:t>1.92</w:t>
            </w:r>
          </w:p>
        </w:tc>
        <w:tc>
          <w:tcPr>
            <w:tcW w:w="685" w:type="dxa"/>
            <w:vAlign w:val="center"/>
          </w:tcPr>
          <w:p>
            <w:pPr>
              <w:pStyle w:val="38"/>
              <w:rPr>
                <w:rFonts w:hint="default"/>
              </w:rPr>
            </w:pPr>
            <w:r>
              <w:t>3.04</w:t>
            </w:r>
          </w:p>
        </w:tc>
        <w:tc>
          <w:tcPr>
            <w:tcW w:w="665" w:type="dxa"/>
            <w:vAlign w:val="center"/>
          </w:tcPr>
          <w:p>
            <w:pPr>
              <w:pStyle w:val="38"/>
              <w:rPr>
                <w:rFonts w:hint="default"/>
              </w:rPr>
            </w:pPr>
            <w:r>
              <w:t>2.68</w:t>
            </w:r>
          </w:p>
        </w:tc>
        <w:tc>
          <w:tcPr>
            <w:tcW w:w="647" w:type="dxa"/>
            <w:vAlign w:val="center"/>
          </w:tcPr>
          <w:p>
            <w:pPr>
              <w:pStyle w:val="38"/>
              <w:rPr>
                <w:rFonts w:hint="default"/>
              </w:rPr>
            </w:pPr>
            <w:r>
              <w:t>2.53</w:t>
            </w:r>
          </w:p>
        </w:tc>
        <w:tc>
          <w:tcPr>
            <w:tcW w:w="722" w:type="dxa"/>
            <w:vAlign w:val="center"/>
          </w:tcPr>
          <w:p>
            <w:pPr>
              <w:pStyle w:val="38"/>
              <w:rPr>
                <w:rFonts w:hint="default"/>
              </w:rPr>
            </w:pPr>
            <w:r>
              <w:t>2.73</w:t>
            </w:r>
          </w:p>
        </w:tc>
        <w:tc>
          <w:tcPr>
            <w:tcW w:w="666" w:type="dxa"/>
            <w:vAlign w:val="center"/>
          </w:tcPr>
          <w:p>
            <w:pPr>
              <w:pStyle w:val="38"/>
              <w:rPr>
                <w:rFonts w:hint="default"/>
              </w:rPr>
            </w:pPr>
            <w:r>
              <w:t>2.48</w:t>
            </w:r>
          </w:p>
        </w:tc>
        <w:tc>
          <w:tcPr>
            <w:tcW w:w="731" w:type="dxa"/>
            <w:vAlign w:val="center"/>
          </w:tcPr>
          <w:p>
            <w:pPr>
              <w:pStyle w:val="38"/>
              <w:rPr>
                <w:rFonts w:hint="default"/>
              </w:rPr>
            </w:pPr>
            <w:r>
              <w:t>1.75</w:t>
            </w:r>
          </w:p>
        </w:tc>
        <w:tc>
          <w:tcPr>
            <w:tcW w:w="666" w:type="dxa"/>
            <w:vAlign w:val="center"/>
          </w:tcPr>
          <w:p>
            <w:pPr>
              <w:pStyle w:val="38"/>
              <w:rPr>
                <w:rFonts w:hint="default"/>
              </w:rPr>
            </w:pPr>
            <w:r>
              <w:t>1.72</w:t>
            </w:r>
          </w:p>
        </w:tc>
        <w:tc>
          <w:tcPr>
            <w:tcW w:w="759" w:type="dxa"/>
            <w:vAlign w:val="center"/>
          </w:tcPr>
          <w:p>
            <w:pPr>
              <w:pStyle w:val="38"/>
              <w:rPr>
                <w:rFonts w:hint="default"/>
              </w:rPr>
            </w:pPr>
            <w:r>
              <w:t>1.61</w:t>
            </w:r>
          </w:p>
        </w:tc>
        <w:tc>
          <w:tcPr>
            <w:tcW w:w="713" w:type="dxa"/>
            <w:vAlign w:val="center"/>
          </w:tcPr>
          <w:p>
            <w:pPr>
              <w:pStyle w:val="38"/>
              <w:rPr>
                <w:rFonts w:hint="default"/>
              </w:rPr>
            </w:pPr>
            <w:r>
              <w:t>1.59</w:t>
            </w:r>
          </w:p>
        </w:tc>
        <w:tc>
          <w:tcPr>
            <w:tcW w:w="693" w:type="dxa"/>
            <w:vAlign w:val="center"/>
          </w:tcPr>
          <w:p>
            <w:pPr>
              <w:pStyle w:val="38"/>
              <w:rPr>
                <w:rFonts w:hint="default"/>
              </w:rPr>
            </w:pPr>
            <w:r>
              <w:t>2.11</w:t>
            </w:r>
          </w:p>
        </w:tc>
        <w:tc>
          <w:tcPr>
            <w:tcW w:w="732" w:type="dxa"/>
            <w:vAlign w:val="center"/>
          </w:tcPr>
          <w:p>
            <w:pPr>
              <w:pStyle w:val="38"/>
              <w:rPr>
                <w:rFonts w:hint="default"/>
              </w:rPr>
            </w:pPr>
            <w:r>
              <w:t>2.33</w:t>
            </w:r>
          </w:p>
        </w:tc>
      </w:tr>
    </w:tbl>
    <w:p>
      <w:pPr>
        <w:ind w:firstLine="0" w:firstLineChars="0"/>
        <w:jc w:val="center"/>
      </w:pPr>
    </w:p>
    <w:p>
      <w:pPr>
        <w:ind w:firstLine="0" w:firstLineChars="0"/>
        <w:jc w:val="center"/>
      </w:pPr>
      <w:r>
        <w:drawing>
          <wp:inline distT="0" distB="0" distL="114300" distR="114300">
            <wp:extent cx="5543550" cy="3028950"/>
            <wp:effectExtent l="0" t="0" r="0" b="0"/>
            <wp:docPr id="141"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4"/>
                    <pic:cNvPicPr>
                      <a:picLocks noChangeAspect="1"/>
                    </pic:cNvPicPr>
                  </pic:nvPicPr>
                  <pic:blipFill>
                    <a:blip r:embed="rId77"/>
                    <a:stretch>
                      <a:fillRect/>
                    </a:stretch>
                  </pic:blipFill>
                  <pic:spPr>
                    <a:xfrm>
                      <a:off x="0" y="0"/>
                      <a:ext cx="5543550" cy="3028950"/>
                    </a:xfrm>
                    <a:prstGeom prst="rect">
                      <a:avLst/>
                    </a:prstGeom>
                    <a:noFill/>
                    <a:ln>
                      <a:noFill/>
                    </a:ln>
                  </pic:spPr>
                </pic:pic>
              </a:graphicData>
            </a:graphic>
          </wp:inline>
        </w:drawing>
      </w:r>
    </w:p>
    <w:p>
      <w:pPr>
        <w:ind w:firstLine="482"/>
        <w:jc w:val="center"/>
        <w:rPr>
          <w:b/>
          <w:bCs/>
        </w:rPr>
      </w:pPr>
      <w:r>
        <w:rPr>
          <w:rFonts w:hint="eastAsia"/>
          <w:b/>
          <w:bCs/>
        </w:rPr>
        <w:t>图</w:t>
      </w:r>
      <w:r>
        <w:rPr>
          <w:b/>
          <w:bCs/>
        </w:rPr>
        <w:t>6.</w:t>
      </w:r>
      <w:r>
        <w:rPr>
          <w:rFonts w:hint="eastAsia"/>
          <w:b/>
          <w:bCs/>
        </w:rPr>
        <w:t>2</w:t>
      </w:r>
      <w:r>
        <w:rPr>
          <w:b/>
          <w:bCs/>
        </w:rPr>
        <w:t>-</w:t>
      </w:r>
      <w:r>
        <w:rPr>
          <w:rFonts w:hint="eastAsia"/>
          <w:b/>
          <w:bCs/>
        </w:rPr>
        <w:t>3</w:t>
      </w:r>
      <w:r>
        <w:rPr>
          <w:b/>
          <w:bCs/>
        </w:rPr>
        <w:t xml:space="preserve"> </w:t>
      </w:r>
      <w:r>
        <w:rPr>
          <w:rFonts w:hint="eastAsia"/>
          <w:b/>
          <w:bCs/>
        </w:rPr>
        <w:t xml:space="preserve"> </w:t>
      </w:r>
      <w:r>
        <w:rPr>
          <w:b/>
          <w:bCs/>
        </w:rPr>
        <w:t>20</w:t>
      </w:r>
      <w:r>
        <w:rPr>
          <w:rFonts w:hint="eastAsia"/>
          <w:b/>
          <w:bCs/>
        </w:rPr>
        <w:t>20</w:t>
      </w:r>
      <w:r>
        <w:rPr>
          <w:b/>
          <w:bCs/>
        </w:rPr>
        <w:t xml:space="preserve"> </w:t>
      </w:r>
      <w:r>
        <w:rPr>
          <w:rFonts w:hint="eastAsia"/>
          <w:b/>
          <w:bCs/>
        </w:rPr>
        <w:t>年平均风速的月变化曲线</w:t>
      </w:r>
    </w:p>
    <w:p>
      <w:pPr>
        <w:widowControl/>
        <w:ind w:firstLine="480"/>
        <w:jc w:val="left"/>
      </w:pPr>
      <w:r>
        <w:rPr>
          <w:rFonts w:hint="eastAsia" w:ascii="宋体" w:hAnsi="宋体" w:cs="宋体"/>
          <w:color w:val="000000"/>
          <w:kern w:val="0"/>
          <w:lang w:bidi="ar"/>
        </w:rPr>
        <w:t>由表</w:t>
      </w:r>
      <w:r>
        <w:rPr>
          <w:rFonts w:cs="Times New Roman"/>
          <w:color w:val="000000"/>
          <w:kern w:val="0"/>
          <w:lang w:bidi="ar"/>
        </w:rPr>
        <w:t>6.</w:t>
      </w:r>
      <w:r>
        <w:rPr>
          <w:rFonts w:hint="eastAsia" w:cs="Times New Roman"/>
          <w:color w:val="000000"/>
          <w:kern w:val="0"/>
          <w:lang w:bidi="ar"/>
        </w:rPr>
        <w:t>2</w:t>
      </w:r>
      <w:r>
        <w:rPr>
          <w:rFonts w:cs="Times New Roman"/>
          <w:color w:val="000000"/>
          <w:kern w:val="0"/>
          <w:lang w:bidi="ar"/>
        </w:rPr>
        <w:t>-3</w:t>
      </w:r>
      <w:r>
        <w:rPr>
          <w:rFonts w:hint="eastAsia" w:ascii="宋体" w:hAnsi="宋体" w:cs="宋体"/>
          <w:color w:val="000000"/>
          <w:kern w:val="0"/>
          <w:lang w:bidi="ar"/>
        </w:rPr>
        <w:t>、图</w:t>
      </w:r>
      <w:r>
        <w:rPr>
          <w:rFonts w:cs="Times New Roman"/>
          <w:color w:val="000000"/>
          <w:kern w:val="0"/>
          <w:lang w:bidi="ar"/>
        </w:rPr>
        <w:t>6.</w:t>
      </w:r>
      <w:r>
        <w:rPr>
          <w:rFonts w:hint="eastAsia" w:cs="Times New Roman"/>
          <w:color w:val="000000"/>
          <w:kern w:val="0"/>
          <w:lang w:bidi="ar"/>
        </w:rPr>
        <w:t>2</w:t>
      </w:r>
      <w:r>
        <w:rPr>
          <w:rFonts w:cs="Times New Roman"/>
          <w:color w:val="000000"/>
          <w:kern w:val="0"/>
          <w:lang w:bidi="ar"/>
        </w:rPr>
        <w:t>-</w:t>
      </w:r>
      <w:r>
        <w:rPr>
          <w:rFonts w:hint="eastAsia" w:cs="Times New Roman"/>
          <w:color w:val="000000"/>
          <w:kern w:val="0"/>
          <w:lang w:bidi="ar"/>
        </w:rPr>
        <w:t>3</w:t>
      </w:r>
      <w:r>
        <w:rPr>
          <w:rFonts w:hint="eastAsia" w:ascii="宋体" w:hAnsi="宋体" w:cs="宋体"/>
          <w:color w:val="000000"/>
          <w:kern w:val="0"/>
          <w:lang w:bidi="ar"/>
        </w:rPr>
        <w:t>可知：</w:t>
      </w:r>
      <w:r>
        <w:rPr>
          <w:rFonts w:cs="Times New Roman"/>
          <w:color w:val="000000"/>
          <w:kern w:val="0"/>
          <w:lang w:bidi="ar"/>
        </w:rPr>
        <w:t>20</w:t>
      </w:r>
      <w:r>
        <w:rPr>
          <w:rFonts w:hint="eastAsia" w:cs="Times New Roman"/>
          <w:color w:val="000000"/>
          <w:kern w:val="0"/>
          <w:lang w:bidi="ar"/>
        </w:rPr>
        <w:t>20</w:t>
      </w:r>
      <w:r>
        <w:rPr>
          <w:rFonts w:hint="eastAsia" w:ascii="宋体" w:hAnsi="宋体" w:cs="宋体"/>
          <w:color w:val="000000"/>
          <w:kern w:val="0"/>
          <w:lang w:bidi="ar"/>
        </w:rPr>
        <w:t>年叶县平均风速</w:t>
      </w:r>
      <w:r>
        <w:rPr>
          <w:rFonts w:cs="Times New Roman"/>
          <w:color w:val="000000"/>
          <w:kern w:val="0"/>
          <w:lang w:bidi="ar"/>
        </w:rPr>
        <w:t>2.</w:t>
      </w:r>
      <w:r>
        <w:rPr>
          <w:rFonts w:hint="eastAsia" w:cs="Times New Roman"/>
          <w:color w:val="000000"/>
          <w:kern w:val="0"/>
          <w:lang w:bidi="ar"/>
        </w:rPr>
        <w:t>21</w:t>
      </w:r>
      <w:r>
        <w:rPr>
          <w:rFonts w:cs="Times New Roman"/>
          <w:color w:val="000000"/>
          <w:kern w:val="0"/>
          <w:lang w:bidi="ar"/>
        </w:rPr>
        <w:t>m/s</w:t>
      </w: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月～</w:t>
      </w:r>
      <w:r>
        <w:rPr>
          <w:rFonts w:cs="Times New Roman"/>
          <w:color w:val="000000"/>
          <w:kern w:val="0"/>
          <w:lang w:bidi="ar"/>
        </w:rPr>
        <w:t>4</w:t>
      </w:r>
      <w:r>
        <w:rPr>
          <w:rFonts w:hint="eastAsia" w:ascii="宋体" w:hAnsi="宋体" w:cs="宋体"/>
          <w:color w:val="000000"/>
          <w:kern w:val="0"/>
          <w:lang w:bidi="ar"/>
        </w:rPr>
        <w:t>月份的风速最大，</w:t>
      </w:r>
      <w:r>
        <w:rPr>
          <w:rFonts w:hint="eastAsia" w:cs="Times New Roman"/>
          <w:color w:val="000000"/>
          <w:kern w:val="0"/>
          <w:lang w:bidi="ar"/>
        </w:rPr>
        <w:t>10</w:t>
      </w:r>
      <w:r>
        <w:rPr>
          <w:rFonts w:hint="eastAsia" w:ascii="宋体" w:hAnsi="宋体" w:cs="宋体"/>
          <w:color w:val="000000"/>
          <w:kern w:val="0"/>
          <w:lang w:bidi="ar"/>
        </w:rPr>
        <w:t>月份的风速较小。</w:t>
      </w:r>
    </w:p>
    <w:p>
      <w:pPr>
        <w:widowControl/>
        <w:ind w:firstLine="480"/>
        <w:jc w:val="left"/>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）季小时平均风速的日变化</w:t>
      </w:r>
    </w:p>
    <w:p>
      <w:pPr>
        <w:widowControl/>
        <w:ind w:firstLine="480"/>
        <w:jc w:val="left"/>
      </w:pPr>
      <w:r>
        <w:rPr>
          <w:rFonts w:hint="eastAsia" w:ascii="宋体" w:hAnsi="宋体" w:cs="宋体"/>
          <w:color w:val="000000"/>
          <w:kern w:val="0"/>
          <w:lang w:bidi="ar"/>
        </w:rPr>
        <w:t>根据叶县气象观测站记录资料，</w:t>
      </w:r>
      <w:r>
        <w:rPr>
          <w:rFonts w:cs="Times New Roman"/>
          <w:color w:val="000000"/>
          <w:kern w:val="0"/>
          <w:lang w:bidi="ar"/>
        </w:rPr>
        <w:t>20</w:t>
      </w:r>
      <w:r>
        <w:rPr>
          <w:rFonts w:hint="eastAsia" w:cs="Times New Roman"/>
          <w:color w:val="000000"/>
          <w:kern w:val="0"/>
          <w:lang w:bidi="ar"/>
        </w:rPr>
        <w:t>20</w:t>
      </w:r>
      <w:r>
        <w:rPr>
          <w:rFonts w:hint="eastAsia" w:ascii="宋体" w:hAnsi="宋体" w:cs="宋体"/>
          <w:color w:val="000000"/>
          <w:kern w:val="0"/>
          <w:lang w:bidi="ar"/>
        </w:rPr>
        <w:t>年各季小时平均风速的日变化详见表</w:t>
      </w:r>
      <w:r>
        <w:rPr>
          <w:rFonts w:cs="Times New Roman"/>
          <w:color w:val="000000"/>
          <w:kern w:val="0"/>
          <w:lang w:bidi="ar"/>
        </w:rPr>
        <w:t>6.</w:t>
      </w:r>
      <w:r>
        <w:rPr>
          <w:rFonts w:hint="eastAsia" w:cs="Times New Roman"/>
          <w:color w:val="000000"/>
          <w:kern w:val="0"/>
          <w:lang w:bidi="ar"/>
        </w:rPr>
        <w:t>2</w:t>
      </w:r>
      <w:r>
        <w:rPr>
          <w:rFonts w:cs="Times New Roman"/>
          <w:color w:val="000000"/>
          <w:kern w:val="0"/>
          <w:lang w:bidi="ar"/>
        </w:rPr>
        <w:t>-4</w:t>
      </w:r>
      <w:r>
        <w:rPr>
          <w:rFonts w:hint="eastAsia" w:ascii="宋体" w:hAnsi="宋体" w:cs="宋体"/>
          <w:color w:val="000000"/>
          <w:kern w:val="0"/>
          <w:lang w:bidi="ar"/>
        </w:rPr>
        <w:t>、图</w:t>
      </w:r>
      <w:r>
        <w:rPr>
          <w:rFonts w:cs="Times New Roman"/>
          <w:color w:val="000000"/>
          <w:kern w:val="0"/>
          <w:lang w:bidi="ar"/>
        </w:rPr>
        <w:t>6.</w:t>
      </w:r>
      <w:r>
        <w:rPr>
          <w:rFonts w:hint="eastAsia" w:cs="Times New Roman"/>
          <w:color w:val="000000"/>
          <w:kern w:val="0"/>
          <w:lang w:bidi="ar"/>
        </w:rPr>
        <w:t>2</w:t>
      </w:r>
      <w:r>
        <w:rPr>
          <w:rFonts w:cs="Times New Roman"/>
          <w:color w:val="000000"/>
          <w:kern w:val="0"/>
          <w:lang w:bidi="ar"/>
        </w:rPr>
        <w:t>-</w:t>
      </w:r>
      <w:r>
        <w:rPr>
          <w:rFonts w:hint="eastAsia" w:cs="Times New Roman"/>
          <w:color w:val="000000"/>
          <w:kern w:val="0"/>
          <w:lang w:bidi="ar"/>
        </w:rPr>
        <w:t>4</w:t>
      </w:r>
      <w:r>
        <w:rPr>
          <w:rFonts w:hint="eastAsia" w:ascii="宋体" w:hAnsi="宋体" w:cs="宋体"/>
          <w:color w:val="000000"/>
          <w:kern w:val="0"/>
          <w:lang w:bidi="ar"/>
        </w:rPr>
        <w:t>。</w:t>
      </w:r>
    </w:p>
    <w:p>
      <w:pPr>
        <w:ind w:firstLine="482"/>
        <w:jc w:val="center"/>
        <w:rPr>
          <w:b/>
          <w:bCs/>
        </w:rPr>
      </w:pPr>
    </w:p>
    <w:p>
      <w:pPr>
        <w:ind w:firstLine="482"/>
        <w:jc w:val="center"/>
        <w:rPr>
          <w:b/>
          <w:bCs/>
        </w:rPr>
      </w:pPr>
    </w:p>
    <w:p>
      <w:pPr>
        <w:ind w:firstLine="482"/>
        <w:jc w:val="center"/>
        <w:rPr>
          <w:b/>
          <w:bCs/>
        </w:rPr>
      </w:pPr>
    </w:p>
    <w:p>
      <w:pPr>
        <w:ind w:firstLine="482"/>
        <w:jc w:val="center"/>
        <w:rPr>
          <w:b/>
          <w:bCs/>
        </w:rPr>
      </w:pPr>
    </w:p>
    <w:p>
      <w:pPr>
        <w:ind w:firstLine="482"/>
        <w:jc w:val="center"/>
        <w:rPr>
          <w:b/>
          <w:bCs/>
        </w:rPr>
      </w:pPr>
    </w:p>
    <w:p>
      <w:pPr>
        <w:ind w:firstLine="482"/>
        <w:jc w:val="center"/>
        <w:rPr>
          <w:b/>
          <w:bCs/>
        </w:rPr>
      </w:pPr>
    </w:p>
    <w:p>
      <w:pPr>
        <w:ind w:firstLine="482"/>
        <w:jc w:val="center"/>
        <w:rPr>
          <w:b/>
          <w:bCs/>
        </w:rPr>
      </w:pPr>
    </w:p>
    <w:p>
      <w:pPr>
        <w:ind w:firstLine="482"/>
        <w:jc w:val="center"/>
        <w:rPr>
          <w:b/>
          <w:bCs/>
        </w:rPr>
      </w:pPr>
    </w:p>
    <w:p>
      <w:pPr>
        <w:ind w:firstLine="482"/>
        <w:jc w:val="center"/>
        <w:rPr>
          <w:b/>
          <w:bCs/>
        </w:rPr>
      </w:pPr>
    </w:p>
    <w:p>
      <w:pPr>
        <w:ind w:firstLine="482"/>
        <w:jc w:val="center"/>
        <w:rPr>
          <w:b/>
          <w:bCs/>
        </w:rPr>
      </w:pPr>
      <w:r>
        <w:rPr>
          <w:rFonts w:hint="eastAsia"/>
          <w:b/>
          <w:bCs/>
        </w:rPr>
        <w:t>表</w:t>
      </w:r>
      <w:r>
        <w:rPr>
          <w:b/>
          <w:bCs/>
        </w:rPr>
        <w:t>6.</w:t>
      </w:r>
      <w:r>
        <w:rPr>
          <w:rFonts w:hint="eastAsia"/>
          <w:b/>
          <w:bCs/>
        </w:rPr>
        <w:t>2</w:t>
      </w:r>
      <w:r>
        <w:rPr>
          <w:b/>
          <w:bCs/>
        </w:rPr>
        <w:t>-4</w:t>
      </w:r>
      <w:r>
        <w:rPr>
          <w:rFonts w:hint="eastAsia"/>
          <w:b/>
          <w:bCs/>
        </w:rPr>
        <w:t xml:space="preserve"> </w:t>
      </w:r>
      <w:r>
        <w:rPr>
          <w:b/>
          <w:bCs/>
        </w:rPr>
        <w:t xml:space="preserve"> </w:t>
      </w:r>
      <w:r>
        <w:rPr>
          <w:rFonts w:hint="eastAsia"/>
          <w:b/>
          <w:bCs/>
        </w:rPr>
        <w:t>叶县</w:t>
      </w:r>
      <w:r>
        <w:rPr>
          <w:b/>
          <w:bCs/>
        </w:rPr>
        <w:t>20</w:t>
      </w:r>
      <w:r>
        <w:rPr>
          <w:rFonts w:hint="eastAsia"/>
          <w:b/>
          <w:bCs/>
        </w:rPr>
        <w:t>20年各季小时平均风速的日变化单位：</w:t>
      </w:r>
      <w:r>
        <w:rPr>
          <w:b/>
          <w:bCs/>
        </w:rPr>
        <w:t>m/s</w:t>
      </w:r>
    </w:p>
    <w:p>
      <w:pPr>
        <w:ind w:firstLine="0" w:firstLineChars="0"/>
        <w:jc w:val="center"/>
      </w:pPr>
      <w:r>
        <w:drawing>
          <wp:inline distT="0" distB="0" distL="114300" distR="114300">
            <wp:extent cx="5758180" cy="2832100"/>
            <wp:effectExtent l="0" t="0" r="13970" b="6350"/>
            <wp:docPr id="142"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15"/>
                    <pic:cNvPicPr>
                      <a:picLocks noChangeAspect="1"/>
                    </pic:cNvPicPr>
                  </pic:nvPicPr>
                  <pic:blipFill>
                    <a:blip r:embed="rId78"/>
                    <a:stretch>
                      <a:fillRect/>
                    </a:stretch>
                  </pic:blipFill>
                  <pic:spPr>
                    <a:xfrm>
                      <a:off x="0" y="0"/>
                      <a:ext cx="5758180" cy="2832100"/>
                    </a:xfrm>
                    <a:prstGeom prst="rect">
                      <a:avLst/>
                    </a:prstGeom>
                    <a:noFill/>
                    <a:ln>
                      <a:noFill/>
                    </a:ln>
                  </pic:spPr>
                </pic:pic>
              </a:graphicData>
            </a:graphic>
          </wp:inline>
        </w:drawing>
      </w:r>
    </w:p>
    <w:p>
      <w:pPr>
        <w:widowControl/>
        <w:ind w:firstLine="480"/>
      </w:pPr>
      <w:r>
        <w:rPr>
          <w:rFonts w:hint="eastAsia" w:ascii="宋体" w:hAnsi="宋体" w:cs="宋体"/>
          <w:color w:val="000000"/>
          <w:kern w:val="0"/>
          <w:lang w:bidi="ar"/>
        </w:rPr>
        <w:t>从月平均风速统计资料中可以看出叶县各季小时月平均风速统计资料中可以看出叶县在春季最高，秋季风速最低，一天内</w:t>
      </w:r>
      <w:r>
        <w:rPr>
          <w:rFonts w:cs="Times New Roman"/>
          <w:color w:val="000000"/>
          <w:kern w:val="0"/>
          <w:lang w:bidi="ar"/>
        </w:rPr>
        <w:t>12</w:t>
      </w:r>
      <w:r>
        <w:rPr>
          <w:rFonts w:hint="eastAsia" w:ascii="宋体" w:hAnsi="宋体" w:cs="宋体"/>
          <w:color w:val="000000"/>
          <w:kern w:val="0"/>
          <w:lang w:bidi="ar"/>
        </w:rPr>
        <w:t>：</w:t>
      </w:r>
      <w:r>
        <w:rPr>
          <w:rFonts w:cs="Times New Roman"/>
          <w:color w:val="000000"/>
          <w:kern w:val="0"/>
          <w:lang w:bidi="ar"/>
        </w:rPr>
        <w:t>00</w:t>
      </w:r>
      <w:r>
        <w:rPr>
          <w:rFonts w:hint="eastAsia" w:ascii="宋体" w:hAnsi="宋体" w:cs="宋体"/>
          <w:color w:val="000000"/>
          <w:kern w:val="0"/>
          <w:lang w:bidi="ar"/>
        </w:rPr>
        <w:t>～</w:t>
      </w:r>
      <w:r>
        <w:rPr>
          <w:rFonts w:cs="Times New Roman"/>
          <w:color w:val="000000"/>
          <w:kern w:val="0"/>
          <w:lang w:bidi="ar"/>
        </w:rPr>
        <w:t>15</w:t>
      </w:r>
      <w:r>
        <w:rPr>
          <w:rFonts w:hint="eastAsia" w:ascii="宋体" w:hAnsi="宋体" w:cs="宋体"/>
          <w:color w:val="000000"/>
          <w:kern w:val="0"/>
          <w:lang w:bidi="ar"/>
        </w:rPr>
        <w:t>：</w:t>
      </w:r>
      <w:r>
        <w:rPr>
          <w:rFonts w:cs="Times New Roman"/>
          <w:color w:val="000000"/>
          <w:kern w:val="0"/>
          <w:lang w:bidi="ar"/>
        </w:rPr>
        <w:t>00</w:t>
      </w:r>
      <w:r>
        <w:rPr>
          <w:rFonts w:hint="eastAsia" w:ascii="宋体" w:hAnsi="宋体" w:cs="宋体"/>
          <w:color w:val="000000"/>
          <w:kern w:val="0"/>
          <w:lang w:bidi="ar"/>
        </w:rPr>
        <w:t>的风速较高。</w:t>
      </w:r>
    </w:p>
    <w:p>
      <w:pPr>
        <w:ind w:firstLine="0" w:firstLineChars="0"/>
        <w:jc w:val="center"/>
      </w:pPr>
      <w:r>
        <w:drawing>
          <wp:inline distT="0" distB="0" distL="114300" distR="114300">
            <wp:extent cx="5543550" cy="2714625"/>
            <wp:effectExtent l="0" t="0" r="0" b="9525"/>
            <wp:docPr id="14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6"/>
                    <pic:cNvPicPr>
                      <a:picLocks noChangeAspect="1"/>
                    </pic:cNvPicPr>
                  </pic:nvPicPr>
                  <pic:blipFill>
                    <a:blip r:embed="rId79"/>
                    <a:stretch>
                      <a:fillRect/>
                    </a:stretch>
                  </pic:blipFill>
                  <pic:spPr>
                    <a:xfrm>
                      <a:off x="0" y="0"/>
                      <a:ext cx="5543550" cy="2714625"/>
                    </a:xfrm>
                    <a:prstGeom prst="rect">
                      <a:avLst/>
                    </a:prstGeom>
                    <a:noFill/>
                    <a:ln>
                      <a:noFill/>
                    </a:ln>
                  </pic:spPr>
                </pic:pic>
              </a:graphicData>
            </a:graphic>
          </wp:inline>
        </w:drawing>
      </w:r>
    </w:p>
    <w:p>
      <w:pPr>
        <w:ind w:firstLine="482"/>
        <w:jc w:val="center"/>
        <w:rPr>
          <w:b/>
          <w:bCs/>
        </w:rPr>
      </w:pPr>
      <w:r>
        <w:rPr>
          <w:rFonts w:hint="eastAsia"/>
          <w:b/>
          <w:bCs/>
        </w:rPr>
        <w:t>图</w:t>
      </w:r>
      <w:r>
        <w:rPr>
          <w:b/>
          <w:bCs/>
        </w:rPr>
        <w:t>6.</w:t>
      </w:r>
      <w:r>
        <w:rPr>
          <w:rFonts w:hint="eastAsia"/>
          <w:b/>
          <w:bCs/>
        </w:rPr>
        <w:t>2</w:t>
      </w:r>
      <w:r>
        <w:rPr>
          <w:b/>
          <w:bCs/>
        </w:rPr>
        <w:t>-</w:t>
      </w:r>
      <w:r>
        <w:rPr>
          <w:rFonts w:hint="eastAsia"/>
          <w:b/>
          <w:bCs/>
        </w:rPr>
        <w:t>4</w:t>
      </w:r>
      <w:r>
        <w:rPr>
          <w:b/>
          <w:bCs/>
        </w:rPr>
        <w:t xml:space="preserve"> </w:t>
      </w:r>
      <w:r>
        <w:rPr>
          <w:rFonts w:hint="eastAsia"/>
          <w:b/>
          <w:bCs/>
        </w:rPr>
        <w:t xml:space="preserve"> </w:t>
      </w:r>
      <w:r>
        <w:rPr>
          <w:b/>
          <w:bCs/>
        </w:rPr>
        <w:t>20</w:t>
      </w:r>
      <w:r>
        <w:rPr>
          <w:rFonts w:hint="eastAsia"/>
          <w:b/>
          <w:bCs/>
        </w:rPr>
        <w:t>20年各季小时平均风速的日变化曲线图</w:t>
      </w:r>
    </w:p>
    <w:p>
      <w:pPr>
        <w:widowControl/>
        <w:ind w:firstLine="480"/>
        <w:rPr>
          <w:rFonts w:cs="Times New Roman"/>
          <w:color w:val="000000"/>
          <w:kern w:val="0"/>
          <w:lang w:bidi="ar"/>
        </w:rPr>
      </w:pPr>
      <w:r>
        <w:rPr>
          <w:rFonts w:cs="Times New Roman"/>
          <w:color w:val="000000"/>
          <w:kern w:val="0"/>
          <w:lang w:bidi="ar"/>
        </w:rPr>
        <w:t>由上表和上图可知，本项目区域内2020年各季节小时平均风速日变化曲线趋势基本一致。</w:t>
      </w:r>
    </w:p>
    <w:p>
      <w:pPr>
        <w:widowControl/>
        <w:ind w:firstLine="480"/>
        <w:rPr>
          <w:rFonts w:cs="Times New Roman"/>
          <w:color w:val="000000"/>
          <w:kern w:val="0"/>
          <w:lang w:bidi="ar"/>
        </w:rPr>
      </w:pPr>
      <w:r>
        <w:rPr>
          <w:rFonts w:cs="Times New Roman"/>
          <w:color w:val="000000"/>
          <w:kern w:val="0"/>
          <w:lang w:bidi="ar"/>
        </w:rPr>
        <w:t>风速玫瑰图</w:t>
      </w:r>
    </w:p>
    <w:p>
      <w:pPr>
        <w:widowControl/>
        <w:ind w:firstLine="480"/>
        <w:rPr>
          <w:rFonts w:cs="Times New Roman"/>
          <w:color w:val="000000"/>
          <w:kern w:val="0"/>
          <w:lang w:bidi="ar"/>
        </w:rPr>
      </w:pPr>
      <w:r>
        <w:rPr>
          <w:rFonts w:cs="Times New Roman"/>
          <w:color w:val="000000"/>
          <w:kern w:val="0"/>
          <w:lang w:bidi="ar"/>
        </w:rPr>
        <w:t>根据对叶县气象观测站2020年全年逐日地面气象观测资料进行统计，区域风速玫瑰图见图6.2-5。</w:t>
      </w:r>
    </w:p>
    <w:p>
      <w:pPr>
        <w:widowControl/>
        <w:ind w:firstLine="480"/>
        <w:jc w:val="left"/>
        <w:rPr>
          <w:rFonts w:ascii="宋体" w:hAnsi="宋体" w:cs="宋体"/>
          <w:color w:val="000000"/>
          <w:kern w:val="0"/>
          <w:lang w:bidi="ar"/>
        </w:rPr>
      </w:pPr>
    </w:p>
    <w:p>
      <w:pPr>
        <w:widowControl/>
        <w:ind w:firstLine="0" w:firstLineChars="0"/>
        <w:jc w:val="center"/>
        <w:rPr>
          <w:rFonts w:ascii="宋体" w:hAnsi="宋体" w:cs="宋体"/>
          <w:color w:val="000000"/>
          <w:kern w:val="0"/>
          <w:lang w:bidi="ar"/>
        </w:rPr>
      </w:pPr>
      <w:r>
        <w:drawing>
          <wp:inline distT="0" distB="0" distL="114300" distR="114300">
            <wp:extent cx="5761355" cy="5904865"/>
            <wp:effectExtent l="0" t="0" r="10795" b="635"/>
            <wp:docPr id="14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7"/>
                    <pic:cNvPicPr>
                      <a:picLocks noChangeAspect="1"/>
                    </pic:cNvPicPr>
                  </pic:nvPicPr>
                  <pic:blipFill>
                    <a:blip r:embed="rId80"/>
                    <a:stretch>
                      <a:fillRect/>
                    </a:stretch>
                  </pic:blipFill>
                  <pic:spPr>
                    <a:xfrm>
                      <a:off x="0" y="0"/>
                      <a:ext cx="5761355" cy="5904865"/>
                    </a:xfrm>
                    <a:prstGeom prst="rect">
                      <a:avLst/>
                    </a:prstGeom>
                    <a:noFill/>
                    <a:ln>
                      <a:noFill/>
                    </a:ln>
                  </pic:spPr>
                </pic:pic>
              </a:graphicData>
            </a:graphic>
          </wp:inline>
        </w:drawing>
      </w:r>
    </w:p>
    <w:p>
      <w:pPr>
        <w:widowControl/>
        <w:ind w:firstLine="0" w:firstLineChars="0"/>
        <w:jc w:val="left"/>
        <w:rPr>
          <w:rFonts w:ascii="宋体" w:hAnsi="宋体" w:cs="宋体"/>
          <w:color w:val="000000"/>
          <w:kern w:val="0"/>
          <w:lang w:bidi="ar"/>
        </w:rPr>
      </w:pPr>
      <w:r>
        <w:drawing>
          <wp:inline distT="0" distB="0" distL="114300" distR="114300">
            <wp:extent cx="1289050" cy="1334135"/>
            <wp:effectExtent l="0" t="0" r="6350" b="18415"/>
            <wp:docPr id="145"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8"/>
                    <pic:cNvPicPr>
                      <a:picLocks noChangeAspect="1"/>
                    </pic:cNvPicPr>
                  </pic:nvPicPr>
                  <pic:blipFill>
                    <a:blip r:embed="rId81"/>
                    <a:stretch>
                      <a:fillRect/>
                    </a:stretch>
                  </pic:blipFill>
                  <pic:spPr>
                    <a:xfrm>
                      <a:off x="0" y="0"/>
                      <a:ext cx="1289050" cy="1334135"/>
                    </a:xfrm>
                    <a:prstGeom prst="rect">
                      <a:avLst/>
                    </a:prstGeom>
                    <a:noFill/>
                    <a:ln>
                      <a:noFill/>
                    </a:ln>
                  </pic:spPr>
                </pic:pic>
              </a:graphicData>
            </a:graphic>
          </wp:inline>
        </w:drawing>
      </w:r>
    </w:p>
    <w:p>
      <w:pPr>
        <w:ind w:firstLine="482"/>
        <w:jc w:val="center"/>
        <w:rPr>
          <w:b/>
          <w:bCs/>
        </w:rPr>
      </w:pPr>
      <w:r>
        <w:rPr>
          <w:rFonts w:hint="eastAsia"/>
          <w:b/>
          <w:bCs/>
        </w:rPr>
        <w:t>图6.2-5</w:t>
      </w:r>
      <w:r>
        <w:rPr>
          <w:b/>
          <w:bCs/>
        </w:rPr>
        <w:t xml:space="preserve"> </w:t>
      </w:r>
      <w:r>
        <w:rPr>
          <w:rFonts w:hint="eastAsia"/>
          <w:b/>
          <w:bCs/>
        </w:rPr>
        <w:t xml:space="preserve"> 叶县风玫瑰图</w:t>
      </w:r>
    </w:p>
    <w:p>
      <w:pPr>
        <w:widowControl/>
        <w:ind w:firstLine="480"/>
        <w:rPr>
          <w:rFonts w:cs="Times New Roman"/>
          <w:color w:val="000000"/>
          <w:kern w:val="0"/>
          <w:lang w:bidi="ar"/>
        </w:rPr>
      </w:pPr>
      <w:r>
        <w:rPr>
          <w:rFonts w:hint="eastAsia" w:cs="Times New Roman"/>
          <w:color w:val="000000"/>
          <w:kern w:val="0"/>
          <w:lang w:bidi="ar"/>
        </w:rPr>
        <w:t>（</w:t>
      </w:r>
      <w:r>
        <w:rPr>
          <w:rFonts w:cs="Times New Roman"/>
          <w:color w:val="000000"/>
          <w:kern w:val="0"/>
          <w:lang w:bidi="ar"/>
        </w:rPr>
        <w:t>4</w:t>
      </w:r>
      <w:r>
        <w:rPr>
          <w:rFonts w:hint="eastAsia" w:cs="Times New Roman"/>
          <w:color w:val="000000"/>
          <w:kern w:val="0"/>
          <w:lang w:bidi="ar"/>
        </w:rPr>
        <w:t>）风向、风频</w:t>
      </w:r>
    </w:p>
    <w:p>
      <w:pPr>
        <w:widowControl/>
        <w:ind w:firstLine="480"/>
      </w:pPr>
      <w:r>
        <w:rPr>
          <w:rFonts w:cs="Times New Roman"/>
          <w:color w:val="000000"/>
          <w:kern w:val="0"/>
          <w:lang w:bidi="ar"/>
        </w:rPr>
        <w:t>20</w:t>
      </w:r>
      <w:r>
        <w:rPr>
          <w:rFonts w:hint="eastAsia" w:cs="Times New Roman"/>
          <w:color w:val="000000"/>
          <w:kern w:val="0"/>
          <w:lang w:bidi="ar"/>
        </w:rPr>
        <w:t>20年各月各风向出现频率结果见表</w:t>
      </w:r>
      <w:r>
        <w:rPr>
          <w:rFonts w:cs="Times New Roman"/>
          <w:color w:val="000000"/>
          <w:kern w:val="0"/>
          <w:lang w:bidi="ar"/>
        </w:rPr>
        <w:t>6.</w:t>
      </w:r>
      <w:r>
        <w:rPr>
          <w:rFonts w:hint="eastAsia" w:cs="Times New Roman"/>
          <w:color w:val="000000"/>
          <w:kern w:val="0"/>
          <w:lang w:bidi="ar"/>
        </w:rPr>
        <w:t>2</w:t>
      </w:r>
      <w:r>
        <w:rPr>
          <w:rFonts w:cs="Times New Roman"/>
          <w:color w:val="000000"/>
          <w:kern w:val="0"/>
          <w:lang w:bidi="ar"/>
        </w:rPr>
        <w:t>-5</w:t>
      </w:r>
      <w:r>
        <w:rPr>
          <w:rFonts w:hint="eastAsia" w:cs="Times New Roman"/>
          <w:color w:val="000000"/>
          <w:kern w:val="0"/>
          <w:lang w:bidi="ar"/>
        </w:rPr>
        <w:t>，各季各风向频率统计结果见表</w:t>
      </w:r>
      <w:r>
        <w:rPr>
          <w:rFonts w:cs="Times New Roman"/>
          <w:color w:val="000000"/>
          <w:kern w:val="0"/>
          <w:lang w:bidi="ar"/>
        </w:rPr>
        <w:t>6.</w:t>
      </w:r>
      <w:r>
        <w:rPr>
          <w:rFonts w:hint="eastAsia" w:cs="Times New Roman"/>
          <w:color w:val="000000"/>
          <w:kern w:val="0"/>
          <w:lang w:bidi="ar"/>
        </w:rPr>
        <w:t>2</w:t>
      </w:r>
      <w:r>
        <w:rPr>
          <w:rFonts w:cs="Times New Roman"/>
          <w:color w:val="000000"/>
          <w:kern w:val="0"/>
          <w:lang w:bidi="ar"/>
        </w:rPr>
        <w:t>-6</w:t>
      </w:r>
      <w:r>
        <w:rPr>
          <w:rFonts w:hint="eastAsia" w:cs="Times New Roman"/>
          <w:color w:val="000000"/>
          <w:kern w:val="0"/>
          <w:lang w:bidi="ar"/>
        </w:rPr>
        <w:t>，全年及各季风向频率见图</w:t>
      </w:r>
      <w:r>
        <w:rPr>
          <w:rFonts w:cs="Times New Roman"/>
          <w:color w:val="000000"/>
          <w:kern w:val="0"/>
          <w:lang w:bidi="ar"/>
        </w:rPr>
        <w:t>6.</w:t>
      </w:r>
      <w:r>
        <w:rPr>
          <w:rFonts w:hint="eastAsia" w:cs="Times New Roman"/>
          <w:color w:val="000000"/>
          <w:kern w:val="0"/>
          <w:lang w:bidi="ar"/>
        </w:rPr>
        <w:t>2</w:t>
      </w:r>
      <w:r>
        <w:rPr>
          <w:rFonts w:cs="Times New Roman"/>
          <w:color w:val="000000"/>
          <w:kern w:val="0"/>
          <w:lang w:bidi="ar"/>
        </w:rPr>
        <w:t>-</w:t>
      </w:r>
      <w:r>
        <w:rPr>
          <w:rFonts w:hint="eastAsia" w:cs="Times New Roman"/>
          <w:color w:val="000000"/>
          <w:kern w:val="0"/>
          <w:lang w:bidi="ar"/>
        </w:rPr>
        <w:t>6、6.2-7。</w:t>
      </w:r>
    </w:p>
    <w:p>
      <w:pPr>
        <w:widowControl/>
        <w:ind w:firstLine="480"/>
        <w:jc w:val="left"/>
        <w:rPr>
          <w:rFonts w:ascii="宋体" w:hAnsi="宋体" w:cs="宋体"/>
          <w:color w:val="000000"/>
          <w:kern w:val="0"/>
          <w:lang w:bidi="ar"/>
        </w:rPr>
        <w:sectPr>
          <w:footerReference r:id="rId18" w:type="default"/>
          <w:pgSz w:w="11910" w:h="16840"/>
          <w:pgMar w:top="1417" w:right="1417" w:bottom="1417" w:left="1417" w:header="737" w:footer="737" w:gutter="0"/>
          <w:pgBorders>
            <w:top w:val="none" w:sz="0" w:space="0"/>
            <w:left w:val="none" w:sz="0" w:space="0"/>
            <w:bottom w:val="none" w:sz="0" w:space="0"/>
            <w:right w:val="none" w:sz="0" w:space="0"/>
          </w:pgBorders>
          <w:cols w:space="720" w:num="1"/>
        </w:sectPr>
      </w:pP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rPr>
      </w:pPr>
      <w:bookmarkStart w:id="151" w:name="_Toc23398"/>
      <w:r>
        <w:rPr>
          <w:rFonts w:hint="default" w:ascii="Times New Roman" w:hAnsi="Times New Roman" w:eastAsia="黑体" w:cs="Times New Roman"/>
        </w:rPr>
        <w:t>表6.2-5  各月风向出现频率    单位：%</w:t>
      </w:r>
      <w:bookmarkEnd w:id="151"/>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pPr>
      <w:r>
        <w:drawing>
          <wp:inline distT="0" distB="0" distL="114300" distR="114300">
            <wp:extent cx="8891905" cy="3213100"/>
            <wp:effectExtent l="0" t="0" r="4445" b="6350"/>
            <wp:docPr id="154"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9"/>
                    <pic:cNvPicPr>
                      <a:picLocks noChangeAspect="1"/>
                    </pic:cNvPicPr>
                  </pic:nvPicPr>
                  <pic:blipFill>
                    <a:blip r:embed="rId82"/>
                    <a:stretch>
                      <a:fillRect/>
                    </a:stretch>
                  </pic:blipFill>
                  <pic:spPr>
                    <a:xfrm>
                      <a:off x="0" y="0"/>
                      <a:ext cx="8891905" cy="321310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rPr>
      </w:pPr>
      <w:bookmarkStart w:id="152" w:name="_Toc29941"/>
      <w:r>
        <w:rPr>
          <w:rFonts w:hint="default" w:ascii="Times New Roman" w:hAnsi="Times New Roman" w:eastAsia="黑体" w:cs="Times New Roman"/>
        </w:rPr>
        <w:t>表6.2-6  全年及各季度风向出现频率    单位：%</w:t>
      </w:r>
      <w:bookmarkEnd w:id="152"/>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pPr>
      <w:r>
        <w:drawing>
          <wp:inline distT="0" distB="0" distL="114300" distR="114300">
            <wp:extent cx="8890635" cy="1513205"/>
            <wp:effectExtent l="0" t="0" r="5715" b="10795"/>
            <wp:docPr id="155"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20"/>
                    <pic:cNvPicPr>
                      <a:picLocks noChangeAspect="1"/>
                    </pic:cNvPicPr>
                  </pic:nvPicPr>
                  <pic:blipFill>
                    <a:blip r:embed="rId83"/>
                    <a:stretch>
                      <a:fillRect/>
                    </a:stretch>
                  </pic:blipFill>
                  <pic:spPr>
                    <a:xfrm>
                      <a:off x="0" y="0"/>
                      <a:ext cx="8890635" cy="1513205"/>
                    </a:xfrm>
                    <a:prstGeom prst="rect">
                      <a:avLst/>
                    </a:prstGeom>
                    <a:noFill/>
                    <a:ln>
                      <a:noFill/>
                    </a:ln>
                  </pic:spPr>
                </pic:pic>
              </a:graphicData>
            </a:graphic>
          </wp:inline>
        </w:drawing>
      </w:r>
    </w:p>
    <w:p>
      <w:pPr>
        <w:ind w:firstLine="480"/>
        <w:sectPr>
          <w:pgSz w:w="16840" w:h="11910" w:orient="landscape"/>
          <w:pgMar w:top="1417" w:right="1417" w:bottom="1417" w:left="1417" w:header="737" w:footer="850" w:gutter="0"/>
          <w:pgBorders>
            <w:top w:val="none" w:sz="0" w:space="0"/>
            <w:left w:val="none" w:sz="0" w:space="0"/>
            <w:bottom w:val="none" w:sz="0" w:space="0"/>
            <w:right w:val="none" w:sz="0" w:space="0"/>
          </w:pgBorders>
          <w:cols w:space="720" w:num="1"/>
        </w:sectPr>
      </w:pPr>
    </w:p>
    <w:p>
      <w:pPr>
        <w:widowControl/>
        <w:ind w:firstLine="0" w:firstLineChars="0"/>
        <w:rPr>
          <w:rFonts w:ascii="宋体" w:hAnsi="宋体" w:cs="宋体"/>
          <w:color w:val="000000"/>
          <w:kern w:val="0"/>
          <w:lang w:bidi="ar"/>
        </w:rPr>
      </w:pPr>
      <w:r>
        <w:drawing>
          <wp:inline distT="0" distB="0" distL="114300" distR="114300">
            <wp:extent cx="5760085" cy="5708015"/>
            <wp:effectExtent l="0" t="0" r="12065" b="6985"/>
            <wp:docPr id="157"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21"/>
                    <pic:cNvPicPr>
                      <a:picLocks noChangeAspect="1"/>
                    </pic:cNvPicPr>
                  </pic:nvPicPr>
                  <pic:blipFill>
                    <a:blip r:embed="rId84"/>
                    <a:stretch>
                      <a:fillRect/>
                    </a:stretch>
                  </pic:blipFill>
                  <pic:spPr>
                    <a:xfrm>
                      <a:off x="0" y="0"/>
                      <a:ext cx="5760085" cy="5708015"/>
                    </a:xfrm>
                    <a:prstGeom prst="rect">
                      <a:avLst/>
                    </a:prstGeom>
                    <a:noFill/>
                    <a:ln>
                      <a:noFill/>
                    </a:ln>
                  </pic:spPr>
                </pic:pic>
              </a:graphicData>
            </a:graphic>
          </wp:inline>
        </w:drawing>
      </w:r>
    </w:p>
    <w:p>
      <w:pPr>
        <w:widowControl/>
        <w:ind w:firstLine="0" w:firstLineChars="0"/>
        <w:jc w:val="center"/>
        <w:rPr>
          <w:b/>
          <w:bCs/>
        </w:rPr>
      </w:pPr>
      <w:r>
        <w:rPr>
          <w:rFonts w:hint="eastAsia"/>
          <w:b/>
          <w:bCs/>
        </w:rPr>
        <w:t>图6.2-6</w:t>
      </w:r>
      <w:r>
        <w:rPr>
          <w:b/>
          <w:bCs/>
        </w:rPr>
        <w:t xml:space="preserve"> </w:t>
      </w:r>
      <w:r>
        <w:rPr>
          <w:rFonts w:hint="eastAsia"/>
          <w:b/>
          <w:bCs/>
        </w:rPr>
        <w:t xml:space="preserve"> 各月、各季节的风频玫瑰图</w:t>
      </w:r>
    </w:p>
    <w:p>
      <w:pPr>
        <w:widowControl/>
        <w:ind w:firstLine="0" w:firstLineChars="0"/>
        <w:jc w:val="center"/>
        <w:rPr>
          <w:rFonts w:ascii="宋体" w:hAnsi="宋体" w:cs="宋体"/>
          <w:color w:val="000000"/>
          <w:kern w:val="0"/>
          <w:lang w:bidi="ar"/>
        </w:rPr>
      </w:pPr>
      <w:r>
        <w:drawing>
          <wp:inline distT="0" distB="0" distL="114300" distR="114300">
            <wp:extent cx="1647825" cy="1647825"/>
            <wp:effectExtent l="0" t="0" r="9525" b="9525"/>
            <wp:docPr id="16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22"/>
                    <pic:cNvPicPr>
                      <a:picLocks noChangeAspect="1"/>
                    </pic:cNvPicPr>
                  </pic:nvPicPr>
                  <pic:blipFill>
                    <a:blip r:embed="rId85"/>
                    <a:stretch>
                      <a:fillRect/>
                    </a:stretch>
                  </pic:blipFill>
                  <pic:spPr>
                    <a:xfrm>
                      <a:off x="0" y="0"/>
                      <a:ext cx="1647825" cy="1647825"/>
                    </a:xfrm>
                    <a:prstGeom prst="rect">
                      <a:avLst/>
                    </a:prstGeom>
                    <a:noFill/>
                    <a:ln>
                      <a:noFill/>
                    </a:ln>
                  </pic:spPr>
                </pic:pic>
              </a:graphicData>
            </a:graphic>
          </wp:inline>
        </w:drawing>
      </w:r>
    </w:p>
    <w:p>
      <w:pPr>
        <w:widowControl/>
        <w:ind w:firstLine="0" w:firstLineChars="0"/>
        <w:jc w:val="center"/>
        <w:rPr>
          <w:b/>
          <w:bCs/>
        </w:rPr>
      </w:pPr>
      <w:r>
        <w:rPr>
          <w:rFonts w:hint="eastAsia"/>
          <w:b/>
          <w:bCs/>
        </w:rPr>
        <w:t>图6.2-7</w:t>
      </w:r>
      <w:r>
        <w:rPr>
          <w:b/>
          <w:bCs/>
        </w:rPr>
        <w:t xml:space="preserve"> </w:t>
      </w:r>
      <w:r>
        <w:rPr>
          <w:rFonts w:hint="eastAsia"/>
          <w:b/>
          <w:bCs/>
        </w:rPr>
        <w:t xml:space="preserve"> 全年风频玫瑰图</w:t>
      </w:r>
    </w:p>
    <w:p>
      <w:pPr>
        <w:widowControl/>
        <w:ind w:firstLine="480"/>
        <w:rPr>
          <w:rFonts w:cs="Times New Roman"/>
          <w:color w:val="000000"/>
          <w:kern w:val="0"/>
          <w:lang w:bidi="ar"/>
        </w:rPr>
      </w:pPr>
      <w:r>
        <w:rPr>
          <w:rFonts w:cs="Times New Roman"/>
          <w:color w:val="000000"/>
          <w:kern w:val="0"/>
          <w:lang w:bidi="ar"/>
        </w:rPr>
        <w:t>根据统计结果可知，该地近年全年最多风向为S风，频率为8.59%；次多风向为NE风，频率为6.84%。就各季节而言，春季最多风向为S风，频率为11.14%，次多风向为SSE风，频率为7.70%；夏季最多风向为E风，频率为10.1%，次多风向为S风，频率为9.65%；秋季最多风向为W风，频率为8.93%，次多风向为NW风，频率为7.65%；冬季最多风向均为NE风，频率为7.97%，次多风向为S风，频率为7.92%。该地区全年静风频率为7.43%，以夏季、秋季较多，春季最少。综上所述，全年主导风向不明显。</w:t>
      </w:r>
    </w:p>
    <w:p>
      <w:pPr>
        <w:pStyle w:val="7"/>
        <w:ind w:firstLine="562"/>
      </w:pPr>
      <w:r>
        <w:t>6.2.</w:t>
      </w:r>
      <w:r>
        <w:rPr>
          <w:rFonts w:hint="eastAsia"/>
        </w:rPr>
        <w:t>2</w:t>
      </w:r>
      <w:r>
        <w:t xml:space="preserve"> 评价工作等级的确定</w:t>
      </w:r>
    </w:p>
    <w:p>
      <w:pPr>
        <w:ind w:firstLine="480"/>
      </w:pPr>
      <w:r>
        <w:drawing>
          <wp:anchor distT="0" distB="0" distL="114300" distR="114300" simplePos="0" relativeHeight="251660288" behindDoc="0" locked="0" layoutInCell="1" allowOverlap="1">
            <wp:simplePos x="0" y="0"/>
            <wp:positionH relativeFrom="column">
              <wp:posOffset>3124200</wp:posOffset>
            </wp:positionH>
            <wp:positionV relativeFrom="paragraph">
              <wp:posOffset>527050</wp:posOffset>
            </wp:positionV>
            <wp:extent cx="789305" cy="360045"/>
            <wp:effectExtent l="0" t="0" r="10795" b="1905"/>
            <wp:wrapNone/>
            <wp:docPr id="3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
                    <pic:cNvPicPr>
                      <a:picLocks noChangeAspect="1"/>
                    </pic:cNvPicPr>
                  </pic:nvPicPr>
                  <pic:blipFill>
                    <a:blip r:embed="rId21"/>
                    <a:stretch>
                      <a:fillRect/>
                    </a:stretch>
                  </pic:blipFill>
                  <pic:spPr>
                    <a:xfrm>
                      <a:off x="0" y="0"/>
                      <a:ext cx="789305" cy="360045"/>
                    </a:xfrm>
                    <a:prstGeom prst="rect">
                      <a:avLst/>
                    </a:prstGeom>
                    <a:noFill/>
                    <a:ln>
                      <a:noFill/>
                    </a:ln>
                  </pic:spPr>
                </pic:pic>
              </a:graphicData>
            </a:graphic>
          </wp:anchor>
        </w:drawing>
      </w:r>
      <w:r>
        <w:t>根据《环境影响评价技术导则-大气环境》（HJ2.2-2018）中的有关规定，将大气环境影响评价工作分为一、二、三级，划分依据见表</w:t>
      </w:r>
      <w:r>
        <w:rPr>
          <w:rFonts w:hint="eastAsia"/>
        </w:rPr>
        <w:t>6.2-7</w:t>
      </w:r>
      <w:r>
        <w:t>。</w:t>
      </w:r>
    </w:p>
    <w:p>
      <w:pPr>
        <w:pStyle w:val="13"/>
        <w:autoSpaceDE w:val="0"/>
        <w:autoSpaceDN w:val="0"/>
        <w:ind w:firstLine="464"/>
        <w:rPr>
          <w:rFonts w:ascii="Times New Roman" w:hAnsi="Times New Roman"/>
        </w:rPr>
      </w:pPr>
      <w:r>
        <w:rPr>
          <w:rFonts w:ascii="Times New Roman" w:hAnsi="Times New Roman"/>
          <w:spacing w:val="-4"/>
          <w:position w:val="2"/>
        </w:rPr>
        <w:t>各污染物的最大地面浓度占标率</w:t>
      </w:r>
      <w:r>
        <w:rPr>
          <w:rFonts w:ascii="Times New Roman" w:hAnsi="Times New Roman"/>
          <w:position w:val="2"/>
        </w:rPr>
        <w:t>P</w:t>
      </w:r>
      <w:r>
        <w:rPr>
          <w:rFonts w:ascii="Times New Roman" w:hAnsi="Times New Roman"/>
        </w:rPr>
        <w:t>i</w:t>
      </w:r>
      <w:r>
        <w:rPr>
          <w:rFonts w:ascii="Times New Roman" w:hAnsi="Times New Roman"/>
          <w:spacing w:val="-5"/>
          <w:position w:val="2"/>
        </w:rPr>
        <w:t>的计算：</w:t>
      </w:r>
    </w:p>
    <w:p>
      <w:pPr>
        <w:pStyle w:val="13"/>
        <w:autoSpaceDE w:val="0"/>
        <w:autoSpaceDN w:val="0"/>
        <w:ind w:firstLine="480"/>
        <w:rPr>
          <w:rFonts w:ascii="Times New Roman" w:hAnsi="Times New Roman"/>
        </w:rPr>
      </w:pPr>
      <w:r>
        <w:rPr>
          <w:rFonts w:ascii="Times New Roman" w:hAnsi="Times New Roman"/>
        </w:rPr>
        <w:t>式中：Pi——第i个污染物的最大地面浓度占标率，%；</w:t>
      </w:r>
    </w:p>
    <w:p>
      <w:pPr>
        <w:pStyle w:val="13"/>
        <w:autoSpaceDE w:val="0"/>
        <w:autoSpaceDN w:val="0"/>
        <w:ind w:firstLine="480"/>
        <w:rPr>
          <w:rFonts w:ascii="Times New Roman" w:hAnsi="Times New Roman"/>
        </w:rPr>
      </w:pPr>
      <w:r>
        <w:rPr>
          <w:rFonts w:ascii="Times New Roman" w:hAnsi="Times New Roman"/>
        </w:rPr>
        <w:t>Ci——采用估算模式计算出的第i个污染物的最大地面浓度，mg/m</w:t>
      </w:r>
      <w:r>
        <w:rPr>
          <w:rFonts w:hint="eastAsia" w:ascii="Times New Roman" w:hAnsi="Times New Roman"/>
          <w:vertAlign w:val="superscript"/>
          <w:lang w:val="en-US"/>
        </w:rPr>
        <w:t>3</w:t>
      </w:r>
      <w:r>
        <w:rPr>
          <w:rFonts w:ascii="Times New Roman" w:hAnsi="Times New Roman"/>
        </w:rPr>
        <w:t>；</w:t>
      </w:r>
    </w:p>
    <w:p>
      <w:pPr>
        <w:pStyle w:val="13"/>
        <w:autoSpaceDE w:val="0"/>
        <w:autoSpaceDN w:val="0"/>
        <w:ind w:firstLine="480"/>
        <w:rPr>
          <w:rFonts w:ascii="Times New Roman" w:hAnsi="Times New Roman"/>
        </w:rPr>
      </w:pPr>
      <w:r>
        <w:rPr>
          <w:rFonts w:ascii="Times New Roman" w:hAnsi="Times New Roman"/>
        </w:rPr>
        <w:t>Coi——第i个污染物的环境空气质量标准，mg/m</w:t>
      </w:r>
      <w:r>
        <w:rPr>
          <w:rFonts w:hint="eastAsia" w:ascii="Times New Roman" w:hAnsi="Times New Roman"/>
          <w:vertAlign w:val="superscript"/>
          <w:lang w:val="en-US"/>
        </w:rPr>
        <w:t>3</w:t>
      </w:r>
      <w:r>
        <w:rPr>
          <w:rFonts w:ascii="Times New Roman" w:hAnsi="Times New Roman"/>
        </w:rPr>
        <w:t>。</w:t>
      </w:r>
    </w:p>
    <w:p>
      <w:pPr>
        <w:ind w:firstLine="482"/>
        <w:jc w:val="center"/>
        <w:rPr>
          <w:b/>
          <w:bCs/>
        </w:rPr>
      </w:pPr>
      <w:r>
        <w:rPr>
          <w:rFonts w:hint="eastAsia"/>
          <w:b/>
          <w:bCs/>
        </w:rPr>
        <w:t>表6.2-7  大气环境评价工作级别（一、二、三级）</w:t>
      </w:r>
    </w:p>
    <w:tbl>
      <w:tblPr>
        <w:tblStyle w:val="28"/>
        <w:tblW w:w="5015"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3825"/>
        <w:gridCol w:w="5288"/>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5" w:hRule="atLeast"/>
          <w:jc w:val="center"/>
        </w:trPr>
        <w:tc>
          <w:tcPr>
            <w:tcW w:w="4147"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评价工作等级</w:t>
            </w:r>
          </w:p>
        </w:tc>
        <w:tc>
          <w:tcPr>
            <w:tcW w:w="5733"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评价工作分级判据</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3" w:hRule="atLeast"/>
          <w:jc w:val="center"/>
        </w:trPr>
        <w:tc>
          <w:tcPr>
            <w:tcW w:w="4147"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一级</w:t>
            </w:r>
          </w:p>
        </w:tc>
        <w:tc>
          <w:tcPr>
            <w:tcW w:w="5733"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Pmax≥10%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6" w:hRule="atLeast"/>
          <w:jc w:val="center"/>
        </w:trPr>
        <w:tc>
          <w:tcPr>
            <w:tcW w:w="4147"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二级</w:t>
            </w:r>
          </w:p>
        </w:tc>
        <w:tc>
          <w:tcPr>
            <w:tcW w:w="5733"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1%≤Pmax＜10%</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3" w:hRule="atLeast"/>
          <w:jc w:val="center"/>
        </w:trPr>
        <w:tc>
          <w:tcPr>
            <w:tcW w:w="4147"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三级</w:t>
            </w:r>
          </w:p>
        </w:tc>
        <w:tc>
          <w:tcPr>
            <w:tcW w:w="5733" w:type="dxa"/>
            <w:tcBorders>
              <w:top w:val="single" w:color="000000" w:sz="4" w:space="0"/>
              <w:left w:val="single" w:color="000000" w:sz="4" w:space="0"/>
              <w:bottom w:val="single" w:color="000000" w:sz="4" w:space="0"/>
              <w:right w:val="single" w:color="000000" w:sz="4" w:space="0"/>
            </w:tcBorders>
            <w:vAlign w:val="center"/>
          </w:tcPr>
          <w:p>
            <w:pPr>
              <w:pStyle w:val="38"/>
              <w:rPr>
                <w:rFonts w:hint="default"/>
              </w:rPr>
            </w:pPr>
            <w:r>
              <w:t>Pmax＜1%</w:t>
            </w:r>
          </w:p>
        </w:tc>
      </w:tr>
    </w:tbl>
    <w:p>
      <w:pPr>
        <w:widowControl/>
        <w:ind w:firstLine="480"/>
        <w:rPr>
          <w:rFonts w:hint="eastAsia" w:eastAsia="宋体"/>
          <w:lang w:eastAsia="zh-CN"/>
        </w:rPr>
      </w:pPr>
      <w:r>
        <w:rPr>
          <w:rFonts w:hint="eastAsia" w:ascii="宋体" w:hAnsi="宋体" w:cs="宋体"/>
          <w:color w:val="000000"/>
          <w:kern w:val="0"/>
          <w:lang w:bidi="ar"/>
        </w:rPr>
        <w:t>由表</w:t>
      </w:r>
      <w:r>
        <w:rPr>
          <w:rFonts w:cs="Times New Roman"/>
          <w:color w:val="000000"/>
          <w:kern w:val="0"/>
          <w:lang w:bidi="ar"/>
        </w:rPr>
        <w:t>6.2-</w:t>
      </w:r>
      <w:r>
        <w:rPr>
          <w:rFonts w:hint="eastAsia" w:cs="Times New Roman"/>
          <w:color w:val="000000"/>
          <w:kern w:val="0"/>
          <w:lang w:bidi="ar"/>
        </w:rPr>
        <w:t>13</w:t>
      </w:r>
      <w:r>
        <w:rPr>
          <w:rFonts w:hint="eastAsia" w:ascii="宋体" w:hAnsi="宋体" w:cs="宋体"/>
          <w:color w:val="000000"/>
          <w:kern w:val="0"/>
          <w:lang w:bidi="ar"/>
        </w:rPr>
        <w:t>可知，本次工程最大占标率</w:t>
      </w:r>
      <w:r>
        <w:rPr>
          <w:rFonts w:cs="Times New Roman"/>
          <w:color w:val="000000"/>
          <w:kern w:val="0"/>
          <w:lang w:bidi="ar"/>
        </w:rPr>
        <w:t>Pmax=</w:t>
      </w:r>
      <w:r>
        <w:rPr>
          <w:rFonts w:hint="eastAsia" w:cs="Times New Roman"/>
          <w:color w:val="000000"/>
          <w:kern w:val="0"/>
          <w:lang w:val="en-US" w:eastAsia="zh-CN" w:bidi="ar"/>
        </w:rPr>
        <w:t>2.00</w:t>
      </w:r>
      <w:r>
        <w:rPr>
          <w:rFonts w:cs="Times New Roman"/>
          <w:color w:val="000000"/>
          <w:kern w:val="0"/>
          <w:lang w:bidi="ar"/>
        </w:rPr>
        <w:t>%</w:t>
      </w:r>
      <w:r>
        <w:rPr>
          <w:rFonts w:hint="eastAsia" w:ascii="宋体" w:hAnsi="宋体" w:cs="宋体"/>
          <w:color w:val="000000"/>
          <w:kern w:val="0"/>
          <w:lang w:bidi="ar"/>
        </w:rPr>
        <w:t>，大气环境影响评价等级为二级。根据《环境影响评价技术导则大气环境》</w:t>
      </w:r>
      <w:r>
        <w:rPr>
          <w:rFonts w:hint="eastAsia" w:cs="Times New Roman"/>
          <w:color w:val="000000"/>
          <w:kern w:val="0"/>
          <w:lang w:bidi="ar"/>
        </w:rPr>
        <w:t>（</w:t>
      </w:r>
      <w:r>
        <w:rPr>
          <w:rFonts w:cs="Times New Roman"/>
          <w:color w:val="000000"/>
          <w:kern w:val="0"/>
          <w:lang w:bidi="ar"/>
        </w:rPr>
        <w:t>HJ2.2-2018</w:t>
      </w:r>
      <w:r>
        <w:rPr>
          <w:rFonts w:hint="eastAsia" w:cs="Times New Roman"/>
          <w:color w:val="000000"/>
          <w:kern w:val="0"/>
          <w:lang w:bidi="ar"/>
        </w:rPr>
        <w:t>）</w:t>
      </w:r>
      <w:r>
        <w:rPr>
          <w:rFonts w:hint="eastAsia" w:ascii="宋体" w:hAnsi="宋体" w:cs="宋体"/>
          <w:color w:val="000000"/>
          <w:kern w:val="0"/>
          <w:lang w:bidi="ar"/>
        </w:rPr>
        <w:t>相关要求，确定本项目的评价等级为二级评价</w:t>
      </w:r>
      <w:r>
        <w:rPr>
          <w:rFonts w:hint="eastAsia" w:ascii="宋体" w:hAnsi="宋体" w:cs="宋体"/>
          <w:color w:val="000000"/>
          <w:kern w:val="0"/>
          <w:lang w:eastAsia="zh-CN" w:bidi="ar"/>
        </w:rPr>
        <w:t>。</w:t>
      </w:r>
    </w:p>
    <w:p>
      <w:pPr>
        <w:pStyle w:val="7"/>
        <w:ind w:firstLine="562"/>
      </w:pPr>
      <w:r>
        <w:t>6.2.</w:t>
      </w:r>
      <w:r>
        <w:rPr>
          <w:rFonts w:hint="eastAsia"/>
        </w:rPr>
        <w:t>3</w:t>
      </w:r>
      <w:r>
        <w:t xml:space="preserve"> 评价因子和评价标准的筛选</w:t>
      </w:r>
    </w:p>
    <w:p>
      <w:pPr>
        <w:ind w:firstLine="480"/>
      </w:pPr>
      <w:r>
        <w:rPr>
          <w:rFonts w:hint="eastAsia"/>
        </w:rPr>
        <w:t>本评价选取非甲烷总烃和颗粒物为主要污染物进行评价工作等级的确定，采用《环境影响评价技术导则  大气环境》（</w:t>
      </w:r>
      <w:r>
        <w:t>HJ2.2-2018</w:t>
      </w:r>
      <w:r>
        <w:rPr>
          <w:rFonts w:hint="eastAsia"/>
        </w:rPr>
        <w:t>）中推荐的</w:t>
      </w:r>
      <w:r>
        <w:t>Aerscreen</w:t>
      </w:r>
      <w:r>
        <w:rPr>
          <w:rFonts w:hint="eastAsia"/>
        </w:rPr>
        <w:t>估算模式进行计算。评价因子和评价标准见表6.2-8、估算模型参数见表6.2-12。</w:t>
      </w:r>
    </w:p>
    <w:p>
      <w:pPr>
        <w:ind w:firstLine="482"/>
        <w:jc w:val="center"/>
        <w:rPr>
          <w:b/>
          <w:bCs/>
        </w:rPr>
      </w:pPr>
      <w:r>
        <w:rPr>
          <w:rFonts w:hint="eastAsia"/>
          <w:b/>
          <w:bCs/>
        </w:rPr>
        <w:t>表6.2-8  评价因子和评价标准表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4"/>
        <w:gridCol w:w="1288"/>
        <w:gridCol w:w="1332"/>
        <w:gridCol w:w="1246"/>
        <w:gridCol w:w="3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4" w:type="dxa"/>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污染物名称</w:t>
            </w:r>
          </w:p>
        </w:tc>
        <w:tc>
          <w:tcPr>
            <w:tcW w:w="1288" w:type="dxa"/>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功能区</w:t>
            </w:r>
          </w:p>
        </w:tc>
        <w:tc>
          <w:tcPr>
            <w:tcW w:w="1332" w:type="dxa"/>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取值时间</w:t>
            </w:r>
          </w:p>
        </w:tc>
        <w:tc>
          <w:tcPr>
            <w:tcW w:w="1246" w:type="dxa"/>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标准值</w:t>
            </w:r>
          </w:p>
        </w:tc>
        <w:tc>
          <w:tcPr>
            <w:tcW w:w="3572" w:type="dxa"/>
            <w:vAlign w:val="center"/>
          </w:tcPr>
          <w:p>
            <w:pPr>
              <w:widowControl/>
              <w:autoSpaceDE w:val="0"/>
              <w:autoSpaceDN w:val="0"/>
              <w:spacing w:line="240" w:lineRule="auto"/>
              <w:ind w:firstLine="0" w:firstLineChars="0"/>
              <w:jc w:val="center"/>
              <w:rPr>
                <w:spacing w:val="-16"/>
              </w:rPr>
            </w:pPr>
            <w:r>
              <w:rPr>
                <w:rFonts w:hint="eastAsia" w:ascii="宋体" w:hAnsi="宋体" w:cs="宋体"/>
                <w:color w:val="000000"/>
                <w:kern w:val="0"/>
                <w:sz w:val="21"/>
                <w:szCs w:val="21"/>
                <w:lang w:bidi="ar"/>
              </w:rPr>
              <w:t>标准来源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jc w:val="center"/>
        </w:trPr>
        <w:tc>
          <w:tcPr>
            <w:tcW w:w="1854" w:type="dxa"/>
            <w:vAlign w:val="center"/>
          </w:tcPr>
          <w:p>
            <w:pPr>
              <w:widowControl/>
              <w:autoSpaceDE w:val="0"/>
              <w:autoSpaceDN w:val="0"/>
              <w:spacing w:line="240" w:lineRule="auto"/>
              <w:ind w:firstLine="0" w:firstLineChars="0"/>
              <w:jc w:val="center"/>
              <w:rPr>
                <w:color w:val="000000" w:themeColor="text1"/>
                <w:spacing w:val="-16"/>
                <w:sz w:val="21"/>
                <w:szCs w:val="21"/>
                <w14:textFill>
                  <w14:solidFill>
                    <w14:schemeClr w14:val="tx1"/>
                  </w14:solidFill>
                </w14:textFill>
              </w:rPr>
            </w:pPr>
            <w:r>
              <w:rPr>
                <w:rFonts w:hint="eastAsia" w:cs="Times New Roman"/>
                <w:color w:val="000000" w:themeColor="text1"/>
                <w:kern w:val="0"/>
                <w:sz w:val="21"/>
                <w:szCs w:val="21"/>
                <w:lang w:bidi="ar"/>
                <w14:textFill>
                  <w14:solidFill>
                    <w14:schemeClr w14:val="tx1"/>
                  </w14:solidFill>
                </w14:textFill>
              </w:rPr>
              <w:t>颗粒物</w:t>
            </w:r>
          </w:p>
        </w:tc>
        <w:tc>
          <w:tcPr>
            <w:tcW w:w="1288" w:type="dxa"/>
            <w:vAlign w:val="center"/>
          </w:tcPr>
          <w:p>
            <w:pPr>
              <w:widowControl/>
              <w:autoSpaceDE w:val="0"/>
              <w:autoSpaceDN w:val="0"/>
              <w:spacing w:line="240" w:lineRule="auto"/>
              <w:ind w:firstLine="0" w:firstLineChars="0"/>
              <w:jc w:val="center"/>
              <w:rPr>
                <w:color w:val="000000" w:themeColor="text1"/>
                <w:spacing w:val="-16"/>
                <w:sz w:val="21"/>
                <w:szCs w:val="21"/>
                <w14:textFill>
                  <w14:solidFill>
                    <w14:schemeClr w14:val="tx1"/>
                  </w14:solidFill>
                </w14:textFill>
              </w:rPr>
            </w:pPr>
            <w:r>
              <w:rPr>
                <w:rFonts w:hint="eastAsia" w:ascii="宋体" w:hAnsi="宋体" w:cs="宋体"/>
                <w:color w:val="000000" w:themeColor="text1"/>
                <w:kern w:val="0"/>
                <w:sz w:val="21"/>
                <w:szCs w:val="21"/>
                <w:lang w:bidi="ar"/>
                <w14:textFill>
                  <w14:solidFill>
                    <w14:schemeClr w14:val="tx1"/>
                  </w14:solidFill>
                </w14:textFill>
              </w:rPr>
              <w:t>二类限区</w:t>
            </w:r>
          </w:p>
        </w:tc>
        <w:tc>
          <w:tcPr>
            <w:tcW w:w="1332" w:type="dxa"/>
            <w:vAlign w:val="center"/>
          </w:tcPr>
          <w:p>
            <w:pPr>
              <w:widowControl/>
              <w:autoSpaceDE w:val="0"/>
              <w:autoSpaceDN w:val="0"/>
              <w:spacing w:line="240" w:lineRule="auto"/>
              <w:ind w:firstLine="0" w:firstLineChars="0"/>
              <w:jc w:val="center"/>
              <w:rPr>
                <w:color w:val="000000" w:themeColor="text1"/>
                <w:spacing w:val="-16"/>
                <w:sz w:val="21"/>
                <w:szCs w:val="21"/>
                <w14:textFill>
                  <w14:solidFill>
                    <w14:schemeClr w14:val="tx1"/>
                  </w14:solidFill>
                </w14:textFill>
              </w:rPr>
            </w:pPr>
            <w:r>
              <w:rPr>
                <w:rFonts w:hint="eastAsia" w:ascii="宋体" w:hAnsi="宋体" w:cs="宋体"/>
                <w:color w:val="000000" w:themeColor="text1"/>
                <w:kern w:val="0"/>
                <w:sz w:val="21"/>
                <w:szCs w:val="21"/>
                <w:lang w:bidi="ar"/>
                <w14:textFill>
                  <w14:solidFill>
                    <w14:schemeClr w14:val="tx1"/>
                  </w14:solidFill>
                </w14:textFill>
              </w:rPr>
              <w:t>一小时</w:t>
            </w:r>
          </w:p>
        </w:tc>
        <w:tc>
          <w:tcPr>
            <w:tcW w:w="1246" w:type="dxa"/>
            <w:vAlign w:val="center"/>
          </w:tcPr>
          <w:p>
            <w:pPr>
              <w:widowControl/>
              <w:autoSpaceDE w:val="0"/>
              <w:autoSpaceDN w:val="0"/>
              <w:spacing w:line="240" w:lineRule="auto"/>
              <w:ind w:firstLine="0" w:firstLineChars="0"/>
              <w:jc w:val="center"/>
              <w:rPr>
                <w:color w:val="000000" w:themeColor="text1"/>
                <w:spacing w:val="-16"/>
                <w:sz w:val="21"/>
                <w:szCs w:val="21"/>
                <w14:textFill>
                  <w14:solidFill>
                    <w14:schemeClr w14:val="tx1"/>
                  </w14:solidFill>
                </w14:textFill>
              </w:rPr>
            </w:pPr>
            <w:r>
              <w:rPr>
                <w:rFonts w:hint="eastAsia" w:cs="Times New Roman"/>
                <w:color w:val="000000" w:themeColor="text1"/>
                <w:kern w:val="0"/>
                <w:sz w:val="21"/>
                <w:szCs w:val="21"/>
                <w:lang w:bidi="ar"/>
                <w14:textFill>
                  <w14:solidFill>
                    <w14:schemeClr w14:val="tx1"/>
                  </w14:solidFill>
                </w14:textFill>
              </w:rPr>
              <w:t>450</w:t>
            </w:r>
            <w:r>
              <w:rPr>
                <w:rFonts w:cs="Times New Roman"/>
                <w:color w:val="000000" w:themeColor="text1"/>
                <w:kern w:val="0"/>
                <w:sz w:val="21"/>
                <w:szCs w:val="21"/>
                <w:lang w:bidi="ar"/>
                <w14:textFill>
                  <w14:solidFill>
                    <w14:schemeClr w14:val="tx1"/>
                  </w14:solidFill>
                </w14:textFill>
              </w:rPr>
              <w:t>μg/m</w:t>
            </w:r>
            <w:r>
              <w:rPr>
                <w:rFonts w:hint="eastAsia" w:cs="Times New Roman"/>
                <w:color w:val="000000" w:themeColor="text1"/>
                <w:kern w:val="0"/>
                <w:sz w:val="21"/>
                <w:szCs w:val="21"/>
                <w:vertAlign w:val="superscript"/>
                <w:lang w:bidi="ar"/>
                <w14:textFill>
                  <w14:solidFill>
                    <w14:schemeClr w14:val="tx1"/>
                  </w14:solidFill>
                </w14:textFill>
              </w:rPr>
              <w:t>3</w:t>
            </w:r>
          </w:p>
        </w:tc>
        <w:tc>
          <w:tcPr>
            <w:tcW w:w="3572" w:type="dxa"/>
            <w:vAlign w:val="center"/>
          </w:tcPr>
          <w:p>
            <w:pPr>
              <w:pStyle w:val="38"/>
              <w:rPr>
                <w:rFonts w:hint="default"/>
                <w:color w:val="C00000"/>
              </w:rPr>
            </w:pPr>
            <w:r>
              <w:rPr>
                <w:rFonts w:ascii="宋体" w:hAnsi="宋体" w:cs="宋体"/>
                <w:kern w:val="0"/>
              </w:rPr>
              <w:t>《环境空气质量标准》（</w:t>
            </w:r>
            <w:r>
              <w:rPr>
                <w:rFonts w:hint="default"/>
                <w:kern w:val="0"/>
              </w:rPr>
              <w:t>GB3095-2012</w:t>
            </w:r>
            <w:r>
              <w:rPr>
                <w:rFonts w:ascii="宋体" w:hAnsi="宋体" w:cs="宋体"/>
                <w:kern w:val="0"/>
              </w:rPr>
              <w:t>）</w:t>
            </w:r>
            <w:r>
              <w:rPr>
                <w:rFonts w:hint="eastAsia"/>
                <w:u w:val="single"/>
                <w:lang w:eastAsia="zh-CN"/>
              </w:rPr>
              <w:t>及修改单</w:t>
            </w:r>
            <w:r>
              <w:rPr>
                <w:rFonts w:ascii="宋体" w:hAnsi="宋体" w:cs="宋体"/>
                <w:kern w:val="0"/>
              </w:rPr>
              <w:t>二级标准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54" w:type="dxa"/>
            <w:vAlign w:val="center"/>
          </w:tcPr>
          <w:p>
            <w:pPr>
              <w:widowControl/>
              <w:autoSpaceDE w:val="0"/>
              <w:autoSpaceDN w:val="0"/>
              <w:spacing w:line="240" w:lineRule="auto"/>
              <w:ind w:firstLine="0" w:firstLineChars="0"/>
              <w:jc w:val="center"/>
              <w:rPr>
                <w:spacing w:val="-16"/>
                <w:sz w:val="21"/>
                <w:szCs w:val="21"/>
              </w:rPr>
            </w:pPr>
            <w:r>
              <w:rPr>
                <w:rFonts w:hint="eastAsia" w:cs="Times New Roman"/>
                <w:color w:val="000000"/>
                <w:kern w:val="0"/>
                <w:sz w:val="21"/>
                <w:szCs w:val="21"/>
                <w:lang w:bidi="ar"/>
              </w:rPr>
              <w:t>非甲烷总烃</w:t>
            </w:r>
          </w:p>
        </w:tc>
        <w:tc>
          <w:tcPr>
            <w:tcW w:w="1288" w:type="dxa"/>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二类限区</w:t>
            </w:r>
          </w:p>
        </w:tc>
        <w:tc>
          <w:tcPr>
            <w:tcW w:w="1332" w:type="dxa"/>
            <w:vAlign w:val="center"/>
          </w:tcPr>
          <w:p>
            <w:pPr>
              <w:widowControl/>
              <w:autoSpaceDE w:val="0"/>
              <w:autoSpaceDN w:val="0"/>
              <w:spacing w:line="240" w:lineRule="auto"/>
              <w:ind w:firstLine="0" w:firstLineChars="0"/>
              <w:jc w:val="center"/>
              <w:rPr>
                <w:spacing w:val="-16"/>
                <w:sz w:val="21"/>
                <w:szCs w:val="21"/>
              </w:rPr>
            </w:pPr>
            <w:r>
              <w:rPr>
                <w:rFonts w:hint="eastAsia" w:ascii="宋体" w:hAnsi="宋体" w:cs="宋体"/>
                <w:color w:val="000000"/>
                <w:kern w:val="0"/>
                <w:sz w:val="21"/>
                <w:szCs w:val="21"/>
                <w:lang w:bidi="ar"/>
              </w:rPr>
              <w:t>一小时</w:t>
            </w:r>
          </w:p>
        </w:tc>
        <w:tc>
          <w:tcPr>
            <w:tcW w:w="1246" w:type="dxa"/>
            <w:vAlign w:val="center"/>
          </w:tcPr>
          <w:p>
            <w:pPr>
              <w:widowControl/>
              <w:autoSpaceDE w:val="0"/>
              <w:autoSpaceDN w:val="0"/>
              <w:spacing w:line="240" w:lineRule="auto"/>
              <w:ind w:firstLine="0" w:firstLineChars="0"/>
              <w:jc w:val="center"/>
              <w:rPr>
                <w:spacing w:val="-16"/>
                <w:sz w:val="21"/>
                <w:szCs w:val="21"/>
              </w:rPr>
            </w:pPr>
            <w:r>
              <w:rPr>
                <w:rFonts w:hint="eastAsia" w:cs="Times New Roman"/>
                <w:color w:val="000000"/>
                <w:kern w:val="0"/>
                <w:sz w:val="21"/>
                <w:szCs w:val="21"/>
                <w:lang w:bidi="ar"/>
              </w:rPr>
              <w:t>2.0（m</w:t>
            </w:r>
            <w:r>
              <w:rPr>
                <w:rFonts w:cs="Times New Roman"/>
                <w:color w:val="000000"/>
                <w:kern w:val="0"/>
                <w:sz w:val="21"/>
                <w:szCs w:val="21"/>
                <w:lang w:bidi="ar"/>
              </w:rPr>
              <w:t>g/m</w:t>
            </w:r>
            <w:r>
              <w:rPr>
                <w:rFonts w:hint="eastAsia" w:cs="Times New Roman"/>
                <w:color w:val="000000"/>
                <w:kern w:val="0"/>
                <w:sz w:val="21"/>
                <w:szCs w:val="21"/>
                <w:vertAlign w:val="superscript"/>
                <w:lang w:bidi="ar"/>
              </w:rPr>
              <w:t>3</w:t>
            </w:r>
            <w:r>
              <w:rPr>
                <w:rFonts w:hint="eastAsia" w:cs="Times New Roman"/>
                <w:color w:val="000000"/>
                <w:kern w:val="0"/>
                <w:sz w:val="21"/>
                <w:szCs w:val="21"/>
                <w:lang w:bidi="ar"/>
              </w:rPr>
              <w:t>）</w:t>
            </w:r>
          </w:p>
        </w:tc>
        <w:tc>
          <w:tcPr>
            <w:tcW w:w="3572" w:type="dxa"/>
          </w:tcPr>
          <w:p>
            <w:pPr>
              <w:pStyle w:val="38"/>
              <w:rPr>
                <w:rFonts w:hint="default"/>
              </w:rPr>
            </w:pPr>
            <w:r>
              <w:t>《大气污染物综合排放标准详解》（中国环境科学出版社出版）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54" w:type="dxa"/>
            <w:vAlign w:val="center"/>
          </w:tcPr>
          <w:p>
            <w:pPr>
              <w:widowControl/>
              <w:autoSpaceDE w:val="0"/>
              <w:autoSpaceDN w:val="0"/>
              <w:spacing w:line="240" w:lineRule="auto"/>
              <w:ind w:firstLine="0" w:firstLineChars="0"/>
              <w:jc w:val="center"/>
              <w:rPr>
                <w:rFonts w:cs="Times New Roman"/>
                <w:color w:val="000000"/>
                <w:kern w:val="0"/>
                <w:sz w:val="21"/>
                <w:szCs w:val="21"/>
                <w:lang w:bidi="ar"/>
              </w:rPr>
            </w:pPr>
            <w:r>
              <w:rPr>
                <w:rFonts w:hint="eastAsia" w:cs="Times New Roman"/>
                <w:color w:val="000000"/>
                <w:kern w:val="0"/>
                <w:sz w:val="21"/>
                <w:szCs w:val="21"/>
                <w:lang w:bidi="ar"/>
              </w:rPr>
              <w:t>硫化氢</w:t>
            </w:r>
          </w:p>
        </w:tc>
        <w:tc>
          <w:tcPr>
            <w:tcW w:w="1288" w:type="dxa"/>
            <w:vAlign w:val="center"/>
          </w:tcPr>
          <w:p>
            <w:pPr>
              <w:widowControl/>
              <w:autoSpaceDE w:val="0"/>
              <w:autoSpaceDN w:val="0"/>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二类限区</w:t>
            </w:r>
          </w:p>
        </w:tc>
        <w:tc>
          <w:tcPr>
            <w:tcW w:w="1332" w:type="dxa"/>
            <w:vAlign w:val="center"/>
          </w:tcPr>
          <w:p>
            <w:pPr>
              <w:pStyle w:val="39"/>
              <w:autoSpaceDE w:val="0"/>
              <w:autoSpaceDN w:val="0"/>
              <w:spacing w:line="240" w:lineRule="auto"/>
              <w:ind w:firstLine="0" w:firstLineChars="0"/>
              <w:rPr>
                <w:color w:val="000000"/>
                <w:kern w:val="0"/>
                <w:sz w:val="21"/>
                <w:szCs w:val="21"/>
                <w:lang w:val="en-US" w:bidi="ar"/>
              </w:rPr>
            </w:pPr>
            <w:r>
              <w:rPr>
                <w:sz w:val="21"/>
                <w:szCs w:val="21"/>
              </w:rPr>
              <w:t>小时平均</w:t>
            </w:r>
          </w:p>
        </w:tc>
        <w:tc>
          <w:tcPr>
            <w:tcW w:w="1246" w:type="dxa"/>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ascii="Times New Roman" w:hAnsi="Times New Roman" w:cs="Times New Roman"/>
                <w:color w:val="000000"/>
                <w:kern w:val="0"/>
                <w:sz w:val="21"/>
                <w:szCs w:val="21"/>
                <w:lang w:val="en-US" w:bidi="ar"/>
              </w:rPr>
              <w:t>10</w:t>
            </w:r>
            <w:r>
              <w:rPr>
                <w:rFonts w:ascii="Times New Roman" w:hAnsi="Times New Roman" w:cs="Times New Roman"/>
                <w:bCs/>
                <w:sz w:val="21"/>
                <w:szCs w:val="21"/>
              </w:rPr>
              <w:t>μg/m</w:t>
            </w:r>
            <w:r>
              <w:rPr>
                <w:rFonts w:ascii="Times New Roman" w:hAnsi="Times New Roman" w:cs="Times New Roman"/>
                <w:bCs/>
                <w:sz w:val="21"/>
                <w:szCs w:val="21"/>
                <w:vertAlign w:val="superscript"/>
              </w:rPr>
              <w:t>3</w:t>
            </w:r>
          </w:p>
        </w:tc>
        <w:tc>
          <w:tcPr>
            <w:tcW w:w="3572" w:type="dxa"/>
            <w:vMerge w:val="restart"/>
            <w:vAlign w:val="center"/>
          </w:tcPr>
          <w:p>
            <w:pPr>
              <w:pStyle w:val="39"/>
              <w:autoSpaceDE w:val="0"/>
              <w:autoSpaceDN w:val="0"/>
              <w:spacing w:line="240" w:lineRule="auto"/>
              <w:ind w:firstLine="0" w:firstLineChars="0"/>
              <w:rPr>
                <w:sz w:val="21"/>
                <w:szCs w:val="21"/>
                <w:lang w:val="en-US"/>
              </w:rPr>
            </w:pPr>
            <w:r>
              <w:rPr>
                <w:rFonts w:hint="eastAsia" w:ascii="Times New Roman" w:eastAsia="Times New Roman"/>
                <w:sz w:val="21"/>
                <w:szCs w:val="21"/>
                <w:lang w:val="en-US"/>
              </w:rPr>
              <w:t>《环境影响评价技术导则大气环境》（HJ 2.2-2008）附录D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54" w:type="dxa"/>
            <w:vAlign w:val="center"/>
          </w:tcPr>
          <w:p>
            <w:pPr>
              <w:widowControl/>
              <w:autoSpaceDE w:val="0"/>
              <w:autoSpaceDN w:val="0"/>
              <w:spacing w:line="240" w:lineRule="auto"/>
              <w:ind w:firstLine="0" w:firstLineChars="0"/>
              <w:jc w:val="center"/>
              <w:rPr>
                <w:rFonts w:cs="Times New Roman"/>
                <w:color w:val="000000"/>
                <w:kern w:val="0"/>
                <w:sz w:val="21"/>
                <w:szCs w:val="21"/>
                <w:lang w:bidi="ar"/>
              </w:rPr>
            </w:pPr>
            <w:r>
              <w:rPr>
                <w:rFonts w:hint="eastAsia" w:cs="Times New Roman"/>
                <w:color w:val="000000"/>
                <w:kern w:val="0"/>
                <w:sz w:val="21"/>
                <w:szCs w:val="21"/>
                <w:lang w:bidi="ar"/>
              </w:rPr>
              <w:t>氨</w:t>
            </w:r>
          </w:p>
        </w:tc>
        <w:tc>
          <w:tcPr>
            <w:tcW w:w="1288" w:type="dxa"/>
            <w:vAlign w:val="center"/>
          </w:tcPr>
          <w:p>
            <w:pPr>
              <w:widowControl/>
              <w:autoSpaceDE w:val="0"/>
              <w:autoSpaceDN w:val="0"/>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themeColor="text1"/>
                <w:kern w:val="0"/>
                <w:sz w:val="21"/>
                <w:szCs w:val="21"/>
                <w:lang w:bidi="ar"/>
                <w14:textFill>
                  <w14:solidFill>
                    <w14:schemeClr w14:val="tx1"/>
                  </w14:solidFill>
                </w14:textFill>
              </w:rPr>
              <w:t>二类限区</w:t>
            </w:r>
          </w:p>
        </w:tc>
        <w:tc>
          <w:tcPr>
            <w:tcW w:w="1332" w:type="dxa"/>
            <w:vAlign w:val="center"/>
          </w:tcPr>
          <w:p>
            <w:pPr>
              <w:pStyle w:val="39"/>
              <w:autoSpaceDE w:val="0"/>
              <w:autoSpaceDN w:val="0"/>
              <w:spacing w:line="240" w:lineRule="auto"/>
              <w:ind w:firstLine="0" w:firstLineChars="0"/>
              <w:rPr>
                <w:color w:val="000000"/>
                <w:kern w:val="0"/>
                <w:sz w:val="21"/>
                <w:szCs w:val="21"/>
                <w:lang w:val="en-US" w:bidi="ar"/>
              </w:rPr>
            </w:pPr>
            <w:r>
              <w:rPr>
                <w:sz w:val="21"/>
                <w:szCs w:val="21"/>
              </w:rPr>
              <w:t>小时平均</w:t>
            </w:r>
          </w:p>
        </w:tc>
        <w:tc>
          <w:tcPr>
            <w:tcW w:w="1246" w:type="dxa"/>
            <w:vAlign w:val="center"/>
          </w:tcPr>
          <w:p>
            <w:pPr>
              <w:pStyle w:val="39"/>
              <w:autoSpaceDE w:val="0"/>
              <w:autoSpaceDN w:val="0"/>
              <w:spacing w:line="240" w:lineRule="auto"/>
              <w:ind w:firstLine="0" w:firstLineChars="0"/>
              <w:rPr>
                <w:rFonts w:ascii="Times New Roman" w:hAnsi="Times New Roman" w:cs="Times New Roman"/>
                <w:color w:val="000000"/>
                <w:kern w:val="0"/>
                <w:sz w:val="21"/>
                <w:szCs w:val="21"/>
                <w:lang w:val="en-US" w:bidi="ar"/>
              </w:rPr>
            </w:pPr>
            <w:r>
              <w:rPr>
                <w:rFonts w:ascii="Times New Roman" w:hAnsi="Times New Roman" w:cs="Times New Roman"/>
                <w:color w:val="000000"/>
                <w:kern w:val="0"/>
                <w:sz w:val="21"/>
                <w:szCs w:val="21"/>
                <w:lang w:val="en-US" w:bidi="ar"/>
              </w:rPr>
              <w:t>200</w:t>
            </w:r>
            <w:r>
              <w:rPr>
                <w:rFonts w:ascii="Times New Roman" w:hAnsi="Times New Roman" w:cs="Times New Roman"/>
                <w:bCs/>
                <w:sz w:val="21"/>
                <w:szCs w:val="21"/>
              </w:rPr>
              <w:t>μg/m</w:t>
            </w:r>
            <w:r>
              <w:rPr>
                <w:rFonts w:ascii="Times New Roman" w:hAnsi="Times New Roman" w:cs="Times New Roman"/>
                <w:bCs/>
                <w:sz w:val="21"/>
                <w:szCs w:val="21"/>
                <w:vertAlign w:val="superscript"/>
              </w:rPr>
              <w:t>3</w:t>
            </w:r>
          </w:p>
        </w:tc>
        <w:tc>
          <w:tcPr>
            <w:tcW w:w="3572" w:type="dxa"/>
            <w:vMerge w:val="continue"/>
            <w:vAlign w:val="center"/>
          </w:tcPr>
          <w:p>
            <w:pPr>
              <w:pStyle w:val="39"/>
              <w:autoSpaceDE w:val="0"/>
              <w:autoSpaceDN w:val="0"/>
              <w:spacing w:line="240" w:lineRule="auto"/>
              <w:ind w:firstLine="0" w:firstLineChars="0"/>
              <w:rPr>
                <w:sz w:val="21"/>
                <w:szCs w:val="21"/>
                <w:lang w:val="en-US"/>
              </w:rPr>
            </w:pPr>
          </w:p>
        </w:tc>
      </w:tr>
    </w:tbl>
    <w:p>
      <w:pPr>
        <w:pStyle w:val="7"/>
        <w:ind w:firstLine="562"/>
      </w:pPr>
      <w:r>
        <w:t>6.2.</w:t>
      </w:r>
      <w:r>
        <w:rPr>
          <w:rFonts w:hint="eastAsia"/>
        </w:rPr>
        <w:t>4</w:t>
      </w:r>
      <w:r>
        <w:t xml:space="preserve"> 预测参数及结果</w:t>
      </w:r>
    </w:p>
    <w:p>
      <w:pPr>
        <w:widowControl/>
        <w:ind w:firstLine="480"/>
        <w:jc w:val="left"/>
        <w:rPr>
          <w:rFonts w:ascii="宋体" w:hAnsi="宋体" w:cs="宋体"/>
          <w:color w:val="000000"/>
          <w:kern w:val="0"/>
          <w:lang w:bidi="ar"/>
        </w:rPr>
        <w:sectPr>
          <w:pgSz w:w="11910" w:h="16840"/>
          <w:pgMar w:top="1417" w:right="1417" w:bottom="1417" w:left="1417" w:header="737" w:footer="850" w:gutter="0"/>
          <w:pgBorders>
            <w:top w:val="none" w:sz="0" w:space="0"/>
            <w:left w:val="none" w:sz="0" w:space="0"/>
            <w:bottom w:val="none" w:sz="0" w:space="0"/>
            <w:right w:val="none" w:sz="0" w:space="0"/>
          </w:pgBorders>
          <w:cols w:space="720" w:num="1"/>
        </w:sectPr>
      </w:pPr>
      <w:r>
        <w:rPr>
          <w:rFonts w:hint="eastAsia" w:ascii="宋体" w:hAnsi="宋体" w:cs="宋体"/>
          <w:color w:val="000000"/>
          <w:kern w:val="0"/>
          <w:lang w:bidi="ar"/>
        </w:rPr>
        <w:t>本项目点源、面源参数调查清单见表</w:t>
      </w:r>
      <w:r>
        <w:rPr>
          <w:rFonts w:cs="Times New Roman"/>
          <w:color w:val="000000"/>
          <w:kern w:val="0"/>
          <w:lang w:bidi="ar"/>
        </w:rPr>
        <w:t>6.2-</w:t>
      </w:r>
      <w:r>
        <w:rPr>
          <w:rFonts w:hint="eastAsia" w:cs="Times New Roman"/>
          <w:color w:val="000000"/>
          <w:kern w:val="0"/>
          <w:lang w:bidi="ar"/>
        </w:rPr>
        <w:t>9~6.2-11</w:t>
      </w:r>
      <w:r>
        <w:rPr>
          <w:rFonts w:hint="eastAsia" w:ascii="宋体" w:hAnsi="宋体" w:cs="宋体"/>
          <w:color w:val="000000"/>
          <w:kern w:val="0"/>
          <w:lang w:bidi="ar"/>
        </w:rPr>
        <w:t>。</w:t>
      </w:r>
    </w:p>
    <w:p>
      <w:pPr>
        <w:pStyle w:val="25"/>
        <w:widowControl/>
        <w:spacing w:beforeAutospacing="0" w:afterAutospacing="0"/>
        <w:ind w:firstLine="482"/>
        <w:jc w:val="center"/>
        <w:rPr>
          <w:rFonts w:cs="宋体"/>
          <w:b/>
          <w:bCs/>
          <w:color w:val="000000"/>
          <w:lang w:bidi="ar"/>
        </w:rPr>
      </w:pPr>
      <w:r>
        <w:rPr>
          <w:rFonts w:cs="宋体"/>
          <w:b/>
          <w:bCs/>
          <w:color w:val="000000"/>
          <w:lang w:bidi="ar"/>
        </w:rPr>
        <w:t>6.2-</w:t>
      </w:r>
      <w:r>
        <w:rPr>
          <w:rFonts w:hint="eastAsia" w:cs="宋体"/>
          <w:b/>
          <w:bCs/>
          <w:color w:val="000000"/>
          <w:lang w:bidi="ar"/>
        </w:rPr>
        <w:t>9</w:t>
      </w:r>
      <w:r>
        <w:rPr>
          <w:rFonts w:cs="宋体"/>
          <w:b/>
          <w:bCs/>
          <w:color w:val="000000"/>
          <w:lang w:bidi="ar"/>
        </w:rPr>
        <w:t xml:space="preserve"> </w:t>
      </w:r>
      <w:r>
        <w:rPr>
          <w:rFonts w:hint="eastAsia" w:cs="宋体"/>
          <w:b/>
          <w:bCs/>
          <w:color w:val="000000"/>
          <w:lang w:bidi="ar"/>
        </w:rPr>
        <w:t xml:space="preserve"> 正常工况下有组织废气最大排放污染源强参数表</w:t>
      </w:r>
    </w:p>
    <w:tbl>
      <w:tblPr>
        <w:tblStyle w:val="2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9"/>
        <w:gridCol w:w="1085"/>
        <w:gridCol w:w="1299"/>
        <w:gridCol w:w="1167"/>
        <w:gridCol w:w="1512"/>
        <w:gridCol w:w="966"/>
        <w:gridCol w:w="1219"/>
        <w:gridCol w:w="1115"/>
        <w:gridCol w:w="975"/>
        <w:gridCol w:w="1154"/>
        <w:gridCol w:w="738"/>
        <w:gridCol w:w="1316"/>
        <w:gridCol w:w="1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编号</w:t>
            </w:r>
          </w:p>
        </w:tc>
        <w:tc>
          <w:tcPr>
            <w:tcW w:w="108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名称</w:t>
            </w:r>
          </w:p>
        </w:tc>
        <w:tc>
          <w:tcPr>
            <w:tcW w:w="2466" w:type="dxa"/>
            <w:gridSpan w:val="2"/>
            <w:vAlign w:val="center"/>
          </w:tcPr>
          <w:p>
            <w:pPr>
              <w:widowControl/>
              <w:spacing w:line="240" w:lineRule="auto"/>
              <w:ind w:firstLine="0" w:firstLineChars="0"/>
              <w:jc w:val="center"/>
              <w:rPr>
                <w:sz w:val="21"/>
                <w:szCs w:val="21"/>
              </w:rPr>
            </w:pPr>
            <w:r>
              <w:rPr>
                <w:rFonts w:hint="eastAsia"/>
                <w:color w:val="000000"/>
                <w:sz w:val="21"/>
                <w:szCs w:val="21"/>
                <w:lang w:bidi="ar"/>
              </w:rPr>
              <w:t>排气筒底部中心</w:t>
            </w:r>
          </w:p>
          <w:p>
            <w:pPr>
              <w:widowControl/>
              <w:spacing w:line="240" w:lineRule="auto"/>
              <w:ind w:firstLine="0" w:firstLineChars="0"/>
              <w:jc w:val="center"/>
              <w:rPr>
                <w:color w:val="000000"/>
                <w:sz w:val="21"/>
                <w:szCs w:val="21"/>
                <w:lang w:bidi="ar"/>
              </w:rPr>
            </w:pPr>
            <w:r>
              <w:rPr>
                <w:rFonts w:hint="eastAsia"/>
                <w:color w:val="000000"/>
                <w:sz w:val="21"/>
                <w:szCs w:val="21"/>
                <w:lang w:bidi="ar"/>
              </w:rPr>
              <w:t>坐标</w:t>
            </w:r>
            <w:r>
              <w:rPr>
                <w:rFonts w:cs="TimesNewRomanPS-BoldMT"/>
                <w:color w:val="000000"/>
                <w:sz w:val="21"/>
                <w:szCs w:val="21"/>
                <w:lang w:bidi="ar"/>
              </w:rPr>
              <w:t>/</w:t>
            </w:r>
            <w:r>
              <w:rPr>
                <w:rFonts w:hint="eastAsia" w:cs="TimesNewRomanPS-BoldMT"/>
                <w:color w:val="000000"/>
                <w:sz w:val="21"/>
                <w:szCs w:val="21"/>
                <w:lang w:bidi="ar"/>
              </w:rPr>
              <w:t>°</w:t>
            </w:r>
          </w:p>
        </w:tc>
        <w:tc>
          <w:tcPr>
            <w:tcW w:w="1512"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排气筒底部海拔高度</w:t>
            </w:r>
            <w:r>
              <w:rPr>
                <w:rFonts w:cs="TimesNewRomanPS-BoldMT"/>
                <w:color w:val="000000"/>
                <w:sz w:val="21"/>
                <w:szCs w:val="21"/>
                <w:lang w:bidi="ar"/>
              </w:rPr>
              <w:t>/m</w:t>
            </w:r>
          </w:p>
        </w:tc>
        <w:tc>
          <w:tcPr>
            <w:tcW w:w="966"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排气筒高度</w:t>
            </w:r>
            <w:r>
              <w:rPr>
                <w:rFonts w:cs="TimesNewRomanPS-BoldMT"/>
                <w:color w:val="000000"/>
                <w:sz w:val="21"/>
                <w:szCs w:val="21"/>
                <w:lang w:bidi="ar"/>
              </w:rPr>
              <w:t>/m</w:t>
            </w:r>
          </w:p>
        </w:tc>
        <w:tc>
          <w:tcPr>
            <w:tcW w:w="1219"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排气筒出口内径</w:t>
            </w:r>
            <w:r>
              <w:rPr>
                <w:rFonts w:cs="TimesNewRomanPS-BoldMT"/>
                <w:color w:val="000000"/>
                <w:sz w:val="21"/>
                <w:szCs w:val="21"/>
                <w:lang w:bidi="ar"/>
              </w:rPr>
              <w:t>/m</w:t>
            </w:r>
          </w:p>
        </w:tc>
        <w:tc>
          <w:tcPr>
            <w:tcW w:w="1115"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烟气流速</w:t>
            </w:r>
            <w:r>
              <w:rPr>
                <w:rFonts w:cs="TimesNewRomanPS-BoldMT"/>
                <w:color w:val="000000"/>
                <w:sz w:val="21"/>
                <w:szCs w:val="21"/>
                <w:lang w:bidi="ar"/>
              </w:rPr>
              <w:t>/</w:t>
            </w:r>
            <w:r>
              <w:rPr>
                <w:rFonts w:hint="eastAsia"/>
                <w:color w:val="000000"/>
                <w:sz w:val="21"/>
                <w:szCs w:val="21"/>
                <w:lang w:bidi="ar"/>
              </w:rPr>
              <w:t>（</w:t>
            </w:r>
            <w:r>
              <w:rPr>
                <w:rFonts w:cs="TimesNewRomanPS-BoldMT"/>
                <w:color w:val="000000"/>
                <w:sz w:val="21"/>
                <w:szCs w:val="21"/>
                <w:lang w:bidi="ar"/>
              </w:rPr>
              <w:t>m/s</w:t>
            </w:r>
            <w:r>
              <w:rPr>
                <w:rFonts w:hint="eastAsia"/>
                <w:color w:val="000000"/>
                <w:sz w:val="21"/>
                <w:szCs w:val="21"/>
                <w:lang w:bidi="ar"/>
              </w:rPr>
              <w:t>）</w:t>
            </w:r>
          </w:p>
        </w:tc>
        <w:tc>
          <w:tcPr>
            <w:tcW w:w="975"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烟气温度</w:t>
            </w:r>
            <w:r>
              <w:rPr>
                <w:rFonts w:cs="TimesNewRomanPS-BoldMT"/>
                <w:color w:val="000000"/>
                <w:sz w:val="21"/>
                <w:szCs w:val="21"/>
                <w:lang w:bidi="ar"/>
              </w:rPr>
              <w:t>/</w:t>
            </w:r>
            <w:r>
              <w:rPr>
                <w:rFonts w:hint="eastAsia"/>
                <w:color w:val="000000"/>
                <w:sz w:val="21"/>
                <w:szCs w:val="21"/>
                <w:lang w:bidi="ar"/>
              </w:rPr>
              <w:t>℃</w:t>
            </w:r>
          </w:p>
        </w:tc>
        <w:tc>
          <w:tcPr>
            <w:tcW w:w="1154"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年排放小时数</w:t>
            </w:r>
            <w:r>
              <w:rPr>
                <w:rFonts w:cs="TimesNewRomanPS-BoldMT"/>
                <w:color w:val="000000"/>
                <w:sz w:val="21"/>
                <w:szCs w:val="21"/>
                <w:lang w:bidi="ar"/>
              </w:rPr>
              <w:t>/h</w:t>
            </w:r>
          </w:p>
        </w:tc>
        <w:tc>
          <w:tcPr>
            <w:tcW w:w="738"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排放工况</w:t>
            </w:r>
          </w:p>
        </w:tc>
        <w:tc>
          <w:tcPr>
            <w:tcW w:w="2570" w:type="dxa"/>
            <w:gridSpan w:val="2"/>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污染物排放量</w:t>
            </w:r>
            <w:r>
              <w:rPr>
                <w:rFonts w:cs="TimesNewRomanPS-BoldMT"/>
                <w:color w:val="000000"/>
                <w:sz w:val="21"/>
                <w:szCs w:val="21"/>
                <w:lang w:bidi="ar"/>
              </w:rPr>
              <w:t>/</w:t>
            </w:r>
            <w:r>
              <w:rPr>
                <w:rFonts w:hint="eastAsia" w:cs="TimesNewRomanPS-BoldMT"/>
                <w:color w:val="000000"/>
                <w:sz w:val="21"/>
                <w:szCs w:val="21"/>
                <w:lang w:bidi="ar"/>
              </w:rPr>
              <w:t>（</w:t>
            </w:r>
            <w:r>
              <w:rPr>
                <w:rFonts w:hint="eastAsia"/>
                <w:sz w:val="21"/>
                <w:szCs w:val="21"/>
              </w:rPr>
              <w:t>kg/h</w:t>
            </w:r>
            <w:r>
              <w:rPr>
                <w:rFonts w:hint="eastAsia" w:cs="TimesNewRomanPS-BoldMT"/>
                <w:color w:val="000000"/>
                <w:sz w:val="21"/>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continue"/>
            <w:vAlign w:val="center"/>
          </w:tcPr>
          <w:p>
            <w:pPr>
              <w:pStyle w:val="25"/>
              <w:widowControl/>
              <w:spacing w:beforeAutospacing="0" w:afterAutospacing="0" w:line="240" w:lineRule="auto"/>
              <w:ind w:firstLine="0" w:firstLineChars="0"/>
              <w:jc w:val="center"/>
              <w:rPr>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sz w:val="21"/>
                <w:szCs w:val="21"/>
              </w:rPr>
            </w:pPr>
          </w:p>
        </w:tc>
        <w:tc>
          <w:tcPr>
            <w:tcW w:w="1299"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X</w:t>
            </w:r>
          </w:p>
        </w:tc>
        <w:tc>
          <w:tcPr>
            <w:tcW w:w="1167"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Y</w:t>
            </w:r>
          </w:p>
        </w:tc>
        <w:tc>
          <w:tcPr>
            <w:tcW w:w="151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66"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19"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1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7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54"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738"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2570" w:type="dxa"/>
            <w:gridSpan w:val="2"/>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w:t>
            </w:r>
          </w:p>
        </w:tc>
        <w:tc>
          <w:tcPr>
            <w:tcW w:w="108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DA001</w:t>
            </w:r>
          </w:p>
        </w:tc>
        <w:tc>
          <w:tcPr>
            <w:tcW w:w="1299" w:type="dxa"/>
            <w:vMerge w:val="restart"/>
            <w:vAlign w:val="center"/>
          </w:tcPr>
          <w:p>
            <w:pPr>
              <w:pStyle w:val="25"/>
              <w:widowControl/>
              <w:spacing w:beforeAutospacing="0" w:afterAutospacing="0" w:line="240" w:lineRule="auto"/>
              <w:ind w:firstLine="0" w:firstLineChars="0"/>
              <w:jc w:val="center"/>
              <w:rPr>
                <w:color w:val="000000"/>
                <w:sz w:val="21"/>
                <w:szCs w:val="21"/>
              </w:rPr>
            </w:pPr>
            <w:r>
              <w:rPr>
                <w:color w:val="000000"/>
                <w:sz w:val="21"/>
                <w:szCs w:val="21"/>
              </w:rPr>
              <w:t>113.263677</w:t>
            </w:r>
          </w:p>
        </w:tc>
        <w:tc>
          <w:tcPr>
            <w:tcW w:w="1167" w:type="dxa"/>
            <w:vMerge w:val="restart"/>
            <w:vAlign w:val="center"/>
          </w:tcPr>
          <w:p>
            <w:pPr>
              <w:pStyle w:val="25"/>
              <w:widowControl/>
              <w:spacing w:beforeAutospacing="0" w:afterAutospacing="0" w:line="240" w:lineRule="auto"/>
              <w:ind w:firstLine="0" w:firstLineChars="0"/>
              <w:jc w:val="center"/>
              <w:rPr>
                <w:color w:val="000000"/>
                <w:sz w:val="21"/>
                <w:szCs w:val="21"/>
              </w:rPr>
            </w:pPr>
            <w:r>
              <w:rPr>
                <w:color w:val="000000"/>
                <w:sz w:val="21"/>
                <w:szCs w:val="21"/>
              </w:rPr>
              <w:t>33.405528</w:t>
            </w:r>
          </w:p>
        </w:tc>
        <w:tc>
          <w:tcPr>
            <w:tcW w:w="1512"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78.971</w:t>
            </w:r>
          </w:p>
        </w:tc>
        <w:tc>
          <w:tcPr>
            <w:tcW w:w="966"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15</w:t>
            </w:r>
          </w:p>
        </w:tc>
        <w:tc>
          <w:tcPr>
            <w:tcW w:w="1219"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0.2</w:t>
            </w:r>
          </w:p>
        </w:tc>
        <w:tc>
          <w:tcPr>
            <w:tcW w:w="111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96.51</w:t>
            </w:r>
          </w:p>
        </w:tc>
        <w:tc>
          <w:tcPr>
            <w:tcW w:w="97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25</w:t>
            </w:r>
          </w:p>
        </w:tc>
        <w:tc>
          <w:tcPr>
            <w:tcW w:w="1154" w:type="dxa"/>
            <w:vMerge w:val="restart"/>
            <w:vAlign w:val="center"/>
          </w:tcPr>
          <w:p>
            <w:pPr>
              <w:pStyle w:val="25"/>
              <w:widowControl/>
              <w:spacing w:beforeAutospacing="0" w:afterAutospacing="0" w:line="240" w:lineRule="auto"/>
              <w:ind w:firstLine="0" w:firstLineChars="0"/>
              <w:jc w:val="center"/>
              <w:rPr>
                <w:rFonts w:hint="default" w:eastAsia="宋体"/>
                <w:color w:val="000000"/>
                <w:sz w:val="21"/>
                <w:szCs w:val="21"/>
                <w:lang w:val="en-US" w:eastAsia="zh-CN"/>
              </w:rPr>
            </w:pPr>
            <w:r>
              <w:rPr>
                <w:rFonts w:hint="eastAsia"/>
                <w:color w:val="000000"/>
                <w:sz w:val="21"/>
                <w:szCs w:val="21"/>
                <w:lang w:val="en-US" w:eastAsia="zh-CN"/>
              </w:rPr>
              <w:t>2400</w:t>
            </w:r>
          </w:p>
        </w:tc>
        <w:tc>
          <w:tcPr>
            <w:tcW w:w="738"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连续</w:t>
            </w:r>
          </w:p>
        </w:tc>
        <w:tc>
          <w:tcPr>
            <w:tcW w:w="1316" w:type="dxa"/>
            <w:vAlign w:val="center"/>
          </w:tcPr>
          <w:p>
            <w:pPr>
              <w:pStyle w:val="38"/>
              <w:rPr>
                <w:rFonts w:hint="default"/>
              </w:rPr>
            </w:pPr>
            <w:r>
              <w:t>颗粒物</w:t>
            </w:r>
          </w:p>
        </w:tc>
        <w:tc>
          <w:tcPr>
            <w:tcW w:w="1254" w:type="dxa"/>
            <w:vAlign w:val="center"/>
          </w:tcPr>
          <w:p>
            <w:pPr>
              <w:pStyle w:val="39"/>
              <w:spacing w:line="360" w:lineRule="exact"/>
              <w:ind w:firstLine="0" w:firstLineChars="0"/>
              <w:rPr>
                <w:rFonts w:hint="default"/>
              </w:rPr>
            </w:pPr>
            <w:r>
              <w:rPr>
                <w:rFonts w:hint="eastAsia" w:ascii="Times New Roman" w:hAnsi="Times New Roman" w:cs="Times New Roman"/>
                <w:sz w:val="21"/>
                <w:szCs w:val="21"/>
                <w:lang w:val="en-US" w:eastAsia="zh-CN"/>
              </w:rPr>
              <w:t>0.0046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99"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67"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51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66"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19"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1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7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54"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738"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16" w:type="dxa"/>
            <w:vAlign w:val="center"/>
          </w:tcPr>
          <w:p>
            <w:pPr>
              <w:pStyle w:val="39"/>
              <w:spacing w:line="360" w:lineRule="exact"/>
              <w:ind w:firstLine="0" w:firstLineChars="0"/>
              <w:rPr>
                <w:sz w:val="21"/>
                <w:szCs w:val="21"/>
              </w:rPr>
            </w:pPr>
            <w:r>
              <w:rPr>
                <w:rFonts w:hint="eastAsia" w:ascii="Times New Roman" w:cs="Times New Roman"/>
                <w:sz w:val="21"/>
                <w:szCs w:val="21"/>
                <w:lang w:val="en-US"/>
              </w:rPr>
              <w:t>非甲烷总烃</w:t>
            </w:r>
          </w:p>
        </w:tc>
        <w:tc>
          <w:tcPr>
            <w:tcW w:w="1254"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0.0817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99"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67"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51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66"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19"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1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7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54"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738"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16" w:type="dxa"/>
            <w:vAlign w:val="center"/>
          </w:tcPr>
          <w:p>
            <w:pPr>
              <w:pStyle w:val="39"/>
              <w:spacing w:line="360" w:lineRule="exact"/>
              <w:ind w:firstLine="0" w:firstLineChars="0"/>
              <w:rPr>
                <w:sz w:val="21"/>
                <w:szCs w:val="21"/>
              </w:rPr>
            </w:pPr>
            <w:r>
              <w:rPr>
                <w:rFonts w:hint="eastAsia" w:ascii="Times New Roman" w:hAnsi="Times New Roman" w:cs="Times New Roman"/>
                <w:sz w:val="21"/>
                <w:szCs w:val="21"/>
                <w:lang w:val="en-US"/>
              </w:rPr>
              <w:t>硫化氢</w:t>
            </w:r>
          </w:p>
        </w:tc>
        <w:tc>
          <w:tcPr>
            <w:tcW w:w="1254"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0.0044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w:t>
            </w:r>
          </w:p>
        </w:tc>
        <w:tc>
          <w:tcPr>
            <w:tcW w:w="108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DA002</w:t>
            </w:r>
          </w:p>
        </w:tc>
        <w:tc>
          <w:tcPr>
            <w:tcW w:w="1299"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113.264087</w:t>
            </w:r>
          </w:p>
        </w:tc>
        <w:tc>
          <w:tcPr>
            <w:tcW w:w="1167"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33.405536</w:t>
            </w:r>
          </w:p>
        </w:tc>
        <w:tc>
          <w:tcPr>
            <w:tcW w:w="1512"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78.806</w:t>
            </w:r>
          </w:p>
        </w:tc>
        <w:tc>
          <w:tcPr>
            <w:tcW w:w="966"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lang w:val="en-US" w:eastAsia="zh-CN"/>
              </w:rPr>
              <w:t>1</w:t>
            </w:r>
            <w:r>
              <w:rPr>
                <w:rFonts w:hint="eastAsia"/>
                <w:color w:val="000000"/>
                <w:sz w:val="21"/>
                <w:szCs w:val="21"/>
              </w:rPr>
              <w:t>5</w:t>
            </w:r>
          </w:p>
        </w:tc>
        <w:tc>
          <w:tcPr>
            <w:tcW w:w="1219"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0.3</w:t>
            </w:r>
          </w:p>
        </w:tc>
        <w:tc>
          <w:tcPr>
            <w:tcW w:w="1115" w:type="dxa"/>
            <w:vMerge w:val="restart"/>
            <w:vAlign w:val="center"/>
          </w:tcPr>
          <w:p>
            <w:pPr>
              <w:widowControl/>
              <w:spacing w:line="240" w:lineRule="auto"/>
              <w:ind w:firstLine="0" w:firstLineChars="0"/>
              <w:jc w:val="center"/>
              <w:rPr>
                <w:color w:val="000000"/>
                <w:sz w:val="21"/>
                <w:szCs w:val="21"/>
              </w:rPr>
            </w:pPr>
            <w:r>
              <w:rPr>
                <w:color w:val="000000"/>
                <w:sz w:val="21"/>
                <w:szCs w:val="21"/>
              </w:rPr>
              <w:t>85.79</w:t>
            </w:r>
          </w:p>
        </w:tc>
        <w:tc>
          <w:tcPr>
            <w:tcW w:w="97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25</w:t>
            </w:r>
          </w:p>
        </w:tc>
        <w:tc>
          <w:tcPr>
            <w:tcW w:w="1154"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7200</w:t>
            </w:r>
          </w:p>
        </w:tc>
        <w:tc>
          <w:tcPr>
            <w:tcW w:w="738"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连续</w:t>
            </w:r>
          </w:p>
        </w:tc>
        <w:tc>
          <w:tcPr>
            <w:tcW w:w="1316"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粉尘</w:t>
            </w:r>
          </w:p>
        </w:tc>
        <w:tc>
          <w:tcPr>
            <w:tcW w:w="1254" w:type="dxa"/>
            <w:vAlign w:val="center"/>
          </w:tcPr>
          <w:p>
            <w:pPr>
              <w:pStyle w:val="39"/>
              <w:spacing w:line="360" w:lineRule="exact"/>
              <w:ind w:firstLine="0" w:firstLineChars="0"/>
              <w:rPr>
                <w:rFonts w:hint="default"/>
              </w:rPr>
            </w:pPr>
            <w:r>
              <w:rPr>
                <w:rFonts w:hint="eastAsia" w:ascii="Times New Roman" w:hAnsi="Times New Roman" w:cs="Times New Roman"/>
                <w:sz w:val="21"/>
                <w:szCs w:val="21"/>
                <w:lang w:val="en-US" w:eastAsia="zh-CN"/>
              </w:rPr>
              <w:t>0.0001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99"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67"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51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66"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19"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15" w:type="dxa"/>
            <w:vMerge w:val="continue"/>
            <w:vAlign w:val="center"/>
          </w:tcPr>
          <w:p>
            <w:pPr>
              <w:widowControl/>
              <w:spacing w:line="240" w:lineRule="auto"/>
              <w:ind w:firstLine="0" w:firstLineChars="0"/>
              <w:jc w:val="center"/>
              <w:rPr>
                <w:color w:val="000000"/>
                <w:sz w:val="21"/>
                <w:szCs w:val="21"/>
              </w:rPr>
            </w:pPr>
          </w:p>
        </w:tc>
        <w:tc>
          <w:tcPr>
            <w:tcW w:w="97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54"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738"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16" w:type="dxa"/>
            <w:vAlign w:val="center"/>
          </w:tcPr>
          <w:p>
            <w:pPr>
              <w:pStyle w:val="38"/>
              <w:rPr>
                <w:rFonts w:hint="default"/>
              </w:rPr>
            </w:pPr>
            <w:r>
              <w:t>非甲烷总烃</w:t>
            </w:r>
          </w:p>
        </w:tc>
        <w:tc>
          <w:tcPr>
            <w:tcW w:w="1254" w:type="dxa"/>
            <w:vAlign w:val="center"/>
          </w:tcPr>
          <w:p>
            <w:pPr>
              <w:pStyle w:val="39"/>
              <w:spacing w:line="360" w:lineRule="exact"/>
              <w:ind w:firstLine="0" w:firstLineChars="0"/>
              <w:rPr>
                <w:rFonts w:hint="default" w:eastAsia="宋体"/>
                <w:lang w:val="en-US" w:eastAsia="zh-CN"/>
              </w:rPr>
            </w:pPr>
            <w:r>
              <w:rPr>
                <w:rFonts w:hint="eastAsia" w:ascii="Times New Roman" w:hAnsi="Times New Roman" w:cs="Times New Roman"/>
                <w:sz w:val="21"/>
                <w:szCs w:val="21"/>
                <w:lang w:val="en-US" w:eastAsia="zh-CN"/>
              </w:rPr>
              <w:t>0.1464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w:t>
            </w:r>
          </w:p>
        </w:tc>
        <w:tc>
          <w:tcPr>
            <w:tcW w:w="108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DA003</w:t>
            </w:r>
          </w:p>
        </w:tc>
        <w:tc>
          <w:tcPr>
            <w:tcW w:w="1299"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113.264585</w:t>
            </w:r>
          </w:p>
        </w:tc>
        <w:tc>
          <w:tcPr>
            <w:tcW w:w="1167"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33.404674</w:t>
            </w:r>
          </w:p>
        </w:tc>
        <w:tc>
          <w:tcPr>
            <w:tcW w:w="1512"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78.504</w:t>
            </w:r>
          </w:p>
        </w:tc>
        <w:tc>
          <w:tcPr>
            <w:tcW w:w="966"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15</w:t>
            </w:r>
          </w:p>
        </w:tc>
        <w:tc>
          <w:tcPr>
            <w:tcW w:w="1219"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0.2</w:t>
            </w:r>
          </w:p>
        </w:tc>
        <w:tc>
          <w:tcPr>
            <w:tcW w:w="1115" w:type="dxa"/>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28.95</w:t>
            </w:r>
          </w:p>
        </w:tc>
        <w:tc>
          <w:tcPr>
            <w:tcW w:w="97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25</w:t>
            </w:r>
          </w:p>
        </w:tc>
        <w:tc>
          <w:tcPr>
            <w:tcW w:w="1154"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7200</w:t>
            </w:r>
          </w:p>
        </w:tc>
        <w:tc>
          <w:tcPr>
            <w:tcW w:w="738"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连续</w:t>
            </w:r>
          </w:p>
        </w:tc>
        <w:tc>
          <w:tcPr>
            <w:tcW w:w="1316" w:type="dxa"/>
            <w:vAlign w:val="center"/>
          </w:tcPr>
          <w:p>
            <w:pPr>
              <w:adjustRightInd w:val="0"/>
              <w:snapToGrid w:val="0"/>
              <w:spacing w:line="360" w:lineRule="exact"/>
              <w:ind w:firstLine="0" w:firstLineChars="0"/>
              <w:jc w:val="center"/>
              <w:rPr>
                <w:sz w:val="21"/>
                <w:szCs w:val="21"/>
              </w:rPr>
            </w:pPr>
            <w:r>
              <w:rPr>
                <w:rFonts w:hint="eastAsia" w:cs="Times New Roman"/>
                <w:snapToGrid w:val="0"/>
                <w:kern w:val="18"/>
                <w:sz w:val="21"/>
                <w:szCs w:val="21"/>
              </w:rPr>
              <w:t>硫化氢</w:t>
            </w:r>
          </w:p>
        </w:tc>
        <w:tc>
          <w:tcPr>
            <w:tcW w:w="1254"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99"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67"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51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66"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19"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15" w:type="dxa"/>
            <w:vMerge w:val="continue"/>
            <w:vAlign w:val="center"/>
          </w:tcPr>
          <w:p>
            <w:pPr>
              <w:widowControl/>
              <w:spacing w:line="240" w:lineRule="auto"/>
              <w:ind w:firstLine="0" w:firstLineChars="0"/>
              <w:jc w:val="center"/>
              <w:rPr>
                <w:color w:val="000000"/>
                <w:sz w:val="21"/>
                <w:szCs w:val="21"/>
              </w:rPr>
            </w:pPr>
          </w:p>
        </w:tc>
        <w:tc>
          <w:tcPr>
            <w:tcW w:w="97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54"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738"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16" w:type="dxa"/>
            <w:vAlign w:val="center"/>
          </w:tcPr>
          <w:p>
            <w:pPr>
              <w:adjustRightInd w:val="0"/>
              <w:snapToGrid w:val="0"/>
              <w:spacing w:line="360" w:lineRule="exact"/>
              <w:ind w:firstLine="0" w:firstLineChars="0"/>
              <w:jc w:val="center"/>
              <w:rPr>
                <w:sz w:val="21"/>
                <w:szCs w:val="21"/>
              </w:rPr>
            </w:pPr>
            <w:r>
              <w:rPr>
                <w:rFonts w:hint="eastAsia" w:cs="Times New Roman"/>
                <w:snapToGrid w:val="0"/>
                <w:kern w:val="18"/>
                <w:sz w:val="21"/>
                <w:szCs w:val="21"/>
              </w:rPr>
              <w:t>氨</w:t>
            </w:r>
          </w:p>
        </w:tc>
        <w:tc>
          <w:tcPr>
            <w:tcW w:w="1254"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0.0025</w:t>
            </w:r>
          </w:p>
        </w:tc>
      </w:tr>
    </w:tbl>
    <w:p>
      <w:pPr>
        <w:pStyle w:val="25"/>
        <w:widowControl/>
        <w:spacing w:beforeAutospacing="0" w:afterAutospacing="0"/>
        <w:ind w:firstLine="482"/>
        <w:jc w:val="center"/>
        <w:rPr>
          <w:rFonts w:cs="宋体"/>
          <w:b/>
          <w:bCs/>
          <w:color w:val="000000"/>
          <w:lang w:bidi="ar"/>
        </w:rPr>
      </w:pPr>
      <w:r>
        <w:rPr>
          <w:rFonts w:cs="宋体"/>
          <w:b/>
          <w:bCs/>
          <w:color w:val="000000"/>
          <w:lang w:bidi="ar"/>
        </w:rPr>
        <w:t>6.2-</w:t>
      </w:r>
      <w:r>
        <w:rPr>
          <w:rFonts w:hint="eastAsia" w:cs="宋体"/>
          <w:b/>
          <w:bCs/>
          <w:color w:val="000000"/>
          <w:lang w:bidi="ar"/>
        </w:rPr>
        <w:t>10</w:t>
      </w:r>
      <w:r>
        <w:rPr>
          <w:rFonts w:cs="宋体"/>
          <w:b/>
          <w:bCs/>
          <w:color w:val="000000"/>
          <w:lang w:bidi="ar"/>
        </w:rPr>
        <w:t xml:space="preserve"> </w:t>
      </w:r>
      <w:r>
        <w:rPr>
          <w:rFonts w:hint="eastAsia" w:cs="宋体"/>
          <w:b/>
          <w:bCs/>
          <w:color w:val="000000"/>
          <w:lang w:bidi="ar"/>
        </w:rPr>
        <w:t xml:space="preserve"> 正常工况下无组织废气污染源强参数表</w:t>
      </w:r>
    </w:p>
    <w:tbl>
      <w:tblPr>
        <w:tblStyle w:val="29"/>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4"/>
        <w:gridCol w:w="1083"/>
        <w:gridCol w:w="1283"/>
        <w:gridCol w:w="1201"/>
        <w:gridCol w:w="1101"/>
        <w:gridCol w:w="939"/>
        <w:gridCol w:w="922"/>
        <w:gridCol w:w="1110"/>
        <w:gridCol w:w="1289"/>
        <w:gridCol w:w="1047"/>
        <w:gridCol w:w="1101"/>
        <w:gridCol w:w="1394"/>
        <w:gridCol w:w="1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编号</w:t>
            </w:r>
          </w:p>
        </w:tc>
        <w:tc>
          <w:tcPr>
            <w:tcW w:w="38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名称</w:t>
            </w:r>
          </w:p>
        </w:tc>
        <w:tc>
          <w:tcPr>
            <w:tcW w:w="873" w:type="pct"/>
            <w:gridSpan w:val="2"/>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面源起点坐标</w:t>
            </w:r>
            <w:r>
              <w:rPr>
                <w:rFonts w:cs="TimesNewRomanPS-BoldMT"/>
                <w:color w:val="000000"/>
                <w:sz w:val="21"/>
                <w:szCs w:val="21"/>
              </w:rPr>
              <w:t>/</w:t>
            </w:r>
            <w:r>
              <w:rPr>
                <w:rFonts w:hint="eastAsia" w:cs="TimesNewRomanPS-BoldMT"/>
                <w:color w:val="000000"/>
                <w:sz w:val="21"/>
                <w:szCs w:val="21"/>
              </w:rPr>
              <w:t>°</w:t>
            </w:r>
          </w:p>
        </w:tc>
        <w:tc>
          <w:tcPr>
            <w:tcW w:w="387"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面源海拔高度/m</w:t>
            </w:r>
          </w:p>
        </w:tc>
        <w:tc>
          <w:tcPr>
            <w:tcW w:w="330"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面源长度/m</w:t>
            </w:r>
          </w:p>
        </w:tc>
        <w:tc>
          <w:tcPr>
            <w:tcW w:w="324"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面源宽度/m</w:t>
            </w:r>
          </w:p>
        </w:tc>
        <w:tc>
          <w:tcPr>
            <w:tcW w:w="390"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与正北向夹角/°</w:t>
            </w:r>
          </w:p>
        </w:tc>
        <w:tc>
          <w:tcPr>
            <w:tcW w:w="453"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面源有效排放高度/m</w:t>
            </w:r>
          </w:p>
        </w:tc>
        <w:tc>
          <w:tcPr>
            <w:tcW w:w="368"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年排放小时数/h</w:t>
            </w:r>
          </w:p>
        </w:tc>
        <w:tc>
          <w:tcPr>
            <w:tcW w:w="387"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排放工况</w:t>
            </w:r>
          </w:p>
        </w:tc>
        <w:tc>
          <w:tcPr>
            <w:tcW w:w="886" w:type="pct"/>
            <w:gridSpan w:val="2"/>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污染物排放速率/</w:t>
            </w:r>
            <w:r>
              <w:rPr>
                <w:rFonts w:hint="eastAsia" w:cs="TimesNewRomanPS-BoldMT"/>
                <w:color w:val="000000"/>
                <w:sz w:val="21"/>
                <w:szCs w:val="21"/>
              </w:rPr>
              <w:t>（</w:t>
            </w:r>
            <w:r>
              <w:rPr>
                <w:rFonts w:hint="eastAsia"/>
                <w:sz w:val="21"/>
                <w:szCs w:val="21"/>
              </w:rPr>
              <w:t>kg/h</w:t>
            </w:r>
            <w:r>
              <w:rPr>
                <w:rFonts w:hint="eastAsia" w:cs="TimesNewRomanPS-BoldMT"/>
                <w:color w:val="00000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51"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X</w:t>
            </w:r>
          </w:p>
        </w:tc>
        <w:tc>
          <w:tcPr>
            <w:tcW w:w="422"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Y</w:t>
            </w: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30"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24"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90"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53"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68"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886" w:type="pct"/>
            <w:gridSpan w:val="2"/>
            <w:vMerge w:val="continue"/>
            <w:vAlign w:val="center"/>
          </w:tcPr>
          <w:p>
            <w:pPr>
              <w:pStyle w:val="25"/>
              <w:widowControl/>
              <w:spacing w:beforeAutospacing="0" w:afterAutospacing="0" w:line="240" w:lineRule="auto"/>
              <w:ind w:firstLine="0" w:firstLineChars="0"/>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w:t>
            </w:r>
          </w:p>
        </w:tc>
        <w:tc>
          <w:tcPr>
            <w:tcW w:w="381" w:type="pct"/>
            <w:vMerge w:val="restart"/>
            <w:vAlign w:val="center"/>
          </w:tcPr>
          <w:p>
            <w:pPr>
              <w:adjustRightInd w:val="0"/>
              <w:snapToGrid w:val="0"/>
              <w:spacing w:line="240" w:lineRule="auto"/>
              <w:ind w:firstLine="0" w:firstLineChars="0"/>
              <w:jc w:val="center"/>
              <w:rPr>
                <w:color w:val="000000"/>
                <w:sz w:val="21"/>
                <w:szCs w:val="21"/>
              </w:rPr>
            </w:pPr>
            <w:r>
              <w:rPr>
                <w:rFonts w:hint="eastAsia"/>
                <w:color w:val="000000"/>
                <w:sz w:val="21"/>
                <w:szCs w:val="21"/>
              </w:rPr>
              <w:t>1#车间</w:t>
            </w:r>
          </w:p>
        </w:tc>
        <w:tc>
          <w:tcPr>
            <w:tcW w:w="45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113.264311</w:t>
            </w:r>
          </w:p>
        </w:tc>
        <w:tc>
          <w:tcPr>
            <w:tcW w:w="422"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33.404970</w:t>
            </w:r>
          </w:p>
        </w:tc>
        <w:tc>
          <w:tcPr>
            <w:tcW w:w="387"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79</w:t>
            </w:r>
          </w:p>
        </w:tc>
        <w:tc>
          <w:tcPr>
            <w:tcW w:w="330" w:type="pct"/>
            <w:vMerge w:val="restart"/>
            <w:vAlign w:val="center"/>
          </w:tcPr>
          <w:p>
            <w:pPr>
              <w:widowControl/>
              <w:adjustRightInd w:val="0"/>
              <w:snapToGrid w:val="0"/>
              <w:spacing w:line="360" w:lineRule="exact"/>
              <w:ind w:firstLine="0" w:firstLineChars="0"/>
              <w:jc w:val="center"/>
              <w:rPr>
                <w:color w:val="000000"/>
                <w:sz w:val="21"/>
                <w:szCs w:val="21"/>
              </w:rPr>
            </w:pPr>
            <w:r>
              <w:rPr>
                <w:rFonts w:hint="eastAsia"/>
                <w:color w:val="000000"/>
                <w:sz w:val="21"/>
                <w:szCs w:val="21"/>
              </w:rPr>
              <w:t>44.46</w:t>
            </w:r>
          </w:p>
        </w:tc>
        <w:tc>
          <w:tcPr>
            <w:tcW w:w="324" w:type="pct"/>
            <w:vMerge w:val="restart"/>
            <w:vAlign w:val="center"/>
          </w:tcPr>
          <w:p>
            <w:pPr>
              <w:widowControl/>
              <w:adjustRightInd w:val="0"/>
              <w:snapToGrid w:val="0"/>
              <w:spacing w:line="360" w:lineRule="exact"/>
              <w:ind w:firstLine="0" w:firstLineChars="0"/>
              <w:jc w:val="center"/>
              <w:rPr>
                <w:color w:val="000000"/>
                <w:sz w:val="21"/>
                <w:szCs w:val="21"/>
              </w:rPr>
            </w:pPr>
            <w:r>
              <w:rPr>
                <w:rFonts w:hint="eastAsia"/>
                <w:color w:val="000000"/>
                <w:sz w:val="21"/>
                <w:szCs w:val="21"/>
              </w:rPr>
              <w:t>25.2</w:t>
            </w:r>
          </w:p>
        </w:tc>
        <w:tc>
          <w:tcPr>
            <w:tcW w:w="390"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0</w:t>
            </w:r>
          </w:p>
        </w:tc>
        <w:tc>
          <w:tcPr>
            <w:tcW w:w="453" w:type="pct"/>
            <w:vMerge w:val="restart"/>
            <w:vAlign w:val="center"/>
          </w:tcPr>
          <w:p>
            <w:pPr>
              <w:widowControl/>
              <w:adjustRightInd w:val="0"/>
              <w:snapToGrid w:val="0"/>
              <w:spacing w:line="240" w:lineRule="auto"/>
              <w:ind w:firstLine="0" w:firstLineChars="0"/>
              <w:jc w:val="center"/>
              <w:rPr>
                <w:color w:val="000000"/>
                <w:sz w:val="21"/>
                <w:szCs w:val="21"/>
              </w:rPr>
            </w:pPr>
            <w:r>
              <w:rPr>
                <w:rFonts w:hint="eastAsia" w:cs="Times New Roman"/>
                <w:kern w:val="0"/>
                <w:sz w:val="21"/>
                <w:szCs w:val="21"/>
              </w:rPr>
              <w:t>13.8</w:t>
            </w:r>
          </w:p>
        </w:tc>
        <w:tc>
          <w:tcPr>
            <w:tcW w:w="368" w:type="pct"/>
            <w:vMerge w:val="restart"/>
            <w:vAlign w:val="center"/>
          </w:tcPr>
          <w:p>
            <w:pPr>
              <w:pStyle w:val="25"/>
              <w:widowControl/>
              <w:spacing w:beforeAutospacing="0" w:afterAutospacing="0" w:line="240" w:lineRule="auto"/>
              <w:ind w:firstLine="0" w:firstLineChars="0"/>
              <w:jc w:val="center"/>
              <w:rPr>
                <w:rFonts w:hint="default" w:eastAsia="宋体"/>
                <w:color w:val="000000"/>
                <w:sz w:val="21"/>
                <w:szCs w:val="21"/>
                <w:lang w:val="en-US" w:eastAsia="zh-CN"/>
              </w:rPr>
            </w:pPr>
            <w:r>
              <w:rPr>
                <w:rFonts w:hint="eastAsia"/>
                <w:color w:val="000000"/>
                <w:sz w:val="21"/>
                <w:szCs w:val="21"/>
                <w:lang w:val="en-US" w:eastAsia="zh-CN"/>
              </w:rPr>
              <w:t>2400</w:t>
            </w:r>
          </w:p>
        </w:tc>
        <w:tc>
          <w:tcPr>
            <w:tcW w:w="387"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连续</w:t>
            </w:r>
          </w:p>
        </w:tc>
        <w:tc>
          <w:tcPr>
            <w:tcW w:w="490" w:type="pct"/>
            <w:vAlign w:val="center"/>
          </w:tcPr>
          <w:p>
            <w:pPr>
              <w:adjustRightInd w:val="0"/>
              <w:snapToGrid w:val="0"/>
              <w:spacing w:line="360" w:lineRule="exact"/>
              <w:ind w:firstLine="0" w:firstLineChars="0"/>
              <w:jc w:val="center"/>
              <w:rPr>
                <w:color w:val="000000"/>
                <w:sz w:val="21"/>
                <w:szCs w:val="21"/>
              </w:rPr>
            </w:pPr>
            <w:r>
              <w:rPr>
                <w:rFonts w:hint="eastAsia" w:cs="Times New Roman"/>
                <w:snapToGrid w:val="0"/>
                <w:kern w:val="18"/>
                <w:sz w:val="21"/>
                <w:szCs w:val="21"/>
              </w:rPr>
              <w:t>颗粒物</w:t>
            </w:r>
          </w:p>
        </w:tc>
        <w:tc>
          <w:tcPr>
            <w:tcW w:w="396" w:type="pct"/>
            <w:vAlign w:val="center"/>
          </w:tcPr>
          <w:p>
            <w:pPr>
              <w:adjustRightInd w:val="0"/>
              <w:snapToGrid w:val="0"/>
              <w:spacing w:line="360" w:lineRule="exact"/>
              <w:ind w:firstLine="0" w:firstLineChars="0"/>
              <w:jc w:val="center"/>
              <w:rPr>
                <w:color w:val="000000"/>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1" w:type="pct"/>
            <w:vMerge w:val="continue"/>
            <w:vAlign w:val="center"/>
          </w:tcPr>
          <w:p>
            <w:pPr>
              <w:adjustRightInd w:val="0"/>
              <w:snapToGrid w:val="0"/>
              <w:spacing w:line="240" w:lineRule="auto"/>
              <w:ind w:firstLine="0" w:firstLineChars="0"/>
              <w:jc w:val="center"/>
              <w:rPr>
                <w:color w:val="000000"/>
                <w:sz w:val="21"/>
                <w:szCs w:val="21"/>
              </w:rPr>
            </w:pPr>
          </w:p>
        </w:tc>
        <w:tc>
          <w:tcPr>
            <w:tcW w:w="45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22"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30" w:type="pct"/>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324" w:type="pct"/>
            <w:vMerge w:val="continue"/>
            <w:vAlign w:val="center"/>
          </w:tcPr>
          <w:p>
            <w:pPr>
              <w:widowControl/>
              <w:adjustRightInd w:val="0"/>
              <w:snapToGrid w:val="0"/>
              <w:spacing w:line="360" w:lineRule="exact"/>
              <w:ind w:firstLine="0" w:firstLineChars="0"/>
              <w:jc w:val="center"/>
              <w:rPr>
                <w:rFonts w:cs="Times New Roman"/>
                <w:kern w:val="0"/>
                <w:sz w:val="21"/>
                <w:szCs w:val="21"/>
              </w:rPr>
            </w:pPr>
          </w:p>
        </w:tc>
        <w:tc>
          <w:tcPr>
            <w:tcW w:w="390"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53" w:type="pct"/>
            <w:vMerge w:val="continue"/>
            <w:vAlign w:val="center"/>
          </w:tcPr>
          <w:p>
            <w:pPr>
              <w:widowControl/>
              <w:adjustRightInd w:val="0"/>
              <w:snapToGrid w:val="0"/>
              <w:spacing w:line="240" w:lineRule="auto"/>
              <w:ind w:firstLine="0" w:firstLineChars="0"/>
              <w:jc w:val="center"/>
              <w:rPr>
                <w:rFonts w:cs="Times New Roman"/>
                <w:kern w:val="0"/>
                <w:sz w:val="21"/>
                <w:szCs w:val="21"/>
              </w:rPr>
            </w:pPr>
          </w:p>
        </w:tc>
        <w:tc>
          <w:tcPr>
            <w:tcW w:w="368"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9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396"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w:t>
            </w:r>
          </w:p>
        </w:tc>
        <w:tc>
          <w:tcPr>
            <w:tcW w:w="381" w:type="pct"/>
            <w:vMerge w:val="restart"/>
            <w:vAlign w:val="center"/>
          </w:tcPr>
          <w:p>
            <w:pPr>
              <w:adjustRightInd w:val="0"/>
              <w:snapToGrid w:val="0"/>
              <w:spacing w:line="240" w:lineRule="auto"/>
              <w:ind w:firstLine="0" w:firstLineChars="0"/>
              <w:jc w:val="center"/>
              <w:rPr>
                <w:color w:val="000000"/>
                <w:sz w:val="21"/>
                <w:szCs w:val="21"/>
              </w:rPr>
            </w:pPr>
            <w:r>
              <w:rPr>
                <w:rFonts w:hint="eastAsia"/>
                <w:color w:val="000000"/>
                <w:sz w:val="21"/>
                <w:szCs w:val="21"/>
              </w:rPr>
              <w:t>2#车间</w:t>
            </w:r>
          </w:p>
        </w:tc>
        <w:tc>
          <w:tcPr>
            <w:tcW w:w="45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113.264468</w:t>
            </w:r>
          </w:p>
        </w:tc>
        <w:tc>
          <w:tcPr>
            <w:tcW w:w="422"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33.404970</w:t>
            </w:r>
          </w:p>
        </w:tc>
        <w:tc>
          <w:tcPr>
            <w:tcW w:w="387"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80</w:t>
            </w:r>
          </w:p>
        </w:tc>
        <w:tc>
          <w:tcPr>
            <w:tcW w:w="330" w:type="pct"/>
            <w:vMerge w:val="restart"/>
            <w:vAlign w:val="center"/>
          </w:tcPr>
          <w:p>
            <w:pPr>
              <w:widowControl/>
              <w:adjustRightInd w:val="0"/>
              <w:snapToGrid w:val="0"/>
              <w:spacing w:line="360" w:lineRule="exact"/>
              <w:ind w:firstLine="0" w:firstLineChars="0"/>
              <w:jc w:val="center"/>
              <w:rPr>
                <w:rFonts w:cs="Times New Roman"/>
                <w:kern w:val="0"/>
                <w:sz w:val="21"/>
                <w:szCs w:val="21"/>
              </w:rPr>
            </w:pPr>
            <w:r>
              <w:rPr>
                <w:rFonts w:hint="eastAsia"/>
                <w:color w:val="000000"/>
                <w:sz w:val="21"/>
                <w:szCs w:val="21"/>
              </w:rPr>
              <w:t>44.46</w:t>
            </w:r>
          </w:p>
        </w:tc>
        <w:tc>
          <w:tcPr>
            <w:tcW w:w="324" w:type="pct"/>
            <w:vMerge w:val="restart"/>
            <w:vAlign w:val="center"/>
          </w:tcPr>
          <w:p>
            <w:pPr>
              <w:widowControl/>
              <w:adjustRightInd w:val="0"/>
              <w:snapToGrid w:val="0"/>
              <w:spacing w:line="360" w:lineRule="exact"/>
              <w:ind w:firstLine="0" w:firstLineChars="0"/>
              <w:jc w:val="center"/>
              <w:rPr>
                <w:rFonts w:cs="Times New Roman"/>
                <w:kern w:val="0"/>
                <w:sz w:val="21"/>
                <w:szCs w:val="21"/>
              </w:rPr>
            </w:pPr>
            <w:r>
              <w:rPr>
                <w:rFonts w:hint="eastAsia"/>
                <w:color w:val="000000"/>
                <w:sz w:val="21"/>
                <w:szCs w:val="21"/>
              </w:rPr>
              <w:t>25.2</w:t>
            </w:r>
          </w:p>
        </w:tc>
        <w:tc>
          <w:tcPr>
            <w:tcW w:w="390" w:type="pct"/>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0</w:t>
            </w:r>
          </w:p>
        </w:tc>
        <w:tc>
          <w:tcPr>
            <w:tcW w:w="453" w:type="pct"/>
            <w:vMerge w:val="restart"/>
            <w:vAlign w:val="center"/>
          </w:tcPr>
          <w:p>
            <w:pPr>
              <w:widowControl/>
              <w:adjustRightInd w:val="0"/>
              <w:snapToGrid w:val="0"/>
              <w:spacing w:line="240" w:lineRule="auto"/>
              <w:ind w:firstLine="0" w:firstLineChars="0"/>
              <w:jc w:val="center"/>
              <w:rPr>
                <w:color w:val="000000"/>
                <w:sz w:val="21"/>
                <w:szCs w:val="21"/>
              </w:rPr>
            </w:pPr>
            <w:r>
              <w:rPr>
                <w:rFonts w:hint="eastAsia" w:cs="Times New Roman"/>
                <w:kern w:val="0"/>
                <w:sz w:val="21"/>
                <w:szCs w:val="21"/>
              </w:rPr>
              <w:t>13.8</w:t>
            </w:r>
          </w:p>
        </w:tc>
        <w:tc>
          <w:tcPr>
            <w:tcW w:w="368" w:type="pct"/>
            <w:vMerge w:val="restart"/>
            <w:vAlign w:val="center"/>
          </w:tcPr>
          <w:p>
            <w:pPr>
              <w:pStyle w:val="25"/>
              <w:widowControl/>
              <w:spacing w:beforeAutospacing="0" w:afterAutospacing="0" w:line="240" w:lineRule="auto"/>
              <w:ind w:firstLine="0" w:firstLineChars="0"/>
              <w:jc w:val="center"/>
              <w:rPr>
                <w:rFonts w:hint="default" w:eastAsia="宋体"/>
                <w:color w:val="000000"/>
                <w:sz w:val="21"/>
                <w:szCs w:val="21"/>
                <w:lang w:val="en-US" w:eastAsia="zh-CN"/>
              </w:rPr>
            </w:pPr>
            <w:r>
              <w:rPr>
                <w:rFonts w:hint="eastAsia"/>
                <w:color w:val="000000"/>
                <w:sz w:val="21"/>
                <w:szCs w:val="21"/>
                <w:lang w:val="en-US" w:eastAsia="zh-CN"/>
              </w:rPr>
              <w:t>2400</w:t>
            </w:r>
          </w:p>
        </w:tc>
        <w:tc>
          <w:tcPr>
            <w:tcW w:w="387" w:type="pct"/>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连续</w:t>
            </w:r>
          </w:p>
        </w:tc>
        <w:tc>
          <w:tcPr>
            <w:tcW w:w="49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396" w:type="pct"/>
            <w:vAlign w:val="center"/>
          </w:tcPr>
          <w:p>
            <w:pPr>
              <w:adjustRightInd w:val="0"/>
              <w:snapToGrid w:val="0"/>
              <w:spacing w:line="360" w:lineRule="exact"/>
              <w:ind w:firstLine="0" w:firstLineChars="0"/>
              <w:jc w:val="center"/>
              <w:rPr>
                <w:rFonts w:cs="Times New Roman"/>
                <w:sz w:val="21"/>
                <w:szCs w:val="21"/>
              </w:rPr>
            </w:pPr>
            <w:r>
              <w:rPr>
                <w:rFonts w:hint="default" w:cs="Times New Roman"/>
                <w:kern w:val="0"/>
                <w:sz w:val="21"/>
                <w:szCs w:val="21"/>
                <w:lang w:val="en-US" w:eastAsia="zh-CN"/>
              </w:rPr>
              <w:t>0.000</w:t>
            </w:r>
            <w:r>
              <w:rPr>
                <w:rFonts w:hint="eastAsia" w:cs="Times New Roman"/>
                <w:kern w:val="0"/>
                <w:sz w:val="21"/>
                <w:szCs w:val="21"/>
                <w:lang w:val="en-US" w:eastAsia="zh-CN"/>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1" w:type="pct"/>
            <w:vMerge w:val="continue"/>
            <w:vAlign w:val="center"/>
          </w:tcPr>
          <w:p>
            <w:pPr>
              <w:adjustRightInd w:val="0"/>
              <w:snapToGrid w:val="0"/>
              <w:spacing w:line="240" w:lineRule="auto"/>
              <w:ind w:firstLine="0" w:firstLineChars="0"/>
              <w:jc w:val="center"/>
              <w:rPr>
                <w:color w:val="000000"/>
                <w:sz w:val="21"/>
                <w:szCs w:val="21"/>
              </w:rPr>
            </w:pPr>
          </w:p>
        </w:tc>
        <w:tc>
          <w:tcPr>
            <w:tcW w:w="45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22"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30" w:type="pct"/>
            <w:vMerge w:val="continue"/>
            <w:vAlign w:val="center"/>
          </w:tcPr>
          <w:p>
            <w:pPr>
              <w:widowControl/>
              <w:adjustRightInd w:val="0"/>
              <w:snapToGrid w:val="0"/>
              <w:spacing w:line="360" w:lineRule="exact"/>
              <w:ind w:firstLine="0" w:firstLineChars="0"/>
              <w:jc w:val="center"/>
              <w:rPr>
                <w:color w:val="000000"/>
                <w:sz w:val="21"/>
                <w:szCs w:val="21"/>
              </w:rPr>
            </w:pPr>
          </w:p>
        </w:tc>
        <w:tc>
          <w:tcPr>
            <w:tcW w:w="324" w:type="pct"/>
            <w:vMerge w:val="continue"/>
            <w:vAlign w:val="center"/>
          </w:tcPr>
          <w:p>
            <w:pPr>
              <w:widowControl/>
              <w:adjustRightInd w:val="0"/>
              <w:snapToGrid w:val="0"/>
              <w:spacing w:line="360" w:lineRule="exact"/>
              <w:ind w:firstLine="0" w:firstLineChars="0"/>
              <w:jc w:val="center"/>
              <w:rPr>
                <w:color w:val="000000"/>
                <w:sz w:val="21"/>
                <w:szCs w:val="21"/>
              </w:rPr>
            </w:pPr>
          </w:p>
        </w:tc>
        <w:tc>
          <w:tcPr>
            <w:tcW w:w="390" w:type="pct"/>
            <w:vMerge w:val="continue"/>
            <w:vAlign w:val="center"/>
          </w:tcPr>
          <w:p>
            <w:pPr>
              <w:widowControl/>
              <w:spacing w:line="240" w:lineRule="auto"/>
              <w:ind w:firstLine="0" w:firstLineChars="0"/>
              <w:jc w:val="center"/>
              <w:rPr>
                <w:color w:val="000000"/>
                <w:sz w:val="21"/>
                <w:szCs w:val="21"/>
              </w:rPr>
            </w:pPr>
          </w:p>
        </w:tc>
        <w:tc>
          <w:tcPr>
            <w:tcW w:w="453" w:type="pct"/>
            <w:vMerge w:val="continue"/>
            <w:vAlign w:val="center"/>
          </w:tcPr>
          <w:p>
            <w:pPr>
              <w:widowControl/>
              <w:adjustRightInd w:val="0"/>
              <w:snapToGrid w:val="0"/>
              <w:spacing w:line="240" w:lineRule="auto"/>
              <w:ind w:firstLine="0" w:firstLineChars="0"/>
              <w:jc w:val="center"/>
              <w:rPr>
                <w:color w:val="000000"/>
                <w:sz w:val="21"/>
                <w:szCs w:val="21"/>
              </w:rPr>
            </w:pPr>
          </w:p>
        </w:tc>
        <w:tc>
          <w:tcPr>
            <w:tcW w:w="368"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widowControl/>
              <w:spacing w:line="240" w:lineRule="auto"/>
              <w:ind w:firstLine="0" w:firstLineChars="0"/>
              <w:jc w:val="center"/>
              <w:rPr>
                <w:color w:val="000000"/>
                <w:sz w:val="21"/>
                <w:szCs w:val="21"/>
              </w:rPr>
            </w:pPr>
          </w:p>
        </w:tc>
        <w:tc>
          <w:tcPr>
            <w:tcW w:w="490" w:type="pct"/>
            <w:vAlign w:val="center"/>
          </w:tcPr>
          <w:p>
            <w:pPr>
              <w:adjustRightInd w:val="0"/>
              <w:snapToGrid w:val="0"/>
              <w:spacing w:line="360" w:lineRule="exact"/>
              <w:ind w:firstLine="0" w:firstLineChars="0"/>
              <w:jc w:val="center"/>
              <w:rPr>
                <w:color w:val="000000"/>
                <w:sz w:val="21"/>
                <w:szCs w:val="21"/>
              </w:rPr>
            </w:pPr>
            <w:r>
              <w:rPr>
                <w:rFonts w:hint="eastAsia" w:cs="Times New Roman"/>
                <w:snapToGrid w:val="0"/>
                <w:kern w:val="18"/>
                <w:sz w:val="21"/>
                <w:szCs w:val="21"/>
              </w:rPr>
              <w:t>非甲烷总烃</w:t>
            </w:r>
          </w:p>
        </w:tc>
        <w:tc>
          <w:tcPr>
            <w:tcW w:w="396" w:type="pct"/>
            <w:vAlign w:val="center"/>
          </w:tcPr>
          <w:p>
            <w:pPr>
              <w:adjustRightInd w:val="0"/>
              <w:snapToGrid w:val="0"/>
              <w:spacing w:line="360" w:lineRule="exact"/>
              <w:ind w:firstLine="0" w:firstLineChars="0"/>
              <w:jc w:val="center"/>
              <w:rPr>
                <w:color w:val="000000"/>
                <w:sz w:val="21"/>
                <w:szCs w:val="21"/>
              </w:rPr>
            </w:pPr>
            <w:r>
              <w:rPr>
                <w:rFonts w:hint="default" w:cs="Times New Roman"/>
                <w:kern w:val="0"/>
                <w:sz w:val="21"/>
                <w:szCs w:val="21"/>
                <w:lang w:val="en-US" w:eastAsia="zh-CN"/>
              </w:rPr>
              <w:t>0.0</w:t>
            </w:r>
            <w:r>
              <w:rPr>
                <w:rFonts w:hint="eastAsia" w:cs="Times New Roman"/>
                <w:kern w:val="0"/>
                <w:sz w:val="21"/>
                <w:szCs w:val="21"/>
                <w:lang w:val="en-US" w:eastAsia="zh-CN"/>
              </w:rPr>
              <w:t>336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w:t>
            </w:r>
          </w:p>
        </w:tc>
        <w:tc>
          <w:tcPr>
            <w:tcW w:w="38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3#车间</w:t>
            </w:r>
          </w:p>
        </w:tc>
        <w:tc>
          <w:tcPr>
            <w:tcW w:w="45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113.264209</w:t>
            </w:r>
          </w:p>
        </w:tc>
        <w:tc>
          <w:tcPr>
            <w:tcW w:w="422"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33.404854</w:t>
            </w:r>
          </w:p>
        </w:tc>
        <w:tc>
          <w:tcPr>
            <w:tcW w:w="387"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80</w:t>
            </w:r>
          </w:p>
        </w:tc>
        <w:tc>
          <w:tcPr>
            <w:tcW w:w="330"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70.16</w:t>
            </w:r>
          </w:p>
        </w:tc>
        <w:tc>
          <w:tcPr>
            <w:tcW w:w="324"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41.1</w:t>
            </w:r>
          </w:p>
        </w:tc>
        <w:tc>
          <w:tcPr>
            <w:tcW w:w="390"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0</w:t>
            </w:r>
          </w:p>
        </w:tc>
        <w:tc>
          <w:tcPr>
            <w:tcW w:w="453" w:type="pct"/>
            <w:vMerge w:val="restart"/>
            <w:vAlign w:val="center"/>
          </w:tcPr>
          <w:p>
            <w:pPr>
              <w:widowControl/>
              <w:adjustRightInd w:val="0"/>
              <w:snapToGrid w:val="0"/>
              <w:spacing w:line="240" w:lineRule="auto"/>
              <w:ind w:firstLine="0" w:firstLineChars="0"/>
              <w:jc w:val="center"/>
              <w:rPr>
                <w:color w:val="000000"/>
                <w:sz w:val="21"/>
                <w:szCs w:val="21"/>
              </w:rPr>
            </w:pPr>
            <w:r>
              <w:rPr>
                <w:rFonts w:hint="eastAsia" w:cs="Times New Roman"/>
                <w:kern w:val="0"/>
                <w:sz w:val="21"/>
                <w:szCs w:val="21"/>
              </w:rPr>
              <w:t>13.8</w:t>
            </w:r>
          </w:p>
        </w:tc>
        <w:tc>
          <w:tcPr>
            <w:tcW w:w="368" w:type="pct"/>
            <w:vMerge w:val="restart"/>
            <w:vAlign w:val="center"/>
          </w:tcPr>
          <w:p>
            <w:pPr>
              <w:pStyle w:val="25"/>
              <w:widowControl/>
              <w:spacing w:beforeAutospacing="0" w:afterAutospacing="0" w:line="240" w:lineRule="auto"/>
              <w:ind w:firstLine="0" w:firstLineChars="0"/>
              <w:jc w:val="center"/>
              <w:rPr>
                <w:rFonts w:hint="default" w:eastAsia="宋体"/>
                <w:color w:val="000000"/>
                <w:sz w:val="21"/>
                <w:szCs w:val="21"/>
                <w:lang w:val="en-US" w:eastAsia="zh-CN"/>
              </w:rPr>
            </w:pPr>
            <w:r>
              <w:rPr>
                <w:rFonts w:hint="eastAsia"/>
                <w:color w:val="000000"/>
                <w:sz w:val="21"/>
                <w:szCs w:val="21"/>
                <w:lang w:val="en-US" w:eastAsia="zh-CN"/>
              </w:rPr>
              <w:t>2400</w:t>
            </w:r>
          </w:p>
        </w:tc>
        <w:tc>
          <w:tcPr>
            <w:tcW w:w="387" w:type="pct"/>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连续</w:t>
            </w:r>
          </w:p>
        </w:tc>
        <w:tc>
          <w:tcPr>
            <w:tcW w:w="49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396" w:type="pct"/>
            <w:vAlign w:val="center"/>
          </w:tcPr>
          <w:p>
            <w:pPr>
              <w:adjustRightInd w:val="0"/>
              <w:snapToGrid w:val="0"/>
              <w:spacing w:line="360" w:lineRule="exact"/>
              <w:ind w:firstLine="0" w:firstLineChars="0"/>
              <w:jc w:val="center"/>
              <w:rPr>
                <w:rFonts w:cs="Times New Roman"/>
                <w:sz w:val="21"/>
                <w:szCs w:val="21"/>
              </w:rPr>
            </w:pPr>
            <w:r>
              <w:rPr>
                <w:rFonts w:hint="eastAsia" w:cs="Times New Roman"/>
                <w:kern w:val="0"/>
                <w:sz w:val="21"/>
                <w:szCs w:val="21"/>
                <w:lang w:val="en-US" w:eastAsia="zh-CN"/>
              </w:rPr>
              <w:t>0.0244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5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22"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30"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24"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90" w:type="pct"/>
            <w:vMerge w:val="continue"/>
            <w:vAlign w:val="center"/>
          </w:tcPr>
          <w:p>
            <w:pPr>
              <w:widowControl/>
              <w:spacing w:line="240" w:lineRule="auto"/>
              <w:ind w:firstLine="0" w:firstLineChars="0"/>
              <w:jc w:val="center"/>
              <w:rPr>
                <w:color w:val="000000"/>
                <w:sz w:val="21"/>
                <w:szCs w:val="21"/>
              </w:rPr>
            </w:pPr>
          </w:p>
        </w:tc>
        <w:tc>
          <w:tcPr>
            <w:tcW w:w="453" w:type="pct"/>
            <w:vMerge w:val="continue"/>
            <w:vAlign w:val="center"/>
          </w:tcPr>
          <w:p>
            <w:pPr>
              <w:widowControl/>
              <w:spacing w:line="240" w:lineRule="auto"/>
              <w:ind w:firstLine="0" w:firstLineChars="0"/>
              <w:jc w:val="center"/>
              <w:rPr>
                <w:color w:val="000000"/>
                <w:sz w:val="21"/>
                <w:szCs w:val="21"/>
              </w:rPr>
            </w:pPr>
          </w:p>
        </w:tc>
        <w:tc>
          <w:tcPr>
            <w:tcW w:w="368"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widowControl/>
              <w:spacing w:line="240" w:lineRule="auto"/>
              <w:ind w:firstLine="0" w:firstLineChars="0"/>
              <w:jc w:val="center"/>
              <w:rPr>
                <w:color w:val="000000"/>
                <w:sz w:val="21"/>
                <w:szCs w:val="21"/>
              </w:rPr>
            </w:pPr>
          </w:p>
        </w:tc>
        <w:tc>
          <w:tcPr>
            <w:tcW w:w="49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3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5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22"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30"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24"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90" w:type="pct"/>
            <w:vMerge w:val="continue"/>
            <w:vAlign w:val="center"/>
          </w:tcPr>
          <w:p>
            <w:pPr>
              <w:widowControl/>
              <w:spacing w:line="240" w:lineRule="auto"/>
              <w:ind w:firstLine="0" w:firstLineChars="0"/>
              <w:jc w:val="center"/>
              <w:rPr>
                <w:color w:val="000000"/>
                <w:sz w:val="21"/>
                <w:szCs w:val="21"/>
              </w:rPr>
            </w:pPr>
          </w:p>
        </w:tc>
        <w:tc>
          <w:tcPr>
            <w:tcW w:w="453" w:type="pct"/>
            <w:vMerge w:val="continue"/>
            <w:vAlign w:val="center"/>
          </w:tcPr>
          <w:p>
            <w:pPr>
              <w:widowControl/>
              <w:spacing w:line="240" w:lineRule="auto"/>
              <w:ind w:firstLine="0" w:firstLineChars="0"/>
              <w:jc w:val="center"/>
              <w:rPr>
                <w:color w:val="000000"/>
                <w:sz w:val="21"/>
                <w:szCs w:val="21"/>
              </w:rPr>
            </w:pPr>
          </w:p>
        </w:tc>
        <w:tc>
          <w:tcPr>
            <w:tcW w:w="368"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widowControl/>
              <w:spacing w:line="240" w:lineRule="auto"/>
              <w:ind w:firstLine="0" w:firstLineChars="0"/>
              <w:jc w:val="center"/>
              <w:rPr>
                <w:color w:val="000000"/>
                <w:sz w:val="21"/>
                <w:szCs w:val="21"/>
              </w:rPr>
            </w:pPr>
          </w:p>
        </w:tc>
        <w:tc>
          <w:tcPr>
            <w:tcW w:w="49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硫化氢</w:t>
            </w:r>
          </w:p>
        </w:tc>
        <w:tc>
          <w:tcPr>
            <w:tcW w:w="3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4</w:t>
            </w:r>
          </w:p>
        </w:tc>
        <w:tc>
          <w:tcPr>
            <w:tcW w:w="38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5#车间</w:t>
            </w:r>
          </w:p>
        </w:tc>
        <w:tc>
          <w:tcPr>
            <w:tcW w:w="45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113.264268</w:t>
            </w:r>
          </w:p>
        </w:tc>
        <w:tc>
          <w:tcPr>
            <w:tcW w:w="422"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33.404700</w:t>
            </w:r>
          </w:p>
        </w:tc>
        <w:tc>
          <w:tcPr>
            <w:tcW w:w="387"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80</w:t>
            </w:r>
          </w:p>
        </w:tc>
        <w:tc>
          <w:tcPr>
            <w:tcW w:w="330"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70.22</w:t>
            </w:r>
          </w:p>
        </w:tc>
        <w:tc>
          <w:tcPr>
            <w:tcW w:w="324"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26.1</w:t>
            </w:r>
          </w:p>
        </w:tc>
        <w:tc>
          <w:tcPr>
            <w:tcW w:w="390" w:type="pct"/>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0</w:t>
            </w:r>
          </w:p>
        </w:tc>
        <w:tc>
          <w:tcPr>
            <w:tcW w:w="453" w:type="pct"/>
            <w:vMerge w:val="restart"/>
            <w:vAlign w:val="center"/>
          </w:tcPr>
          <w:p>
            <w:pPr>
              <w:widowControl/>
              <w:adjustRightInd w:val="0"/>
              <w:snapToGrid w:val="0"/>
              <w:spacing w:line="240" w:lineRule="auto"/>
              <w:ind w:firstLine="0" w:firstLineChars="0"/>
              <w:jc w:val="center"/>
              <w:rPr>
                <w:color w:val="000000"/>
                <w:sz w:val="21"/>
                <w:szCs w:val="21"/>
              </w:rPr>
            </w:pPr>
            <w:r>
              <w:rPr>
                <w:rFonts w:hint="eastAsia" w:cs="Times New Roman"/>
                <w:kern w:val="0"/>
                <w:sz w:val="21"/>
                <w:szCs w:val="21"/>
              </w:rPr>
              <w:t>13.8</w:t>
            </w:r>
          </w:p>
        </w:tc>
        <w:tc>
          <w:tcPr>
            <w:tcW w:w="368" w:type="pct"/>
            <w:vMerge w:val="restart"/>
            <w:vAlign w:val="center"/>
          </w:tcPr>
          <w:p>
            <w:pPr>
              <w:pStyle w:val="25"/>
              <w:widowControl/>
              <w:spacing w:beforeAutospacing="0" w:afterAutospacing="0" w:line="240" w:lineRule="auto"/>
              <w:ind w:firstLine="0" w:firstLineChars="0"/>
              <w:jc w:val="center"/>
              <w:rPr>
                <w:rFonts w:hint="default" w:eastAsia="宋体"/>
                <w:color w:val="000000"/>
                <w:sz w:val="21"/>
                <w:szCs w:val="21"/>
                <w:lang w:val="en-US" w:eastAsia="zh-CN"/>
              </w:rPr>
            </w:pPr>
            <w:r>
              <w:rPr>
                <w:rFonts w:hint="eastAsia"/>
                <w:color w:val="000000"/>
                <w:sz w:val="21"/>
                <w:szCs w:val="21"/>
                <w:lang w:val="en-US" w:eastAsia="zh-CN"/>
              </w:rPr>
              <w:t>3568</w:t>
            </w:r>
          </w:p>
        </w:tc>
        <w:tc>
          <w:tcPr>
            <w:tcW w:w="387" w:type="pct"/>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连续</w:t>
            </w:r>
          </w:p>
        </w:tc>
        <w:tc>
          <w:tcPr>
            <w:tcW w:w="49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3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5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22"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30"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24"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90" w:type="pct"/>
            <w:vMerge w:val="continue"/>
            <w:vAlign w:val="center"/>
          </w:tcPr>
          <w:p>
            <w:pPr>
              <w:widowControl/>
              <w:spacing w:line="240" w:lineRule="auto"/>
              <w:ind w:firstLine="0" w:firstLineChars="0"/>
              <w:jc w:val="center"/>
              <w:rPr>
                <w:color w:val="000000"/>
                <w:sz w:val="21"/>
                <w:szCs w:val="21"/>
              </w:rPr>
            </w:pPr>
          </w:p>
        </w:tc>
        <w:tc>
          <w:tcPr>
            <w:tcW w:w="453" w:type="pct"/>
            <w:vMerge w:val="continue"/>
            <w:vAlign w:val="center"/>
          </w:tcPr>
          <w:p>
            <w:pPr>
              <w:widowControl/>
              <w:spacing w:line="240" w:lineRule="auto"/>
              <w:ind w:firstLine="0" w:firstLineChars="0"/>
              <w:jc w:val="center"/>
              <w:rPr>
                <w:color w:val="000000"/>
                <w:sz w:val="21"/>
                <w:szCs w:val="21"/>
              </w:rPr>
            </w:pPr>
          </w:p>
        </w:tc>
        <w:tc>
          <w:tcPr>
            <w:tcW w:w="368"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widowControl/>
              <w:spacing w:line="240" w:lineRule="auto"/>
              <w:ind w:firstLine="0" w:firstLineChars="0"/>
              <w:jc w:val="center"/>
              <w:rPr>
                <w:color w:val="000000"/>
                <w:sz w:val="21"/>
                <w:szCs w:val="21"/>
              </w:rPr>
            </w:pPr>
          </w:p>
        </w:tc>
        <w:tc>
          <w:tcPr>
            <w:tcW w:w="49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3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0.1292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5</w:t>
            </w:r>
          </w:p>
        </w:tc>
        <w:tc>
          <w:tcPr>
            <w:tcW w:w="38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6#车间</w:t>
            </w:r>
          </w:p>
        </w:tc>
        <w:tc>
          <w:tcPr>
            <w:tcW w:w="45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113.264470</w:t>
            </w:r>
          </w:p>
        </w:tc>
        <w:tc>
          <w:tcPr>
            <w:tcW w:w="422"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33.404657</w:t>
            </w:r>
          </w:p>
        </w:tc>
        <w:tc>
          <w:tcPr>
            <w:tcW w:w="387"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81</w:t>
            </w:r>
          </w:p>
        </w:tc>
        <w:tc>
          <w:tcPr>
            <w:tcW w:w="330"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70.22</w:t>
            </w:r>
          </w:p>
        </w:tc>
        <w:tc>
          <w:tcPr>
            <w:tcW w:w="324"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26.1</w:t>
            </w:r>
          </w:p>
        </w:tc>
        <w:tc>
          <w:tcPr>
            <w:tcW w:w="390"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0</w:t>
            </w:r>
          </w:p>
        </w:tc>
        <w:tc>
          <w:tcPr>
            <w:tcW w:w="453" w:type="pct"/>
            <w:vMerge w:val="restart"/>
            <w:vAlign w:val="center"/>
          </w:tcPr>
          <w:p>
            <w:pPr>
              <w:widowControl/>
              <w:adjustRightInd w:val="0"/>
              <w:snapToGrid w:val="0"/>
              <w:spacing w:line="240" w:lineRule="auto"/>
              <w:ind w:firstLine="0" w:firstLineChars="0"/>
              <w:jc w:val="center"/>
              <w:rPr>
                <w:color w:val="000000"/>
                <w:sz w:val="21"/>
                <w:szCs w:val="21"/>
              </w:rPr>
            </w:pPr>
            <w:r>
              <w:rPr>
                <w:rFonts w:hint="eastAsia" w:cs="Times New Roman"/>
                <w:kern w:val="0"/>
                <w:sz w:val="21"/>
                <w:szCs w:val="21"/>
              </w:rPr>
              <w:t>13.8</w:t>
            </w:r>
          </w:p>
        </w:tc>
        <w:tc>
          <w:tcPr>
            <w:tcW w:w="368"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7200</w:t>
            </w:r>
          </w:p>
        </w:tc>
        <w:tc>
          <w:tcPr>
            <w:tcW w:w="387" w:type="pct"/>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连续</w:t>
            </w:r>
          </w:p>
        </w:tc>
        <w:tc>
          <w:tcPr>
            <w:tcW w:w="49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颗粒物</w:t>
            </w:r>
          </w:p>
        </w:tc>
        <w:tc>
          <w:tcPr>
            <w:tcW w:w="396" w:type="pct"/>
            <w:vAlign w:val="center"/>
          </w:tcPr>
          <w:p>
            <w:pPr>
              <w:adjustRightInd w:val="0"/>
              <w:snapToGrid w:val="0"/>
              <w:spacing w:line="360" w:lineRule="exact"/>
              <w:ind w:firstLine="0" w:firstLineChars="0"/>
              <w:jc w:val="center"/>
              <w:rPr>
                <w:rFonts w:cs="Times New Roman"/>
                <w:kern w:val="0"/>
                <w:sz w:val="21"/>
                <w:szCs w:val="21"/>
              </w:rPr>
            </w:pPr>
            <w:r>
              <w:rPr>
                <w:rFonts w:hint="eastAsia" w:cs="Times New Roman"/>
                <w:kern w:val="0"/>
                <w:sz w:val="21"/>
                <w:szCs w:val="21"/>
                <w:lang w:val="en-US" w:eastAsia="zh-CN"/>
              </w:rPr>
              <w:t>0.00023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5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22"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30"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24"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90" w:type="pct"/>
            <w:vMerge w:val="continue"/>
            <w:vAlign w:val="center"/>
          </w:tcPr>
          <w:p>
            <w:pPr>
              <w:widowControl/>
              <w:spacing w:line="240" w:lineRule="auto"/>
              <w:ind w:firstLine="0" w:firstLineChars="0"/>
              <w:jc w:val="center"/>
              <w:rPr>
                <w:color w:val="000000"/>
                <w:sz w:val="21"/>
                <w:szCs w:val="21"/>
              </w:rPr>
            </w:pPr>
          </w:p>
        </w:tc>
        <w:tc>
          <w:tcPr>
            <w:tcW w:w="453" w:type="pct"/>
            <w:vMerge w:val="continue"/>
            <w:vAlign w:val="center"/>
          </w:tcPr>
          <w:p>
            <w:pPr>
              <w:widowControl/>
              <w:spacing w:line="240" w:lineRule="auto"/>
              <w:ind w:firstLine="0" w:firstLineChars="0"/>
              <w:jc w:val="center"/>
              <w:rPr>
                <w:color w:val="000000"/>
                <w:sz w:val="21"/>
                <w:szCs w:val="21"/>
              </w:rPr>
            </w:pPr>
          </w:p>
        </w:tc>
        <w:tc>
          <w:tcPr>
            <w:tcW w:w="368"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widowControl/>
              <w:spacing w:line="240" w:lineRule="auto"/>
              <w:ind w:firstLine="0" w:firstLineChars="0"/>
              <w:jc w:val="center"/>
              <w:rPr>
                <w:color w:val="000000"/>
                <w:sz w:val="21"/>
                <w:szCs w:val="21"/>
              </w:rPr>
            </w:pPr>
          </w:p>
        </w:tc>
        <w:tc>
          <w:tcPr>
            <w:tcW w:w="490" w:type="pct"/>
            <w:vAlign w:val="center"/>
          </w:tcPr>
          <w:p>
            <w:pPr>
              <w:adjustRightInd w:val="0"/>
              <w:snapToGrid w:val="0"/>
              <w:spacing w:line="360" w:lineRule="exact"/>
              <w:ind w:firstLine="0" w:firstLineChars="0"/>
              <w:jc w:val="center"/>
              <w:rPr>
                <w:rFonts w:cs="Times New Roman"/>
                <w:snapToGrid w:val="0"/>
                <w:kern w:val="18"/>
                <w:sz w:val="21"/>
                <w:szCs w:val="21"/>
              </w:rPr>
            </w:pPr>
            <w:r>
              <w:rPr>
                <w:rFonts w:hint="eastAsia" w:cs="Times New Roman"/>
                <w:snapToGrid w:val="0"/>
                <w:kern w:val="18"/>
                <w:sz w:val="21"/>
                <w:szCs w:val="21"/>
              </w:rPr>
              <w:t>非甲烷总烃</w:t>
            </w:r>
          </w:p>
        </w:tc>
        <w:tc>
          <w:tcPr>
            <w:tcW w:w="396" w:type="pct"/>
            <w:vAlign w:val="center"/>
          </w:tcPr>
          <w:p>
            <w:pPr>
              <w:adjustRightInd w:val="0"/>
              <w:snapToGrid w:val="0"/>
              <w:spacing w:line="360" w:lineRule="exact"/>
              <w:ind w:firstLine="0" w:firstLineChars="0"/>
              <w:jc w:val="center"/>
              <w:rPr>
                <w:rFonts w:hint="default" w:eastAsia="宋体" w:cs="Times New Roman"/>
                <w:kern w:val="0"/>
                <w:sz w:val="21"/>
                <w:szCs w:val="21"/>
                <w:lang w:val="en-US" w:eastAsia="zh-CN"/>
              </w:rPr>
            </w:pPr>
            <w:r>
              <w:rPr>
                <w:rFonts w:hint="eastAsia" w:cs="Times New Roman"/>
                <w:kern w:val="0"/>
                <w:sz w:val="21"/>
                <w:szCs w:val="21"/>
                <w:lang w:val="en-US" w:eastAsia="zh-CN"/>
              </w:rPr>
              <w:t>0.08988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w:t>
            </w:r>
          </w:p>
        </w:tc>
        <w:tc>
          <w:tcPr>
            <w:tcW w:w="381" w:type="pct"/>
            <w:vMerge w:val="restart"/>
            <w:vAlign w:val="center"/>
          </w:tcPr>
          <w:p>
            <w:pPr>
              <w:adjustRightInd w:val="0"/>
              <w:snapToGrid w:val="0"/>
              <w:spacing w:line="240" w:lineRule="auto"/>
              <w:ind w:firstLine="0" w:firstLineChars="0"/>
              <w:jc w:val="center"/>
              <w:rPr>
                <w:color w:val="000000"/>
                <w:sz w:val="21"/>
                <w:szCs w:val="21"/>
              </w:rPr>
            </w:pPr>
            <w:r>
              <w:rPr>
                <w:rFonts w:cs="Times New Roman"/>
                <w:snapToGrid w:val="0"/>
                <w:kern w:val="18"/>
                <w:sz w:val="21"/>
                <w:szCs w:val="21"/>
              </w:rPr>
              <w:t>污水处理站</w:t>
            </w:r>
          </w:p>
        </w:tc>
        <w:tc>
          <w:tcPr>
            <w:tcW w:w="451"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113.264454</w:t>
            </w:r>
          </w:p>
        </w:tc>
        <w:tc>
          <w:tcPr>
            <w:tcW w:w="422"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33.404748</w:t>
            </w:r>
          </w:p>
        </w:tc>
        <w:tc>
          <w:tcPr>
            <w:tcW w:w="387"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78.852</w:t>
            </w:r>
          </w:p>
        </w:tc>
        <w:tc>
          <w:tcPr>
            <w:tcW w:w="330" w:type="pct"/>
            <w:vMerge w:val="restart"/>
            <w:vAlign w:val="center"/>
          </w:tcPr>
          <w:p>
            <w:pPr>
              <w:widowControl/>
              <w:adjustRightInd w:val="0"/>
              <w:snapToGrid w:val="0"/>
              <w:spacing w:line="360" w:lineRule="exact"/>
              <w:ind w:firstLine="0" w:firstLineChars="0"/>
              <w:jc w:val="center"/>
              <w:rPr>
                <w:color w:val="000000"/>
                <w:sz w:val="21"/>
                <w:szCs w:val="21"/>
              </w:rPr>
            </w:pPr>
            <w:r>
              <w:rPr>
                <w:rFonts w:hint="eastAsia" w:cs="Times New Roman"/>
                <w:sz w:val="21"/>
                <w:szCs w:val="21"/>
              </w:rPr>
              <w:t>25</w:t>
            </w:r>
          </w:p>
        </w:tc>
        <w:tc>
          <w:tcPr>
            <w:tcW w:w="324" w:type="pct"/>
            <w:vMerge w:val="restart"/>
            <w:vAlign w:val="center"/>
          </w:tcPr>
          <w:p>
            <w:pPr>
              <w:widowControl/>
              <w:adjustRightInd w:val="0"/>
              <w:snapToGrid w:val="0"/>
              <w:spacing w:line="360" w:lineRule="exact"/>
              <w:ind w:firstLine="0" w:firstLineChars="0"/>
              <w:jc w:val="center"/>
              <w:rPr>
                <w:color w:val="000000"/>
                <w:sz w:val="21"/>
                <w:szCs w:val="21"/>
              </w:rPr>
            </w:pPr>
            <w:r>
              <w:rPr>
                <w:rFonts w:hint="eastAsia" w:cs="Times New Roman"/>
                <w:sz w:val="21"/>
                <w:szCs w:val="21"/>
              </w:rPr>
              <w:t>15</w:t>
            </w:r>
          </w:p>
        </w:tc>
        <w:tc>
          <w:tcPr>
            <w:tcW w:w="390" w:type="pct"/>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0</w:t>
            </w:r>
          </w:p>
        </w:tc>
        <w:tc>
          <w:tcPr>
            <w:tcW w:w="453" w:type="pct"/>
            <w:vMerge w:val="restart"/>
            <w:vAlign w:val="center"/>
          </w:tcPr>
          <w:p>
            <w:pPr>
              <w:widowControl/>
              <w:adjustRightInd w:val="0"/>
              <w:snapToGrid w:val="0"/>
              <w:spacing w:line="240" w:lineRule="auto"/>
              <w:ind w:firstLine="0" w:firstLineChars="0"/>
              <w:jc w:val="center"/>
              <w:rPr>
                <w:color w:val="000000"/>
                <w:sz w:val="21"/>
                <w:szCs w:val="21"/>
              </w:rPr>
            </w:pPr>
            <w:r>
              <w:rPr>
                <w:rFonts w:hint="eastAsia" w:cs="Times New Roman"/>
                <w:sz w:val="21"/>
                <w:szCs w:val="21"/>
              </w:rPr>
              <w:t>3.5</w:t>
            </w:r>
          </w:p>
        </w:tc>
        <w:tc>
          <w:tcPr>
            <w:tcW w:w="368" w:type="pct"/>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7200</w:t>
            </w:r>
          </w:p>
        </w:tc>
        <w:tc>
          <w:tcPr>
            <w:tcW w:w="387" w:type="pct"/>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连续</w:t>
            </w:r>
          </w:p>
        </w:tc>
        <w:tc>
          <w:tcPr>
            <w:tcW w:w="490" w:type="pct"/>
            <w:vAlign w:val="center"/>
          </w:tcPr>
          <w:p>
            <w:pPr>
              <w:adjustRightInd w:val="0"/>
              <w:snapToGrid w:val="0"/>
              <w:spacing w:line="360" w:lineRule="exact"/>
              <w:ind w:firstLine="0" w:firstLineChars="0"/>
              <w:jc w:val="center"/>
              <w:rPr>
                <w:sz w:val="21"/>
                <w:szCs w:val="21"/>
              </w:rPr>
            </w:pPr>
            <w:r>
              <w:rPr>
                <w:rFonts w:hint="eastAsia" w:cs="Times New Roman"/>
                <w:snapToGrid w:val="0"/>
                <w:kern w:val="18"/>
                <w:sz w:val="21"/>
                <w:szCs w:val="21"/>
              </w:rPr>
              <w:t>硫化氢</w:t>
            </w:r>
          </w:p>
        </w:tc>
        <w:tc>
          <w:tcPr>
            <w:tcW w:w="396" w:type="pct"/>
            <w:vAlign w:val="center"/>
          </w:tcPr>
          <w:p>
            <w:pPr>
              <w:adjustRightInd w:val="0"/>
              <w:snapToGrid w:val="0"/>
              <w:spacing w:line="360" w:lineRule="exact"/>
              <w:ind w:firstLine="0" w:firstLineChars="0"/>
              <w:jc w:val="center"/>
              <w:rPr>
                <w:sz w:val="21"/>
                <w:szCs w:val="21"/>
              </w:rPr>
            </w:pPr>
            <w:r>
              <w:rPr>
                <w:rFonts w:hint="eastAsia" w:cs="Times New Roman"/>
                <w:kern w:val="0"/>
                <w:sz w:val="21"/>
                <w:szCs w:val="21"/>
              </w:rPr>
              <w:t>0.1117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216"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51"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422"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30"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24"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90" w:type="pct"/>
            <w:vMerge w:val="continue"/>
            <w:vAlign w:val="center"/>
          </w:tcPr>
          <w:p>
            <w:pPr>
              <w:widowControl/>
              <w:spacing w:line="240" w:lineRule="auto"/>
              <w:ind w:firstLine="0" w:firstLineChars="0"/>
              <w:jc w:val="center"/>
              <w:rPr>
                <w:color w:val="000000"/>
                <w:sz w:val="21"/>
                <w:szCs w:val="21"/>
              </w:rPr>
            </w:pPr>
          </w:p>
        </w:tc>
        <w:tc>
          <w:tcPr>
            <w:tcW w:w="453" w:type="pct"/>
            <w:vMerge w:val="continue"/>
            <w:vAlign w:val="center"/>
          </w:tcPr>
          <w:p>
            <w:pPr>
              <w:widowControl/>
              <w:spacing w:line="240" w:lineRule="auto"/>
              <w:ind w:firstLine="0" w:firstLineChars="0"/>
              <w:jc w:val="center"/>
              <w:rPr>
                <w:color w:val="000000"/>
                <w:sz w:val="21"/>
                <w:szCs w:val="21"/>
              </w:rPr>
            </w:pPr>
          </w:p>
        </w:tc>
        <w:tc>
          <w:tcPr>
            <w:tcW w:w="368"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87" w:type="pct"/>
            <w:vMerge w:val="continue"/>
            <w:vAlign w:val="center"/>
          </w:tcPr>
          <w:p>
            <w:pPr>
              <w:widowControl/>
              <w:spacing w:line="240" w:lineRule="auto"/>
              <w:ind w:firstLine="0" w:firstLineChars="0"/>
              <w:jc w:val="center"/>
              <w:rPr>
                <w:color w:val="000000"/>
                <w:sz w:val="21"/>
                <w:szCs w:val="21"/>
              </w:rPr>
            </w:pPr>
          </w:p>
        </w:tc>
        <w:tc>
          <w:tcPr>
            <w:tcW w:w="490" w:type="pct"/>
            <w:vAlign w:val="center"/>
          </w:tcPr>
          <w:p>
            <w:pPr>
              <w:adjustRightInd w:val="0"/>
              <w:snapToGrid w:val="0"/>
              <w:spacing w:line="360" w:lineRule="exact"/>
              <w:ind w:firstLine="0" w:firstLineChars="0"/>
              <w:jc w:val="center"/>
              <w:rPr>
                <w:sz w:val="21"/>
                <w:szCs w:val="21"/>
              </w:rPr>
            </w:pPr>
            <w:r>
              <w:rPr>
                <w:rFonts w:hint="eastAsia" w:cs="Times New Roman"/>
                <w:snapToGrid w:val="0"/>
                <w:kern w:val="18"/>
                <w:sz w:val="21"/>
                <w:szCs w:val="21"/>
              </w:rPr>
              <w:t>氨</w:t>
            </w:r>
          </w:p>
        </w:tc>
        <w:tc>
          <w:tcPr>
            <w:tcW w:w="396" w:type="pct"/>
            <w:vAlign w:val="center"/>
          </w:tcPr>
          <w:p>
            <w:pPr>
              <w:adjustRightInd w:val="0"/>
              <w:snapToGrid w:val="0"/>
              <w:spacing w:line="360" w:lineRule="exact"/>
              <w:ind w:firstLine="0" w:firstLineChars="0"/>
              <w:jc w:val="center"/>
              <w:rPr>
                <w:sz w:val="21"/>
                <w:szCs w:val="21"/>
              </w:rPr>
            </w:pPr>
            <w:r>
              <w:rPr>
                <w:rFonts w:hint="eastAsia" w:cs="Times New Roman"/>
                <w:kern w:val="0"/>
                <w:sz w:val="21"/>
                <w:szCs w:val="21"/>
              </w:rPr>
              <w:t>0.0279</w:t>
            </w:r>
          </w:p>
        </w:tc>
      </w:tr>
    </w:tbl>
    <w:p>
      <w:pPr>
        <w:pStyle w:val="25"/>
        <w:widowControl/>
        <w:spacing w:beforeAutospacing="0" w:afterAutospacing="0"/>
        <w:ind w:firstLine="482"/>
        <w:jc w:val="center"/>
        <w:rPr>
          <w:rFonts w:cs="宋体"/>
          <w:b/>
          <w:bCs/>
          <w:color w:val="000000"/>
          <w:lang w:bidi="ar"/>
        </w:rPr>
      </w:pPr>
      <w:r>
        <w:rPr>
          <w:rFonts w:hint="eastAsia" w:cs="宋体"/>
          <w:b/>
          <w:bCs/>
          <w:color w:val="000000"/>
          <w:lang w:bidi="ar"/>
        </w:rPr>
        <w:t>表</w:t>
      </w:r>
      <w:r>
        <w:rPr>
          <w:rFonts w:cs="宋体"/>
          <w:b/>
          <w:bCs/>
          <w:color w:val="000000"/>
          <w:lang w:bidi="ar"/>
        </w:rPr>
        <w:t>6.2-</w:t>
      </w:r>
      <w:r>
        <w:rPr>
          <w:rFonts w:hint="eastAsia" w:cs="宋体"/>
          <w:b/>
          <w:bCs/>
          <w:color w:val="000000"/>
          <w:lang w:bidi="ar"/>
        </w:rPr>
        <w:t>11</w:t>
      </w:r>
      <w:r>
        <w:rPr>
          <w:rFonts w:cs="宋体"/>
          <w:b/>
          <w:bCs/>
          <w:color w:val="000000"/>
          <w:lang w:bidi="ar"/>
        </w:rPr>
        <w:t xml:space="preserve"> </w:t>
      </w:r>
      <w:r>
        <w:rPr>
          <w:rFonts w:hint="eastAsia" w:cs="宋体"/>
          <w:b/>
          <w:bCs/>
          <w:color w:val="000000"/>
          <w:lang w:bidi="ar"/>
        </w:rPr>
        <w:t xml:space="preserve"> 非正常工况下有组织废气最大排放污染源强参数表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9"/>
        <w:gridCol w:w="1084"/>
        <w:gridCol w:w="1260"/>
        <w:gridCol w:w="1115"/>
        <w:gridCol w:w="1332"/>
        <w:gridCol w:w="900"/>
        <w:gridCol w:w="1105"/>
        <w:gridCol w:w="1040"/>
        <w:gridCol w:w="957"/>
        <w:gridCol w:w="1050"/>
        <w:gridCol w:w="834"/>
        <w:gridCol w:w="1378"/>
        <w:gridCol w:w="17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编号</w:t>
            </w:r>
          </w:p>
        </w:tc>
        <w:tc>
          <w:tcPr>
            <w:tcW w:w="108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名称</w:t>
            </w:r>
          </w:p>
        </w:tc>
        <w:tc>
          <w:tcPr>
            <w:tcW w:w="2375" w:type="dxa"/>
            <w:gridSpan w:val="2"/>
            <w:vAlign w:val="center"/>
          </w:tcPr>
          <w:p>
            <w:pPr>
              <w:widowControl/>
              <w:spacing w:line="240" w:lineRule="auto"/>
              <w:ind w:firstLine="0" w:firstLineChars="0"/>
              <w:jc w:val="center"/>
              <w:rPr>
                <w:sz w:val="21"/>
                <w:szCs w:val="21"/>
              </w:rPr>
            </w:pPr>
            <w:r>
              <w:rPr>
                <w:rFonts w:hint="eastAsia"/>
                <w:color w:val="000000"/>
                <w:sz w:val="21"/>
                <w:szCs w:val="21"/>
                <w:lang w:bidi="ar"/>
              </w:rPr>
              <w:t>排气筒底部中心</w:t>
            </w:r>
          </w:p>
          <w:p>
            <w:pPr>
              <w:widowControl/>
              <w:spacing w:line="240" w:lineRule="auto"/>
              <w:ind w:firstLine="0" w:firstLineChars="0"/>
              <w:jc w:val="center"/>
              <w:rPr>
                <w:color w:val="000000"/>
                <w:sz w:val="21"/>
                <w:szCs w:val="21"/>
                <w:lang w:bidi="ar"/>
              </w:rPr>
            </w:pPr>
            <w:r>
              <w:rPr>
                <w:rFonts w:hint="eastAsia"/>
                <w:color w:val="000000"/>
                <w:sz w:val="21"/>
                <w:szCs w:val="21"/>
                <w:lang w:bidi="ar"/>
              </w:rPr>
              <w:t>坐标</w:t>
            </w:r>
            <w:r>
              <w:rPr>
                <w:rFonts w:cs="TimesNewRomanPS-BoldMT"/>
                <w:color w:val="000000"/>
                <w:sz w:val="21"/>
                <w:szCs w:val="21"/>
                <w:lang w:bidi="ar"/>
              </w:rPr>
              <w:t>/</w:t>
            </w:r>
            <w:r>
              <w:rPr>
                <w:rFonts w:hint="eastAsia" w:cs="TimesNewRomanPS-BoldMT"/>
                <w:color w:val="000000"/>
                <w:sz w:val="21"/>
                <w:szCs w:val="21"/>
                <w:lang w:bidi="ar"/>
              </w:rPr>
              <w:t>°</w:t>
            </w:r>
          </w:p>
        </w:tc>
        <w:tc>
          <w:tcPr>
            <w:tcW w:w="1332"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排气筒底部海拔高度</w:t>
            </w:r>
            <w:r>
              <w:rPr>
                <w:rFonts w:cs="TimesNewRomanPS-BoldMT"/>
                <w:color w:val="000000"/>
                <w:sz w:val="21"/>
                <w:szCs w:val="21"/>
                <w:lang w:bidi="ar"/>
              </w:rPr>
              <w:t>/m</w:t>
            </w:r>
          </w:p>
        </w:tc>
        <w:tc>
          <w:tcPr>
            <w:tcW w:w="900"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排气筒高度</w:t>
            </w:r>
            <w:r>
              <w:rPr>
                <w:rFonts w:cs="TimesNewRomanPS-BoldMT"/>
                <w:color w:val="000000"/>
                <w:sz w:val="21"/>
                <w:szCs w:val="21"/>
                <w:lang w:bidi="ar"/>
              </w:rPr>
              <w:t>/m</w:t>
            </w:r>
          </w:p>
        </w:tc>
        <w:tc>
          <w:tcPr>
            <w:tcW w:w="1105"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排气筒出口内径</w:t>
            </w:r>
            <w:r>
              <w:rPr>
                <w:rFonts w:cs="TimesNewRomanPS-BoldMT"/>
                <w:color w:val="000000"/>
                <w:sz w:val="21"/>
                <w:szCs w:val="21"/>
                <w:lang w:bidi="ar"/>
              </w:rPr>
              <w:t>/m</w:t>
            </w:r>
          </w:p>
        </w:tc>
        <w:tc>
          <w:tcPr>
            <w:tcW w:w="1040"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烟气流速</w:t>
            </w:r>
            <w:r>
              <w:rPr>
                <w:rFonts w:cs="TimesNewRomanPS-BoldMT"/>
                <w:color w:val="000000"/>
                <w:sz w:val="21"/>
                <w:szCs w:val="21"/>
                <w:lang w:bidi="ar"/>
              </w:rPr>
              <w:t>/</w:t>
            </w:r>
            <w:r>
              <w:rPr>
                <w:rFonts w:hint="eastAsia"/>
                <w:color w:val="000000"/>
                <w:sz w:val="21"/>
                <w:szCs w:val="21"/>
                <w:lang w:bidi="ar"/>
              </w:rPr>
              <w:t>（</w:t>
            </w:r>
            <w:r>
              <w:rPr>
                <w:rFonts w:cs="TimesNewRomanPS-BoldMT"/>
                <w:color w:val="000000"/>
                <w:sz w:val="21"/>
                <w:szCs w:val="21"/>
                <w:lang w:bidi="ar"/>
              </w:rPr>
              <w:t>m/s</w:t>
            </w:r>
            <w:r>
              <w:rPr>
                <w:rFonts w:hint="eastAsia"/>
                <w:color w:val="000000"/>
                <w:sz w:val="21"/>
                <w:szCs w:val="21"/>
                <w:lang w:bidi="ar"/>
              </w:rPr>
              <w:t>）</w:t>
            </w:r>
          </w:p>
        </w:tc>
        <w:tc>
          <w:tcPr>
            <w:tcW w:w="957"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烟气温度</w:t>
            </w:r>
            <w:r>
              <w:rPr>
                <w:rFonts w:cs="TimesNewRomanPS-BoldMT"/>
                <w:color w:val="000000"/>
                <w:sz w:val="21"/>
                <w:szCs w:val="21"/>
                <w:lang w:bidi="ar"/>
              </w:rPr>
              <w:t>/</w:t>
            </w:r>
            <w:r>
              <w:rPr>
                <w:rFonts w:hint="eastAsia"/>
                <w:color w:val="000000"/>
                <w:sz w:val="21"/>
                <w:szCs w:val="21"/>
                <w:lang w:bidi="ar"/>
              </w:rPr>
              <w:t>℃</w:t>
            </w:r>
          </w:p>
        </w:tc>
        <w:tc>
          <w:tcPr>
            <w:tcW w:w="1050"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年排放小时数</w:t>
            </w:r>
            <w:r>
              <w:rPr>
                <w:rFonts w:cs="TimesNewRomanPS-BoldMT"/>
                <w:color w:val="000000"/>
                <w:sz w:val="21"/>
                <w:szCs w:val="21"/>
                <w:lang w:bidi="ar"/>
              </w:rPr>
              <w:t>/h</w:t>
            </w:r>
          </w:p>
        </w:tc>
        <w:tc>
          <w:tcPr>
            <w:tcW w:w="834"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排放工况</w:t>
            </w:r>
          </w:p>
        </w:tc>
        <w:tc>
          <w:tcPr>
            <w:tcW w:w="3120" w:type="dxa"/>
            <w:gridSpan w:val="2"/>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污染物排放速率</w:t>
            </w:r>
            <w:r>
              <w:rPr>
                <w:rFonts w:hint="eastAsia"/>
                <w:color w:val="000000"/>
                <w:sz w:val="21"/>
                <w:szCs w:val="21"/>
              </w:rPr>
              <w:t>/</w:t>
            </w:r>
            <w:r>
              <w:rPr>
                <w:rFonts w:hint="eastAsia" w:cs="TimesNewRomanPS-BoldMT"/>
                <w:color w:val="000000"/>
                <w:sz w:val="21"/>
                <w:szCs w:val="21"/>
                <w:lang w:bidi="ar"/>
              </w:rPr>
              <w:t>（</w:t>
            </w:r>
            <w:r>
              <w:rPr>
                <w:rFonts w:hint="eastAsia"/>
                <w:sz w:val="21"/>
                <w:szCs w:val="21"/>
              </w:rPr>
              <w:t>kg/h</w:t>
            </w:r>
            <w:r>
              <w:rPr>
                <w:rFonts w:hint="eastAsia" w:cs="TimesNewRomanPS-BoldMT"/>
                <w:color w:val="000000"/>
                <w:sz w:val="21"/>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continue"/>
            <w:vAlign w:val="center"/>
          </w:tcPr>
          <w:p>
            <w:pPr>
              <w:pStyle w:val="25"/>
              <w:widowControl/>
              <w:spacing w:beforeAutospacing="0" w:afterAutospacing="0" w:line="240" w:lineRule="auto"/>
              <w:ind w:firstLine="0" w:firstLineChars="0"/>
              <w:jc w:val="center"/>
              <w:rPr>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sz w:val="21"/>
                <w:szCs w:val="21"/>
              </w:rPr>
            </w:pPr>
          </w:p>
        </w:tc>
        <w:tc>
          <w:tcPr>
            <w:tcW w:w="1260"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X</w:t>
            </w:r>
          </w:p>
        </w:tc>
        <w:tc>
          <w:tcPr>
            <w:tcW w:w="1115"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Y</w:t>
            </w:r>
          </w:p>
        </w:tc>
        <w:tc>
          <w:tcPr>
            <w:tcW w:w="133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0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0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4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57"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5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834"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3120" w:type="dxa"/>
            <w:gridSpan w:val="2"/>
            <w:vMerge w:val="continue"/>
            <w:vAlign w:val="center"/>
          </w:tcPr>
          <w:p>
            <w:pPr>
              <w:pStyle w:val="25"/>
              <w:widowControl/>
              <w:spacing w:beforeAutospacing="0" w:afterAutospacing="0"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w:t>
            </w:r>
          </w:p>
        </w:tc>
        <w:tc>
          <w:tcPr>
            <w:tcW w:w="108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DA001</w:t>
            </w:r>
          </w:p>
        </w:tc>
        <w:tc>
          <w:tcPr>
            <w:tcW w:w="1260" w:type="dxa"/>
            <w:vMerge w:val="restart"/>
            <w:vAlign w:val="center"/>
          </w:tcPr>
          <w:p>
            <w:pPr>
              <w:pStyle w:val="25"/>
              <w:widowControl/>
              <w:spacing w:beforeAutospacing="0" w:afterAutospacing="0" w:line="240" w:lineRule="auto"/>
              <w:ind w:firstLine="0" w:firstLineChars="0"/>
              <w:jc w:val="center"/>
              <w:rPr>
                <w:color w:val="000000"/>
                <w:sz w:val="21"/>
                <w:szCs w:val="21"/>
              </w:rPr>
            </w:pPr>
            <w:r>
              <w:rPr>
                <w:color w:val="000000"/>
                <w:sz w:val="21"/>
                <w:szCs w:val="21"/>
              </w:rPr>
              <w:t>113.263677</w:t>
            </w:r>
          </w:p>
        </w:tc>
        <w:tc>
          <w:tcPr>
            <w:tcW w:w="1115" w:type="dxa"/>
            <w:vMerge w:val="restart"/>
            <w:vAlign w:val="center"/>
          </w:tcPr>
          <w:p>
            <w:pPr>
              <w:pStyle w:val="25"/>
              <w:widowControl/>
              <w:spacing w:beforeAutospacing="0" w:afterAutospacing="0" w:line="240" w:lineRule="auto"/>
              <w:ind w:firstLine="0" w:firstLineChars="0"/>
              <w:jc w:val="center"/>
              <w:rPr>
                <w:color w:val="000000"/>
                <w:sz w:val="21"/>
                <w:szCs w:val="21"/>
              </w:rPr>
            </w:pPr>
            <w:r>
              <w:rPr>
                <w:color w:val="000000"/>
                <w:sz w:val="21"/>
                <w:szCs w:val="21"/>
              </w:rPr>
              <w:t>33.405528</w:t>
            </w:r>
          </w:p>
        </w:tc>
        <w:tc>
          <w:tcPr>
            <w:tcW w:w="1332"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78.971</w:t>
            </w:r>
          </w:p>
        </w:tc>
        <w:tc>
          <w:tcPr>
            <w:tcW w:w="90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15</w:t>
            </w:r>
          </w:p>
        </w:tc>
        <w:tc>
          <w:tcPr>
            <w:tcW w:w="110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0.2</w:t>
            </w:r>
          </w:p>
        </w:tc>
        <w:tc>
          <w:tcPr>
            <w:tcW w:w="1040" w:type="dxa"/>
            <w:vMerge w:val="restart"/>
            <w:vAlign w:val="center"/>
          </w:tcPr>
          <w:p>
            <w:pPr>
              <w:pStyle w:val="25"/>
              <w:widowControl/>
              <w:spacing w:beforeAutospacing="0" w:afterAutospacing="0" w:line="240" w:lineRule="auto"/>
              <w:ind w:firstLine="0" w:firstLineChars="0"/>
              <w:jc w:val="center"/>
              <w:rPr>
                <w:color w:val="000000"/>
                <w:sz w:val="21"/>
                <w:szCs w:val="21"/>
              </w:rPr>
            </w:pPr>
            <w:r>
              <w:rPr>
                <w:color w:val="000000"/>
                <w:sz w:val="21"/>
                <w:szCs w:val="21"/>
              </w:rPr>
              <w:t>53.68</w:t>
            </w:r>
          </w:p>
        </w:tc>
        <w:tc>
          <w:tcPr>
            <w:tcW w:w="957"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25</w:t>
            </w:r>
          </w:p>
        </w:tc>
        <w:tc>
          <w:tcPr>
            <w:tcW w:w="1050" w:type="dxa"/>
            <w:vMerge w:val="restart"/>
            <w:vAlign w:val="center"/>
          </w:tcPr>
          <w:p>
            <w:pPr>
              <w:pStyle w:val="25"/>
              <w:widowControl/>
              <w:spacing w:beforeAutospacing="0" w:afterAutospacing="0" w:line="240" w:lineRule="auto"/>
              <w:ind w:firstLine="0" w:firstLineChars="0"/>
              <w:jc w:val="center"/>
              <w:rPr>
                <w:rFonts w:hint="default" w:eastAsia="宋体"/>
                <w:color w:val="000000"/>
                <w:sz w:val="21"/>
                <w:szCs w:val="21"/>
                <w:lang w:val="en-US" w:eastAsia="zh-CN"/>
              </w:rPr>
            </w:pPr>
            <w:r>
              <w:rPr>
                <w:rFonts w:hint="eastAsia"/>
                <w:color w:val="000000"/>
                <w:sz w:val="21"/>
                <w:szCs w:val="21"/>
                <w:lang w:val="en-US" w:eastAsia="zh-CN"/>
              </w:rPr>
              <w:t>2400</w:t>
            </w:r>
          </w:p>
        </w:tc>
        <w:tc>
          <w:tcPr>
            <w:tcW w:w="834"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连续</w:t>
            </w:r>
          </w:p>
        </w:tc>
        <w:tc>
          <w:tcPr>
            <w:tcW w:w="1378" w:type="dxa"/>
            <w:vAlign w:val="center"/>
          </w:tcPr>
          <w:p>
            <w:pPr>
              <w:pStyle w:val="38"/>
              <w:rPr>
                <w:rFonts w:hint="default"/>
              </w:rPr>
            </w:pPr>
            <w:r>
              <w:t>颗粒物</w:t>
            </w:r>
          </w:p>
        </w:tc>
        <w:tc>
          <w:tcPr>
            <w:tcW w:w="1742" w:type="dxa"/>
            <w:vAlign w:val="center"/>
          </w:tcPr>
          <w:p>
            <w:pPr>
              <w:pStyle w:val="39"/>
              <w:spacing w:line="360" w:lineRule="exact"/>
              <w:ind w:firstLine="0" w:firstLineChars="0"/>
              <w:rPr>
                <w:rFonts w:hint="default" w:eastAsia="宋体"/>
                <w:sz w:val="21"/>
                <w:szCs w:val="21"/>
                <w:lang w:val="en-US" w:eastAsia="zh-CN"/>
              </w:rPr>
            </w:pPr>
            <w:r>
              <w:rPr>
                <w:rFonts w:hint="eastAsia" w:ascii="Times New Roman" w:hAnsi="Times New Roman" w:cs="Times New Roman"/>
                <w:sz w:val="21"/>
                <w:szCs w:val="21"/>
                <w:lang w:val="en-US" w:eastAsia="zh-CN"/>
              </w:rPr>
              <w:t>0.2469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6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1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3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0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0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4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57"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5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834"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78" w:type="dxa"/>
            <w:vAlign w:val="center"/>
          </w:tcPr>
          <w:p>
            <w:pPr>
              <w:pStyle w:val="39"/>
              <w:spacing w:line="360" w:lineRule="exact"/>
              <w:ind w:firstLine="0" w:firstLineChars="0"/>
              <w:rPr>
                <w:sz w:val="21"/>
                <w:szCs w:val="21"/>
              </w:rPr>
            </w:pPr>
            <w:r>
              <w:rPr>
                <w:rFonts w:hint="eastAsia" w:ascii="Times New Roman" w:cs="Times New Roman"/>
                <w:sz w:val="21"/>
                <w:szCs w:val="21"/>
                <w:lang w:val="en-US"/>
              </w:rPr>
              <w:t>非甲烷总烃</w:t>
            </w:r>
          </w:p>
        </w:tc>
        <w:tc>
          <w:tcPr>
            <w:tcW w:w="1742"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1.7213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6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1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3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0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0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4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57"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5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834"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78" w:type="dxa"/>
            <w:vAlign w:val="center"/>
          </w:tcPr>
          <w:p>
            <w:pPr>
              <w:pStyle w:val="39"/>
              <w:spacing w:line="360" w:lineRule="exact"/>
              <w:ind w:firstLine="0" w:firstLineChars="0"/>
              <w:rPr>
                <w:sz w:val="21"/>
                <w:szCs w:val="21"/>
              </w:rPr>
            </w:pPr>
            <w:r>
              <w:rPr>
                <w:rFonts w:hint="eastAsia" w:ascii="Times New Roman" w:hAnsi="Times New Roman" w:cs="Times New Roman"/>
                <w:sz w:val="21"/>
                <w:szCs w:val="21"/>
                <w:lang w:val="en-US"/>
              </w:rPr>
              <w:t>硫化氢</w:t>
            </w:r>
          </w:p>
        </w:tc>
        <w:tc>
          <w:tcPr>
            <w:tcW w:w="1742"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eastAsia="zh-CN"/>
              </w:rPr>
              <w:t>0.0044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w:t>
            </w:r>
          </w:p>
        </w:tc>
        <w:tc>
          <w:tcPr>
            <w:tcW w:w="108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DA002</w:t>
            </w:r>
          </w:p>
        </w:tc>
        <w:tc>
          <w:tcPr>
            <w:tcW w:w="126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113.264087</w:t>
            </w:r>
          </w:p>
        </w:tc>
        <w:tc>
          <w:tcPr>
            <w:tcW w:w="111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33.405536</w:t>
            </w:r>
          </w:p>
        </w:tc>
        <w:tc>
          <w:tcPr>
            <w:tcW w:w="1332"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78.806</w:t>
            </w:r>
          </w:p>
        </w:tc>
        <w:tc>
          <w:tcPr>
            <w:tcW w:w="90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25</w:t>
            </w:r>
          </w:p>
        </w:tc>
        <w:tc>
          <w:tcPr>
            <w:tcW w:w="110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0.3</w:t>
            </w:r>
          </w:p>
        </w:tc>
        <w:tc>
          <w:tcPr>
            <w:tcW w:w="1040" w:type="dxa"/>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53.68</w:t>
            </w:r>
          </w:p>
        </w:tc>
        <w:tc>
          <w:tcPr>
            <w:tcW w:w="957"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25</w:t>
            </w:r>
          </w:p>
        </w:tc>
        <w:tc>
          <w:tcPr>
            <w:tcW w:w="105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7200</w:t>
            </w:r>
          </w:p>
        </w:tc>
        <w:tc>
          <w:tcPr>
            <w:tcW w:w="834" w:type="dxa"/>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连续</w:t>
            </w:r>
          </w:p>
        </w:tc>
        <w:tc>
          <w:tcPr>
            <w:tcW w:w="1378" w:type="dxa"/>
            <w:vAlign w:val="center"/>
          </w:tcPr>
          <w:p>
            <w:pPr>
              <w:pStyle w:val="39"/>
              <w:spacing w:line="360" w:lineRule="exact"/>
              <w:ind w:firstLine="0" w:firstLineChars="0"/>
              <w:rPr>
                <w:sz w:val="21"/>
                <w:szCs w:val="21"/>
              </w:rPr>
            </w:pPr>
            <w:r>
              <w:t>颗粒物</w:t>
            </w:r>
          </w:p>
        </w:tc>
        <w:tc>
          <w:tcPr>
            <w:tcW w:w="1742" w:type="dxa"/>
            <w:vAlign w:val="center"/>
          </w:tcPr>
          <w:p>
            <w:pPr>
              <w:pStyle w:val="38"/>
              <w:rPr>
                <w:rFonts w:hint="default"/>
                <w:lang w:val="en-US"/>
              </w:rPr>
            </w:pPr>
            <w:r>
              <w:rPr>
                <w:rFonts w:hint="eastAsia" w:cs="Times New Roman"/>
                <w:sz w:val="21"/>
                <w:szCs w:val="21"/>
                <w:lang w:val="en-US" w:eastAsia="zh-CN"/>
              </w:rPr>
              <w:t>0.0094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6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1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3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0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0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40" w:type="dxa"/>
            <w:vMerge w:val="continue"/>
            <w:vAlign w:val="center"/>
          </w:tcPr>
          <w:p>
            <w:pPr>
              <w:widowControl/>
              <w:spacing w:line="240" w:lineRule="auto"/>
              <w:ind w:firstLine="0" w:firstLineChars="0"/>
              <w:jc w:val="center"/>
              <w:rPr>
                <w:color w:val="000000"/>
                <w:sz w:val="21"/>
                <w:szCs w:val="21"/>
              </w:rPr>
            </w:pPr>
          </w:p>
        </w:tc>
        <w:tc>
          <w:tcPr>
            <w:tcW w:w="957"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5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834" w:type="dxa"/>
            <w:vMerge w:val="continue"/>
            <w:vAlign w:val="center"/>
          </w:tcPr>
          <w:p>
            <w:pPr>
              <w:widowControl/>
              <w:spacing w:line="240" w:lineRule="auto"/>
              <w:ind w:firstLine="0" w:firstLineChars="0"/>
              <w:jc w:val="center"/>
              <w:rPr>
                <w:color w:val="000000"/>
                <w:sz w:val="21"/>
                <w:szCs w:val="21"/>
              </w:rPr>
            </w:pPr>
          </w:p>
        </w:tc>
        <w:tc>
          <w:tcPr>
            <w:tcW w:w="1378" w:type="dxa"/>
            <w:vAlign w:val="center"/>
          </w:tcPr>
          <w:p>
            <w:pPr>
              <w:pStyle w:val="38"/>
              <w:rPr>
                <w:rFonts w:hint="default"/>
              </w:rPr>
            </w:pPr>
            <w:r>
              <w:t>非甲烷总烃</w:t>
            </w:r>
          </w:p>
        </w:tc>
        <w:tc>
          <w:tcPr>
            <w:tcW w:w="1742" w:type="dxa"/>
            <w:vAlign w:val="center"/>
          </w:tcPr>
          <w:p>
            <w:pPr>
              <w:pStyle w:val="38"/>
              <w:rPr>
                <w:rFonts w:hint="default" w:eastAsia="宋体"/>
                <w:lang w:val="en-US" w:eastAsia="zh-CN"/>
              </w:rPr>
            </w:pPr>
            <w:r>
              <w:rPr>
                <w:rFonts w:hint="eastAsia"/>
                <w:lang w:val="en-US" w:eastAsia="zh-CN"/>
              </w:rPr>
              <w:t>3.0834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w:t>
            </w:r>
          </w:p>
        </w:tc>
        <w:tc>
          <w:tcPr>
            <w:tcW w:w="108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DA003</w:t>
            </w:r>
          </w:p>
        </w:tc>
        <w:tc>
          <w:tcPr>
            <w:tcW w:w="126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113.264585</w:t>
            </w:r>
          </w:p>
        </w:tc>
        <w:tc>
          <w:tcPr>
            <w:tcW w:w="111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33.404674</w:t>
            </w:r>
          </w:p>
        </w:tc>
        <w:tc>
          <w:tcPr>
            <w:tcW w:w="1332"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78.504</w:t>
            </w:r>
          </w:p>
        </w:tc>
        <w:tc>
          <w:tcPr>
            <w:tcW w:w="90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15</w:t>
            </w:r>
          </w:p>
        </w:tc>
        <w:tc>
          <w:tcPr>
            <w:tcW w:w="1105"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0.2</w:t>
            </w:r>
          </w:p>
        </w:tc>
        <w:tc>
          <w:tcPr>
            <w:tcW w:w="1040" w:type="dxa"/>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12.87</w:t>
            </w:r>
          </w:p>
        </w:tc>
        <w:tc>
          <w:tcPr>
            <w:tcW w:w="957"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25</w:t>
            </w:r>
          </w:p>
        </w:tc>
        <w:tc>
          <w:tcPr>
            <w:tcW w:w="1050" w:type="dxa"/>
            <w:vMerge w:val="restar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7200</w:t>
            </w:r>
          </w:p>
        </w:tc>
        <w:tc>
          <w:tcPr>
            <w:tcW w:w="834" w:type="dxa"/>
            <w:vMerge w:val="restart"/>
            <w:vAlign w:val="center"/>
          </w:tcPr>
          <w:p>
            <w:pPr>
              <w:widowControl/>
              <w:spacing w:line="240" w:lineRule="auto"/>
              <w:ind w:firstLine="0" w:firstLineChars="0"/>
              <w:jc w:val="center"/>
              <w:rPr>
                <w:color w:val="000000"/>
                <w:sz w:val="21"/>
                <w:szCs w:val="21"/>
              </w:rPr>
            </w:pPr>
            <w:r>
              <w:rPr>
                <w:rFonts w:hint="eastAsia"/>
                <w:color w:val="000000"/>
                <w:sz w:val="21"/>
                <w:szCs w:val="21"/>
              </w:rPr>
              <w:t>连续</w:t>
            </w:r>
          </w:p>
        </w:tc>
        <w:tc>
          <w:tcPr>
            <w:tcW w:w="1378" w:type="dxa"/>
            <w:vAlign w:val="center"/>
          </w:tcPr>
          <w:p>
            <w:pPr>
              <w:adjustRightInd w:val="0"/>
              <w:snapToGrid w:val="0"/>
              <w:spacing w:line="360" w:lineRule="exact"/>
              <w:ind w:firstLine="0" w:firstLineChars="0"/>
              <w:jc w:val="center"/>
              <w:rPr>
                <w:sz w:val="21"/>
                <w:szCs w:val="21"/>
              </w:rPr>
            </w:pPr>
            <w:r>
              <w:rPr>
                <w:rFonts w:hint="eastAsia" w:cs="Times New Roman"/>
                <w:snapToGrid w:val="0"/>
                <w:kern w:val="18"/>
                <w:sz w:val="21"/>
                <w:szCs w:val="21"/>
              </w:rPr>
              <w:t>硫化氢</w:t>
            </w:r>
          </w:p>
        </w:tc>
        <w:tc>
          <w:tcPr>
            <w:tcW w:w="1742"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0.1199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42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8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26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1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332"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90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105"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40" w:type="dxa"/>
            <w:vMerge w:val="continue"/>
            <w:vAlign w:val="center"/>
          </w:tcPr>
          <w:p>
            <w:pPr>
              <w:widowControl/>
              <w:spacing w:line="240" w:lineRule="auto"/>
              <w:ind w:firstLine="0" w:firstLineChars="0"/>
              <w:jc w:val="center"/>
              <w:rPr>
                <w:color w:val="000000"/>
                <w:sz w:val="21"/>
                <w:szCs w:val="21"/>
              </w:rPr>
            </w:pPr>
          </w:p>
        </w:tc>
        <w:tc>
          <w:tcPr>
            <w:tcW w:w="957"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1050" w:type="dxa"/>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834" w:type="dxa"/>
            <w:vMerge w:val="continue"/>
            <w:vAlign w:val="center"/>
          </w:tcPr>
          <w:p>
            <w:pPr>
              <w:widowControl/>
              <w:spacing w:line="240" w:lineRule="auto"/>
              <w:ind w:firstLine="0" w:firstLineChars="0"/>
              <w:jc w:val="center"/>
              <w:rPr>
                <w:color w:val="000000"/>
                <w:sz w:val="21"/>
                <w:szCs w:val="21"/>
              </w:rPr>
            </w:pPr>
          </w:p>
        </w:tc>
        <w:tc>
          <w:tcPr>
            <w:tcW w:w="1378" w:type="dxa"/>
            <w:vAlign w:val="center"/>
          </w:tcPr>
          <w:p>
            <w:pPr>
              <w:adjustRightInd w:val="0"/>
              <w:snapToGrid w:val="0"/>
              <w:spacing w:line="360" w:lineRule="exact"/>
              <w:ind w:firstLine="0" w:firstLineChars="0"/>
              <w:jc w:val="center"/>
              <w:rPr>
                <w:sz w:val="21"/>
                <w:szCs w:val="21"/>
              </w:rPr>
            </w:pPr>
            <w:r>
              <w:rPr>
                <w:rFonts w:hint="eastAsia" w:cs="Times New Roman"/>
                <w:snapToGrid w:val="0"/>
                <w:kern w:val="18"/>
                <w:sz w:val="21"/>
                <w:szCs w:val="21"/>
              </w:rPr>
              <w:t>氨</w:t>
            </w:r>
          </w:p>
        </w:tc>
        <w:tc>
          <w:tcPr>
            <w:tcW w:w="1742" w:type="dxa"/>
            <w:vAlign w:val="center"/>
          </w:tcPr>
          <w:p>
            <w:pPr>
              <w:pStyle w:val="39"/>
              <w:spacing w:line="360" w:lineRule="exact"/>
              <w:ind w:firstLine="0" w:firstLineChars="0"/>
              <w:rPr>
                <w:sz w:val="21"/>
                <w:szCs w:val="21"/>
                <w:lang w:val="en-US"/>
              </w:rPr>
            </w:pPr>
            <w:r>
              <w:rPr>
                <w:rFonts w:hint="eastAsia" w:ascii="Times New Roman" w:hAnsi="Times New Roman" w:cs="Times New Roman"/>
                <w:sz w:val="21"/>
                <w:szCs w:val="21"/>
                <w:lang w:val="en-US"/>
              </w:rPr>
              <w:t>0.0447</w:t>
            </w:r>
          </w:p>
        </w:tc>
      </w:tr>
    </w:tbl>
    <w:p>
      <w:pPr>
        <w:pStyle w:val="27"/>
        <w:ind w:left="480" w:firstLine="480"/>
        <w:sectPr>
          <w:pgSz w:w="16840" w:h="11910" w:orient="landscape"/>
          <w:pgMar w:top="1417" w:right="1417" w:bottom="1417" w:left="1417" w:header="850" w:footer="1448" w:gutter="0"/>
          <w:pgBorders>
            <w:top w:val="none" w:sz="0" w:space="0"/>
            <w:left w:val="none" w:sz="0" w:space="0"/>
            <w:bottom w:val="none" w:sz="0" w:space="0"/>
            <w:right w:val="none" w:sz="0" w:space="0"/>
          </w:pgBorders>
          <w:cols w:space="720" w:num="1"/>
        </w:sectPr>
      </w:pPr>
    </w:p>
    <w:p>
      <w:pPr>
        <w:widowControl/>
        <w:ind w:firstLine="480"/>
        <w:jc w:val="left"/>
      </w:pPr>
      <w:r>
        <w:rPr>
          <w:rFonts w:hint="eastAsia" w:ascii="宋体" w:hAnsi="宋体" w:cs="宋体"/>
          <w:color w:val="000000"/>
          <w:kern w:val="0"/>
          <w:lang w:bidi="ar"/>
        </w:rPr>
        <w:t>估算模式所用参数见下表。</w:t>
      </w:r>
    </w:p>
    <w:p>
      <w:pPr>
        <w:ind w:firstLine="482"/>
        <w:jc w:val="center"/>
        <w:rPr>
          <w:b/>
          <w:bCs/>
        </w:rPr>
      </w:pPr>
      <w:r>
        <w:rPr>
          <w:rFonts w:hint="eastAsia"/>
          <w:b/>
          <w:bCs/>
        </w:rPr>
        <w:t>表6.2-12  估算模型参数表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87"/>
        <w:gridCol w:w="3087"/>
        <w:gridCol w:w="3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参数</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取值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restart"/>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城市</w:t>
            </w:r>
            <w:r>
              <w:rPr>
                <w:rFonts w:cs="宋体"/>
                <w:color w:val="000000"/>
                <w:kern w:val="0"/>
                <w:sz w:val="21"/>
                <w:szCs w:val="21"/>
                <w:lang w:bidi="ar"/>
              </w:rPr>
              <w:t>/</w:t>
            </w:r>
            <w:r>
              <w:rPr>
                <w:rFonts w:hint="eastAsia" w:cs="宋体"/>
                <w:color w:val="000000"/>
                <w:kern w:val="0"/>
                <w:sz w:val="21"/>
                <w:szCs w:val="21"/>
                <w:lang w:bidi="ar"/>
              </w:rPr>
              <w:t>农村选项</w:t>
            </w: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城市</w:t>
            </w:r>
            <w:r>
              <w:rPr>
                <w:rFonts w:cs="宋体"/>
                <w:color w:val="000000"/>
                <w:kern w:val="0"/>
                <w:sz w:val="21"/>
                <w:szCs w:val="21"/>
                <w:lang w:bidi="ar"/>
              </w:rPr>
              <w:t>/</w:t>
            </w:r>
            <w:r>
              <w:rPr>
                <w:rFonts w:hint="eastAsia" w:cs="宋体"/>
                <w:color w:val="000000"/>
                <w:kern w:val="0"/>
                <w:sz w:val="21"/>
                <w:szCs w:val="21"/>
                <w:lang w:bidi="ar"/>
              </w:rPr>
              <w:t>农村</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农村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continue"/>
            <w:vAlign w:val="center"/>
          </w:tcPr>
          <w:p>
            <w:pPr>
              <w:widowControl/>
              <w:autoSpaceDE w:val="0"/>
              <w:autoSpaceDN w:val="0"/>
              <w:spacing w:line="240" w:lineRule="auto"/>
              <w:ind w:firstLine="420"/>
              <w:jc w:val="center"/>
              <w:rPr>
                <w:rFonts w:cs="宋体"/>
                <w:color w:val="000000"/>
                <w:kern w:val="0"/>
                <w:sz w:val="21"/>
                <w:szCs w:val="21"/>
                <w:lang w:bidi="ar"/>
              </w:rPr>
            </w:pP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人口数（城市选项时）</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最高环境温度</w:t>
            </w:r>
            <w:r>
              <w:rPr>
                <w:rFonts w:cs="宋体"/>
                <w:color w:val="000000"/>
                <w:kern w:val="0"/>
                <w:sz w:val="21"/>
                <w:szCs w:val="21"/>
                <w:lang w:bidi="ar"/>
              </w:rPr>
              <w:t>/℃</w:t>
            </w:r>
          </w:p>
        </w:tc>
        <w:tc>
          <w:tcPr>
            <w:tcW w:w="3356" w:type="dxa"/>
            <w:vAlign w:val="center"/>
          </w:tcPr>
          <w:p>
            <w:pPr>
              <w:widowControl/>
              <w:spacing w:line="240" w:lineRule="auto"/>
              <w:ind w:firstLine="420"/>
              <w:jc w:val="center"/>
              <w:rPr>
                <w:rFonts w:cs="宋体"/>
                <w:color w:val="000000"/>
                <w:kern w:val="0"/>
                <w:sz w:val="21"/>
                <w:szCs w:val="21"/>
                <w:lang w:bidi="ar"/>
              </w:rPr>
            </w:pPr>
            <w:r>
              <w:rPr>
                <w:rFonts w:hint="eastAsia" w:cs="Times New Roman"/>
                <w:color w:val="000000"/>
                <w:kern w:val="0"/>
                <w:sz w:val="21"/>
                <w:szCs w:val="21"/>
                <w:lang w:bidi="ar"/>
              </w:rPr>
              <w:t>42.6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最低环境温度</w:t>
            </w:r>
            <w:r>
              <w:rPr>
                <w:rFonts w:cs="宋体"/>
                <w:color w:val="000000"/>
                <w:kern w:val="0"/>
                <w:sz w:val="21"/>
                <w:szCs w:val="21"/>
                <w:lang w:bidi="ar"/>
              </w:rPr>
              <w:t>/℃</w:t>
            </w:r>
          </w:p>
        </w:tc>
        <w:tc>
          <w:tcPr>
            <w:tcW w:w="3356" w:type="dxa"/>
            <w:vAlign w:val="center"/>
          </w:tcPr>
          <w:p>
            <w:pPr>
              <w:widowControl/>
              <w:spacing w:line="240" w:lineRule="auto"/>
              <w:ind w:firstLine="420"/>
              <w:jc w:val="center"/>
              <w:rPr>
                <w:rFonts w:cs="宋体"/>
                <w:color w:val="000000"/>
                <w:kern w:val="0"/>
                <w:sz w:val="21"/>
                <w:szCs w:val="21"/>
                <w:lang w:bidi="ar"/>
              </w:rPr>
            </w:pPr>
            <w:r>
              <w:rPr>
                <w:rFonts w:cs="Times New Roman"/>
                <w:color w:val="000000"/>
                <w:kern w:val="0"/>
                <w:sz w:val="21"/>
                <w:szCs w:val="21"/>
                <w:lang w:bidi="ar"/>
              </w:rPr>
              <w:t>-</w:t>
            </w:r>
            <w:r>
              <w:rPr>
                <w:rFonts w:hint="eastAsia" w:cs="Times New Roman"/>
                <w:color w:val="000000"/>
                <w:kern w:val="0"/>
                <w:sz w:val="21"/>
                <w:szCs w:val="21"/>
                <w:lang w:bidi="ar"/>
              </w:rPr>
              <w:t>18</w:t>
            </w:r>
            <w:r>
              <w:rPr>
                <w:rFonts w:cs="Times New Roman"/>
                <w:color w:val="000000"/>
                <w:kern w:val="0"/>
                <w:sz w:val="21"/>
                <w:szCs w:val="21"/>
                <w:lang w:bidi="ar"/>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土地利用类型</w:t>
            </w:r>
          </w:p>
        </w:tc>
        <w:tc>
          <w:tcPr>
            <w:tcW w:w="3356" w:type="dxa"/>
            <w:vAlign w:val="center"/>
          </w:tcPr>
          <w:p>
            <w:pPr>
              <w:widowControl/>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农村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710" w:type="dxa"/>
            <w:gridSpan w:val="2"/>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区域湿度条件</w:t>
            </w:r>
          </w:p>
        </w:tc>
        <w:tc>
          <w:tcPr>
            <w:tcW w:w="3356" w:type="dxa"/>
            <w:vAlign w:val="center"/>
          </w:tcPr>
          <w:p>
            <w:pPr>
              <w:widowControl/>
              <w:spacing w:line="240" w:lineRule="auto"/>
              <w:ind w:firstLine="420"/>
              <w:jc w:val="center"/>
              <w:rPr>
                <w:rFonts w:cs="宋体"/>
                <w:color w:val="000000"/>
                <w:kern w:val="0"/>
                <w:sz w:val="21"/>
                <w:szCs w:val="21"/>
                <w:lang w:bidi="ar"/>
              </w:rPr>
            </w:pPr>
            <w:r>
              <w:rPr>
                <w:rFonts w:hint="eastAsia" w:ascii="宋体" w:hAnsi="宋体" w:cs="宋体"/>
                <w:color w:val="000000"/>
                <w:kern w:val="0"/>
                <w:sz w:val="21"/>
                <w:szCs w:val="21"/>
                <w:lang w:bidi="ar"/>
              </w:rPr>
              <w:t>半湿润区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restart"/>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是否考虑地形</w:t>
            </w: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考虑地形</w:t>
            </w:r>
          </w:p>
        </w:tc>
        <w:tc>
          <w:tcPr>
            <w:tcW w:w="3356" w:type="dxa"/>
            <w:vAlign w:val="center"/>
          </w:tcPr>
          <w:p>
            <w:pPr>
              <w:widowControl/>
              <w:spacing w:line="240" w:lineRule="auto"/>
              <w:ind w:firstLine="420"/>
              <w:jc w:val="center"/>
              <w:rPr>
                <w:rFonts w:cs="宋体"/>
                <w:color w:val="000000"/>
                <w:kern w:val="0"/>
                <w:sz w:val="21"/>
                <w:szCs w:val="21"/>
                <w:lang w:bidi="ar"/>
              </w:rPr>
            </w:pPr>
            <w:r>
              <w:rPr>
                <w:rFonts w:cs="Times New Roman"/>
                <w:color w:val="000000"/>
                <w:kern w:val="0"/>
                <w:sz w:val="21"/>
                <w:szCs w:val="21"/>
                <w:lang w:bidi="ar"/>
              </w:rPr>
              <w:t>■</w:t>
            </w:r>
            <w:r>
              <w:rPr>
                <w:rFonts w:hint="eastAsia" w:cs="宋体"/>
                <w:color w:val="000000"/>
                <w:kern w:val="0"/>
                <w:sz w:val="21"/>
                <w:szCs w:val="21"/>
                <w:lang w:bidi="ar"/>
              </w:rPr>
              <w:t>是</w:t>
            </w:r>
            <w:r>
              <w:rPr>
                <w:rFonts w:cs="Times New Roman"/>
                <w:color w:val="000000"/>
                <w:kern w:val="0"/>
                <w:sz w:val="21"/>
                <w:szCs w:val="21"/>
                <w:lang w:bidi="ar"/>
              </w:rPr>
              <w:t>□</w:t>
            </w:r>
            <w:r>
              <w:rPr>
                <w:rFonts w:hint="eastAsia" w:cs="宋体"/>
                <w:color w:val="000000"/>
                <w:kern w:val="0"/>
                <w:sz w:val="21"/>
                <w:szCs w:val="21"/>
                <w:lang w:bidi="ar"/>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continue"/>
            <w:vAlign w:val="center"/>
          </w:tcPr>
          <w:p>
            <w:pPr>
              <w:widowControl/>
              <w:autoSpaceDE w:val="0"/>
              <w:autoSpaceDN w:val="0"/>
              <w:spacing w:line="240" w:lineRule="auto"/>
              <w:ind w:firstLine="420"/>
              <w:jc w:val="center"/>
              <w:rPr>
                <w:rFonts w:cs="宋体"/>
                <w:color w:val="000000"/>
                <w:kern w:val="0"/>
                <w:sz w:val="21"/>
                <w:szCs w:val="21"/>
                <w:lang w:bidi="ar"/>
              </w:rPr>
            </w:pP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地形数据分辨率</w:t>
            </w:r>
            <w:r>
              <w:rPr>
                <w:rFonts w:cs="宋体"/>
                <w:color w:val="000000"/>
                <w:kern w:val="0"/>
                <w:sz w:val="21"/>
                <w:szCs w:val="21"/>
                <w:lang w:bidi="ar"/>
              </w:rPr>
              <w:t>/m</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restart"/>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是否考虑岸线熏烟</w:t>
            </w: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考虑岸线熏烟</w:t>
            </w:r>
          </w:p>
        </w:tc>
        <w:tc>
          <w:tcPr>
            <w:tcW w:w="3356" w:type="dxa"/>
            <w:vAlign w:val="center"/>
          </w:tcPr>
          <w:p>
            <w:pPr>
              <w:widowControl/>
              <w:spacing w:line="240" w:lineRule="auto"/>
              <w:ind w:firstLine="420"/>
              <w:jc w:val="center"/>
              <w:rPr>
                <w:rFonts w:cs="宋体"/>
                <w:color w:val="000000"/>
                <w:kern w:val="0"/>
                <w:sz w:val="21"/>
                <w:szCs w:val="21"/>
                <w:lang w:bidi="ar"/>
              </w:rPr>
            </w:pPr>
            <w:r>
              <w:rPr>
                <w:rFonts w:cs="Times New Roman"/>
                <w:color w:val="000000"/>
                <w:kern w:val="0"/>
                <w:sz w:val="21"/>
                <w:szCs w:val="21"/>
                <w:lang w:bidi="ar"/>
              </w:rPr>
              <w:t>□</w:t>
            </w:r>
            <w:r>
              <w:rPr>
                <w:rFonts w:hint="eastAsia" w:cs="宋体"/>
                <w:color w:val="000000"/>
                <w:kern w:val="0"/>
                <w:sz w:val="21"/>
                <w:szCs w:val="21"/>
                <w:lang w:bidi="ar"/>
              </w:rPr>
              <w:t>是</w:t>
            </w:r>
            <w:r>
              <w:rPr>
                <w:rFonts w:cs="Times New Roman"/>
                <w:color w:val="000000"/>
                <w:kern w:val="0"/>
                <w:sz w:val="21"/>
                <w:szCs w:val="21"/>
                <w:lang w:bidi="ar"/>
              </w:rPr>
              <w:t>■</w:t>
            </w:r>
            <w:r>
              <w:rPr>
                <w:rFonts w:hint="eastAsia" w:cs="宋体"/>
                <w:color w:val="000000"/>
                <w:kern w:val="0"/>
                <w:sz w:val="21"/>
                <w:szCs w:val="21"/>
                <w:lang w:bidi="ar"/>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continue"/>
            <w:vAlign w:val="center"/>
          </w:tcPr>
          <w:p>
            <w:pPr>
              <w:widowControl/>
              <w:autoSpaceDE w:val="0"/>
              <w:autoSpaceDN w:val="0"/>
              <w:spacing w:line="240" w:lineRule="auto"/>
              <w:ind w:firstLine="420"/>
              <w:jc w:val="center"/>
              <w:rPr>
                <w:rFonts w:cs="宋体"/>
                <w:color w:val="000000"/>
                <w:kern w:val="0"/>
                <w:sz w:val="21"/>
                <w:szCs w:val="21"/>
                <w:lang w:bidi="ar"/>
              </w:rPr>
            </w:pP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岸线距离</w:t>
            </w:r>
            <w:r>
              <w:rPr>
                <w:rFonts w:cs="宋体"/>
                <w:color w:val="000000"/>
                <w:kern w:val="0"/>
                <w:sz w:val="21"/>
                <w:szCs w:val="21"/>
                <w:lang w:bidi="ar"/>
              </w:rPr>
              <w:t>/km</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355" w:type="dxa"/>
            <w:vMerge w:val="continue"/>
            <w:vAlign w:val="center"/>
          </w:tcPr>
          <w:p>
            <w:pPr>
              <w:widowControl/>
              <w:autoSpaceDE w:val="0"/>
              <w:autoSpaceDN w:val="0"/>
              <w:spacing w:line="240" w:lineRule="auto"/>
              <w:ind w:firstLine="420"/>
              <w:jc w:val="center"/>
              <w:rPr>
                <w:rFonts w:cs="宋体"/>
                <w:color w:val="000000"/>
                <w:kern w:val="0"/>
                <w:sz w:val="21"/>
                <w:szCs w:val="21"/>
                <w:lang w:bidi="ar"/>
              </w:rPr>
            </w:pPr>
          </w:p>
        </w:tc>
        <w:tc>
          <w:tcPr>
            <w:tcW w:w="3355"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岸线方向</w:t>
            </w:r>
            <w:r>
              <w:rPr>
                <w:rFonts w:cs="宋体"/>
                <w:color w:val="000000"/>
                <w:kern w:val="0"/>
                <w:sz w:val="21"/>
                <w:szCs w:val="21"/>
                <w:lang w:bidi="ar"/>
              </w:rPr>
              <w:t>/°</w:t>
            </w:r>
          </w:p>
        </w:tc>
        <w:tc>
          <w:tcPr>
            <w:tcW w:w="3356" w:type="dxa"/>
            <w:vAlign w:val="center"/>
          </w:tcPr>
          <w:p>
            <w:pPr>
              <w:widowControl/>
              <w:autoSpaceDE w:val="0"/>
              <w:autoSpaceDN w:val="0"/>
              <w:spacing w:line="240" w:lineRule="auto"/>
              <w:ind w:firstLine="420"/>
              <w:jc w:val="center"/>
              <w:rPr>
                <w:rFonts w:cs="宋体"/>
                <w:color w:val="000000"/>
                <w:kern w:val="0"/>
                <w:sz w:val="21"/>
                <w:szCs w:val="21"/>
                <w:lang w:bidi="ar"/>
              </w:rPr>
            </w:pPr>
            <w:r>
              <w:rPr>
                <w:rFonts w:hint="eastAsia" w:cs="宋体"/>
                <w:color w:val="000000"/>
                <w:kern w:val="0"/>
                <w:sz w:val="21"/>
                <w:szCs w:val="21"/>
                <w:lang w:bidi="ar"/>
              </w:rPr>
              <w:t>/</w:t>
            </w:r>
          </w:p>
        </w:tc>
      </w:tr>
    </w:tbl>
    <w:p>
      <w:pPr>
        <w:ind w:firstLine="482"/>
        <w:jc w:val="center"/>
        <w:rPr>
          <w:b/>
          <w:bCs/>
        </w:rPr>
      </w:pPr>
      <w:r>
        <w:rPr>
          <w:rFonts w:hint="eastAsia"/>
          <w:b/>
          <w:bCs/>
        </w:rPr>
        <w:t>表6.2-13  估算结果表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0"/>
        <w:gridCol w:w="1304"/>
        <w:gridCol w:w="1800"/>
        <w:gridCol w:w="1419"/>
        <w:gridCol w:w="1119"/>
        <w:gridCol w:w="1062"/>
        <w:gridCol w:w="1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污染源名称</w:t>
            </w:r>
          </w:p>
        </w:tc>
        <w:tc>
          <w:tcPr>
            <w:tcW w:w="130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评价因子</w:t>
            </w:r>
          </w:p>
        </w:tc>
        <w:tc>
          <w:tcPr>
            <w:tcW w:w="1800" w:type="dxa"/>
            <w:vAlign w:val="center"/>
          </w:tcPr>
          <w:p>
            <w:pPr>
              <w:widowControl/>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ascii="宋体" w:hAnsi="宋体" w:cs="宋体"/>
                <w:color w:val="000000" w:themeColor="text1"/>
                <w:kern w:val="0"/>
                <w:sz w:val="21"/>
                <w:szCs w:val="21"/>
                <w:lang w:bidi="ar"/>
                <w14:textFill>
                  <w14:solidFill>
                    <w14:schemeClr w14:val="tx1"/>
                  </w14:solidFill>
                </w14:textFill>
              </w:rPr>
              <w:t>最大地面浓度出现的下风距离</w:t>
            </w:r>
          </w:p>
        </w:tc>
        <w:tc>
          <w:tcPr>
            <w:tcW w:w="1419"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cs="宋体"/>
                <w:color w:val="000000" w:themeColor="text1"/>
                <w:kern w:val="0"/>
                <w:sz w:val="21"/>
                <w:szCs w:val="21"/>
                <w:lang w:bidi="ar"/>
                <w14:textFill>
                  <w14:solidFill>
                    <w14:schemeClr w14:val="tx1"/>
                  </w14:solidFill>
                </w14:textFill>
              </w:rPr>
              <w:t>Cmax</w:t>
            </w:r>
            <w:r>
              <w:rPr>
                <w:rFonts w:hint="eastAsia" w:cs="宋体"/>
                <w:color w:val="000000" w:themeColor="text1"/>
                <w:kern w:val="0"/>
                <w:sz w:val="21"/>
                <w:szCs w:val="21"/>
                <w:lang w:bidi="ar"/>
                <w14:textFill>
                  <w14:solidFill>
                    <w14:schemeClr w14:val="tx1"/>
                  </w14:solidFill>
                </w14:textFill>
              </w:rPr>
              <w:t>（m</w:t>
            </w:r>
            <w:r>
              <w:rPr>
                <w:rFonts w:cs="宋体"/>
                <w:color w:val="000000" w:themeColor="text1"/>
                <w:kern w:val="0"/>
                <w:sz w:val="21"/>
                <w:szCs w:val="21"/>
                <w:lang w:bidi="ar"/>
                <w14:textFill>
                  <w14:solidFill>
                    <w14:schemeClr w14:val="tx1"/>
                  </w14:solidFill>
                </w14:textFill>
              </w:rPr>
              <w:t>g/m</w:t>
            </w:r>
            <w:r>
              <w:rPr>
                <w:rFonts w:hint="eastAsia" w:cs="宋体"/>
                <w:color w:val="000000" w:themeColor="text1"/>
                <w:kern w:val="0"/>
                <w:sz w:val="21"/>
                <w:szCs w:val="21"/>
                <w:vertAlign w:val="superscript"/>
                <w:lang w:bidi="ar"/>
                <w14:textFill>
                  <w14:solidFill>
                    <w14:schemeClr w14:val="tx1"/>
                  </w14:solidFill>
                </w14:textFill>
              </w:rPr>
              <w:t>3</w:t>
            </w:r>
            <w:r>
              <w:rPr>
                <w:rFonts w:hint="eastAsia" w:cs="宋体"/>
                <w:color w:val="000000" w:themeColor="text1"/>
                <w:kern w:val="0"/>
                <w:sz w:val="21"/>
                <w:szCs w:val="21"/>
                <w:lang w:bidi="ar"/>
                <w14:textFill>
                  <w14:solidFill>
                    <w14:schemeClr w14:val="tx1"/>
                  </w14:solidFill>
                </w14:textFill>
              </w:rPr>
              <w:t>）</w:t>
            </w:r>
          </w:p>
        </w:tc>
        <w:tc>
          <w:tcPr>
            <w:tcW w:w="1119"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Pmax（%）</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D</w:t>
            </w:r>
            <w:r>
              <w:rPr>
                <w:rFonts w:cs="宋体"/>
                <w:color w:val="000000" w:themeColor="text1"/>
                <w:kern w:val="0"/>
                <w:sz w:val="21"/>
                <w:szCs w:val="21"/>
                <w:vertAlign w:val="subscript"/>
                <w:lang w:bidi="ar"/>
                <w14:textFill>
                  <w14:solidFill>
                    <w14:schemeClr w14:val="tx1"/>
                  </w14:solidFill>
                </w14:textFill>
              </w:rPr>
              <w:t>10</w:t>
            </w:r>
            <w:r>
              <w:rPr>
                <w:rFonts w:cs="宋体"/>
                <w:color w:val="000000" w:themeColor="text1"/>
                <w:kern w:val="0"/>
                <w:sz w:val="21"/>
                <w:szCs w:val="21"/>
                <w:lang w:bidi="ar"/>
                <w14:textFill>
                  <w14:solidFill>
                    <w14:schemeClr w14:val="tx1"/>
                  </w14:solidFill>
                </w14:textFill>
              </w:rPr>
              <w:t>%</w:t>
            </w:r>
            <w:r>
              <w:rPr>
                <w:rFonts w:hint="eastAsia" w:cs="宋体"/>
                <w:color w:val="000000" w:themeColor="text1"/>
                <w:kern w:val="0"/>
                <w:sz w:val="21"/>
                <w:szCs w:val="21"/>
                <w:lang w:bidi="ar"/>
                <w14:textFill>
                  <w14:solidFill>
                    <w14:schemeClr w14:val="tx1"/>
                  </w14:solidFill>
                </w14:textFill>
              </w:rPr>
              <w:t>（</w:t>
            </w:r>
            <w:r>
              <w:rPr>
                <w:rFonts w:cs="宋体"/>
                <w:color w:val="000000" w:themeColor="text1"/>
                <w:kern w:val="0"/>
                <w:sz w:val="21"/>
                <w:szCs w:val="21"/>
                <w:lang w:bidi="ar"/>
                <w14:textFill>
                  <w14:solidFill>
                    <w14:schemeClr w14:val="tx1"/>
                  </w14:solidFill>
                </w14:textFill>
              </w:rPr>
              <w:t>m</w:t>
            </w: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ascii="宋体" w:hAnsi="宋体" w:cs="宋体"/>
                <w:color w:val="000000" w:themeColor="text1"/>
                <w:kern w:val="0"/>
                <w:sz w:val="21"/>
                <w:szCs w:val="21"/>
                <w:lang w:bidi="ar"/>
                <w14:textFill>
                  <w14:solidFill>
                    <w14:schemeClr w14:val="tx1"/>
                  </w14:solidFill>
                </w14:textFill>
              </w:rPr>
              <w:t>评价等级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DA001排气筒</w:t>
            </w:r>
          </w:p>
        </w:tc>
        <w:tc>
          <w:tcPr>
            <w:tcW w:w="1304" w:type="dxa"/>
            <w:vAlign w:val="center"/>
          </w:tcPr>
          <w:p>
            <w:pPr>
              <w:pStyle w:val="38"/>
              <w:rPr>
                <w:rFonts w:hint="default" w:cs="宋体"/>
                <w:color w:val="000000" w:themeColor="text1"/>
                <w:kern w:val="0"/>
                <w14:textFill>
                  <w14:solidFill>
                    <w14:schemeClr w14:val="tx1"/>
                  </w14:solidFill>
                </w14:textFill>
              </w:rPr>
            </w:pPr>
            <w:r>
              <w:t>颗粒物</w:t>
            </w:r>
          </w:p>
        </w:tc>
        <w:tc>
          <w:tcPr>
            <w:tcW w:w="1800" w:type="dxa"/>
            <w:vAlign w:val="center"/>
          </w:tcPr>
          <w:p>
            <w:pPr>
              <w:widowControl/>
              <w:autoSpaceDE w:val="0"/>
              <w:autoSpaceDN w:val="0"/>
              <w:spacing w:line="240" w:lineRule="auto"/>
              <w:ind w:firstLine="0" w:firstLineChars="0"/>
              <w:jc w:val="center"/>
              <w:rPr>
                <w:rFonts w:hint="default" w:eastAsia="宋体" w:cs="宋体"/>
                <w:color w:val="000000" w:themeColor="text1"/>
                <w:kern w:val="0"/>
                <w:sz w:val="21"/>
                <w:szCs w:val="21"/>
                <w:lang w:val="en-US" w:eastAsia="zh-CN" w:bidi="ar"/>
                <w14:textFill>
                  <w14:solidFill>
                    <w14:schemeClr w14:val="tx1"/>
                  </w14:solidFill>
                </w14:textFill>
              </w:rPr>
            </w:pPr>
            <w:r>
              <w:rPr>
                <w:rFonts w:hint="eastAsia"/>
                <w:sz w:val="21"/>
                <w:szCs w:val="21"/>
                <w:lang w:val="en-US" w:eastAsia="zh-CN"/>
              </w:rPr>
              <w:t>293</w:t>
            </w:r>
          </w:p>
        </w:tc>
        <w:tc>
          <w:tcPr>
            <w:tcW w:w="1419" w:type="dxa"/>
            <w:vAlign w:val="center"/>
          </w:tcPr>
          <w:p>
            <w:pPr>
              <w:widowControl/>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sz w:val="21"/>
                <w:szCs w:val="21"/>
              </w:rPr>
              <w:t>0.0002062</w:t>
            </w:r>
          </w:p>
        </w:tc>
        <w:tc>
          <w:tcPr>
            <w:tcW w:w="1119" w:type="dxa"/>
            <w:vAlign w:val="center"/>
          </w:tcPr>
          <w:p>
            <w:pPr>
              <w:widowControl/>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sz w:val="21"/>
                <w:szCs w:val="21"/>
              </w:rPr>
              <w:t>0.05</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p>
        </w:tc>
        <w:tc>
          <w:tcPr>
            <w:tcW w:w="1304" w:type="dxa"/>
            <w:vAlign w:val="center"/>
          </w:tcPr>
          <w:p>
            <w:pPr>
              <w:adjustRightInd w:val="0"/>
              <w:snapToGrid w:val="0"/>
              <w:spacing w:line="360" w:lineRule="exact"/>
              <w:ind w:firstLine="0" w:firstLineChars="0"/>
              <w:jc w:val="center"/>
            </w:pPr>
            <w:r>
              <w:rPr>
                <w:rFonts w:hint="eastAsia" w:cs="Times New Roman"/>
                <w:snapToGrid w:val="0"/>
                <w:kern w:val="18"/>
                <w:sz w:val="21"/>
                <w:szCs w:val="21"/>
              </w:rPr>
              <w:t>非甲烷总烃</w:t>
            </w:r>
          </w:p>
        </w:tc>
        <w:tc>
          <w:tcPr>
            <w:tcW w:w="1800" w:type="dxa"/>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sz w:val="21"/>
                <w:szCs w:val="21"/>
                <w:lang w:val="en-US" w:eastAsia="zh-CN"/>
              </w:rPr>
              <w:t>293</w:t>
            </w:r>
          </w:p>
        </w:tc>
        <w:tc>
          <w:tcPr>
            <w:tcW w:w="1419" w:type="dxa"/>
            <w:vAlign w:val="center"/>
          </w:tcPr>
          <w:p>
            <w:pPr>
              <w:widowControl/>
              <w:spacing w:line="240" w:lineRule="auto"/>
              <w:ind w:firstLine="0" w:firstLineChars="0"/>
              <w:jc w:val="center"/>
              <w:rPr>
                <w:sz w:val="21"/>
                <w:szCs w:val="21"/>
              </w:rPr>
            </w:pPr>
            <w:r>
              <w:rPr>
                <w:rFonts w:hint="eastAsia"/>
                <w:sz w:val="21"/>
                <w:szCs w:val="21"/>
              </w:rPr>
              <w:t>0.003662</w:t>
            </w:r>
          </w:p>
        </w:tc>
        <w:tc>
          <w:tcPr>
            <w:tcW w:w="1119" w:type="dxa"/>
            <w:vAlign w:val="center"/>
          </w:tcPr>
          <w:p>
            <w:pPr>
              <w:widowControl/>
              <w:spacing w:line="240" w:lineRule="auto"/>
              <w:ind w:firstLine="0" w:firstLineChars="0"/>
              <w:jc w:val="center"/>
              <w:rPr>
                <w:sz w:val="21"/>
                <w:szCs w:val="21"/>
              </w:rPr>
            </w:pPr>
            <w:r>
              <w:rPr>
                <w:rFonts w:hint="eastAsia"/>
                <w:sz w:val="21"/>
                <w:szCs w:val="21"/>
              </w:rPr>
              <w:t>0.18</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p>
        </w:tc>
        <w:tc>
          <w:tcPr>
            <w:tcW w:w="1304" w:type="dxa"/>
            <w:vAlign w:val="center"/>
          </w:tcPr>
          <w:p>
            <w:pPr>
              <w:adjustRightInd w:val="0"/>
              <w:snapToGrid w:val="0"/>
              <w:spacing w:line="360" w:lineRule="exact"/>
              <w:ind w:firstLine="0" w:firstLineChars="0"/>
              <w:jc w:val="center"/>
            </w:pPr>
            <w:r>
              <w:rPr>
                <w:rFonts w:hint="eastAsia" w:cs="Times New Roman"/>
                <w:snapToGrid w:val="0"/>
                <w:kern w:val="18"/>
                <w:sz w:val="21"/>
                <w:szCs w:val="21"/>
              </w:rPr>
              <w:t>硫化氢</w:t>
            </w:r>
          </w:p>
        </w:tc>
        <w:tc>
          <w:tcPr>
            <w:tcW w:w="1800" w:type="dxa"/>
            <w:vAlign w:val="center"/>
          </w:tcPr>
          <w:p>
            <w:pPr>
              <w:widowControl/>
              <w:spacing w:line="240" w:lineRule="auto"/>
              <w:ind w:firstLine="0" w:firstLineChars="0"/>
              <w:jc w:val="center"/>
              <w:rPr>
                <w:rFonts w:hint="eastAsia"/>
                <w:sz w:val="21"/>
                <w:szCs w:val="21"/>
              </w:rPr>
            </w:pPr>
            <w:r>
              <w:rPr>
                <w:rFonts w:hint="eastAsia"/>
                <w:sz w:val="21"/>
                <w:szCs w:val="21"/>
                <w:lang w:val="en-US" w:eastAsia="zh-CN"/>
              </w:rPr>
              <w:t>293</w:t>
            </w:r>
          </w:p>
        </w:tc>
        <w:tc>
          <w:tcPr>
            <w:tcW w:w="1419" w:type="dxa"/>
            <w:vAlign w:val="center"/>
          </w:tcPr>
          <w:p>
            <w:pPr>
              <w:widowControl/>
              <w:spacing w:line="240" w:lineRule="auto"/>
              <w:ind w:firstLine="0" w:firstLineChars="0"/>
              <w:jc w:val="center"/>
              <w:rPr>
                <w:rFonts w:hint="eastAsia"/>
                <w:sz w:val="21"/>
                <w:szCs w:val="21"/>
              </w:rPr>
            </w:pPr>
            <w:r>
              <w:rPr>
                <w:rFonts w:hint="eastAsia"/>
                <w:sz w:val="21"/>
                <w:szCs w:val="21"/>
              </w:rPr>
              <w:t>0.0001972</w:t>
            </w:r>
          </w:p>
        </w:tc>
        <w:tc>
          <w:tcPr>
            <w:tcW w:w="1119" w:type="dxa"/>
            <w:vAlign w:val="center"/>
          </w:tcPr>
          <w:p>
            <w:pPr>
              <w:widowControl/>
              <w:spacing w:line="240" w:lineRule="auto"/>
              <w:ind w:firstLine="0" w:firstLineChars="0"/>
              <w:jc w:val="center"/>
              <w:rPr>
                <w:rFonts w:hint="eastAsia"/>
                <w:sz w:val="21"/>
                <w:szCs w:val="21"/>
              </w:rPr>
            </w:pPr>
            <w:r>
              <w:rPr>
                <w:rFonts w:hint="eastAsia"/>
                <w:sz w:val="21"/>
                <w:szCs w:val="21"/>
              </w:rPr>
              <w:t>1.97</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DA002排气筒</w:t>
            </w:r>
          </w:p>
        </w:tc>
        <w:tc>
          <w:tcPr>
            <w:tcW w:w="1304" w:type="dxa"/>
            <w:vAlign w:val="center"/>
          </w:tcPr>
          <w:p>
            <w:pPr>
              <w:pStyle w:val="38"/>
              <w:rPr>
                <w:rFonts w:hint="default" w:cs="宋体"/>
                <w:color w:val="000000" w:themeColor="text1"/>
                <w:kern w:val="0"/>
                <w14:textFill>
                  <w14:solidFill>
                    <w14:schemeClr w14:val="tx1"/>
                  </w14:solidFill>
                </w14:textFill>
              </w:rPr>
            </w:pPr>
            <w:r>
              <w:t>颗粒物</w:t>
            </w:r>
          </w:p>
        </w:tc>
        <w:tc>
          <w:tcPr>
            <w:tcW w:w="1800" w:type="dxa"/>
            <w:vAlign w:val="center"/>
          </w:tcPr>
          <w:p>
            <w:pPr>
              <w:widowControl/>
              <w:spacing w:line="240" w:lineRule="auto"/>
              <w:ind w:firstLine="0" w:firstLineChars="0"/>
              <w:jc w:val="center"/>
              <w:rPr>
                <w:rFonts w:hint="eastAsia"/>
                <w:sz w:val="21"/>
                <w:szCs w:val="21"/>
              </w:rPr>
            </w:pPr>
            <w:r>
              <w:rPr>
                <w:rFonts w:hint="eastAsia"/>
                <w:sz w:val="21"/>
                <w:szCs w:val="21"/>
              </w:rPr>
              <w:t>1241</w:t>
            </w:r>
          </w:p>
        </w:tc>
        <w:tc>
          <w:tcPr>
            <w:tcW w:w="1419" w:type="dxa"/>
            <w:vAlign w:val="center"/>
          </w:tcPr>
          <w:p>
            <w:pPr>
              <w:widowControl/>
              <w:spacing w:line="240" w:lineRule="auto"/>
              <w:ind w:firstLine="0" w:firstLineChars="0"/>
              <w:jc w:val="center"/>
              <w:rPr>
                <w:rFonts w:hint="default"/>
                <w:sz w:val="21"/>
                <w:szCs w:val="21"/>
                <w:lang w:val="en-US" w:eastAsia="zh-CN"/>
              </w:rPr>
            </w:pPr>
            <w:r>
              <w:rPr>
                <w:rFonts w:hint="eastAsia"/>
                <w:sz w:val="21"/>
                <w:szCs w:val="21"/>
              </w:rPr>
              <w:t>1.321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119" w:type="dxa"/>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p>
        </w:tc>
        <w:tc>
          <w:tcPr>
            <w:tcW w:w="1304" w:type="dxa"/>
            <w:vAlign w:val="center"/>
          </w:tcPr>
          <w:p>
            <w:pPr>
              <w:pStyle w:val="38"/>
              <w:rPr>
                <w:rFonts w:hint="default"/>
              </w:rPr>
            </w:pPr>
            <w:r>
              <w:t>非甲烷总烃</w:t>
            </w:r>
          </w:p>
        </w:tc>
        <w:tc>
          <w:tcPr>
            <w:tcW w:w="1800" w:type="dxa"/>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sz w:val="21"/>
                <w:szCs w:val="21"/>
              </w:rPr>
              <w:t>1241</w:t>
            </w:r>
          </w:p>
        </w:tc>
        <w:tc>
          <w:tcPr>
            <w:tcW w:w="1419" w:type="dxa"/>
            <w:vAlign w:val="center"/>
          </w:tcPr>
          <w:p>
            <w:pPr>
              <w:widowControl/>
              <w:spacing w:line="240" w:lineRule="auto"/>
              <w:ind w:firstLine="0" w:firstLineChars="0"/>
              <w:jc w:val="center"/>
              <w:rPr>
                <w:sz w:val="21"/>
                <w:szCs w:val="21"/>
              </w:rPr>
            </w:pPr>
            <w:r>
              <w:rPr>
                <w:rFonts w:hint="eastAsia"/>
                <w:sz w:val="21"/>
                <w:szCs w:val="21"/>
              </w:rPr>
              <w:t>0.001934</w:t>
            </w:r>
          </w:p>
        </w:tc>
        <w:tc>
          <w:tcPr>
            <w:tcW w:w="1119" w:type="dxa"/>
            <w:vAlign w:val="center"/>
          </w:tcPr>
          <w:p>
            <w:pPr>
              <w:widowControl/>
              <w:spacing w:line="240" w:lineRule="auto"/>
              <w:ind w:firstLine="0" w:firstLineChars="0"/>
              <w:jc w:val="center"/>
              <w:rPr>
                <w:sz w:val="21"/>
                <w:szCs w:val="21"/>
              </w:rPr>
            </w:pPr>
            <w:r>
              <w:rPr>
                <w:rFonts w:hint="eastAsia"/>
                <w:sz w:val="21"/>
                <w:szCs w:val="21"/>
              </w:rPr>
              <w:t>0.10</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DA003排气筒</w:t>
            </w:r>
          </w:p>
        </w:tc>
        <w:tc>
          <w:tcPr>
            <w:tcW w:w="1304" w:type="dxa"/>
            <w:vAlign w:val="center"/>
          </w:tcPr>
          <w:p>
            <w:pPr>
              <w:adjustRightInd w:val="0"/>
              <w:snapToGrid w:val="0"/>
              <w:spacing w:line="360" w:lineRule="exact"/>
              <w:ind w:firstLine="0" w:firstLineChars="0"/>
              <w:jc w:val="center"/>
              <w:rPr>
                <w:rFonts w:cs="宋体"/>
                <w:color w:val="000000" w:themeColor="text1"/>
                <w:kern w:val="0"/>
                <w:sz w:val="21"/>
                <w:szCs w:val="21"/>
                <w:lang w:bidi="ar"/>
                <w14:textFill>
                  <w14:solidFill>
                    <w14:schemeClr w14:val="tx1"/>
                  </w14:solidFill>
                </w14:textFill>
              </w:rPr>
            </w:pPr>
            <w:r>
              <w:rPr>
                <w:rFonts w:hint="eastAsia" w:cs="Times New Roman"/>
                <w:snapToGrid w:val="0"/>
                <w:kern w:val="18"/>
                <w:sz w:val="21"/>
                <w:szCs w:val="21"/>
              </w:rPr>
              <w:t>硫化氢</w:t>
            </w:r>
          </w:p>
        </w:tc>
        <w:tc>
          <w:tcPr>
            <w:tcW w:w="1800" w:type="dxa"/>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sz w:val="21"/>
                <w:szCs w:val="21"/>
              </w:rPr>
              <w:t>1554</w:t>
            </w:r>
          </w:p>
        </w:tc>
        <w:tc>
          <w:tcPr>
            <w:tcW w:w="141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sz w:val="21"/>
                <w:szCs w:val="21"/>
              </w:rPr>
              <w:t>0.0001367</w:t>
            </w:r>
          </w:p>
        </w:tc>
        <w:tc>
          <w:tcPr>
            <w:tcW w:w="111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sz w:val="21"/>
                <w:szCs w:val="21"/>
              </w:rPr>
              <w:t>0.01</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p>
        </w:tc>
        <w:tc>
          <w:tcPr>
            <w:tcW w:w="1304" w:type="dxa"/>
            <w:vAlign w:val="center"/>
          </w:tcPr>
          <w:p>
            <w:pPr>
              <w:adjustRightInd w:val="0"/>
              <w:snapToGrid w:val="0"/>
              <w:spacing w:line="360" w:lineRule="exact"/>
              <w:ind w:firstLine="0" w:firstLineChars="0"/>
              <w:jc w:val="center"/>
              <w:rPr>
                <w:rFonts w:cs="宋体"/>
                <w:color w:val="000000" w:themeColor="text1"/>
                <w:kern w:val="0"/>
                <w:sz w:val="21"/>
                <w:szCs w:val="21"/>
                <w:lang w:bidi="ar"/>
                <w14:textFill>
                  <w14:solidFill>
                    <w14:schemeClr w14:val="tx1"/>
                  </w14:solidFill>
                </w14:textFill>
              </w:rPr>
            </w:pPr>
            <w:r>
              <w:rPr>
                <w:rFonts w:hint="eastAsia" w:cs="Times New Roman"/>
                <w:snapToGrid w:val="0"/>
                <w:kern w:val="18"/>
                <w:sz w:val="21"/>
                <w:szCs w:val="21"/>
              </w:rPr>
              <w:t>氨</w:t>
            </w:r>
          </w:p>
        </w:tc>
        <w:tc>
          <w:tcPr>
            <w:tcW w:w="1800" w:type="dxa"/>
            <w:vAlign w:val="center"/>
          </w:tcPr>
          <w:p>
            <w:pPr>
              <w:widowControl/>
              <w:autoSpaceDE w:val="0"/>
              <w:autoSpaceDN w:val="0"/>
              <w:spacing w:line="240" w:lineRule="auto"/>
              <w:ind w:firstLine="0" w:firstLineChars="0"/>
              <w:jc w:val="center"/>
              <w:rPr>
                <w:color w:val="000000" w:themeColor="text1"/>
                <w:sz w:val="21"/>
                <w:szCs w:val="21"/>
                <w14:textFill>
                  <w14:solidFill>
                    <w14:schemeClr w14:val="tx1"/>
                  </w14:solidFill>
                </w14:textFill>
              </w:rPr>
            </w:pPr>
            <w:r>
              <w:rPr>
                <w:rFonts w:hint="eastAsia"/>
                <w:sz w:val="21"/>
                <w:szCs w:val="21"/>
              </w:rPr>
              <w:t>1554</w:t>
            </w:r>
          </w:p>
        </w:tc>
        <w:tc>
          <w:tcPr>
            <w:tcW w:w="141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sz w:val="21"/>
                <w:szCs w:val="21"/>
              </w:rPr>
              <w:t>0.0001265</w:t>
            </w:r>
          </w:p>
        </w:tc>
        <w:tc>
          <w:tcPr>
            <w:tcW w:w="1119" w:type="dxa"/>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sz w:val="21"/>
                <w:szCs w:val="21"/>
              </w:rPr>
              <w:t>1.26</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eastAsia="zh-CN" w:bidi="ar"/>
                <w14:textFill>
                  <w14:solidFill>
                    <w14:schemeClr w14:val="tx1"/>
                  </w14:solidFill>
                </w14:textFill>
              </w:rPr>
              <w:t>二</w:t>
            </w:r>
            <w:r>
              <w:rPr>
                <w:rFonts w:hint="eastAsia" w:cs="宋体"/>
                <w:color w:val="000000" w:themeColor="text1"/>
                <w:kern w:val="0"/>
                <w:sz w:val="21"/>
                <w:szCs w:val="21"/>
                <w:lang w:bidi="ar"/>
                <w14:textFill>
                  <w14:solidFill>
                    <w14:schemeClr w14:val="tx1"/>
                  </w14:solidFill>
                </w14:textFill>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1#车间</w:t>
            </w:r>
          </w:p>
        </w:tc>
        <w:tc>
          <w:tcPr>
            <w:tcW w:w="1304" w:type="dxa"/>
            <w:vAlign w:val="center"/>
          </w:tcPr>
          <w:p>
            <w:pPr>
              <w:adjustRightInd w:val="0"/>
              <w:snapToGrid w:val="0"/>
              <w:spacing w:line="360" w:lineRule="exact"/>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olor w:val="000000"/>
                <w:sz w:val="21"/>
                <w:szCs w:val="21"/>
              </w:rPr>
              <w:t>1</w:t>
            </w:r>
            <w:r>
              <w:rPr>
                <w:rFonts w:hint="eastAsia"/>
                <w:color w:val="000000"/>
                <w:sz w:val="21"/>
                <w:szCs w:val="21"/>
                <w:lang w:val="en-US" w:eastAsia="zh-CN"/>
              </w:rPr>
              <w:t>59</w:t>
            </w:r>
          </w:p>
        </w:tc>
        <w:tc>
          <w:tcPr>
            <w:tcW w:w="1419" w:type="dxa"/>
            <w:vAlign w:val="center"/>
          </w:tcPr>
          <w:p>
            <w:pPr>
              <w:widowControl/>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sz w:val="21"/>
                <w:szCs w:val="21"/>
              </w:rPr>
              <w:t>2.38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119" w:type="dxa"/>
            <w:vAlign w:val="center"/>
          </w:tcPr>
          <w:p>
            <w:pPr>
              <w:widowControl/>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sz w:val="21"/>
                <w:szCs w:val="21"/>
              </w:rPr>
              <w:t>0.01</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w:t>
            </w:r>
            <w:r>
              <w:rPr>
                <w:rFonts w:hint="eastAsia" w:cs="宋体"/>
                <w:color w:val="000000" w:themeColor="text1"/>
                <w:kern w:val="0"/>
                <w:sz w:val="21"/>
                <w:szCs w:val="21"/>
                <w:u w:val="single"/>
                <w:lang w:bidi="ar"/>
                <w14:textFill>
                  <w14:solidFill>
                    <w14:schemeClr w14:val="tx1"/>
                  </w14:solidFill>
                </w14:textFill>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p>
        </w:tc>
        <w:tc>
          <w:tcPr>
            <w:tcW w:w="1304" w:type="dxa"/>
            <w:vAlign w:val="center"/>
          </w:tcPr>
          <w:p>
            <w:pPr>
              <w:adjustRightInd w:val="0"/>
              <w:snapToGrid w:val="0"/>
              <w:spacing w:line="360" w:lineRule="exact"/>
              <w:ind w:firstLine="0" w:firstLineChars="0"/>
              <w:jc w:val="center"/>
              <w:rPr>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color w:val="000000"/>
                <w:sz w:val="21"/>
                <w:szCs w:val="21"/>
                <w:u w:val="single"/>
                <w:lang w:bidi="ar"/>
              </w:rPr>
            </w:pPr>
            <w:r>
              <w:rPr>
                <w:rFonts w:hint="eastAsia"/>
                <w:color w:val="000000"/>
                <w:sz w:val="21"/>
                <w:szCs w:val="21"/>
              </w:rPr>
              <w:t>1</w:t>
            </w:r>
            <w:r>
              <w:rPr>
                <w:rFonts w:hint="eastAsia"/>
                <w:color w:val="000000"/>
                <w:sz w:val="21"/>
                <w:szCs w:val="21"/>
                <w:lang w:val="en-US" w:eastAsia="zh-CN"/>
              </w:rPr>
              <w:t>59</w:t>
            </w:r>
          </w:p>
        </w:tc>
        <w:tc>
          <w:tcPr>
            <w:tcW w:w="1419" w:type="dxa"/>
            <w:vAlign w:val="center"/>
          </w:tcPr>
          <w:p>
            <w:pPr>
              <w:widowControl/>
              <w:spacing w:line="240" w:lineRule="auto"/>
              <w:ind w:firstLine="0" w:firstLineChars="0"/>
              <w:jc w:val="center"/>
              <w:rPr>
                <w:sz w:val="21"/>
                <w:szCs w:val="21"/>
                <w:u w:val="single"/>
              </w:rPr>
            </w:pPr>
            <w:r>
              <w:rPr>
                <w:rFonts w:hint="eastAsia"/>
                <w:sz w:val="21"/>
                <w:szCs w:val="21"/>
              </w:rPr>
              <w:t>0.004997</w:t>
            </w:r>
          </w:p>
        </w:tc>
        <w:tc>
          <w:tcPr>
            <w:tcW w:w="1119" w:type="dxa"/>
            <w:vAlign w:val="center"/>
          </w:tcPr>
          <w:p>
            <w:pPr>
              <w:widowControl/>
              <w:spacing w:line="240" w:lineRule="auto"/>
              <w:ind w:firstLine="0" w:firstLineChars="0"/>
              <w:jc w:val="center"/>
              <w:rPr>
                <w:sz w:val="21"/>
                <w:szCs w:val="21"/>
                <w:u w:val="single"/>
              </w:rPr>
            </w:pPr>
            <w:r>
              <w:rPr>
                <w:rFonts w:hint="eastAsia"/>
                <w:sz w:val="21"/>
                <w:szCs w:val="21"/>
              </w:rPr>
              <w:t>0.25</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2#车间</w:t>
            </w:r>
          </w:p>
        </w:tc>
        <w:tc>
          <w:tcPr>
            <w:tcW w:w="1304" w:type="dxa"/>
            <w:vAlign w:val="center"/>
          </w:tcPr>
          <w:p>
            <w:pPr>
              <w:adjustRightInd w:val="0"/>
              <w:snapToGrid w:val="0"/>
              <w:spacing w:line="360" w:lineRule="exact"/>
              <w:ind w:firstLine="0" w:firstLineChars="0"/>
              <w:jc w:val="center"/>
              <w:rPr>
                <w:rFonts w:cs="Times New Roman"/>
                <w:snapToGrid w:val="0"/>
                <w:kern w:val="18"/>
                <w:sz w:val="21"/>
                <w:szCs w:val="21"/>
                <w:u w:val="single"/>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color w:val="000000"/>
                <w:sz w:val="21"/>
                <w:szCs w:val="21"/>
                <w:u w:val="single"/>
                <w:lang w:bidi="ar"/>
              </w:rPr>
            </w:pPr>
            <w:r>
              <w:rPr>
                <w:rFonts w:hint="eastAsia"/>
                <w:color w:val="000000"/>
                <w:sz w:val="21"/>
                <w:szCs w:val="21"/>
              </w:rPr>
              <w:t>1</w:t>
            </w:r>
            <w:r>
              <w:rPr>
                <w:rFonts w:hint="eastAsia"/>
                <w:color w:val="000000"/>
                <w:sz w:val="21"/>
                <w:szCs w:val="21"/>
                <w:lang w:val="en-US" w:eastAsia="zh-CN"/>
              </w:rPr>
              <w:t>59</w:t>
            </w:r>
          </w:p>
        </w:tc>
        <w:tc>
          <w:tcPr>
            <w:tcW w:w="1419" w:type="dxa"/>
            <w:vAlign w:val="center"/>
          </w:tcPr>
          <w:p>
            <w:pPr>
              <w:widowControl/>
              <w:spacing w:line="240" w:lineRule="auto"/>
              <w:ind w:firstLine="0" w:firstLineChars="0"/>
              <w:jc w:val="center"/>
              <w:rPr>
                <w:sz w:val="21"/>
                <w:szCs w:val="21"/>
                <w:u w:val="single"/>
              </w:rPr>
            </w:pPr>
            <w:r>
              <w:rPr>
                <w:rFonts w:hint="eastAsia"/>
                <w:sz w:val="21"/>
                <w:szCs w:val="21"/>
              </w:rPr>
              <w:t>2.38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119" w:type="dxa"/>
            <w:vAlign w:val="center"/>
          </w:tcPr>
          <w:p>
            <w:pPr>
              <w:widowControl/>
              <w:spacing w:line="240" w:lineRule="auto"/>
              <w:ind w:firstLine="0" w:firstLineChars="0"/>
              <w:jc w:val="center"/>
              <w:rPr>
                <w:sz w:val="21"/>
                <w:szCs w:val="21"/>
                <w:u w:val="single"/>
              </w:rPr>
            </w:pPr>
            <w:r>
              <w:rPr>
                <w:rFonts w:hint="eastAsia"/>
                <w:sz w:val="21"/>
                <w:szCs w:val="21"/>
              </w:rPr>
              <w:t>0.01</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w:t>
            </w:r>
            <w:r>
              <w:rPr>
                <w:rFonts w:hint="eastAsia" w:cs="宋体"/>
                <w:color w:val="000000" w:themeColor="text1"/>
                <w:kern w:val="0"/>
                <w:sz w:val="21"/>
                <w:szCs w:val="21"/>
                <w:u w:val="single"/>
                <w:lang w:bidi="ar"/>
                <w14:textFill>
                  <w14:solidFill>
                    <w14:schemeClr w14:val="tx1"/>
                  </w14:solidFill>
                </w14:textFill>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p>
        </w:tc>
        <w:tc>
          <w:tcPr>
            <w:tcW w:w="1304" w:type="dxa"/>
            <w:vAlign w:val="center"/>
          </w:tcPr>
          <w:p>
            <w:pPr>
              <w:adjustRightInd w:val="0"/>
              <w:snapToGrid w:val="0"/>
              <w:spacing w:line="360" w:lineRule="exact"/>
              <w:ind w:firstLine="0" w:firstLineChars="0"/>
              <w:jc w:val="center"/>
              <w:rPr>
                <w:rFonts w:cs="Times New Roman"/>
                <w:snapToGrid w:val="0"/>
                <w:kern w:val="18"/>
                <w:sz w:val="21"/>
                <w:szCs w:val="21"/>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color w:val="000000"/>
                <w:sz w:val="21"/>
                <w:szCs w:val="21"/>
                <w:u w:val="single"/>
                <w:lang w:bidi="ar"/>
              </w:rPr>
            </w:pPr>
            <w:r>
              <w:rPr>
                <w:rFonts w:hint="eastAsia"/>
                <w:color w:val="000000"/>
                <w:sz w:val="21"/>
                <w:szCs w:val="21"/>
              </w:rPr>
              <w:t>1</w:t>
            </w:r>
            <w:r>
              <w:rPr>
                <w:rFonts w:hint="eastAsia"/>
                <w:color w:val="000000"/>
                <w:sz w:val="21"/>
                <w:szCs w:val="21"/>
                <w:lang w:val="en-US" w:eastAsia="zh-CN"/>
              </w:rPr>
              <w:t>59</w:t>
            </w:r>
          </w:p>
        </w:tc>
        <w:tc>
          <w:tcPr>
            <w:tcW w:w="1419" w:type="dxa"/>
            <w:vAlign w:val="center"/>
          </w:tcPr>
          <w:p>
            <w:pPr>
              <w:widowControl/>
              <w:spacing w:line="240" w:lineRule="auto"/>
              <w:ind w:firstLine="0" w:firstLineChars="0"/>
              <w:jc w:val="center"/>
              <w:rPr>
                <w:sz w:val="21"/>
                <w:szCs w:val="21"/>
                <w:u w:val="single"/>
              </w:rPr>
            </w:pPr>
            <w:r>
              <w:rPr>
                <w:rFonts w:hint="eastAsia"/>
                <w:sz w:val="21"/>
                <w:szCs w:val="21"/>
              </w:rPr>
              <w:t>0.004997</w:t>
            </w:r>
          </w:p>
        </w:tc>
        <w:tc>
          <w:tcPr>
            <w:tcW w:w="1119" w:type="dxa"/>
            <w:vAlign w:val="center"/>
          </w:tcPr>
          <w:p>
            <w:pPr>
              <w:widowControl/>
              <w:spacing w:line="240" w:lineRule="auto"/>
              <w:ind w:firstLine="0" w:firstLineChars="0"/>
              <w:jc w:val="center"/>
              <w:rPr>
                <w:sz w:val="21"/>
                <w:szCs w:val="21"/>
                <w:u w:val="single"/>
              </w:rPr>
            </w:pPr>
            <w:r>
              <w:rPr>
                <w:rFonts w:hint="eastAsia"/>
                <w:sz w:val="21"/>
                <w:szCs w:val="21"/>
              </w:rPr>
              <w:t>0.25</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3#车间</w:t>
            </w:r>
          </w:p>
        </w:tc>
        <w:tc>
          <w:tcPr>
            <w:tcW w:w="1304" w:type="dxa"/>
            <w:vAlign w:val="center"/>
          </w:tcPr>
          <w:p>
            <w:pPr>
              <w:adjustRightInd w:val="0"/>
              <w:snapToGrid w:val="0"/>
              <w:spacing w:line="360" w:lineRule="exact"/>
              <w:ind w:firstLine="0" w:firstLineChars="0"/>
              <w:jc w:val="center"/>
              <w:rPr>
                <w:u w:val="single"/>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rFonts w:hint="default" w:eastAsia="宋体"/>
                <w:color w:val="000000"/>
                <w:sz w:val="21"/>
                <w:szCs w:val="21"/>
                <w:u w:val="single"/>
                <w:lang w:val="en-US" w:eastAsia="zh-CN" w:bidi="ar"/>
              </w:rPr>
            </w:pPr>
            <w:r>
              <w:rPr>
                <w:rFonts w:hint="eastAsia"/>
                <w:color w:val="000000"/>
                <w:sz w:val="21"/>
                <w:szCs w:val="21"/>
                <w:u w:val="single"/>
                <w:lang w:val="en-US" w:eastAsia="zh-CN" w:bidi="ar"/>
              </w:rPr>
              <w:t>156</w:t>
            </w:r>
          </w:p>
        </w:tc>
        <w:tc>
          <w:tcPr>
            <w:tcW w:w="1419" w:type="dxa"/>
            <w:vAlign w:val="center"/>
          </w:tcPr>
          <w:p>
            <w:pPr>
              <w:widowControl/>
              <w:spacing w:line="240" w:lineRule="auto"/>
              <w:ind w:firstLine="0" w:firstLineChars="0"/>
              <w:jc w:val="center"/>
              <w:rPr>
                <w:sz w:val="21"/>
                <w:szCs w:val="21"/>
                <w:u w:val="single"/>
              </w:rPr>
            </w:pPr>
            <w:r>
              <w:rPr>
                <w:rFonts w:hint="eastAsia"/>
                <w:sz w:val="21"/>
                <w:szCs w:val="21"/>
              </w:rPr>
              <w:t>0.009018</w:t>
            </w:r>
          </w:p>
        </w:tc>
        <w:tc>
          <w:tcPr>
            <w:tcW w:w="1119" w:type="dxa"/>
            <w:vAlign w:val="center"/>
          </w:tcPr>
          <w:p>
            <w:pPr>
              <w:widowControl/>
              <w:spacing w:line="240" w:lineRule="auto"/>
              <w:ind w:firstLine="0" w:firstLineChars="0"/>
              <w:jc w:val="center"/>
              <w:rPr>
                <w:sz w:val="21"/>
                <w:szCs w:val="21"/>
                <w:u w:val="single"/>
              </w:rPr>
            </w:pPr>
            <w:r>
              <w:rPr>
                <w:rFonts w:hint="eastAsia"/>
                <w:sz w:val="21"/>
                <w:szCs w:val="21"/>
              </w:rPr>
              <w:t>2.00</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p>
        </w:tc>
        <w:tc>
          <w:tcPr>
            <w:tcW w:w="1304" w:type="dxa"/>
            <w:vAlign w:val="center"/>
          </w:tcPr>
          <w:p>
            <w:pPr>
              <w:adjustRightInd w:val="0"/>
              <w:snapToGrid w:val="0"/>
              <w:spacing w:line="360" w:lineRule="exact"/>
              <w:ind w:firstLine="0" w:firstLineChars="0"/>
              <w:jc w:val="center"/>
              <w:rPr>
                <w:rFonts w:cs="Times New Roman"/>
                <w:snapToGrid w:val="0"/>
                <w:kern w:val="18"/>
                <w:sz w:val="21"/>
                <w:szCs w:val="21"/>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rFonts w:hint="default" w:eastAsia="宋体"/>
                <w:color w:val="000000"/>
                <w:sz w:val="21"/>
                <w:szCs w:val="21"/>
                <w:u w:val="single"/>
                <w:lang w:val="en-US" w:eastAsia="zh-CN" w:bidi="ar"/>
              </w:rPr>
            </w:pPr>
            <w:r>
              <w:rPr>
                <w:rFonts w:hint="eastAsia"/>
                <w:color w:val="000000"/>
                <w:sz w:val="21"/>
                <w:szCs w:val="21"/>
                <w:u w:val="single"/>
                <w:lang w:val="en-US" w:eastAsia="zh-CN" w:bidi="ar"/>
              </w:rPr>
              <w:t>156</w:t>
            </w:r>
          </w:p>
        </w:tc>
        <w:tc>
          <w:tcPr>
            <w:tcW w:w="1419" w:type="dxa"/>
            <w:vAlign w:val="center"/>
          </w:tcPr>
          <w:p>
            <w:pPr>
              <w:widowControl/>
              <w:spacing w:line="240" w:lineRule="auto"/>
              <w:ind w:firstLine="0" w:firstLineChars="0"/>
              <w:jc w:val="center"/>
              <w:rPr>
                <w:sz w:val="21"/>
                <w:szCs w:val="21"/>
                <w:u w:val="single"/>
              </w:rPr>
            </w:pPr>
            <w:r>
              <w:rPr>
                <w:rFonts w:hint="eastAsia"/>
                <w:sz w:val="21"/>
                <w:szCs w:val="21"/>
              </w:rPr>
              <w:t>0.006866</w:t>
            </w:r>
          </w:p>
        </w:tc>
        <w:tc>
          <w:tcPr>
            <w:tcW w:w="1119" w:type="dxa"/>
            <w:vAlign w:val="center"/>
          </w:tcPr>
          <w:p>
            <w:pPr>
              <w:widowControl/>
              <w:spacing w:line="240" w:lineRule="auto"/>
              <w:ind w:firstLine="0" w:firstLineChars="0"/>
              <w:jc w:val="center"/>
              <w:rPr>
                <w:sz w:val="21"/>
                <w:szCs w:val="21"/>
                <w:u w:val="single"/>
              </w:rPr>
            </w:pPr>
            <w:r>
              <w:rPr>
                <w:rFonts w:hint="eastAsia"/>
                <w:sz w:val="21"/>
                <w:szCs w:val="21"/>
              </w:rPr>
              <w:t>0.34</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w:t>
            </w:r>
            <w:r>
              <w:rPr>
                <w:rFonts w:hint="eastAsia" w:cs="宋体"/>
                <w:color w:val="000000" w:themeColor="text1"/>
                <w:kern w:val="0"/>
                <w:sz w:val="21"/>
                <w:szCs w:val="21"/>
                <w:u w:val="single"/>
                <w:lang w:bidi="ar"/>
                <w14:textFill>
                  <w14:solidFill>
                    <w14:schemeClr w14:val="tx1"/>
                  </w14:solidFill>
                </w14:textFill>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p>
        </w:tc>
        <w:tc>
          <w:tcPr>
            <w:tcW w:w="1304" w:type="dxa"/>
            <w:vAlign w:val="center"/>
          </w:tcPr>
          <w:p>
            <w:pPr>
              <w:adjustRightInd w:val="0"/>
              <w:snapToGrid w:val="0"/>
              <w:spacing w:line="360" w:lineRule="exact"/>
              <w:ind w:firstLine="0" w:firstLineChars="0"/>
              <w:jc w:val="center"/>
              <w:rPr>
                <w:rFonts w:cs="Times New Roman"/>
                <w:snapToGrid w:val="0"/>
                <w:kern w:val="18"/>
                <w:sz w:val="21"/>
                <w:szCs w:val="21"/>
                <w:u w:val="single"/>
              </w:rPr>
            </w:pPr>
            <w:r>
              <w:rPr>
                <w:rFonts w:hint="eastAsia" w:cs="Times New Roman"/>
                <w:snapToGrid w:val="0"/>
                <w:kern w:val="18"/>
                <w:sz w:val="21"/>
                <w:szCs w:val="21"/>
                <w:u w:val="single"/>
              </w:rPr>
              <w:t>硫化氢</w:t>
            </w:r>
          </w:p>
        </w:tc>
        <w:tc>
          <w:tcPr>
            <w:tcW w:w="1800" w:type="dxa"/>
            <w:vAlign w:val="center"/>
          </w:tcPr>
          <w:p>
            <w:pPr>
              <w:widowControl/>
              <w:autoSpaceDE w:val="0"/>
              <w:autoSpaceDN w:val="0"/>
              <w:spacing w:line="240" w:lineRule="auto"/>
              <w:ind w:firstLine="0" w:firstLineChars="0"/>
              <w:jc w:val="center"/>
              <w:rPr>
                <w:rFonts w:hint="default" w:eastAsia="宋体"/>
                <w:color w:val="000000"/>
                <w:sz w:val="21"/>
                <w:szCs w:val="21"/>
                <w:u w:val="single"/>
                <w:lang w:val="en-US" w:eastAsia="zh-CN" w:bidi="ar"/>
              </w:rPr>
            </w:pPr>
            <w:r>
              <w:rPr>
                <w:rFonts w:hint="eastAsia"/>
                <w:color w:val="000000"/>
                <w:sz w:val="21"/>
                <w:szCs w:val="21"/>
                <w:u w:val="single"/>
                <w:lang w:val="en-US" w:eastAsia="zh-CN" w:bidi="ar"/>
              </w:rPr>
              <w:t>156</w:t>
            </w:r>
          </w:p>
        </w:tc>
        <w:tc>
          <w:tcPr>
            <w:tcW w:w="1419" w:type="dxa"/>
            <w:vAlign w:val="center"/>
          </w:tcPr>
          <w:p>
            <w:pPr>
              <w:widowControl/>
              <w:spacing w:line="240" w:lineRule="auto"/>
              <w:ind w:firstLine="0" w:firstLineChars="0"/>
              <w:jc w:val="center"/>
              <w:rPr>
                <w:sz w:val="21"/>
                <w:szCs w:val="21"/>
                <w:u w:val="single"/>
              </w:rPr>
            </w:pPr>
            <w:r>
              <w:rPr>
                <w:rFonts w:hint="eastAsia"/>
                <w:sz w:val="21"/>
                <w:szCs w:val="21"/>
              </w:rPr>
              <w:t>8.17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119" w:type="dxa"/>
            <w:vAlign w:val="center"/>
          </w:tcPr>
          <w:p>
            <w:pPr>
              <w:widowControl/>
              <w:spacing w:line="240" w:lineRule="auto"/>
              <w:ind w:firstLine="0" w:firstLineChars="0"/>
              <w:jc w:val="center"/>
              <w:rPr>
                <w:sz w:val="21"/>
                <w:szCs w:val="21"/>
                <w:u w:val="single"/>
              </w:rPr>
            </w:pPr>
            <w:r>
              <w:rPr>
                <w:rFonts w:hint="eastAsia"/>
                <w:sz w:val="21"/>
                <w:szCs w:val="21"/>
              </w:rPr>
              <w:t>0.82</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5#车间</w:t>
            </w:r>
          </w:p>
        </w:tc>
        <w:tc>
          <w:tcPr>
            <w:tcW w:w="1304" w:type="dxa"/>
            <w:vAlign w:val="center"/>
          </w:tcPr>
          <w:p>
            <w:pPr>
              <w:adjustRightInd w:val="0"/>
              <w:snapToGrid w:val="0"/>
              <w:spacing w:line="360" w:lineRule="exact"/>
              <w:ind w:firstLine="0" w:firstLineChars="0"/>
              <w:jc w:val="center"/>
              <w:rPr>
                <w:rFonts w:cs="Times New Roman"/>
                <w:snapToGrid w:val="0"/>
                <w:kern w:val="18"/>
                <w:sz w:val="21"/>
                <w:szCs w:val="21"/>
                <w:u w:val="single"/>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color w:val="000000"/>
                <w:sz w:val="21"/>
                <w:szCs w:val="21"/>
                <w:u w:val="single"/>
                <w:lang w:bidi="ar"/>
              </w:rPr>
            </w:pPr>
            <w:r>
              <w:rPr>
                <w:rFonts w:hint="eastAsia"/>
                <w:color w:val="000000"/>
                <w:sz w:val="21"/>
                <w:szCs w:val="21"/>
                <w:u w:val="single"/>
                <w:lang w:bidi="ar"/>
              </w:rPr>
              <w:t>148</w:t>
            </w:r>
          </w:p>
        </w:tc>
        <w:tc>
          <w:tcPr>
            <w:tcW w:w="1419" w:type="dxa"/>
            <w:vAlign w:val="center"/>
          </w:tcPr>
          <w:p>
            <w:pPr>
              <w:widowControl/>
              <w:spacing w:line="240" w:lineRule="auto"/>
              <w:ind w:firstLine="0" w:firstLineChars="0"/>
              <w:jc w:val="center"/>
              <w:rPr>
                <w:sz w:val="21"/>
                <w:szCs w:val="21"/>
                <w:u w:val="single"/>
              </w:rPr>
            </w:pPr>
            <w:r>
              <w:rPr>
                <w:rFonts w:hint="eastAsia"/>
                <w:sz w:val="21"/>
                <w:szCs w:val="21"/>
              </w:rPr>
              <w:t>0.000242</w:t>
            </w:r>
          </w:p>
        </w:tc>
        <w:tc>
          <w:tcPr>
            <w:tcW w:w="1119" w:type="dxa"/>
            <w:vAlign w:val="center"/>
          </w:tcPr>
          <w:p>
            <w:pPr>
              <w:widowControl/>
              <w:spacing w:line="240" w:lineRule="auto"/>
              <w:ind w:firstLine="0" w:firstLineChars="0"/>
              <w:jc w:val="center"/>
              <w:rPr>
                <w:sz w:val="21"/>
                <w:szCs w:val="21"/>
                <w:u w:val="single"/>
              </w:rPr>
            </w:pPr>
            <w:r>
              <w:rPr>
                <w:rFonts w:hint="eastAsia"/>
                <w:sz w:val="21"/>
                <w:szCs w:val="21"/>
              </w:rPr>
              <w:t>0.05</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p>
        </w:tc>
        <w:tc>
          <w:tcPr>
            <w:tcW w:w="1304" w:type="dxa"/>
            <w:vAlign w:val="center"/>
          </w:tcPr>
          <w:p>
            <w:pPr>
              <w:adjustRightInd w:val="0"/>
              <w:snapToGrid w:val="0"/>
              <w:spacing w:line="360" w:lineRule="exact"/>
              <w:ind w:firstLine="0" w:firstLineChars="0"/>
              <w:jc w:val="center"/>
              <w:rPr>
                <w:rFonts w:cs="Times New Roman"/>
                <w:snapToGrid w:val="0"/>
                <w:kern w:val="18"/>
                <w:sz w:val="21"/>
                <w:szCs w:val="21"/>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color w:val="000000"/>
                <w:sz w:val="21"/>
                <w:szCs w:val="21"/>
                <w:u w:val="single"/>
                <w:lang w:bidi="ar"/>
              </w:rPr>
            </w:pPr>
            <w:r>
              <w:rPr>
                <w:rFonts w:hint="eastAsia"/>
                <w:color w:val="000000"/>
                <w:sz w:val="21"/>
                <w:szCs w:val="21"/>
                <w:u w:val="single"/>
                <w:lang w:bidi="ar"/>
              </w:rPr>
              <w:t>148</w:t>
            </w:r>
          </w:p>
        </w:tc>
        <w:tc>
          <w:tcPr>
            <w:tcW w:w="1419" w:type="dxa"/>
            <w:vAlign w:val="center"/>
          </w:tcPr>
          <w:p>
            <w:pPr>
              <w:widowControl/>
              <w:spacing w:line="240" w:lineRule="auto"/>
              <w:ind w:firstLine="0" w:firstLineChars="0"/>
              <w:jc w:val="center"/>
              <w:rPr>
                <w:sz w:val="21"/>
                <w:szCs w:val="21"/>
                <w:u w:val="single"/>
              </w:rPr>
            </w:pPr>
            <w:r>
              <w:rPr>
                <w:rFonts w:hint="eastAsia"/>
                <w:sz w:val="21"/>
                <w:szCs w:val="21"/>
              </w:rPr>
              <w:t>0.02234</w:t>
            </w:r>
          </w:p>
        </w:tc>
        <w:tc>
          <w:tcPr>
            <w:tcW w:w="1119" w:type="dxa"/>
            <w:vAlign w:val="center"/>
          </w:tcPr>
          <w:p>
            <w:pPr>
              <w:widowControl/>
              <w:spacing w:line="240" w:lineRule="auto"/>
              <w:ind w:firstLine="0" w:firstLineChars="0"/>
              <w:jc w:val="center"/>
              <w:rPr>
                <w:sz w:val="21"/>
                <w:szCs w:val="21"/>
                <w:u w:val="single"/>
              </w:rPr>
            </w:pPr>
            <w:r>
              <w:rPr>
                <w:rFonts w:hint="eastAsia"/>
                <w:sz w:val="21"/>
                <w:szCs w:val="21"/>
              </w:rPr>
              <w:t>1.12</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eastAsia="zh-CN" w:bidi="ar"/>
                <w14:textFill>
                  <w14:solidFill>
                    <w14:schemeClr w14:val="tx1"/>
                  </w14:solidFill>
                </w14:textFill>
              </w:rPr>
              <w:t>二</w:t>
            </w:r>
            <w:r>
              <w:rPr>
                <w:rFonts w:hint="eastAsia" w:cs="宋体"/>
                <w:color w:val="000000" w:themeColor="text1"/>
                <w:kern w:val="0"/>
                <w:sz w:val="21"/>
                <w:szCs w:val="21"/>
                <w:u w:val="single"/>
                <w:lang w:bidi="ar"/>
                <w14:textFill>
                  <w14:solidFill>
                    <w14:schemeClr w14:val="tx1"/>
                  </w14:solidFill>
                </w14:textFill>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6#车间</w:t>
            </w:r>
          </w:p>
        </w:tc>
        <w:tc>
          <w:tcPr>
            <w:tcW w:w="1304" w:type="dxa"/>
            <w:vAlign w:val="center"/>
          </w:tcPr>
          <w:p>
            <w:pPr>
              <w:adjustRightInd w:val="0"/>
              <w:snapToGrid w:val="0"/>
              <w:spacing w:line="360" w:lineRule="exact"/>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Times New Roman"/>
                <w:snapToGrid w:val="0"/>
                <w:kern w:val="18"/>
                <w:sz w:val="21"/>
                <w:szCs w:val="21"/>
                <w:u w:val="single"/>
              </w:rPr>
              <w:t>颗粒物</w:t>
            </w:r>
          </w:p>
        </w:tc>
        <w:tc>
          <w:tcPr>
            <w:tcW w:w="1800"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cs="宋体"/>
                <w:color w:val="000000" w:themeColor="text1"/>
                <w:kern w:val="0"/>
                <w:sz w:val="21"/>
                <w:szCs w:val="21"/>
                <w:u w:val="single"/>
                <w:lang w:bidi="ar"/>
                <w14:textFill>
                  <w14:solidFill>
                    <w14:schemeClr w14:val="tx1"/>
                  </w14:solidFill>
                </w14:textFill>
              </w:rPr>
              <w:t>148</w:t>
            </w:r>
          </w:p>
        </w:tc>
        <w:tc>
          <w:tcPr>
            <w:tcW w:w="1419" w:type="dxa"/>
            <w:vAlign w:val="center"/>
          </w:tcPr>
          <w:p>
            <w:pPr>
              <w:widowControl/>
              <w:spacing w:line="240" w:lineRule="auto"/>
              <w:ind w:firstLine="0" w:firstLineChars="0"/>
              <w:jc w:val="center"/>
              <w:rPr>
                <w:color w:val="000000" w:themeColor="text1"/>
                <w:sz w:val="21"/>
                <w:szCs w:val="21"/>
                <w:u w:val="single"/>
                <w14:textFill>
                  <w14:solidFill>
                    <w14:schemeClr w14:val="tx1"/>
                  </w14:solidFill>
                </w14:textFill>
              </w:rPr>
            </w:pPr>
            <w:r>
              <w:rPr>
                <w:rFonts w:hint="eastAsia"/>
                <w:sz w:val="21"/>
                <w:szCs w:val="21"/>
              </w:rPr>
              <w:t>3.976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119" w:type="dxa"/>
            <w:vAlign w:val="center"/>
          </w:tcPr>
          <w:p>
            <w:pPr>
              <w:widowControl/>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sz w:val="21"/>
                <w:szCs w:val="21"/>
              </w:rPr>
              <w:t>0.01</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p>
        </w:tc>
        <w:tc>
          <w:tcPr>
            <w:tcW w:w="1304" w:type="dxa"/>
            <w:vAlign w:val="center"/>
          </w:tcPr>
          <w:p>
            <w:pPr>
              <w:adjustRightInd w:val="0"/>
              <w:snapToGrid w:val="0"/>
              <w:spacing w:line="360" w:lineRule="exact"/>
              <w:ind w:firstLine="0" w:firstLineChars="0"/>
              <w:jc w:val="center"/>
              <w:rPr>
                <w:u w:val="single"/>
              </w:rPr>
            </w:pPr>
            <w:r>
              <w:rPr>
                <w:rFonts w:hint="eastAsia" w:cs="Times New Roman"/>
                <w:snapToGrid w:val="0"/>
                <w:kern w:val="18"/>
                <w:sz w:val="21"/>
                <w:szCs w:val="21"/>
                <w:u w:val="single"/>
              </w:rPr>
              <w:t>非甲烷总烃</w:t>
            </w:r>
          </w:p>
        </w:tc>
        <w:tc>
          <w:tcPr>
            <w:tcW w:w="1800" w:type="dxa"/>
            <w:vAlign w:val="center"/>
          </w:tcPr>
          <w:p>
            <w:pPr>
              <w:widowControl/>
              <w:autoSpaceDE w:val="0"/>
              <w:autoSpaceDN w:val="0"/>
              <w:spacing w:line="240" w:lineRule="auto"/>
              <w:ind w:firstLine="0" w:firstLineChars="0"/>
              <w:jc w:val="center"/>
              <w:rPr>
                <w:sz w:val="21"/>
                <w:szCs w:val="21"/>
                <w:u w:val="single"/>
              </w:rPr>
            </w:pPr>
            <w:r>
              <w:rPr>
                <w:sz w:val="21"/>
                <w:szCs w:val="21"/>
                <w:u w:val="single"/>
              </w:rPr>
              <w:t>148</w:t>
            </w:r>
          </w:p>
        </w:tc>
        <w:tc>
          <w:tcPr>
            <w:tcW w:w="1419" w:type="dxa"/>
            <w:vAlign w:val="center"/>
          </w:tcPr>
          <w:p>
            <w:pPr>
              <w:widowControl/>
              <w:spacing w:line="240" w:lineRule="auto"/>
              <w:ind w:firstLine="0" w:firstLineChars="0"/>
              <w:jc w:val="center"/>
              <w:rPr>
                <w:color w:val="000000"/>
                <w:kern w:val="0"/>
                <w:sz w:val="21"/>
                <w:szCs w:val="21"/>
                <w:u w:val="single"/>
                <w:lang w:bidi="ar"/>
              </w:rPr>
            </w:pPr>
            <w:r>
              <w:rPr>
                <w:rFonts w:hint="eastAsia"/>
                <w:sz w:val="21"/>
                <w:szCs w:val="21"/>
              </w:rPr>
              <w:t>0.01554</w:t>
            </w:r>
          </w:p>
        </w:tc>
        <w:tc>
          <w:tcPr>
            <w:tcW w:w="1119" w:type="dxa"/>
            <w:vAlign w:val="center"/>
          </w:tcPr>
          <w:p>
            <w:pPr>
              <w:widowControl/>
              <w:spacing w:line="240" w:lineRule="auto"/>
              <w:ind w:firstLine="0" w:firstLineChars="0"/>
              <w:jc w:val="center"/>
              <w:rPr>
                <w:color w:val="000000"/>
                <w:kern w:val="0"/>
                <w:sz w:val="21"/>
                <w:szCs w:val="21"/>
                <w:u w:val="single"/>
                <w:lang w:bidi="ar"/>
              </w:rPr>
            </w:pPr>
            <w:r>
              <w:rPr>
                <w:rFonts w:hint="eastAsia"/>
                <w:sz w:val="21"/>
                <w:szCs w:val="21"/>
              </w:rPr>
              <w:t>0.78</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u w:val="single"/>
                <w:lang w:bidi="ar"/>
                <w14:textFill>
                  <w14:solidFill>
                    <w14:schemeClr w14:val="tx1"/>
                  </w14:solidFill>
                </w14:textFill>
              </w:rPr>
            </w:pPr>
            <w:r>
              <w:rPr>
                <w:rFonts w:hint="eastAsia" w:cs="宋体"/>
                <w:color w:val="000000" w:themeColor="text1"/>
                <w:kern w:val="0"/>
                <w:sz w:val="21"/>
                <w:szCs w:val="21"/>
                <w:u w:val="single"/>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restart"/>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污水处理站</w:t>
            </w:r>
          </w:p>
        </w:tc>
        <w:tc>
          <w:tcPr>
            <w:tcW w:w="1304" w:type="dxa"/>
            <w:vAlign w:val="center"/>
          </w:tcPr>
          <w:p>
            <w:pPr>
              <w:adjustRightInd w:val="0"/>
              <w:snapToGrid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cs="Times New Roman"/>
                <w:snapToGrid w:val="0"/>
                <w:kern w:val="18"/>
                <w:sz w:val="21"/>
                <w:szCs w:val="21"/>
              </w:rPr>
              <w:t>氨</w:t>
            </w:r>
          </w:p>
        </w:tc>
        <w:tc>
          <w:tcPr>
            <w:tcW w:w="1800"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100</w:t>
            </w:r>
          </w:p>
        </w:tc>
        <w:tc>
          <w:tcPr>
            <w:tcW w:w="1419" w:type="dxa"/>
            <w:vAlign w:val="center"/>
          </w:tcPr>
          <w:p>
            <w:pPr>
              <w:widowControl/>
              <w:spacing w:line="240" w:lineRule="auto"/>
              <w:ind w:firstLine="0" w:firstLineChars="0"/>
              <w:jc w:val="center"/>
              <w:rPr>
                <w:sz w:val="21"/>
                <w:szCs w:val="21"/>
              </w:rPr>
            </w:pPr>
            <w:r>
              <w:rPr>
                <w:rFonts w:hint="eastAsia"/>
                <w:sz w:val="21"/>
                <w:szCs w:val="21"/>
              </w:rPr>
              <w:t>0.001395</w:t>
            </w:r>
          </w:p>
        </w:tc>
        <w:tc>
          <w:tcPr>
            <w:tcW w:w="1119" w:type="dxa"/>
            <w:vAlign w:val="center"/>
          </w:tcPr>
          <w:p>
            <w:pPr>
              <w:widowControl/>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sz w:val="21"/>
                <w:szCs w:val="21"/>
              </w:rPr>
              <w:t>0.0</w:t>
            </w:r>
            <w:r>
              <w:rPr>
                <w:rFonts w:hint="eastAsia"/>
                <w:sz w:val="21"/>
                <w:szCs w:val="21"/>
                <w:lang w:val="en-US" w:eastAsia="zh-CN"/>
              </w:rPr>
              <w:t>1</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00" w:type="dxa"/>
            <w:vMerge w:val="continue"/>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p>
        </w:tc>
        <w:tc>
          <w:tcPr>
            <w:tcW w:w="1304" w:type="dxa"/>
            <w:vAlign w:val="center"/>
          </w:tcPr>
          <w:p>
            <w:pPr>
              <w:adjustRightInd w:val="0"/>
              <w:snapToGrid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cs="Times New Roman"/>
                <w:snapToGrid w:val="0"/>
                <w:kern w:val="18"/>
                <w:sz w:val="21"/>
                <w:szCs w:val="21"/>
              </w:rPr>
              <w:t>硫化氢</w:t>
            </w:r>
          </w:p>
        </w:tc>
        <w:tc>
          <w:tcPr>
            <w:tcW w:w="1800"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100</w:t>
            </w:r>
          </w:p>
        </w:tc>
        <w:tc>
          <w:tcPr>
            <w:tcW w:w="1419" w:type="dxa"/>
            <w:vAlign w:val="center"/>
          </w:tcPr>
          <w:p>
            <w:pPr>
              <w:widowControl/>
              <w:spacing w:line="240" w:lineRule="auto"/>
              <w:ind w:firstLine="0" w:firstLineChars="0"/>
              <w:jc w:val="center"/>
              <w:rPr>
                <w:sz w:val="21"/>
                <w:szCs w:val="21"/>
              </w:rPr>
            </w:pPr>
            <w:r>
              <w:rPr>
                <w:rFonts w:hint="eastAsia"/>
                <w:sz w:val="21"/>
                <w:szCs w:val="21"/>
              </w:rPr>
              <w:t>1.032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119" w:type="dxa"/>
            <w:vAlign w:val="center"/>
          </w:tcPr>
          <w:p>
            <w:pPr>
              <w:widowControl/>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sz w:val="21"/>
                <w:szCs w:val="21"/>
              </w:rPr>
              <w:t>0.01</w:t>
            </w:r>
          </w:p>
        </w:tc>
        <w:tc>
          <w:tcPr>
            <w:tcW w:w="1062"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w:t>
            </w:r>
          </w:p>
        </w:tc>
        <w:tc>
          <w:tcPr>
            <w:tcW w:w="1084" w:type="dxa"/>
            <w:vAlign w:val="center"/>
          </w:tcPr>
          <w:p>
            <w:pPr>
              <w:widowControl/>
              <w:autoSpaceDE w:val="0"/>
              <w:autoSpaceDN w:val="0"/>
              <w:spacing w:line="240" w:lineRule="auto"/>
              <w:ind w:firstLine="0" w:firstLineChars="0"/>
              <w:jc w:val="center"/>
              <w:rPr>
                <w:rFonts w:cs="宋体"/>
                <w:color w:val="000000" w:themeColor="text1"/>
                <w:kern w:val="0"/>
                <w:sz w:val="21"/>
                <w:szCs w:val="21"/>
                <w:lang w:bidi="ar"/>
                <w14:textFill>
                  <w14:solidFill>
                    <w14:schemeClr w14:val="tx1"/>
                  </w14:solidFill>
                </w14:textFill>
              </w:rPr>
            </w:pPr>
            <w:r>
              <w:rPr>
                <w:rFonts w:hint="eastAsia" w:cs="宋体"/>
                <w:color w:val="000000" w:themeColor="text1"/>
                <w:kern w:val="0"/>
                <w:sz w:val="21"/>
                <w:szCs w:val="21"/>
                <w:lang w:bidi="ar"/>
                <w14:textFill>
                  <w14:solidFill>
                    <w14:schemeClr w14:val="tx1"/>
                  </w14:solidFill>
                </w14:textFill>
              </w:rPr>
              <w:t>三级</w:t>
            </w:r>
          </w:p>
        </w:tc>
      </w:tr>
      <w:bookmarkEnd w:id="150"/>
    </w:tbl>
    <w:p>
      <w:pPr>
        <w:widowControl/>
        <w:ind w:firstLine="480"/>
      </w:pPr>
      <w:r>
        <w:rPr>
          <w:rFonts w:hint="eastAsia" w:ascii="宋体" w:hAnsi="宋体" w:cs="宋体"/>
          <w:color w:val="000000"/>
          <w:kern w:val="0"/>
          <w:lang w:bidi="ar"/>
        </w:rPr>
        <w:t>由表</w:t>
      </w:r>
      <w:r>
        <w:rPr>
          <w:rFonts w:cs="Times New Roman"/>
          <w:color w:val="000000"/>
          <w:kern w:val="0"/>
          <w:lang w:bidi="ar"/>
        </w:rPr>
        <w:t>6.2-</w:t>
      </w:r>
      <w:r>
        <w:rPr>
          <w:rFonts w:hint="eastAsia" w:cs="Times New Roman"/>
          <w:color w:val="000000"/>
          <w:kern w:val="0"/>
          <w:lang w:bidi="ar"/>
        </w:rPr>
        <w:t>13</w:t>
      </w:r>
      <w:r>
        <w:rPr>
          <w:rFonts w:hint="eastAsia" w:ascii="宋体" w:hAnsi="宋体" w:cs="宋体"/>
          <w:color w:val="000000"/>
          <w:kern w:val="0"/>
          <w:lang w:bidi="ar"/>
        </w:rPr>
        <w:t>可知，本次工程最大占标率</w:t>
      </w:r>
      <w:r>
        <w:rPr>
          <w:rFonts w:cs="Times New Roman"/>
          <w:color w:val="000000"/>
          <w:kern w:val="0"/>
          <w:lang w:bidi="ar"/>
        </w:rPr>
        <w:t>Pmax=</w:t>
      </w:r>
      <w:r>
        <w:rPr>
          <w:rFonts w:hint="eastAsia" w:cs="Times New Roman"/>
          <w:color w:val="000000"/>
          <w:kern w:val="0"/>
          <w:lang w:val="en-US" w:eastAsia="zh-CN" w:bidi="ar"/>
        </w:rPr>
        <w:t>2.00</w:t>
      </w:r>
      <w:r>
        <w:rPr>
          <w:rFonts w:cs="Times New Roman"/>
          <w:color w:val="000000"/>
          <w:kern w:val="0"/>
          <w:lang w:bidi="ar"/>
        </w:rPr>
        <w:t>%</w:t>
      </w:r>
      <w:r>
        <w:rPr>
          <w:rFonts w:hint="eastAsia" w:ascii="宋体" w:hAnsi="宋体" w:cs="宋体"/>
          <w:color w:val="000000"/>
          <w:kern w:val="0"/>
          <w:lang w:bidi="ar"/>
        </w:rPr>
        <w:t>，大气环境影响评价等级为二级。</w:t>
      </w:r>
    </w:p>
    <w:p>
      <w:pPr>
        <w:widowControl/>
        <w:ind w:firstLine="480"/>
        <w:rPr>
          <w:rFonts w:ascii="宋体" w:hAnsi="宋体" w:cs="宋体"/>
          <w:color w:val="000000"/>
          <w:kern w:val="0"/>
          <w:lang w:bidi="ar"/>
        </w:rPr>
      </w:pPr>
      <w:r>
        <w:rPr>
          <w:rFonts w:hint="eastAsia" w:ascii="宋体" w:hAnsi="宋体" w:cs="宋体"/>
          <w:color w:val="000000"/>
          <w:kern w:val="0"/>
          <w:lang w:bidi="ar"/>
        </w:rPr>
        <w:t>根据《环境影响评价技术导则大气环境》</w:t>
      </w:r>
      <w:r>
        <w:rPr>
          <w:rFonts w:hint="eastAsia" w:cs="Times New Roman"/>
          <w:color w:val="000000"/>
          <w:kern w:val="0"/>
          <w:lang w:bidi="ar"/>
        </w:rPr>
        <w:t>（</w:t>
      </w:r>
      <w:r>
        <w:rPr>
          <w:rFonts w:cs="Times New Roman"/>
          <w:color w:val="000000"/>
          <w:kern w:val="0"/>
          <w:lang w:bidi="ar"/>
        </w:rPr>
        <w:t>HJ2.2-2018</w:t>
      </w:r>
      <w:r>
        <w:rPr>
          <w:rFonts w:hint="eastAsia" w:cs="Times New Roman"/>
          <w:color w:val="000000"/>
          <w:kern w:val="0"/>
          <w:lang w:bidi="ar"/>
        </w:rPr>
        <w:t>）</w:t>
      </w:r>
      <w:r>
        <w:rPr>
          <w:rFonts w:hint="eastAsia" w:ascii="宋体" w:hAnsi="宋体" w:cs="宋体"/>
          <w:color w:val="000000"/>
          <w:kern w:val="0"/>
          <w:lang w:bidi="ar"/>
        </w:rPr>
        <w:t>相关要求，确定本项目的评价等级为二级评价，二级评价项目大气环境影响评价范围边长取</w:t>
      </w:r>
      <w:r>
        <w:rPr>
          <w:rFonts w:cs="Times New Roman"/>
          <w:color w:val="000000"/>
          <w:kern w:val="0"/>
          <w:lang w:bidi="ar"/>
        </w:rPr>
        <w:t>5km</w:t>
      </w:r>
      <w:r>
        <w:rPr>
          <w:rFonts w:hint="eastAsia" w:ascii="宋体" w:hAnsi="宋体" w:cs="宋体"/>
          <w:color w:val="000000"/>
          <w:kern w:val="0"/>
          <w:lang w:bidi="ar"/>
        </w:rPr>
        <w:t>。二级评价项目不进行进一步预测和评价，只对污染物排放量进行核算。</w:t>
      </w:r>
    </w:p>
    <w:p>
      <w:pPr>
        <w:ind w:firstLine="0" w:firstLineChars="0"/>
        <w:jc w:val="center"/>
        <w:rPr>
          <w:b/>
          <w:bCs/>
        </w:rPr>
      </w:pPr>
      <w:r>
        <w:rPr>
          <w:b/>
          <w:bCs/>
        </w:rPr>
        <w:t>6.2-</w:t>
      </w:r>
      <w:r>
        <w:rPr>
          <w:rFonts w:hint="eastAsia"/>
          <w:b/>
          <w:bCs/>
        </w:rPr>
        <w:t>14  正常工况下废气排气筒最大落地浓度预测结果</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5"/>
        <w:gridCol w:w="1288"/>
        <w:gridCol w:w="1136"/>
        <w:gridCol w:w="1511"/>
        <w:gridCol w:w="1432"/>
        <w:gridCol w:w="1189"/>
        <w:gridCol w:w="1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7671" w:type="dxa"/>
            <w:gridSpan w:val="6"/>
            <w:vAlign w:val="center"/>
          </w:tcPr>
          <w:p>
            <w:pPr>
              <w:spacing w:line="240" w:lineRule="auto"/>
              <w:ind w:firstLine="0" w:firstLineChars="0"/>
              <w:jc w:val="center"/>
              <w:rPr>
                <w:sz w:val="21"/>
                <w:szCs w:val="21"/>
              </w:rPr>
            </w:pPr>
            <w:r>
              <w:rPr>
                <w:rFonts w:hint="eastAsia"/>
                <w:sz w:val="21"/>
                <w:szCs w:val="21"/>
              </w:rPr>
              <w:t>DA001排气筒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17" w:type="dxa"/>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290" w:type="dxa"/>
            <w:vAlign w:val="center"/>
          </w:tcPr>
          <w:p>
            <w:pPr>
              <w:widowControl/>
              <w:spacing w:line="240" w:lineRule="auto"/>
              <w:ind w:firstLine="0" w:firstLineChars="0"/>
              <w:jc w:val="center"/>
              <w:rPr>
                <w:sz w:val="21"/>
                <w:szCs w:val="21"/>
              </w:rPr>
            </w:pPr>
            <w:r>
              <w:rPr>
                <w:rFonts w:hint="eastAsia"/>
                <w:sz w:val="21"/>
                <w:szCs w:val="21"/>
              </w:rPr>
              <w:t>颗粒物浓度（m</w:t>
            </w:r>
            <w:r>
              <w:rPr>
                <w:sz w:val="21"/>
                <w:szCs w:val="21"/>
              </w:rPr>
              <w:t>g/m³</w:t>
            </w:r>
            <w:r>
              <w:rPr>
                <w:rFonts w:hint="eastAsia"/>
                <w:sz w:val="21"/>
                <w:szCs w:val="21"/>
              </w:rPr>
              <w:t>）</w:t>
            </w:r>
          </w:p>
        </w:tc>
        <w:tc>
          <w:tcPr>
            <w:tcW w:w="1140" w:type="dxa"/>
            <w:vAlign w:val="center"/>
          </w:tcPr>
          <w:p>
            <w:pPr>
              <w:widowControl/>
              <w:spacing w:line="240" w:lineRule="auto"/>
              <w:ind w:firstLine="0" w:firstLineChars="0"/>
              <w:jc w:val="center"/>
              <w:rPr>
                <w:sz w:val="21"/>
                <w:szCs w:val="21"/>
              </w:rPr>
            </w:pPr>
            <w:r>
              <w:rPr>
                <w:rFonts w:hint="eastAsia"/>
                <w:sz w:val="21"/>
                <w:szCs w:val="21"/>
              </w:rPr>
              <w:t>颗粒物占标率（%）</w:t>
            </w:r>
          </w:p>
        </w:tc>
        <w:tc>
          <w:tcPr>
            <w:tcW w:w="1515" w:type="dxa"/>
            <w:vAlign w:val="center"/>
          </w:tcPr>
          <w:p>
            <w:pPr>
              <w:widowControl/>
              <w:spacing w:line="240" w:lineRule="auto"/>
              <w:ind w:firstLine="0" w:firstLineChars="0"/>
              <w:jc w:val="center"/>
              <w:rPr>
                <w:sz w:val="21"/>
                <w:szCs w:val="21"/>
              </w:rPr>
            </w:pPr>
            <w:r>
              <w:rPr>
                <w:rFonts w:hint="eastAsia"/>
                <w:sz w:val="21"/>
                <w:szCs w:val="21"/>
              </w:rPr>
              <w:t>非甲烷总烃浓度（m</w:t>
            </w:r>
            <w:r>
              <w:rPr>
                <w:sz w:val="21"/>
                <w:szCs w:val="21"/>
              </w:rPr>
              <w:t>g/m³</w:t>
            </w:r>
            <w:r>
              <w:rPr>
                <w:rFonts w:hint="eastAsia"/>
                <w:sz w:val="21"/>
                <w:szCs w:val="21"/>
              </w:rPr>
              <w:t>）</w:t>
            </w:r>
          </w:p>
        </w:tc>
        <w:tc>
          <w:tcPr>
            <w:tcW w:w="1440" w:type="dxa"/>
            <w:vAlign w:val="center"/>
          </w:tcPr>
          <w:p>
            <w:pPr>
              <w:widowControl/>
              <w:spacing w:line="240" w:lineRule="auto"/>
              <w:ind w:firstLine="0" w:firstLineChars="0"/>
              <w:jc w:val="center"/>
              <w:rPr>
                <w:sz w:val="21"/>
                <w:szCs w:val="21"/>
              </w:rPr>
            </w:pPr>
            <w:r>
              <w:rPr>
                <w:rFonts w:hint="eastAsia"/>
                <w:sz w:val="21"/>
                <w:szCs w:val="21"/>
              </w:rPr>
              <w:t>非甲烷总烃占标率（%）</w:t>
            </w:r>
          </w:p>
        </w:tc>
        <w:tc>
          <w:tcPr>
            <w:tcW w:w="1155" w:type="dxa"/>
            <w:vAlign w:val="center"/>
          </w:tcPr>
          <w:p>
            <w:pPr>
              <w:widowControl/>
              <w:spacing w:line="240" w:lineRule="auto"/>
              <w:ind w:firstLine="0" w:firstLineChars="0"/>
              <w:jc w:val="center"/>
              <w:rPr>
                <w:sz w:val="21"/>
                <w:szCs w:val="21"/>
              </w:rPr>
            </w:pPr>
            <w:r>
              <w:rPr>
                <w:rFonts w:hint="eastAsia"/>
                <w:sz w:val="21"/>
                <w:szCs w:val="21"/>
              </w:rPr>
              <w:t>硫化氢浓度（m</w:t>
            </w:r>
            <w:r>
              <w:rPr>
                <w:sz w:val="21"/>
                <w:szCs w:val="21"/>
              </w:rPr>
              <w:t>g/m³</w:t>
            </w:r>
            <w:r>
              <w:rPr>
                <w:rFonts w:hint="eastAsia"/>
                <w:sz w:val="21"/>
                <w:szCs w:val="21"/>
              </w:rPr>
              <w:t>）</w:t>
            </w:r>
          </w:p>
        </w:tc>
        <w:tc>
          <w:tcPr>
            <w:tcW w:w="1131" w:type="dxa"/>
            <w:vAlign w:val="center"/>
          </w:tcPr>
          <w:p>
            <w:pPr>
              <w:widowControl/>
              <w:spacing w:line="240" w:lineRule="auto"/>
              <w:ind w:firstLine="0" w:firstLineChars="0"/>
              <w:jc w:val="center"/>
              <w:rPr>
                <w:sz w:val="21"/>
                <w:szCs w:val="21"/>
              </w:rPr>
            </w:pPr>
            <w:r>
              <w:rPr>
                <w:rFonts w:hint="eastAsia"/>
                <w:sz w:val="21"/>
                <w:szCs w:val="21"/>
              </w:rPr>
              <w:t>硫化氢占标率（%）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0.0001573</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0.002794</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0.14</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0.0001505</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200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0.0001948</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0.00346</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0.17</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0.0001863</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shd w:val="clear" w:color="auto" w:fill="ED7D31" w:themeFill="accent2"/>
            <w:vAlign w:val="center"/>
          </w:tcPr>
          <w:p>
            <w:pPr>
              <w:widowControl/>
              <w:spacing w:line="240" w:lineRule="auto"/>
              <w:ind w:firstLine="0" w:firstLineChars="0"/>
              <w:jc w:val="center"/>
              <w:rPr>
                <w:rFonts w:hint="default" w:eastAsia="宋体"/>
                <w:sz w:val="21"/>
                <w:szCs w:val="21"/>
                <w:lang w:val="en-US" w:eastAsia="zh-CN"/>
              </w:rPr>
            </w:pPr>
            <w:r>
              <w:rPr>
                <w:rFonts w:hint="eastAsia"/>
                <w:sz w:val="21"/>
                <w:szCs w:val="21"/>
                <w:lang w:val="en-US" w:eastAsia="zh-CN"/>
              </w:rPr>
              <w:t>293</w:t>
            </w:r>
          </w:p>
        </w:tc>
        <w:tc>
          <w:tcPr>
            <w:tcW w:w="1290"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0.0002062</w:t>
            </w:r>
          </w:p>
        </w:tc>
        <w:tc>
          <w:tcPr>
            <w:tcW w:w="1140"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0.05</w:t>
            </w:r>
          </w:p>
        </w:tc>
        <w:tc>
          <w:tcPr>
            <w:tcW w:w="1515"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0.003662</w:t>
            </w:r>
          </w:p>
        </w:tc>
        <w:tc>
          <w:tcPr>
            <w:tcW w:w="1440"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0.18</w:t>
            </w:r>
          </w:p>
        </w:tc>
        <w:tc>
          <w:tcPr>
            <w:tcW w:w="1155"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0.0001972</w:t>
            </w:r>
          </w:p>
        </w:tc>
        <w:tc>
          <w:tcPr>
            <w:tcW w:w="1131"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1.97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300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0.000206</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0.05</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0.00366</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0.18</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0.0001971</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400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0.0001815</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0.003224</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0.16</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0.0001736</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500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0.0001743</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0.003095</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0.0001667</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600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0.0001713</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0.003042</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0.0001638</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shd w:val="clear" w:color="auto" w:fill="auto"/>
            <w:vAlign w:val="center"/>
          </w:tcPr>
          <w:p>
            <w:pPr>
              <w:widowControl/>
              <w:spacing w:line="240" w:lineRule="auto"/>
              <w:ind w:firstLine="0" w:firstLineChars="0"/>
              <w:jc w:val="center"/>
              <w:rPr>
                <w:rFonts w:hint="eastAsia"/>
                <w:sz w:val="21"/>
                <w:szCs w:val="21"/>
              </w:rPr>
            </w:pPr>
            <w:r>
              <w:rPr>
                <w:rFonts w:hint="eastAsia"/>
                <w:sz w:val="21"/>
                <w:szCs w:val="21"/>
              </w:rPr>
              <w:t>700</w:t>
            </w:r>
          </w:p>
        </w:tc>
        <w:tc>
          <w:tcPr>
            <w:tcW w:w="1290" w:type="dxa"/>
            <w:shd w:val="clear" w:color="auto" w:fill="auto"/>
            <w:vAlign w:val="center"/>
          </w:tcPr>
          <w:p>
            <w:pPr>
              <w:widowControl/>
              <w:spacing w:line="240" w:lineRule="auto"/>
              <w:ind w:firstLine="0" w:firstLineChars="0"/>
              <w:jc w:val="center"/>
              <w:rPr>
                <w:rFonts w:hint="eastAsia"/>
                <w:sz w:val="21"/>
                <w:szCs w:val="21"/>
              </w:rPr>
            </w:pPr>
            <w:r>
              <w:rPr>
                <w:rFonts w:hint="eastAsia"/>
                <w:sz w:val="21"/>
                <w:szCs w:val="21"/>
              </w:rPr>
              <w:t>0.0001708</w:t>
            </w:r>
          </w:p>
        </w:tc>
        <w:tc>
          <w:tcPr>
            <w:tcW w:w="1140" w:type="dxa"/>
            <w:shd w:val="clear" w:color="auto" w:fill="auto"/>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shd w:val="clear" w:color="auto" w:fill="auto"/>
            <w:vAlign w:val="center"/>
          </w:tcPr>
          <w:p>
            <w:pPr>
              <w:widowControl/>
              <w:spacing w:line="240" w:lineRule="auto"/>
              <w:ind w:firstLine="0" w:firstLineChars="0"/>
              <w:jc w:val="center"/>
              <w:rPr>
                <w:rFonts w:hint="eastAsia"/>
                <w:sz w:val="21"/>
                <w:szCs w:val="21"/>
              </w:rPr>
            </w:pPr>
            <w:r>
              <w:rPr>
                <w:rFonts w:hint="eastAsia"/>
                <w:sz w:val="21"/>
                <w:szCs w:val="21"/>
              </w:rPr>
              <w:t>0.003034</w:t>
            </w:r>
          </w:p>
        </w:tc>
        <w:tc>
          <w:tcPr>
            <w:tcW w:w="1440" w:type="dxa"/>
            <w:shd w:val="clear" w:color="auto" w:fill="auto"/>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1155" w:type="dxa"/>
            <w:shd w:val="clear" w:color="auto" w:fill="auto"/>
            <w:vAlign w:val="center"/>
          </w:tcPr>
          <w:p>
            <w:pPr>
              <w:widowControl/>
              <w:spacing w:line="240" w:lineRule="auto"/>
              <w:ind w:firstLine="0" w:firstLineChars="0"/>
              <w:jc w:val="center"/>
              <w:rPr>
                <w:rFonts w:hint="eastAsia"/>
                <w:sz w:val="21"/>
                <w:szCs w:val="21"/>
              </w:rPr>
            </w:pPr>
            <w:r>
              <w:rPr>
                <w:rFonts w:hint="eastAsia"/>
                <w:sz w:val="21"/>
                <w:szCs w:val="21"/>
              </w:rPr>
              <w:t>0.0001634</w:t>
            </w:r>
          </w:p>
        </w:tc>
        <w:tc>
          <w:tcPr>
            <w:tcW w:w="1131" w:type="dxa"/>
            <w:shd w:val="clear" w:color="auto" w:fill="auto"/>
            <w:vAlign w:val="center"/>
          </w:tcPr>
          <w:p>
            <w:pPr>
              <w:widowControl/>
              <w:spacing w:line="240" w:lineRule="auto"/>
              <w:ind w:firstLine="0" w:firstLineChars="0"/>
              <w:jc w:val="center"/>
              <w:rPr>
                <w:rFonts w:hint="eastAsia"/>
                <w:sz w:val="21"/>
                <w:szCs w:val="21"/>
              </w:rPr>
            </w:pPr>
            <w:r>
              <w:rPr>
                <w:rFonts w:hint="eastAsia"/>
                <w:sz w:val="21"/>
                <w:szCs w:val="21"/>
              </w:rPr>
              <w:t>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800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0.0001699</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0.003018</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0.0001625</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900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0.0001639</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0.00291</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0.0001567</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1000</w:t>
            </w:r>
          </w:p>
        </w:tc>
        <w:tc>
          <w:tcPr>
            <w:tcW w:w="1290"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0.0001624</w:t>
            </w:r>
          </w:p>
        </w:tc>
        <w:tc>
          <w:tcPr>
            <w:tcW w:w="1140"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0.002884</w:t>
            </w:r>
          </w:p>
        </w:tc>
        <w:tc>
          <w:tcPr>
            <w:tcW w:w="1440"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0.14</w:t>
            </w:r>
          </w:p>
        </w:tc>
        <w:tc>
          <w:tcPr>
            <w:tcW w:w="1155"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0.0001553</w:t>
            </w:r>
          </w:p>
        </w:tc>
        <w:tc>
          <w:tcPr>
            <w:tcW w:w="1131"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1.55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1100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0.0001644</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0.00292</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0.0001572</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1200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0.0001638</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0.002909</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0.0001566</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1300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0.0001613</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0.002865</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0.14</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0.0001543</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1400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0.0001577</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0.04</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0.002801</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0.14</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0.0001509</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1500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0.0001533</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0.002723</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0.14</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0.0001467</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1600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0.0001485</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0.002637</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0.13</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0.000142</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1700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0.0001434</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0.002547</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0.13</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0.0001372</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1800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0.0001383</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0.002456</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0.12</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0.0001323</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1900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0.0001331</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0.002365</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0.12</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0.0001274</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2000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0.0001281</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0.002275</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0.11</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0.0001225</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2100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0.0001231</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0.002187</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0.11</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0.0001178</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2200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0.0001184</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0.002103</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0.11</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0.0001133</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2300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0.0001139</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0.03</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0.002023</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0.000109</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2400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0.0001097</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0.02</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0.001948</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0.0001049</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hint="eastAsia"/>
                <w:sz w:val="21"/>
                <w:szCs w:val="21"/>
              </w:rPr>
            </w:pPr>
            <w:r>
              <w:rPr>
                <w:rFonts w:hint="eastAsia"/>
                <w:sz w:val="21"/>
                <w:szCs w:val="21"/>
              </w:rPr>
              <w:t>2500</w:t>
            </w:r>
          </w:p>
        </w:tc>
        <w:tc>
          <w:tcPr>
            <w:tcW w:w="1290" w:type="dxa"/>
            <w:vAlign w:val="center"/>
          </w:tcPr>
          <w:p>
            <w:pPr>
              <w:widowControl/>
              <w:spacing w:line="240" w:lineRule="auto"/>
              <w:ind w:firstLine="0" w:firstLineChars="0"/>
              <w:jc w:val="center"/>
              <w:rPr>
                <w:rFonts w:hint="eastAsia"/>
                <w:sz w:val="21"/>
                <w:szCs w:val="21"/>
              </w:rPr>
            </w:pPr>
            <w:r>
              <w:rPr>
                <w:rFonts w:hint="eastAsia"/>
                <w:sz w:val="21"/>
                <w:szCs w:val="21"/>
              </w:rPr>
              <w:t>0.0001056</w:t>
            </w:r>
          </w:p>
        </w:tc>
        <w:tc>
          <w:tcPr>
            <w:tcW w:w="1140" w:type="dxa"/>
            <w:vAlign w:val="center"/>
          </w:tcPr>
          <w:p>
            <w:pPr>
              <w:widowControl/>
              <w:spacing w:line="240" w:lineRule="auto"/>
              <w:ind w:firstLine="0" w:firstLineChars="0"/>
              <w:jc w:val="center"/>
              <w:rPr>
                <w:rFonts w:hint="eastAsia"/>
                <w:sz w:val="21"/>
                <w:szCs w:val="21"/>
              </w:rPr>
            </w:pPr>
            <w:r>
              <w:rPr>
                <w:rFonts w:hint="eastAsia"/>
                <w:sz w:val="21"/>
                <w:szCs w:val="21"/>
              </w:rPr>
              <w:t>0.02</w:t>
            </w:r>
          </w:p>
        </w:tc>
        <w:tc>
          <w:tcPr>
            <w:tcW w:w="1515" w:type="dxa"/>
            <w:vAlign w:val="center"/>
          </w:tcPr>
          <w:p>
            <w:pPr>
              <w:widowControl/>
              <w:spacing w:line="240" w:lineRule="auto"/>
              <w:ind w:firstLine="0" w:firstLineChars="0"/>
              <w:jc w:val="center"/>
              <w:rPr>
                <w:rFonts w:hint="eastAsia"/>
                <w:sz w:val="21"/>
                <w:szCs w:val="21"/>
              </w:rPr>
            </w:pPr>
            <w:r>
              <w:rPr>
                <w:rFonts w:hint="eastAsia"/>
                <w:sz w:val="21"/>
                <w:szCs w:val="21"/>
              </w:rPr>
              <w:t>0.001876</w:t>
            </w:r>
          </w:p>
        </w:tc>
        <w:tc>
          <w:tcPr>
            <w:tcW w:w="1440" w:type="dxa"/>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1155" w:type="dxa"/>
            <w:vAlign w:val="center"/>
          </w:tcPr>
          <w:p>
            <w:pPr>
              <w:widowControl/>
              <w:spacing w:line="240" w:lineRule="auto"/>
              <w:ind w:firstLine="0" w:firstLineChars="0"/>
              <w:jc w:val="center"/>
              <w:rPr>
                <w:rFonts w:hint="eastAsia"/>
                <w:sz w:val="21"/>
                <w:szCs w:val="21"/>
              </w:rPr>
            </w:pPr>
            <w:r>
              <w:rPr>
                <w:rFonts w:hint="eastAsia"/>
                <w:sz w:val="21"/>
                <w:szCs w:val="21"/>
              </w:rPr>
              <w:t>0.000101</w:t>
            </w:r>
          </w:p>
        </w:tc>
        <w:tc>
          <w:tcPr>
            <w:tcW w:w="1131" w:type="dxa"/>
            <w:vAlign w:val="center"/>
          </w:tcPr>
          <w:p>
            <w:pPr>
              <w:widowControl/>
              <w:spacing w:line="240" w:lineRule="auto"/>
              <w:ind w:firstLine="0" w:firstLineChars="0"/>
              <w:jc w:val="center"/>
              <w:rPr>
                <w:rFonts w:hint="eastAsia"/>
                <w:sz w:val="21"/>
                <w:szCs w:val="21"/>
              </w:rPr>
            </w:pPr>
            <w:r>
              <w:rPr>
                <w:rFonts w:hint="eastAsia"/>
                <w:sz w:val="21"/>
                <w:szCs w:val="21"/>
              </w:rPr>
              <w:t>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290" w:type="dxa"/>
            <w:vAlign w:val="center"/>
          </w:tcPr>
          <w:p>
            <w:pPr>
              <w:widowControl/>
              <w:spacing w:line="240" w:lineRule="auto"/>
              <w:ind w:firstLine="0" w:firstLineChars="0"/>
              <w:jc w:val="center"/>
              <w:rPr>
                <w:sz w:val="21"/>
                <w:szCs w:val="21"/>
              </w:rPr>
            </w:pPr>
            <w:r>
              <w:rPr>
                <w:rFonts w:hint="eastAsia"/>
                <w:sz w:val="21"/>
                <w:szCs w:val="21"/>
              </w:rPr>
              <w:t>0.0002062</w:t>
            </w:r>
          </w:p>
        </w:tc>
        <w:tc>
          <w:tcPr>
            <w:tcW w:w="1140" w:type="dxa"/>
            <w:vAlign w:val="center"/>
          </w:tcPr>
          <w:p>
            <w:pPr>
              <w:widowControl/>
              <w:spacing w:line="240" w:lineRule="auto"/>
              <w:ind w:firstLine="0" w:firstLineChars="0"/>
              <w:jc w:val="center"/>
              <w:rPr>
                <w:sz w:val="21"/>
                <w:szCs w:val="21"/>
              </w:rPr>
            </w:pPr>
            <w:r>
              <w:rPr>
                <w:rFonts w:hint="eastAsia"/>
                <w:sz w:val="21"/>
                <w:szCs w:val="21"/>
              </w:rPr>
              <w:t>0.05</w:t>
            </w:r>
          </w:p>
        </w:tc>
        <w:tc>
          <w:tcPr>
            <w:tcW w:w="1515" w:type="dxa"/>
            <w:vAlign w:val="center"/>
          </w:tcPr>
          <w:p>
            <w:pPr>
              <w:widowControl/>
              <w:spacing w:line="240" w:lineRule="auto"/>
              <w:ind w:firstLine="0" w:firstLineChars="0"/>
              <w:jc w:val="center"/>
              <w:rPr>
                <w:sz w:val="21"/>
                <w:szCs w:val="21"/>
              </w:rPr>
            </w:pPr>
            <w:r>
              <w:rPr>
                <w:rFonts w:hint="eastAsia"/>
                <w:sz w:val="21"/>
                <w:szCs w:val="21"/>
              </w:rPr>
              <w:t>0.003662</w:t>
            </w:r>
          </w:p>
        </w:tc>
        <w:tc>
          <w:tcPr>
            <w:tcW w:w="1440" w:type="dxa"/>
            <w:vAlign w:val="center"/>
          </w:tcPr>
          <w:p>
            <w:pPr>
              <w:widowControl/>
              <w:spacing w:line="240" w:lineRule="auto"/>
              <w:ind w:firstLine="0" w:firstLineChars="0"/>
              <w:jc w:val="center"/>
              <w:rPr>
                <w:sz w:val="21"/>
                <w:szCs w:val="21"/>
              </w:rPr>
            </w:pPr>
            <w:r>
              <w:rPr>
                <w:rFonts w:hint="eastAsia"/>
                <w:sz w:val="21"/>
                <w:szCs w:val="21"/>
              </w:rPr>
              <w:t>0.18</w:t>
            </w:r>
          </w:p>
        </w:tc>
        <w:tc>
          <w:tcPr>
            <w:tcW w:w="1155" w:type="dxa"/>
            <w:vAlign w:val="center"/>
          </w:tcPr>
          <w:p>
            <w:pPr>
              <w:widowControl/>
              <w:spacing w:line="240" w:lineRule="auto"/>
              <w:ind w:firstLine="0" w:firstLineChars="0"/>
              <w:jc w:val="center"/>
              <w:rPr>
                <w:sz w:val="21"/>
                <w:szCs w:val="21"/>
              </w:rPr>
            </w:pPr>
            <w:r>
              <w:rPr>
                <w:rFonts w:hint="eastAsia"/>
                <w:sz w:val="21"/>
                <w:szCs w:val="21"/>
              </w:rPr>
              <w:t>0.0001972</w:t>
            </w:r>
          </w:p>
        </w:tc>
        <w:tc>
          <w:tcPr>
            <w:tcW w:w="1131" w:type="dxa"/>
            <w:vAlign w:val="center"/>
          </w:tcPr>
          <w:p>
            <w:pPr>
              <w:widowControl/>
              <w:spacing w:line="240" w:lineRule="auto"/>
              <w:ind w:firstLine="0" w:firstLineChars="0"/>
              <w:jc w:val="center"/>
              <w:rPr>
                <w:sz w:val="21"/>
                <w:szCs w:val="21"/>
              </w:rPr>
            </w:pPr>
            <w:r>
              <w:rPr>
                <w:rFonts w:hint="eastAsia"/>
                <w:sz w:val="21"/>
                <w:szCs w:val="21"/>
              </w:rPr>
              <w:t>1.97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2430" w:type="dxa"/>
            <w:gridSpan w:val="2"/>
            <w:vAlign w:val="center"/>
          </w:tcPr>
          <w:p>
            <w:pPr>
              <w:pStyle w:val="25"/>
              <w:widowControl/>
              <w:spacing w:beforeAutospacing="0" w:afterAutospacing="0" w:line="240" w:lineRule="auto"/>
              <w:ind w:firstLine="0" w:firstLineChars="0"/>
              <w:jc w:val="center"/>
              <w:rPr>
                <w:color w:val="000000"/>
                <w:sz w:val="21"/>
                <w:szCs w:val="21"/>
              </w:rPr>
            </w:pPr>
            <w:r>
              <w:rPr>
                <w:rFonts w:hint="eastAsia"/>
                <w:sz w:val="21"/>
                <w:szCs w:val="21"/>
                <w:lang w:val="en-US" w:eastAsia="zh-CN"/>
              </w:rPr>
              <w:t>293</w:t>
            </w:r>
          </w:p>
        </w:tc>
        <w:tc>
          <w:tcPr>
            <w:tcW w:w="2955" w:type="dxa"/>
            <w:gridSpan w:val="2"/>
            <w:vAlign w:val="center"/>
          </w:tcPr>
          <w:p>
            <w:pPr>
              <w:pStyle w:val="25"/>
              <w:widowControl/>
              <w:spacing w:beforeAutospacing="0" w:afterAutospacing="0" w:line="240" w:lineRule="auto"/>
              <w:ind w:firstLine="0" w:firstLineChars="0"/>
              <w:jc w:val="center"/>
              <w:rPr>
                <w:color w:val="000000"/>
                <w:sz w:val="21"/>
                <w:szCs w:val="21"/>
              </w:rPr>
            </w:pPr>
            <w:r>
              <w:rPr>
                <w:rFonts w:hint="eastAsia"/>
                <w:sz w:val="21"/>
                <w:szCs w:val="21"/>
                <w:lang w:val="en-US" w:eastAsia="zh-CN"/>
              </w:rPr>
              <w:t>293</w:t>
            </w:r>
          </w:p>
        </w:tc>
        <w:tc>
          <w:tcPr>
            <w:tcW w:w="2286" w:type="dxa"/>
            <w:gridSpan w:val="2"/>
            <w:vAlign w:val="center"/>
          </w:tcPr>
          <w:p>
            <w:pPr>
              <w:pStyle w:val="25"/>
              <w:widowControl/>
              <w:spacing w:beforeAutospacing="0" w:afterAutospacing="0" w:line="240" w:lineRule="auto"/>
              <w:ind w:firstLine="0" w:firstLineChars="0"/>
              <w:jc w:val="center"/>
              <w:rPr>
                <w:color w:val="000000"/>
                <w:sz w:val="21"/>
                <w:szCs w:val="21"/>
              </w:rPr>
            </w:pPr>
            <w:r>
              <w:rPr>
                <w:rFonts w:hint="eastAsia"/>
                <w:sz w:val="21"/>
                <w:szCs w:val="21"/>
                <w:lang w:val="en-US" w:eastAsia="zh-CN"/>
              </w:rPr>
              <w:t>293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7" w:type="dxa"/>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2430" w:type="dxa"/>
            <w:gridSpan w:val="2"/>
            <w:vAlign w:val="center"/>
          </w:tcPr>
          <w:p>
            <w:pPr>
              <w:widowControl/>
              <w:spacing w:line="240" w:lineRule="auto"/>
              <w:ind w:firstLine="0" w:firstLineChars="0"/>
              <w:jc w:val="center"/>
              <w:rPr>
                <w:color w:val="000000"/>
                <w:sz w:val="21"/>
                <w:szCs w:val="21"/>
              </w:rPr>
            </w:pPr>
            <w:r>
              <w:rPr>
                <w:rFonts w:hint="eastAsia"/>
                <w:color w:val="000000"/>
                <w:sz w:val="21"/>
                <w:szCs w:val="21"/>
                <w:lang w:bidi="ar"/>
              </w:rPr>
              <w:t>/</w:t>
            </w:r>
          </w:p>
        </w:tc>
        <w:tc>
          <w:tcPr>
            <w:tcW w:w="2955" w:type="dxa"/>
            <w:gridSpan w:val="2"/>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w:t>
            </w:r>
          </w:p>
        </w:tc>
        <w:tc>
          <w:tcPr>
            <w:tcW w:w="2286" w:type="dxa"/>
            <w:gridSpan w:val="2"/>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w:t>
            </w:r>
          </w:p>
        </w:tc>
      </w:tr>
    </w:tbl>
    <w:p>
      <w:pPr>
        <w:ind w:firstLine="0" w:firstLineChars="0"/>
        <w:jc w:val="center"/>
        <w:rPr>
          <w:b/>
          <w:bCs/>
        </w:rPr>
      </w:pPr>
      <w:r>
        <w:rPr>
          <w:b/>
          <w:bCs/>
        </w:rPr>
        <w:t>6.2-</w:t>
      </w:r>
      <w:r>
        <w:rPr>
          <w:rFonts w:hint="eastAsia"/>
          <w:b/>
          <w:bCs/>
        </w:rPr>
        <w:t>15  正常工况下废气排气筒最大落地浓度预测结果</w:t>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02"/>
        <w:gridCol w:w="1699"/>
        <w:gridCol w:w="1922"/>
        <w:gridCol w:w="1727"/>
        <w:gridCol w:w="17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3812" w:type="pct"/>
            <w:gridSpan w:val="4"/>
            <w:vAlign w:val="center"/>
          </w:tcPr>
          <w:p>
            <w:pPr>
              <w:spacing w:line="240" w:lineRule="auto"/>
              <w:ind w:firstLine="0" w:firstLineChars="0"/>
              <w:jc w:val="center"/>
              <w:rPr>
                <w:sz w:val="21"/>
                <w:szCs w:val="21"/>
              </w:rPr>
            </w:pPr>
            <w:r>
              <w:rPr>
                <w:rFonts w:hint="eastAsia"/>
                <w:sz w:val="21"/>
                <w:szCs w:val="21"/>
              </w:rPr>
              <w:t>DA002排气筒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1186"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950" w:type="pct"/>
            <w:gridSpan w:val="2"/>
            <w:vAlign w:val="center"/>
          </w:tcPr>
          <w:p>
            <w:pPr>
              <w:widowControl/>
              <w:spacing w:line="240" w:lineRule="auto"/>
              <w:ind w:firstLine="0" w:firstLineChars="0"/>
              <w:jc w:val="center"/>
              <w:rPr>
                <w:sz w:val="21"/>
                <w:szCs w:val="21"/>
              </w:rPr>
            </w:pPr>
            <w:r>
              <w:rPr>
                <w:rFonts w:hint="eastAsia"/>
                <w:sz w:val="21"/>
                <w:szCs w:val="21"/>
              </w:rPr>
              <w:t>非甲烷总烃</w:t>
            </w:r>
          </w:p>
        </w:tc>
        <w:tc>
          <w:tcPr>
            <w:tcW w:w="1863" w:type="pct"/>
            <w:gridSpan w:val="2"/>
            <w:vAlign w:val="center"/>
          </w:tcPr>
          <w:p>
            <w:pPr>
              <w:widowControl/>
              <w:spacing w:line="240" w:lineRule="auto"/>
              <w:ind w:firstLine="0" w:firstLineChars="0"/>
              <w:jc w:val="center"/>
              <w:rPr>
                <w:sz w:val="21"/>
                <w:szCs w:val="21"/>
              </w:rPr>
            </w:pPr>
            <w:r>
              <w:rPr>
                <w:rFonts w:hint="eastAsia"/>
                <w:sz w:val="21"/>
                <w:szCs w:val="21"/>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1186"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915"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1035" w:type="pct"/>
            <w:vAlign w:val="center"/>
          </w:tcPr>
          <w:p>
            <w:pPr>
              <w:widowControl/>
              <w:spacing w:line="240" w:lineRule="auto"/>
              <w:ind w:firstLine="0" w:firstLineChars="0"/>
              <w:jc w:val="center"/>
              <w:rPr>
                <w:sz w:val="21"/>
                <w:szCs w:val="21"/>
              </w:rPr>
            </w:pPr>
            <w:r>
              <w:rPr>
                <w:rFonts w:hint="eastAsia"/>
                <w:sz w:val="21"/>
                <w:szCs w:val="21"/>
              </w:rPr>
              <w:t>占标率（%）</w:t>
            </w:r>
          </w:p>
        </w:tc>
        <w:tc>
          <w:tcPr>
            <w:tcW w:w="930"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933" w:type="pct"/>
            <w:vAlign w:val="center"/>
          </w:tcPr>
          <w:p>
            <w:pPr>
              <w:widowControl/>
              <w:spacing w:line="240" w:lineRule="auto"/>
              <w:ind w:firstLine="0" w:firstLineChars="0"/>
              <w:jc w:val="center"/>
              <w:rPr>
                <w:sz w:val="21"/>
                <w:szCs w:val="21"/>
              </w:rPr>
            </w:pPr>
            <w:r>
              <w:rPr>
                <w:rFonts w:hint="eastAsia"/>
                <w:sz w:val="21"/>
                <w:szCs w:val="21"/>
              </w:rPr>
              <w:t>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0.0003698</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0.02</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2.526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33" w:type="pct"/>
            <w:vAlign w:val="center"/>
          </w:tcPr>
          <w:p>
            <w:pPr>
              <w:widowControl/>
              <w:spacing w:line="240" w:lineRule="auto"/>
              <w:ind w:firstLine="0" w:firstLineChars="0"/>
              <w:jc w:val="center"/>
              <w:rPr>
                <w:rFonts w:hint="eastAsia"/>
                <w:sz w:val="21"/>
                <w:szCs w:val="21"/>
                <w:lang w:eastAsia="zh-CN"/>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0.001166</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7.964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rPr>
            </w:pPr>
            <w:r>
              <w:rPr>
                <w:rFonts w:hint="eastAsia"/>
                <w:sz w:val="21"/>
                <w:szCs w:val="21"/>
              </w:rPr>
              <w:t>300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0.001235</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8.435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0.001194</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8.155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0.001105</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7.547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0.001037</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0.05</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7.082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0.001222</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8.346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0.001498</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0.07</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1.023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0.00171</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1.168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0.001857</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1.269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0.00191</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1.305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0.001932</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1.319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186" w:type="pct"/>
            <w:shd w:val="clear" w:color="auto" w:fill="ED7D31" w:themeFill="accent2"/>
            <w:vAlign w:val="center"/>
          </w:tcPr>
          <w:p>
            <w:pPr>
              <w:widowControl/>
              <w:spacing w:line="240" w:lineRule="auto"/>
              <w:ind w:firstLine="0" w:firstLineChars="0"/>
              <w:jc w:val="center"/>
              <w:rPr>
                <w:sz w:val="21"/>
                <w:szCs w:val="21"/>
              </w:rPr>
            </w:pPr>
            <w:r>
              <w:rPr>
                <w:rFonts w:hint="eastAsia"/>
                <w:sz w:val="21"/>
                <w:szCs w:val="21"/>
              </w:rPr>
              <w:t>1241</w:t>
            </w:r>
          </w:p>
        </w:tc>
        <w:tc>
          <w:tcPr>
            <w:tcW w:w="915"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0.001934</w:t>
            </w:r>
          </w:p>
        </w:tc>
        <w:tc>
          <w:tcPr>
            <w:tcW w:w="1035"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930"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1.321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0.00193</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1.318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0.001912</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1.306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0.001881</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1.285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0.001842</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1.258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0.001797</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1.227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0.001748</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1.194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0.001698</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1.16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0.001693</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1.156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0.001693</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1.156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0.001689</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1.153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0.00168</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1.148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0.001668</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1.14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915" w:type="pct"/>
            <w:vAlign w:val="center"/>
          </w:tcPr>
          <w:p>
            <w:pPr>
              <w:widowControl/>
              <w:spacing w:line="240" w:lineRule="auto"/>
              <w:ind w:firstLine="0" w:firstLineChars="0"/>
              <w:jc w:val="center"/>
              <w:rPr>
                <w:rFonts w:hint="eastAsia"/>
                <w:sz w:val="21"/>
                <w:szCs w:val="21"/>
              </w:rPr>
            </w:pPr>
            <w:r>
              <w:rPr>
                <w:rFonts w:hint="eastAsia"/>
                <w:sz w:val="21"/>
                <w:szCs w:val="21"/>
              </w:rPr>
              <w:t>0.001654</w:t>
            </w:r>
          </w:p>
        </w:tc>
        <w:tc>
          <w:tcPr>
            <w:tcW w:w="1035"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930" w:type="pct"/>
            <w:vAlign w:val="center"/>
          </w:tcPr>
          <w:p>
            <w:pPr>
              <w:widowControl/>
              <w:spacing w:line="240" w:lineRule="auto"/>
              <w:ind w:firstLine="0" w:firstLineChars="0"/>
              <w:jc w:val="center"/>
              <w:rPr>
                <w:rFonts w:hint="eastAsia"/>
                <w:sz w:val="21"/>
                <w:szCs w:val="21"/>
              </w:rPr>
            </w:pPr>
            <w:r>
              <w:rPr>
                <w:rFonts w:hint="eastAsia"/>
                <w:sz w:val="21"/>
                <w:szCs w:val="21"/>
              </w:rPr>
              <w:t>1.13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33" w:type="pct"/>
            <w:vAlign w:val="center"/>
          </w:tcPr>
          <w:p>
            <w:pPr>
              <w:widowControl/>
              <w:spacing w:line="240" w:lineRule="auto"/>
              <w:ind w:firstLine="0" w:firstLineChars="0"/>
              <w:jc w:val="center"/>
              <w:rPr>
                <w:rFonts w:hint="eastAsia"/>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699" w:type="dxa"/>
            <w:vAlign w:val="center"/>
          </w:tcPr>
          <w:p>
            <w:pPr>
              <w:widowControl/>
              <w:spacing w:line="240" w:lineRule="auto"/>
              <w:ind w:firstLine="0" w:firstLineChars="0"/>
              <w:jc w:val="center"/>
              <w:rPr>
                <w:sz w:val="21"/>
                <w:szCs w:val="21"/>
              </w:rPr>
            </w:pPr>
            <w:r>
              <w:rPr>
                <w:rFonts w:hint="eastAsia"/>
                <w:sz w:val="21"/>
                <w:szCs w:val="21"/>
              </w:rPr>
              <w:t>0.001934</w:t>
            </w:r>
          </w:p>
        </w:tc>
        <w:tc>
          <w:tcPr>
            <w:tcW w:w="1922" w:type="dxa"/>
            <w:vAlign w:val="center"/>
          </w:tcPr>
          <w:p>
            <w:pPr>
              <w:widowControl/>
              <w:spacing w:line="240" w:lineRule="auto"/>
              <w:ind w:firstLine="0" w:firstLineChars="0"/>
              <w:jc w:val="center"/>
              <w:rPr>
                <w:sz w:val="21"/>
                <w:szCs w:val="21"/>
              </w:rPr>
            </w:pPr>
            <w:r>
              <w:rPr>
                <w:rFonts w:hint="eastAsia"/>
                <w:sz w:val="21"/>
                <w:szCs w:val="21"/>
              </w:rPr>
              <w:t>0.10</w:t>
            </w:r>
          </w:p>
        </w:tc>
        <w:tc>
          <w:tcPr>
            <w:tcW w:w="1727" w:type="dxa"/>
            <w:vAlign w:val="center"/>
          </w:tcPr>
          <w:p>
            <w:pPr>
              <w:widowControl/>
              <w:spacing w:line="240" w:lineRule="auto"/>
              <w:ind w:firstLine="0" w:firstLineChars="0"/>
              <w:jc w:val="center"/>
              <w:rPr>
                <w:sz w:val="21"/>
                <w:szCs w:val="21"/>
              </w:rPr>
            </w:pPr>
            <w:r>
              <w:rPr>
                <w:rFonts w:hint="eastAsia"/>
                <w:sz w:val="21"/>
                <w:szCs w:val="21"/>
              </w:rPr>
              <w:t>1.321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733" w:type="dxa"/>
            <w:vAlign w:val="center"/>
          </w:tcPr>
          <w:p>
            <w:pPr>
              <w:widowControl/>
              <w:spacing w:line="240" w:lineRule="auto"/>
              <w:ind w:firstLine="0" w:firstLineChars="0"/>
              <w:jc w:val="center"/>
              <w:rPr>
                <w:sz w:val="21"/>
                <w:szCs w:val="21"/>
              </w:rPr>
            </w:pPr>
            <w:r>
              <w:rPr>
                <w:rFonts w:hint="eastAsia"/>
                <w:sz w:val="21"/>
                <w:szCs w:val="21"/>
              </w:rPr>
              <w:t>0.0</w:t>
            </w: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1950" w:type="pct"/>
            <w:gridSpan w:val="2"/>
            <w:vAlign w:val="center"/>
          </w:tcPr>
          <w:p>
            <w:pPr>
              <w:widowControl/>
              <w:spacing w:line="240" w:lineRule="auto"/>
              <w:ind w:firstLine="0" w:firstLineChars="0"/>
              <w:jc w:val="center"/>
              <w:rPr>
                <w:sz w:val="21"/>
                <w:szCs w:val="21"/>
              </w:rPr>
            </w:pPr>
            <w:r>
              <w:rPr>
                <w:rFonts w:hint="eastAsia"/>
                <w:sz w:val="21"/>
                <w:szCs w:val="21"/>
              </w:rPr>
              <w:t>1241</w:t>
            </w:r>
          </w:p>
        </w:tc>
        <w:tc>
          <w:tcPr>
            <w:tcW w:w="1863" w:type="pct"/>
            <w:gridSpan w:val="2"/>
            <w:vAlign w:val="center"/>
          </w:tcPr>
          <w:p>
            <w:pPr>
              <w:widowControl/>
              <w:spacing w:line="240" w:lineRule="auto"/>
              <w:ind w:firstLine="0" w:firstLineChars="0"/>
              <w:jc w:val="center"/>
              <w:rPr>
                <w:sz w:val="21"/>
                <w:szCs w:val="21"/>
              </w:rPr>
            </w:pPr>
            <w:r>
              <w:rPr>
                <w:rFonts w:hint="eastAsia"/>
                <w:sz w:val="21"/>
                <w:szCs w:val="21"/>
              </w:rPr>
              <w:t>1241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pct"/>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1950" w:type="pct"/>
            <w:gridSpan w:val="2"/>
            <w:vAlign w:val="center"/>
          </w:tcPr>
          <w:p>
            <w:pPr>
              <w:widowControl/>
              <w:spacing w:line="240" w:lineRule="auto"/>
              <w:ind w:firstLine="0" w:firstLineChars="0"/>
              <w:jc w:val="center"/>
              <w:rPr>
                <w:sz w:val="21"/>
                <w:szCs w:val="21"/>
              </w:rPr>
            </w:pPr>
            <w:r>
              <w:rPr>
                <w:rFonts w:hint="eastAsia"/>
                <w:sz w:val="21"/>
                <w:szCs w:val="21"/>
              </w:rPr>
              <w:t>/</w:t>
            </w:r>
          </w:p>
        </w:tc>
        <w:tc>
          <w:tcPr>
            <w:tcW w:w="1863" w:type="pct"/>
            <w:gridSpan w:val="2"/>
            <w:vAlign w:val="center"/>
          </w:tcPr>
          <w:p>
            <w:pPr>
              <w:widowControl/>
              <w:spacing w:line="240" w:lineRule="auto"/>
              <w:ind w:firstLine="0" w:firstLineChars="0"/>
              <w:jc w:val="center"/>
              <w:rPr>
                <w:sz w:val="21"/>
                <w:szCs w:val="21"/>
              </w:rPr>
            </w:pPr>
            <w:r>
              <w:rPr>
                <w:rFonts w:hint="eastAsia"/>
                <w:sz w:val="21"/>
                <w:szCs w:val="21"/>
              </w:rPr>
              <w:t>/</w:t>
            </w:r>
          </w:p>
        </w:tc>
      </w:tr>
    </w:tbl>
    <w:p>
      <w:pPr>
        <w:ind w:firstLine="0" w:firstLineChars="0"/>
        <w:jc w:val="center"/>
        <w:rPr>
          <w:b/>
          <w:bCs/>
        </w:rPr>
      </w:pPr>
      <w:r>
        <w:rPr>
          <w:b/>
          <w:bCs/>
        </w:rPr>
        <w:t>6.2-</w:t>
      </w:r>
      <w:r>
        <w:rPr>
          <w:rFonts w:hint="eastAsia"/>
          <w:b/>
          <w:bCs/>
        </w:rPr>
        <w:t>16  正常工况下废气排气筒最大落地浓度预测结果</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5"/>
        <w:gridCol w:w="1646"/>
        <w:gridCol w:w="2192"/>
        <w:gridCol w:w="1897"/>
        <w:gridCol w:w="1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7552" w:type="dxa"/>
            <w:gridSpan w:val="4"/>
            <w:vAlign w:val="center"/>
          </w:tcPr>
          <w:p>
            <w:pPr>
              <w:spacing w:line="240" w:lineRule="auto"/>
              <w:ind w:firstLine="0" w:firstLineChars="0"/>
              <w:jc w:val="center"/>
              <w:rPr>
                <w:sz w:val="21"/>
                <w:szCs w:val="21"/>
              </w:rPr>
            </w:pPr>
            <w:r>
              <w:rPr>
                <w:rFonts w:hint="eastAsia"/>
                <w:sz w:val="21"/>
                <w:szCs w:val="21"/>
              </w:rPr>
              <w:t>DA00</w:t>
            </w:r>
            <w:r>
              <w:rPr>
                <w:rFonts w:hint="eastAsia"/>
                <w:sz w:val="21"/>
                <w:szCs w:val="21"/>
                <w:lang w:val="en-US" w:eastAsia="zh-CN"/>
              </w:rPr>
              <w:t>3</w:t>
            </w:r>
            <w:r>
              <w:rPr>
                <w:rFonts w:hint="eastAsia"/>
                <w:sz w:val="21"/>
                <w:szCs w:val="21"/>
              </w:rPr>
              <w:t>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1735" w:type="dxa"/>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3838" w:type="dxa"/>
            <w:gridSpan w:val="2"/>
            <w:vAlign w:val="center"/>
          </w:tcPr>
          <w:p>
            <w:pPr>
              <w:widowControl/>
              <w:spacing w:line="240" w:lineRule="auto"/>
              <w:ind w:firstLine="0" w:firstLineChars="0"/>
              <w:jc w:val="center"/>
              <w:rPr>
                <w:sz w:val="21"/>
                <w:szCs w:val="21"/>
              </w:rPr>
            </w:pPr>
            <w:r>
              <w:rPr>
                <w:rFonts w:hint="eastAsia"/>
                <w:sz w:val="21"/>
                <w:szCs w:val="21"/>
              </w:rPr>
              <w:t>硫化氢</w:t>
            </w:r>
          </w:p>
        </w:tc>
        <w:tc>
          <w:tcPr>
            <w:tcW w:w="3714" w:type="dxa"/>
            <w:gridSpan w:val="2"/>
            <w:vAlign w:val="center"/>
          </w:tcPr>
          <w:p>
            <w:pPr>
              <w:widowControl/>
              <w:spacing w:line="240" w:lineRule="auto"/>
              <w:ind w:firstLine="0" w:firstLineChars="0"/>
              <w:jc w:val="center"/>
              <w:rPr>
                <w:sz w:val="21"/>
                <w:szCs w:val="21"/>
              </w:rPr>
            </w:pPr>
            <w:r>
              <w:rPr>
                <w:rFonts w:hint="eastAsia"/>
                <w:sz w:val="21"/>
                <w:szCs w:val="21"/>
              </w:rPr>
              <w:t>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1735" w:type="dxa"/>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646" w:type="dxa"/>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2192" w:type="dxa"/>
            <w:vAlign w:val="center"/>
          </w:tcPr>
          <w:p>
            <w:pPr>
              <w:widowControl/>
              <w:spacing w:line="240" w:lineRule="auto"/>
              <w:ind w:firstLine="0" w:firstLineChars="0"/>
              <w:jc w:val="center"/>
              <w:rPr>
                <w:sz w:val="21"/>
                <w:szCs w:val="21"/>
              </w:rPr>
            </w:pPr>
            <w:r>
              <w:rPr>
                <w:rFonts w:hint="eastAsia"/>
                <w:sz w:val="21"/>
                <w:szCs w:val="21"/>
              </w:rPr>
              <w:t>占标率（%）</w:t>
            </w:r>
          </w:p>
        </w:tc>
        <w:tc>
          <w:tcPr>
            <w:tcW w:w="1897" w:type="dxa"/>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1817" w:type="dxa"/>
            <w:vAlign w:val="center"/>
          </w:tcPr>
          <w:p>
            <w:pPr>
              <w:widowControl/>
              <w:spacing w:line="240" w:lineRule="auto"/>
              <w:ind w:firstLine="0" w:firstLineChars="0"/>
              <w:jc w:val="center"/>
              <w:rPr>
                <w:sz w:val="21"/>
                <w:szCs w:val="21"/>
              </w:rPr>
            </w:pPr>
            <w:r>
              <w:rPr>
                <w:rFonts w:hint="eastAsia"/>
                <w:sz w:val="21"/>
                <w:szCs w:val="21"/>
              </w:rPr>
              <w:t>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1646" w:type="dxa"/>
            <w:vAlign w:val="center"/>
          </w:tcPr>
          <w:p>
            <w:pPr>
              <w:widowControl/>
              <w:spacing w:line="240" w:lineRule="auto"/>
              <w:ind w:firstLine="0" w:firstLineChars="0"/>
              <w:jc w:val="center"/>
              <w:rPr>
                <w:sz w:val="21"/>
                <w:szCs w:val="21"/>
              </w:rPr>
            </w:pPr>
            <w:r>
              <w:rPr>
                <w:rFonts w:hint="eastAsia"/>
                <w:sz w:val="21"/>
                <w:szCs w:val="21"/>
              </w:rPr>
              <w:t>1.349</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2192" w:type="dxa"/>
            <w:vAlign w:val="center"/>
          </w:tcPr>
          <w:p>
            <w:pPr>
              <w:widowControl/>
              <w:spacing w:line="240" w:lineRule="auto"/>
              <w:ind w:firstLine="0" w:firstLineChars="0"/>
              <w:jc w:val="center"/>
              <w:rPr>
                <w:sz w:val="21"/>
                <w:szCs w:val="21"/>
              </w:rPr>
            </w:pPr>
            <w:r>
              <w:rPr>
                <w:rFonts w:hint="eastAsia"/>
                <w:sz w:val="21"/>
                <w:szCs w:val="21"/>
              </w:rPr>
              <w:t>0.00</w:t>
            </w:r>
          </w:p>
        </w:tc>
        <w:tc>
          <w:tcPr>
            <w:tcW w:w="1897" w:type="dxa"/>
            <w:vAlign w:val="center"/>
          </w:tcPr>
          <w:p>
            <w:pPr>
              <w:widowControl/>
              <w:spacing w:line="240" w:lineRule="auto"/>
              <w:ind w:firstLine="0" w:firstLineChars="0"/>
              <w:jc w:val="center"/>
              <w:rPr>
                <w:sz w:val="21"/>
                <w:szCs w:val="21"/>
              </w:rPr>
            </w:pPr>
            <w:r>
              <w:rPr>
                <w:rFonts w:hint="eastAsia"/>
                <w:sz w:val="21"/>
                <w:szCs w:val="21"/>
              </w:rPr>
              <w:t>6.468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1646" w:type="dxa"/>
            <w:vAlign w:val="center"/>
          </w:tcPr>
          <w:p>
            <w:pPr>
              <w:widowControl/>
              <w:spacing w:line="240" w:lineRule="auto"/>
              <w:ind w:firstLine="0" w:firstLineChars="0"/>
              <w:jc w:val="center"/>
              <w:rPr>
                <w:sz w:val="21"/>
                <w:szCs w:val="21"/>
              </w:rPr>
            </w:pPr>
            <w:r>
              <w:rPr>
                <w:rFonts w:hint="eastAsia"/>
                <w:sz w:val="21"/>
                <w:szCs w:val="21"/>
              </w:rPr>
              <w:t>8.121</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2192" w:type="dxa"/>
            <w:vAlign w:val="center"/>
          </w:tcPr>
          <w:p>
            <w:pPr>
              <w:widowControl/>
              <w:spacing w:line="240" w:lineRule="auto"/>
              <w:ind w:firstLine="0" w:firstLineChars="0"/>
              <w:jc w:val="center"/>
              <w:rPr>
                <w:sz w:val="21"/>
                <w:szCs w:val="21"/>
              </w:rPr>
            </w:pPr>
            <w:r>
              <w:rPr>
                <w:rFonts w:hint="eastAsia"/>
                <w:sz w:val="21"/>
                <w:szCs w:val="21"/>
              </w:rPr>
              <w:t>0.00</w:t>
            </w:r>
          </w:p>
        </w:tc>
        <w:tc>
          <w:tcPr>
            <w:tcW w:w="1897" w:type="dxa"/>
            <w:vAlign w:val="center"/>
          </w:tcPr>
          <w:p>
            <w:pPr>
              <w:widowControl/>
              <w:spacing w:line="240" w:lineRule="auto"/>
              <w:ind w:firstLine="0" w:firstLineChars="0"/>
              <w:jc w:val="center"/>
              <w:rPr>
                <w:sz w:val="21"/>
                <w:szCs w:val="21"/>
              </w:rPr>
            </w:pPr>
            <w:r>
              <w:rPr>
                <w:rFonts w:hint="eastAsia"/>
                <w:sz w:val="21"/>
                <w:szCs w:val="21"/>
              </w:rPr>
              <w:t>8.183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rPr>
            </w:pPr>
            <w:r>
              <w:rPr>
                <w:rFonts w:hint="eastAsia"/>
                <w:sz w:val="21"/>
                <w:szCs w:val="21"/>
              </w:rPr>
              <w:t>300</w:t>
            </w:r>
          </w:p>
        </w:tc>
        <w:tc>
          <w:tcPr>
            <w:tcW w:w="1646" w:type="dxa"/>
            <w:vAlign w:val="center"/>
          </w:tcPr>
          <w:p>
            <w:pPr>
              <w:widowControl/>
              <w:spacing w:line="240" w:lineRule="auto"/>
              <w:ind w:firstLine="0" w:firstLineChars="0"/>
              <w:jc w:val="center"/>
              <w:rPr>
                <w:sz w:val="21"/>
                <w:szCs w:val="21"/>
              </w:rPr>
            </w:pPr>
            <w:r>
              <w:rPr>
                <w:rFonts w:hint="eastAsia"/>
                <w:sz w:val="21"/>
                <w:szCs w:val="21"/>
              </w:rPr>
              <w:t>9.027</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2192" w:type="dxa"/>
            <w:vAlign w:val="center"/>
          </w:tcPr>
          <w:p>
            <w:pPr>
              <w:widowControl/>
              <w:spacing w:line="240" w:lineRule="auto"/>
              <w:ind w:firstLine="0" w:firstLineChars="0"/>
              <w:jc w:val="center"/>
              <w:rPr>
                <w:sz w:val="21"/>
                <w:szCs w:val="21"/>
              </w:rPr>
            </w:pPr>
            <w:r>
              <w:rPr>
                <w:rFonts w:hint="eastAsia"/>
                <w:sz w:val="21"/>
                <w:szCs w:val="21"/>
              </w:rPr>
              <w:t>0.00</w:t>
            </w:r>
          </w:p>
        </w:tc>
        <w:tc>
          <w:tcPr>
            <w:tcW w:w="1897" w:type="dxa"/>
            <w:vAlign w:val="center"/>
          </w:tcPr>
          <w:p>
            <w:pPr>
              <w:widowControl/>
              <w:spacing w:line="240" w:lineRule="auto"/>
              <w:ind w:firstLine="0" w:firstLineChars="0"/>
              <w:jc w:val="center"/>
              <w:rPr>
                <w:sz w:val="21"/>
                <w:szCs w:val="21"/>
              </w:rPr>
            </w:pPr>
            <w:r>
              <w:rPr>
                <w:rFonts w:hint="eastAsia"/>
                <w:sz w:val="21"/>
                <w:szCs w:val="21"/>
              </w:rPr>
              <w:t>8.658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1646" w:type="dxa"/>
            <w:vAlign w:val="center"/>
          </w:tcPr>
          <w:p>
            <w:pPr>
              <w:widowControl/>
              <w:spacing w:line="240" w:lineRule="auto"/>
              <w:ind w:firstLine="0" w:firstLineChars="0"/>
              <w:jc w:val="center"/>
              <w:rPr>
                <w:sz w:val="21"/>
                <w:szCs w:val="21"/>
              </w:rPr>
            </w:pPr>
            <w:r>
              <w:rPr>
                <w:rFonts w:hint="eastAsia"/>
                <w:sz w:val="21"/>
                <w:szCs w:val="21"/>
              </w:rPr>
              <w:t>8.586</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2192" w:type="dxa"/>
            <w:vAlign w:val="center"/>
          </w:tcPr>
          <w:p>
            <w:pPr>
              <w:widowControl/>
              <w:spacing w:line="240" w:lineRule="auto"/>
              <w:ind w:firstLine="0" w:firstLineChars="0"/>
              <w:jc w:val="center"/>
              <w:rPr>
                <w:sz w:val="21"/>
                <w:szCs w:val="21"/>
              </w:rPr>
            </w:pPr>
            <w:r>
              <w:rPr>
                <w:rFonts w:hint="eastAsia"/>
                <w:sz w:val="21"/>
                <w:szCs w:val="21"/>
              </w:rPr>
              <w:t>0.00</w:t>
            </w:r>
          </w:p>
        </w:tc>
        <w:tc>
          <w:tcPr>
            <w:tcW w:w="1897" w:type="dxa"/>
            <w:vAlign w:val="center"/>
          </w:tcPr>
          <w:p>
            <w:pPr>
              <w:widowControl/>
              <w:spacing w:line="240" w:lineRule="auto"/>
              <w:ind w:firstLine="0" w:firstLineChars="0"/>
              <w:jc w:val="center"/>
              <w:rPr>
                <w:sz w:val="21"/>
                <w:szCs w:val="21"/>
              </w:rPr>
            </w:pPr>
            <w:r>
              <w:rPr>
                <w:rFonts w:hint="eastAsia"/>
                <w:sz w:val="21"/>
                <w:szCs w:val="21"/>
              </w:rPr>
              <w:t>8.109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1646" w:type="dxa"/>
            <w:vAlign w:val="center"/>
          </w:tcPr>
          <w:p>
            <w:pPr>
              <w:widowControl/>
              <w:spacing w:line="240" w:lineRule="auto"/>
              <w:ind w:firstLine="0" w:firstLineChars="0"/>
              <w:jc w:val="center"/>
              <w:rPr>
                <w:sz w:val="21"/>
                <w:szCs w:val="21"/>
              </w:rPr>
            </w:pPr>
            <w:r>
              <w:rPr>
                <w:rFonts w:hint="eastAsia"/>
                <w:sz w:val="21"/>
                <w:szCs w:val="21"/>
              </w:rPr>
              <w:t>7.905</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7.923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1646" w:type="dxa"/>
            <w:vAlign w:val="center"/>
          </w:tcPr>
          <w:p>
            <w:pPr>
              <w:widowControl/>
              <w:spacing w:line="240" w:lineRule="auto"/>
              <w:ind w:firstLine="0" w:firstLineChars="0"/>
              <w:jc w:val="center"/>
              <w:rPr>
                <w:sz w:val="21"/>
                <w:szCs w:val="21"/>
              </w:rPr>
            </w:pPr>
            <w:r>
              <w:rPr>
                <w:rFonts w:hint="eastAsia"/>
                <w:sz w:val="21"/>
                <w:szCs w:val="21"/>
              </w:rPr>
              <w:t>7.459</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0.0001031</w:t>
            </w:r>
          </w:p>
        </w:tc>
        <w:tc>
          <w:tcPr>
            <w:tcW w:w="1817" w:type="dxa"/>
            <w:vAlign w:val="center"/>
          </w:tcPr>
          <w:p>
            <w:pPr>
              <w:widowControl/>
              <w:spacing w:line="240" w:lineRule="auto"/>
              <w:ind w:firstLine="0" w:firstLineChars="0"/>
              <w:jc w:val="center"/>
              <w:rPr>
                <w:sz w:val="21"/>
                <w:szCs w:val="21"/>
              </w:rPr>
            </w:pPr>
            <w:r>
              <w:rPr>
                <w:rFonts w:hint="eastAsia"/>
                <w:sz w:val="21"/>
                <w:szCs w:val="21"/>
              </w:rPr>
              <w:t>1.03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1646" w:type="dxa"/>
            <w:vAlign w:val="center"/>
          </w:tcPr>
          <w:p>
            <w:pPr>
              <w:widowControl/>
              <w:spacing w:line="240" w:lineRule="auto"/>
              <w:ind w:firstLine="0" w:firstLineChars="0"/>
              <w:jc w:val="center"/>
              <w:rPr>
                <w:sz w:val="21"/>
                <w:szCs w:val="21"/>
              </w:rPr>
            </w:pPr>
            <w:r>
              <w:rPr>
                <w:rFonts w:hint="eastAsia"/>
                <w:sz w:val="21"/>
                <w:szCs w:val="21"/>
              </w:rPr>
              <w:t>7.205</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0.0001178</w:t>
            </w:r>
          </w:p>
        </w:tc>
        <w:tc>
          <w:tcPr>
            <w:tcW w:w="1817" w:type="dxa"/>
            <w:vAlign w:val="center"/>
          </w:tcPr>
          <w:p>
            <w:pPr>
              <w:widowControl/>
              <w:spacing w:line="240" w:lineRule="auto"/>
              <w:ind w:firstLine="0" w:firstLineChars="0"/>
              <w:jc w:val="center"/>
              <w:rPr>
                <w:sz w:val="21"/>
                <w:szCs w:val="21"/>
              </w:rPr>
            </w:pPr>
            <w:r>
              <w:rPr>
                <w:rFonts w:hint="eastAsia"/>
                <w:sz w:val="21"/>
                <w:szCs w:val="21"/>
              </w:rPr>
              <w:t>1.18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1646" w:type="dxa"/>
            <w:vAlign w:val="center"/>
          </w:tcPr>
          <w:p>
            <w:pPr>
              <w:widowControl/>
              <w:spacing w:line="240" w:lineRule="auto"/>
              <w:ind w:firstLine="0" w:firstLineChars="0"/>
              <w:jc w:val="center"/>
              <w:rPr>
                <w:sz w:val="21"/>
                <w:szCs w:val="21"/>
              </w:rPr>
            </w:pPr>
            <w:r>
              <w:rPr>
                <w:rFonts w:hint="eastAsia"/>
                <w:sz w:val="21"/>
                <w:szCs w:val="21"/>
              </w:rPr>
              <w:t>8.428</w:t>
            </w:r>
            <w:r>
              <w:rPr>
                <w:rFonts w:hint="default"/>
                <w:sz w:val="21"/>
                <w:szCs w:val="21"/>
                <w:u w:val="single"/>
              </w:rPr>
              <w:t>×</w:t>
            </w:r>
            <w:r>
              <w:rPr>
                <w:rFonts w:hint="eastAsia"/>
                <w:sz w:val="21"/>
                <w:szCs w:val="21"/>
                <w:u w:val="single"/>
                <w:lang w:val="en-US" w:eastAsia="zh-CN"/>
              </w:rPr>
              <w:t>10</w:t>
            </w:r>
            <w:r>
              <w:rPr>
                <w:rFonts w:hint="eastAsia"/>
                <w:sz w:val="21"/>
                <w:szCs w:val="21"/>
                <w:u w:val="single"/>
                <w:vertAlign w:val="superscript"/>
                <w:lang w:val="en-US" w:eastAsia="zh-CN"/>
              </w:rPr>
              <w:t>-5</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0.0001248</w:t>
            </w:r>
          </w:p>
        </w:tc>
        <w:tc>
          <w:tcPr>
            <w:tcW w:w="1817" w:type="dxa"/>
            <w:vAlign w:val="center"/>
          </w:tcPr>
          <w:p>
            <w:pPr>
              <w:widowControl/>
              <w:spacing w:line="240" w:lineRule="auto"/>
              <w:ind w:firstLine="0" w:firstLineChars="0"/>
              <w:jc w:val="center"/>
              <w:rPr>
                <w:sz w:val="21"/>
                <w:szCs w:val="21"/>
              </w:rPr>
            </w:pPr>
            <w:r>
              <w:rPr>
                <w:rFonts w:hint="eastAsia"/>
                <w:sz w:val="21"/>
                <w:szCs w:val="21"/>
              </w:rPr>
              <w:t>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1646" w:type="dxa"/>
            <w:vAlign w:val="center"/>
          </w:tcPr>
          <w:p>
            <w:pPr>
              <w:widowControl/>
              <w:spacing w:line="240" w:lineRule="auto"/>
              <w:ind w:firstLine="0" w:firstLineChars="0"/>
              <w:jc w:val="center"/>
              <w:rPr>
                <w:sz w:val="21"/>
                <w:szCs w:val="21"/>
              </w:rPr>
            </w:pPr>
            <w:r>
              <w:rPr>
                <w:rFonts w:hint="eastAsia"/>
                <w:sz w:val="21"/>
                <w:szCs w:val="21"/>
              </w:rPr>
              <w:t>0.0001015</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0.0001265</w:t>
            </w:r>
          </w:p>
        </w:tc>
        <w:tc>
          <w:tcPr>
            <w:tcW w:w="1817" w:type="dxa"/>
            <w:vAlign w:val="center"/>
          </w:tcPr>
          <w:p>
            <w:pPr>
              <w:widowControl/>
              <w:spacing w:line="240" w:lineRule="auto"/>
              <w:ind w:firstLine="0" w:firstLineChars="0"/>
              <w:jc w:val="center"/>
              <w:rPr>
                <w:sz w:val="21"/>
                <w:szCs w:val="21"/>
              </w:rPr>
            </w:pPr>
            <w:r>
              <w:rPr>
                <w:rFonts w:hint="eastAsia"/>
                <w:sz w:val="21"/>
                <w:szCs w:val="21"/>
              </w:rPr>
              <w:t>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1646" w:type="dxa"/>
            <w:vAlign w:val="center"/>
          </w:tcPr>
          <w:p>
            <w:pPr>
              <w:widowControl/>
              <w:spacing w:line="240" w:lineRule="auto"/>
              <w:ind w:firstLine="0" w:firstLineChars="0"/>
              <w:jc w:val="center"/>
              <w:rPr>
                <w:sz w:val="21"/>
                <w:szCs w:val="21"/>
              </w:rPr>
            </w:pPr>
            <w:r>
              <w:rPr>
                <w:rFonts w:hint="eastAsia"/>
                <w:sz w:val="21"/>
                <w:szCs w:val="21"/>
              </w:rPr>
              <w:t>0.0001159</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0.0001247</w:t>
            </w:r>
          </w:p>
        </w:tc>
        <w:tc>
          <w:tcPr>
            <w:tcW w:w="1817" w:type="dxa"/>
            <w:vAlign w:val="center"/>
          </w:tcPr>
          <w:p>
            <w:pPr>
              <w:widowControl/>
              <w:spacing w:line="240" w:lineRule="auto"/>
              <w:ind w:firstLine="0" w:firstLineChars="0"/>
              <w:jc w:val="center"/>
              <w:rPr>
                <w:sz w:val="21"/>
                <w:szCs w:val="21"/>
              </w:rPr>
            </w:pPr>
            <w:r>
              <w:rPr>
                <w:rFonts w:hint="eastAsia"/>
                <w:sz w:val="21"/>
                <w:szCs w:val="21"/>
              </w:rPr>
              <w:t>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1646" w:type="dxa"/>
            <w:vAlign w:val="center"/>
          </w:tcPr>
          <w:p>
            <w:pPr>
              <w:widowControl/>
              <w:spacing w:line="240" w:lineRule="auto"/>
              <w:ind w:firstLine="0" w:firstLineChars="0"/>
              <w:jc w:val="center"/>
              <w:rPr>
                <w:sz w:val="21"/>
                <w:szCs w:val="21"/>
              </w:rPr>
            </w:pPr>
            <w:r>
              <w:rPr>
                <w:rFonts w:hint="eastAsia"/>
                <w:sz w:val="21"/>
                <w:szCs w:val="21"/>
              </w:rPr>
              <w:t>0.0001238</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0.0001198</w:t>
            </w:r>
          </w:p>
        </w:tc>
        <w:tc>
          <w:tcPr>
            <w:tcW w:w="1817" w:type="dxa"/>
            <w:vAlign w:val="center"/>
          </w:tcPr>
          <w:p>
            <w:pPr>
              <w:widowControl/>
              <w:spacing w:line="240" w:lineRule="auto"/>
              <w:ind w:firstLine="0" w:firstLineChars="0"/>
              <w:jc w:val="center"/>
              <w:rPr>
                <w:sz w:val="21"/>
                <w:szCs w:val="21"/>
              </w:rPr>
            </w:pPr>
            <w:r>
              <w:rPr>
                <w:rFonts w:hint="eastAsia"/>
                <w:sz w:val="21"/>
                <w:szCs w:val="21"/>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1646" w:type="dxa"/>
            <w:vAlign w:val="center"/>
          </w:tcPr>
          <w:p>
            <w:pPr>
              <w:widowControl/>
              <w:spacing w:line="240" w:lineRule="auto"/>
              <w:ind w:firstLine="0" w:firstLineChars="0"/>
              <w:jc w:val="center"/>
              <w:rPr>
                <w:sz w:val="21"/>
                <w:szCs w:val="21"/>
              </w:rPr>
            </w:pPr>
            <w:r>
              <w:rPr>
                <w:rFonts w:hint="eastAsia"/>
                <w:sz w:val="21"/>
                <w:szCs w:val="21"/>
              </w:rPr>
              <w:t>0.0001295</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0.0001144</w:t>
            </w:r>
          </w:p>
        </w:tc>
        <w:tc>
          <w:tcPr>
            <w:tcW w:w="1817" w:type="dxa"/>
            <w:vAlign w:val="center"/>
          </w:tcPr>
          <w:p>
            <w:pPr>
              <w:widowControl/>
              <w:spacing w:line="240" w:lineRule="auto"/>
              <w:ind w:firstLine="0" w:firstLineChars="0"/>
              <w:jc w:val="center"/>
              <w:rPr>
                <w:sz w:val="21"/>
                <w:szCs w:val="21"/>
              </w:rPr>
            </w:pPr>
            <w:r>
              <w:rPr>
                <w:rFonts w:hint="eastAsia"/>
                <w:sz w:val="21"/>
                <w:szCs w:val="21"/>
              </w:rPr>
              <w:t>1.14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1646" w:type="dxa"/>
            <w:vAlign w:val="center"/>
          </w:tcPr>
          <w:p>
            <w:pPr>
              <w:widowControl/>
              <w:spacing w:line="240" w:lineRule="auto"/>
              <w:ind w:firstLine="0" w:firstLineChars="0"/>
              <w:jc w:val="center"/>
              <w:rPr>
                <w:sz w:val="21"/>
                <w:szCs w:val="21"/>
              </w:rPr>
            </w:pPr>
            <w:r>
              <w:rPr>
                <w:rFonts w:hint="eastAsia"/>
                <w:sz w:val="21"/>
                <w:szCs w:val="21"/>
              </w:rPr>
              <w:t>0.0001333</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0.0001104</w:t>
            </w:r>
          </w:p>
        </w:tc>
        <w:tc>
          <w:tcPr>
            <w:tcW w:w="1817" w:type="dxa"/>
            <w:vAlign w:val="center"/>
          </w:tcPr>
          <w:p>
            <w:pPr>
              <w:widowControl/>
              <w:spacing w:line="240" w:lineRule="auto"/>
              <w:ind w:firstLine="0" w:firstLineChars="0"/>
              <w:jc w:val="center"/>
              <w:rPr>
                <w:sz w:val="21"/>
                <w:szCs w:val="21"/>
              </w:rPr>
            </w:pPr>
            <w:r>
              <w:rPr>
                <w:rFonts w:hint="eastAsia"/>
                <w:sz w:val="21"/>
                <w:szCs w:val="21"/>
              </w:rPr>
              <w:t>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1646" w:type="dxa"/>
            <w:vAlign w:val="center"/>
          </w:tcPr>
          <w:p>
            <w:pPr>
              <w:widowControl/>
              <w:spacing w:line="240" w:lineRule="auto"/>
              <w:ind w:firstLine="0" w:firstLineChars="0"/>
              <w:jc w:val="center"/>
              <w:rPr>
                <w:sz w:val="21"/>
                <w:szCs w:val="21"/>
              </w:rPr>
            </w:pPr>
            <w:r>
              <w:rPr>
                <w:rFonts w:hint="eastAsia"/>
                <w:sz w:val="21"/>
                <w:szCs w:val="21"/>
              </w:rPr>
              <w:t>0.0001355</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0.0001115</w:t>
            </w:r>
          </w:p>
        </w:tc>
        <w:tc>
          <w:tcPr>
            <w:tcW w:w="1817" w:type="dxa"/>
            <w:vAlign w:val="center"/>
          </w:tcPr>
          <w:p>
            <w:pPr>
              <w:widowControl/>
              <w:spacing w:line="240" w:lineRule="auto"/>
              <w:ind w:firstLine="0" w:firstLineChars="0"/>
              <w:jc w:val="center"/>
              <w:rPr>
                <w:sz w:val="21"/>
                <w:szCs w:val="21"/>
              </w:rPr>
            </w:pPr>
            <w:r>
              <w:rPr>
                <w:rFonts w:hint="eastAsia"/>
                <w:sz w:val="21"/>
                <w:szCs w:val="21"/>
              </w:rPr>
              <w:t>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1646" w:type="dxa"/>
            <w:vAlign w:val="center"/>
          </w:tcPr>
          <w:p>
            <w:pPr>
              <w:widowControl/>
              <w:spacing w:line="240" w:lineRule="auto"/>
              <w:ind w:firstLine="0" w:firstLineChars="0"/>
              <w:jc w:val="center"/>
              <w:rPr>
                <w:sz w:val="21"/>
                <w:szCs w:val="21"/>
              </w:rPr>
            </w:pPr>
            <w:r>
              <w:rPr>
                <w:rFonts w:hint="eastAsia"/>
                <w:sz w:val="21"/>
                <w:szCs w:val="21"/>
              </w:rPr>
              <w:t>0.0001366</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0.0001115</w:t>
            </w:r>
          </w:p>
        </w:tc>
        <w:tc>
          <w:tcPr>
            <w:tcW w:w="1817" w:type="dxa"/>
            <w:vAlign w:val="center"/>
          </w:tcPr>
          <w:p>
            <w:pPr>
              <w:widowControl/>
              <w:spacing w:line="240" w:lineRule="auto"/>
              <w:ind w:firstLine="0" w:firstLineChars="0"/>
              <w:jc w:val="center"/>
              <w:rPr>
                <w:sz w:val="21"/>
                <w:szCs w:val="21"/>
              </w:rPr>
            </w:pPr>
            <w:r>
              <w:rPr>
                <w:rFonts w:hint="eastAsia"/>
                <w:sz w:val="21"/>
                <w:szCs w:val="21"/>
              </w:rPr>
              <w:t>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 w:hRule="atLeast"/>
          <w:jc w:val="center"/>
        </w:trPr>
        <w:tc>
          <w:tcPr>
            <w:tcW w:w="1735" w:type="dxa"/>
            <w:shd w:val="clear" w:color="auto" w:fill="ED7D31" w:themeFill="accent2"/>
            <w:vAlign w:val="center"/>
          </w:tcPr>
          <w:p>
            <w:pPr>
              <w:widowControl/>
              <w:spacing w:line="240" w:lineRule="auto"/>
              <w:ind w:firstLine="0" w:firstLineChars="0"/>
              <w:jc w:val="center"/>
              <w:rPr>
                <w:sz w:val="21"/>
                <w:szCs w:val="21"/>
              </w:rPr>
            </w:pPr>
            <w:r>
              <w:rPr>
                <w:rFonts w:hint="eastAsia"/>
                <w:sz w:val="21"/>
                <w:szCs w:val="21"/>
              </w:rPr>
              <w:t>1554</w:t>
            </w:r>
          </w:p>
        </w:tc>
        <w:tc>
          <w:tcPr>
            <w:tcW w:w="1646" w:type="dxa"/>
            <w:shd w:val="clear" w:color="auto" w:fill="ED7D31" w:themeFill="accent2"/>
            <w:vAlign w:val="center"/>
          </w:tcPr>
          <w:p>
            <w:pPr>
              <w:widowControl/>
              <w:spacing w:line="240" w:lineRule="auto"/>
              <w:ind w:firstLine="0" w:firstLineChars="0"/>
              <w:jc w:val="center"/>
              <w:rPr>
                <w:sz w:val="21"/>
                <w:szCs w:val="21"/>
              </w:rPr>
            </w:pPr>
            <w:r>
              <w:rPr>
                <w:rFonts w:hint="eastAsia"/>
                <w:sz w:val="21"/>
                <w:szCs w:val="21"/>
              </w:rPr>
              <w:t>0.0001367</w:t>
            </w:r>
          </w:p>
        </w:tc>
        <w:tc>
          <w:tcPr>
            <w:tcW w:w="2192" w:type="dxa"/>
            <w:shd w:val="clear" w:color="auto" w:fill="ED7D31" w:themeFill="accent2"/>
            <w:vAlign w:val="center"/>
          </w:tcPr>
          <w:p>
            <w:pPr>
              <w:widowControl/>
              <w:spacing w:line="240" w:lineRule="auto"/>
              <w:ind w:firstLine="0" w:firstLineChars="0"/>
              <w:jc w:val="center"/>
              <w:rPr>
                <w:sz w:val="21"/>
                <w:szCs w:val="21"/>
              </w:rPr>
            </w:pPr>
            <w:r>
              <w:rPr>
                <w:rFonts w:hint="eastAsia"/>
                <w:sz w:val="21"/>
                <w:szCs w:val="21"/>
              </w:rPr>
              <w:t>0.01</w:t>
            </w:r>
          </w:p>
        </w:tc>
        <w:tc>
          <w:tcPr>
            <w:tcW w:w="1897" w:type="dxa"/>
            <w:shd w:val="clear" w:color="auto" w:fill="ED7D31" w:themeFill="accent2"/>
            <w:vAlign w:val="center"/>
          </w:tcPr>
          <w:p>
            <w:pPr>
              <w:widowControl/>
              <w:spacing w:line="240" w:lineRule="auto"/>
              <w:ind w:firstLine="0" w:firstLineChars="0"/>
              <w:jc w:val="center"/>
              <w:rPr>
                <w:sz w:val="21"/>
                <w:szCs w:val="21"/>
              </w:rPr>
            </w:pPr>
            <w:r>
              <w:rPr>
                <w:rFonts w:hint="eastAsia"/>
                <w:sz w:val="21"/>
                <w:szCs w:val="21"/>
              </w:rPr>
              <w:t>0.0001265</w:t>
            </w:r>
          </w:p>
        </w:tc>
        <w:tc>
          <w:tcPr>
            <w:tcW w:w="1817" w:type="dxa"/>
            <w:shd w:val="clear" w:color="auto" w:fill="ED7D31" w:themeFill="accent2"/>
            <w:vAlign w:val="center"/>
          </w:tcPr>
          <w:p>
            <w:pPr>
              <w:widowControl/>
              <w:spacing w:line="240" w:lineRule="auto"/>
              <w:ind w:firstLine="0" w:firstLineChars="0"/>
              <w:jc w:val="center"/>
              <w:rPr>
                <w:sz w:val="21"/>
                <w:szCs w:val="21"/>
              </w:rPr>
            </w:pPr>
            <w:r>
              <w:rPr>
                <w:rFonts w:hint="eastAsia"/>
                <w:sz w:val="21"/>
                <w:szCs w:val="21"/>
              </w:rPr>
              <w:t>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1646" w:type="dxa"/>
            <w:vAlign w:val="center"/>
          </w:tcPr>
          <w:p>
            <w:pPr>
              <w:widowControl/>
              <w:spacing w:line="240" w:lineRule="auto"/>
              <w:ind w:firstLine="0" w:firstLineChars="0"/>
              <w:jc w:val="center"/>
              <w:rPr>
                <w:sz w:val="21"/>
                <w:szCs w:val="21"/>
              </w:rPr>
            </w:pPr>
            <w:r>
              <w:rPr>
                <w:rFonts w:hint="eastAsia"/>
                <w:sz w:val="21"/>
                <w:szCs w:val="21"/>
              </w:rPr>
              <w:t>0.0001366</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0.0001107</w:t>
            </w:r>
          </w:p>
        </w:tc>
        <w:tc>
          <w:tcPr>
            <w:tcW w:w="1817" w:type="dxa"/>
            <w:vAlign w:val="center"/>
          </w:tcPr>
          <w:p>
            <w:pPr>
              <w:widowControl/>
              <w:spacing w:line="240" w:lineRule="auto"/>
              <w:ind w:firstLine="0" w:firstLineChars="0"/>
              <w:jc w:val="center"/>
              <w:rPr>
                <w:sz w:val="21"/>
                <w:szCs w:val="21"/>
              </w:rPr>
            </w:pPr>
            <w:r>
              <w:rPr>
                <w:rFonts w:hint="eastAsia"/>
                <w:sz w:val="21"/>
                <w:szCs w:val="21"/>
              </w:rPr>
              <w:t>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1646" w:type="dxa"/>
            <w:vAlign w:val="center"/>
          </w:tcPr>
          <w:p>
            <w:pPr>
              <w:widowControl/>
              <w:spacing w:line="240" w:lineRule="auto"/>
              <w:ind w:firstLine="0" w:firstLineChars="0"/>
              <w:jc w:val="center"/>
              <w:rPr>
                <w:sz w:val="21"/>
                <w:szCs w:val="21"/>
              </w:rPr>
            </w:pPr>
            <w:r>
              <w:rPr>
                <w:rFonts w:hint="eastAsia"/>
                <w:sz w:val="21"/>
                <w:szCs w:val="21"/>
              </w:rPr>
              <w:t>0.0001359</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0.0001093</w:t>
            </w:r>
          </w:p>
        </w:tc>
        <w:tc>
          <w:tcPr>
            <w:tcW w:w="1817" w:type="dxa"/>
            <w:vAlign w:val="center"/>
          </w:tcPr>
          <w:p>
            <w:pPr>
              <w:widowControl/>
              <w:spacing w:line="240" w:lineRule="auto"/>
              <w:ind w:firstLine="0" w:firstLineChars="0"/>
              <w:jc w:val="center"/>
              <w:rPr>
                <w:sz w:val="21"/>
                <w:szCs w:val="21"/>
              </w:rPr>
            </w:pPr>
            <w:r>
              <w:rPr>
                <w:rFonts w:hint="eastAsia"/>
                <w:sz w:val="21"/>
                <w:szCs w:val="21"/>
              </w:rPr>
              <w:t>1.09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1646" w:type="dxa"/>
            <w:vAlign w:val="center"/>
          </w:tcPr>
          <w:p>
            <w:pPr>
              <w:widowControl/>
              <w:spacing w:line="240" w:lineRule="auto"/>
              <w:ind w:firstLine="0" w:firstLineChars="0"/>
              <w:jc w:val="center"/>
              <w:rPr>
                <w:sz w:val="21"/>
                <w:szCs w:val="21"/>
              </w:rPr>
            </w:pPr>
            <w:r>
              <w:rPr>
                <w:rFonts w:hint="eastAsia"/>
                <w:sz w:val="21"/>
                <w:szCs w:val="21"/>
              </w:rPr>
              <w:t>0.0001345</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0.0001075</w:t>
            </w:r>
          </w:p>
        </w:tc>
        <w:tc>
          <w:tcPr>
            <w:tcW w:w="1817" w:type="dxa"/>
            <w:vAlign w:val="center"/>
          </w:tcPr>
          <w:p>
            <w:pPr>
              <w:widowControl/>
              <w:spacing w:line="240" w:lineRule="auto"/>
              <w:ind w:firstLine="0" w:firstLineChars="0"/>
              <w:jc w:val="center"/>
              <w:rPr>
                <w:sz w:val="21"/>
                <w:szCs w:val="21"/>
              </w:rPr>
            </w:pPr>
            <w:r>
              <w:rPr>
                <w:rFonts w:hint="eastAsia"/>
                <w:sz w:val="21"/>
                <w:szCs w:val="21"/>
              </w:rPr>
              <w:t>1.07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1646" w:type="dxa"/>
            <w:vAlign w:val="center"/>
          </w:tcPr>
          <w:p>
            <w:pPr>
              <w:widowControl/>
              <w:spacing w:line="240" w:lineRule="auto"/>
              <w:ind w:firstLine="0" w:firstLineChars="0"/>
              <w:jc w:val="center"/>
              <w:rPr>
                <w:sz w:val="21"/>
                <w:szCs w:val="21"/>
              </w:rPr>
            </w:pPr>
            <w:r>
              <w:rPr>
                <w:rFonts w:hint="eastAsia"/>
                <w:sz w:val="21"/>
                <w:szCs w:val="21"/>
              </w:rPr>
              <w:t>0.0001327</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0.0001053</w:t>
            </w:r>
          </w:p>
        </w:tc>
        <w:tc>
          <w:tcPr>
            <w:tcW w:w="1817" w:type="dxa"/>
            <w:vAlign w:val="center"/>
          </w:tcPr>
          <w:p>
            <w:pPr>
              <w:widowControl/>
              <w:spacing w:line="240" w:lineRule="auto"/>
              <w:ind w:firstLine="0" w:firstLineChars="0"/>
              <w:jc w:val="center"/>
              <w:rPr>
                <w:sz w:val="21"/>
                <w:szCs w:val="21"/>
              </w:rPr>
            </w:pPr>
            <w:r>
              <w:rPr>
                <w:rFonts w:hint="eastAsia"/>
                <w:sz w:val="21"/>
                <w:szCs w:val="21"/>
              </w:rPr>
              <w:t>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1646" w:type="dxa"/>
            <w:vAlign w:val="center"/>
          </w:tcPr>
          <w:p>
            <w:pPr>
              <w:widowControl/>
              <w:spacing w:line="240" w:lineRule="auto"/>
              <w:ind w:firstLine="0" w:firstLineChars="0"/>
              <w:jc w:val="center"/>
              <w:rPr>
                <w:sz w:val="21"/>
                <w:szCs w:val="21"/>
              </w:rPr>
            </w:pPr>
            <w:r>
              <w:rPr>
                <w:rFonts w:hint="eastAsia"/>
                <w:sz w:val="21"/>
                <w:szCs w:val="21"/>
              </w:rPr>
              <w:t>0.0001306</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0.000103</w:t>
            </w:r>
          </w:p>
        </w:tc>
        <w:tc>
          <w:tcPr>
            <w:tcW w:w="1817" w:type="dxa"/>
            <w:vAlign w:val="center"/>
          </w:tcPr>
          <w:p>
            <w:pPr>
              <w:widowControl/>
              <w:spacing w:line="240" w:lineRule="auto"/>
              <w:ind w:firstLine="0" w:firstLineChars="0"/>
              <w:jc w:val="center"/>
              <w:rPr>
                <w:sz w:val="21"/>
                <w:szCs w:val="21"/>
              </w:rPr>
            </w:pPr>
            <w:r>
              <w:rPr>
                <w:rFonts w:hint="eastAsia"/>
                <w:sz w:val="21"/>
                <w:szCs w:val="21"/>
              </w:rPr>
              <w:t>1.03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1646" w:type="dxa"/>
            <w:vAlign w:val="center"/>
          </w:tcPr>
          <w:p>
            <w:pPr>
              <w:widowControl/>
              <w:spacing w:line="240" w:lineRule="auto"/>
              <w:ind w:firstLine="0" w:firstLineChars="0"/>
              <w:jc w:val="center"/>
              <w:rPr>
                <w:sz w:val="21"/>
                <w:szCs w:val="21"/>
              </w:rPr>
            </w:pPr>
            <w:r>
              <w:rPr>
                <w:rFonts w:hint="eastAsia"/>
                <w:sz w:val="21"/>
                <w:szCs w:val="21"/>
              </w:rPr>
              <w:t>0.0001279</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0.0001002</w:t>
            </w:r>
          </w:p>
        </w:tc>
        <w:tc>
          <w:tcPr>
            <w:tcW w:w="1817" w:type="dxa"/>
            <w:vAlign w:val="center"/>
          </w:tcPr>
          <w:p>
            <w:pPr>
              <w:widowControl/>
              <w:spacing w:line="240" w:lineRule="auto"/>
              <w:ind w:firstLine="0" w:firstLineChars="0"/>
              <w:jc w:val="center"/>
              <w:rPr>
                <w:sz w:val="21"/>
                <w:szCs w:val="21"/>
              </w:rPr>
            </w:pPr>
            <w:r>
              <w:rPr>
                <w:rFonts w:hint="eastAsia"/>
                <w:sz w:val="21"/>
                <w:szCs w:val="21"/>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1646" w:type="dxa"/>
            <w:vAlign w:val="center"/>
          </w:tcPr>
          <w:p>
            <w:pPr>
              <w:widowControl/>
              <w:spacing w:line="240" w:lineRule="auto"/>
              <w:ind w:firstLine="0" w:firstLineChars="0"/>
              <w:jc w:val="center"/>
              <w:rPr>
                <w:sz w:val="21"/>
                <w:szCs w:val="21"/>
              </w:rPr>
            </w:pPr>
            <w:r>
              <w:rPr>
                <w:rFonts w:hint="eastAsia"/>
                <w:sz w:val="21"/>
                <w:szCs w:val="21"/>
              </w:rPr>
              <w:t>0.0001251</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9.744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1646" w:type="dxa"/>
            <w:vAlign w:val="center"/>
          </w:tcPr>
          <w:p>
            <w:pPr>
              <w:widowControl/>
              <w:spacing w:line="240" w:lineRule="auto"/>
              <w:ind w:firstLine="0" w:firstLineChars="0"/>
              <w:jc w:val="center"/>
              <w:rPr>
                <w:sz w:val="21"/>
                <w:szCs w:val="21"/>
              </w:rPr>
            </w:pPr>
            <w:r>
              <w:rPr>
                <w:rFonts w:hint="eastAsia"/>
                <w:sz w:val="21"/>
                <w:szCs w:val="21"/>
              </w:rPr>
              <w:t>0.0001222</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9.472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1646" w:type="dxa"/>
            <w:vAlign w:val="center"/>
          </w:tcPr>
          <w:p>
            <w:pPr>
              <w:widowControl/>
              <w:spacing w:line="240" w:lineRule="auto"/>
              <w:ind w:firstLine="0" w:firstLineChars="0"/>
              <w:jc w:val="center"/>
              <w:rPr>
                <w:sz w:val="21"/>
                <w:szCs w:val="21"/>
              </w:rPr>
            </w:pPr>
            <w:r>
              <w:rPr>
                <w:rFonts w:hint="eastAsia"/>
                <w:sz w:val="21"/>
                <w:szCs w:val="21"/>
              </w:rPr>
              <w:t>0.0001193</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9.205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1646" w:type="dxa"/>
            <w:vAlign w:val="center"/>
          </w:tcPr>
          <w:p>
            <w:pPr>
              <w:widowControl/>
              <w:spacing w:line="240" w:lineRule="auto"/>
              <w:ind w:firstLine="0" w:firstLineChars="0"/>
              <w:jc w:val="center"/>
              <w:rPr>
                <w:sz w:val="21"/>
                <w:szCs w:val="21"/>
              </w:rPr>
            </w:pPr>
            <w:r>
              <w:rPr>
                <w:rFonts w:hint="eastAsia"/>
                <w:sz w:val="21"/>
                <w:szCs w:val="21"/>
              </w:rPr>
              <w:t>0.0001189</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8.945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646" w:type="dxa"/>
            <w:vAlign w:val="center"/>
          </w:tcPr>
          <w:p>
            <w:pPr>
              <w:widowControl/>
              <w:spacing w:line="240" w:lineRule="auto"/>
              <w:ind w:firstLine="0" w:firstLineChars="0"/>
              <w:jc w:val="center"/>
              <w:rPr>
                <w:sz w:val="21"/>
                <w:szCs w:val="21"/>
              </w:rPr>
            </w:pPr>
            <w:r>
              <w:rPr>
                <w:rFonts w:hint="eastAsia"/>
                <w:sz w:val="21"/>
                <w:szCs w:val="21"/>
              </w:rPr>
              <w:t>0.0001367</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sz w:val="21"/>
                <w:szCs w:val="21"/>
              </w:rPr>
            </w:pPr>
            <w:r>
              <w:rPr>
                <w:rFonts w:hint="eastAsia"/>
                <w:sz w:val="21"/>
                <w:szCs w:val="21"/>
              </w:rPr>
              <w:t>0.0001265</w:t>
            </w:r>
          </w:p>
        </w:tc>
        <w:tc>
          <w:tcPr>
            <w:tcW w:w="1817" w:type="dxa"/>
            <w:vAlign w:val="center"/>
          </w:tcPr>
          <w:p>
            <w:pPr>
              <w:widowControl/>
              <w:spacing w:line="240" w:lineRule="auto"/>
              <w:ind w:firstLine="0" w:firstLineChars="0"/>
              <w:jc w:val="center"/>
              <w:rPr>
                <w:sz w:val="21"/>
                <w:szCs w:val="21"/>
              </w:rPr>
            </w:pPr>
            <w:r>
              <w:rPr>
                <w:rFonts w:hint="eastAsia"/>
                <w:sz w:val="21"/>
                <w:szCs w:val="21"/>
              </w:rPr>
              <w:t>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35" w:type="dxa"/>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3838" w:type="dxa"/>
            <w:gridSpan w:val="2"/>
            <w:vAlign w:val="center"/>
          </w:tcPr>
          <w:p>
            <w:pPr>
              <w:widowControl/>
              <w:spacing w:line="240" w:lineRule="auto"/>
              <w:ind w:firstLine="0" w:firstLineChars="0"/>
              <w:jc w:val="center"/>
              <w:rPr>
                <w:sz w:val="21"/>
                <w:szCs w:val="21"/>
              </w:rPr>
            </w:pPr>
            <w:r>
              <w:rPr>
                <w:rFonts w:hint="eastAsia"/>
                <w:sz w:val="21"/>
                <w:szCs w:val="21"/>
              </w:rPr>
              <w:t>1554</w:t>
            </w:r>
          </w:p>
        </w:tc>
        <w:tc>
          <w:tcPr>
            <w:tcW w:w="3714" w:type="dxa"/>
            <w:gridSpan w:val="2"/>
            <w:vAlign w:val="center"/>
          </w:tcPr>
          <w:p>
            <w:pPr>
              <w:widowControl/>
              <w:spacing w:line="240" w:lineRule="auto"/>
              <w:ind w:firstLine="0" w:firstLineChars="0"/>
              <w:jc w:val="center"/>
              <w:rPr>
                <w:sz w:val="21"/>
                <w:szCs w:val="21"/>
              </w:rPr>
            </w:pPr>
            <w:r>
              <w:rPr>
                <w:rFonts w:hint="eastAsia"/>
                <w:sz w:val="21"/>
                <w:szCs w:val="21"/>
              </w:rPr>
              <w:t>1554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5" w:type="dxa"/>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3838" w:type="dxa"/>
            <w:gridSpan w:val="2"/>
            <w:vAlign w:val="center"/>
          </w:tcPr>
          <w:p>
            <w:pPr>
              <w:widowControl/>
              <w:spacing w:line="240" w:lineRule="auto"/>
              <w:ind w:firstLine="0" w:firstLineChars="0"/>
              <w:jc w:val="center"/>
              <w:rPr>
                <w:sz w:val="21"/>
                <w:szCs w:val="21"/>
              </w:rPr>
            </w:pPr>
            <w:r>
              <w:rPr>
                <w:rFonts w:hint="eastAsia"/>
                <w:sz w:val="21"/>
                <w:szCs w:val="21"/>
              </w:rPr>
              <w:t>/</w:t>
            </w:r>
          </w:p>
        </w:tc>
        <w:tc>
          <w:tcPr>
            <w:tcW w:w="3714" w:type="dxa"/>
            <w:gridSpan w:val="2"/>
            <w:vAlign w:val="center"/>
          </w:tcPr>
          <w:p>
            <w:pPr>
              <w:widowControl/>
              <w:spacing w:line="240" w:lineRule="auto"/>
              <w:ind w:firstLine="0" w:firstLineChars="0"/>
              <w:jc w:val="center"/>
              <w:rPr>
                <w:sz w:val="21"/>
                <w:szCs w:val="21"/>
              </w:rPr>
            </w:pPr>
            <w:r>
              <w:rPr>
                <w:rFonts w:hint="eastAsia"/>
                <w:sz w:val="21"/>
                <w:szCs w:val="21"/>
              </w:rPr>
              <w:t>/</w:t>
            </w:r>
          </w:p>
        </w:tc>
      </w:tr>
    </w:tbl>
    <w:p>
      <w:pPr>
        <w:ind w:firstLine="482"/>
        <w:jc w:val="center"/>
        <w:rPr>
          <w:b/>
          <w:bCs/>
        </w:rPr>
      </w:pPr>
      <w:r>
        <w:rPr>
          <w:b/>
          <w:bCs/>
        </w:rPr>
        <w:t>6.2-</w:t>
      </w:r>
      <w:r>
        <w:rPr>
          <w:rFonts w:hint="eastAsia"/>
          <w:b/>
          <w:bCs/>
        </w:rPr>
        <w:t>17  正常工况下无组织废气小时浓度随距离分布情况</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8"/>
        <w:gridCol w:w="1896"/>
        <w:gridCol w:w="1780"/>
        <w:gridCol w:w="2065"/>
        <w:gridCol w:w="1645"/>
        <w:gridCol w:w="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12" w:type="pct"/>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3987" w:type="pct"/>
            <w:gridSpan w:val="5"/>
            <w:vAlign w:val="center"/>
          </w:tcPr>
          <w:p>
            <w:pPr>
              <w:spacing w:line="240" w:lineRule="auto"/>
              <w:ind w:firstLine="0" w:firstLineChars="0"/>
              <w:jc w:val="center"/>
              <w:rPr>
                <w:sz w:val="21"/>
                <w:szCs w:val="21"/>
              </w:rPr>
            </w:pPr>
            <w:r>
              <w:rPr>
                <w:rFonts w:hint="eastAsia"/>
                <w:sz w:val="21"/>
                <w:szCs w:val="21"/>
              </w:rPr>
              <w:t>1#车间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980" w:type="pct"/>
            <w:gridSpan w:val="2"/>
            <w:vAlign w:val="center"/>
          </w:tcPr>
          <w:p>
            <w:pPr>
              <w:widowControl/>
              <w:spacing w:line="240" w:lineRule="auto"/>
              <w:ind w:firstLine="0" w:firstLineChars="0"/>
              <w:jc w:val="center"/>
              <w:rPr>
                <w:sz w:val="21"/>
                <w:szCs w:val="21"/>
              </w:rPr>
            </w:pPr>
            <w:r>
              <w:rPr>
                <w:rFonts w:hint="eastAsia"/>
                <w:sz w:val="21"/>
                <w:szCs w:val="21"/>
              </w:rPr>
              <w:t>非甲烷总烃</w:t>
            </w:r>
          </w:p>
        </w:tc>
        <w:tc>
          <w:tcPr>
            <w:tcW w:w="1998" w:type="pct"/>
            <w:gridSpan w:val="2"/>
            <w:vAlign w:val="center"/>
          </w:tcPr>
          <w:p>
            <w:pPr>
              <w:widowControl/>
              <w:spacing w:line="240" w:lineRule="auto"/>
              <w:ind w:firstLine="0" w:firstLineChars="0"/>
              <w:jc w:val="center"/>
              <w:rPr>
                <w:sz w:val="21"/>
                <w:szCs w:val="21"/>
              </w:rPr>
            </w:pPr>
            <w:r>
              <w:rPr>
                <w:rFonts w:hint="eastAsia"/>
                <w:sz w:val="21"/>
                <w:szCs w:val="21"/>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021"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958" w:type="pct"/>
            <w:vAlign w:val="center"/>
          </w:tcPr>
          <w:p>
            <w:pPr>
              <w:widowControl/>
              <w:spacing w:line="240" w:lineRule="auto"/>
              <w:ind w:firstLine="0" w:firstLineChars="0"/>
              <w:jc w:val="center"/>
              <w:rPr>
                <w:sz w:val="21"/>
                <w:szCs w:val="21"/>
              </w:rPr>
            </w:pPr>
            <w:r>
              <w:rPr>
                <w:rFonts w:hint="eastAsia"/>
                <w:sz w:val="21"/>
                <w:szCs w:val="21"/>
              </w:rPr>
              <w:t>占标率（%）</w:t>
            </w:r>
          </w:p>
        </w:tc>
        <w:tc>
          <w:tcPr>
            <w:tcW w:w="1112"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886" w:type="pct"/>
            <w:vAlign w:val="center"/>
          </w:tcPr>
          <w:p>
            <w:pPr>
              <w:widowControl/>
              <w:spacing w:line="240" w:lineRule="auto"/>
              <w:ind w:firstLine="0" w:firstLineChars="0"/>
              <w:jc w:val="center"/>
              <w:rPr>
                <w:sz w:val="21"/>
                <w:szCs w:val="21"/>
              </w:rPr>
            </w:pPr>
            <w:r>
              <w:rPr>
                <w:rFonts w:hint="eastAsia"/>
                <w:sz w:val="21"/>
                <w:szCs w:val="21"/>
              </w:rPr>
              <w:t>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0.00449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0.22</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2.138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shd w:val="clear" w:color="auto" w:fill="ED7D31" w:themeFill="accent2"/>
            <w:vAlign w:val="center"/>
          </w:tcPr>
          <w:p>
            <w:pPr>
              <w:pStyle w:val="25"/>
              <w:widowControl/>
              <w:spacing w:beforeAutospacing="0" w:afterAutospacing="0" w:line="240" w:lineRule="auto"/>
              <w:ind w:firstLine="0" w:firstLineChars="0"/>
              <w:jc w:val="center"/>
              <w:rPr>
                <w:rFonts w:hint="default" w:eastAsia="宋体"/>
                <w:color w:val="000000"/>
                <w:sz w:val="21"/>
                <w:szCs w:val="21"/>
                <w:lang w:val="en-US" w:eastAsia="zh-CN"/>
              </w:rPr>
            </w:pPr>
            <w:r>
              <w:rPr>
                <w:rFonts w:hint="eastAsia"/>
                <w:color w:val="000000"/>
                <w:sz w:val="21"/>
                <w:szCs w:val="21"/>
              </w:rPr>
              <w:t>1</w:t>
            </w:r>
            <w:r>
              <w:rPr>
                <w:rFonts w:hint="eastAsia"/>
                <w:color w:val="000000"/>
                <w:sz w:val="21"/>
                <w:szCs w:val="21"/>
                <w:lang w:val="en-US" w:eastAsia="zh-CN"/>
              </w:rPr>
              <w:t>59</w:t>
            </w:r>
          </w:p>
        </w:tc>
        <w:tc>
          <w:tcPr>
            <w:tcW w:w="1021"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0.004997</w:t>
            </w:r>
          </w:p>
        </w:tc>
        <w:tc>
          <w:tcPr>
            <w:tcW w:w="958"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0.25</w:t>
            </w:r>
          </w:p>
        </w:tc>
        <w:tc>
          <w:tcPr>
            <w:tcW w:w="2065"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2.38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0.004625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0.23</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2.203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rPr>
            </w:pPr>
            <w:r>
              <w:rPr>
                <w:rFonts w:hint="eastAsia"/>
                <w:sz w:val="21"/>
                <w:szCs w:val="21"/>
              </w:rPr>
              <w:t>300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0.004612</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0.23</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2.196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0.004196</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0.21</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1.998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0.003848</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0.19</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1.832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0.00369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0.18</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1.757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0.003674</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0.18</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1.749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0.003488</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0.17</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1.661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0.003252</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0.16</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1.549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0.003008</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1.432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0.002776</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0.14</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1.322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0.00256</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0.13</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1.219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0.002365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0.12</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1.126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0.002189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0.11</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1.042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0.002029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2065" w:type="dxa"/>
            <w:vAlign w:val="center"/>
          </w:tcPr>
          <w:p>
            <w:pPr>
              <w:widowControl/>
              <w:spacing w:line="240" w:lineRule="auto"/>
              <w:ind w:firstLine="0" w:firstLineChars="0"/>
              <w:jc w:val="center"/>
              <w:rPr>
                <w:rFonts w:hint="default"/>
                <w:sz w:val="21"/>
                <w:szCs w:val="21"/>
                <w:lang w:val="en-US"/>
              </w:rPr>
            </w:pPr>
            <w:r>
              <w:rPr>
                <w:rFonts w:hint="eastAsia"/>
                <w:sz w:val="21"/>
                <w:szCs w:val="21"/>
              </w:rPr>
              <w:t>9.663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0.001887</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8.987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0.00176</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8.382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0.001644</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7.828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0.001539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7.326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0.001444</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0.07</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6.876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0.001361</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0.07</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6.483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0.001287</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6.128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0.001219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5.805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0.001157</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5.508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0.001099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0.05</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5.233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0.004997</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0.25</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2.38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1980" w:type="pct"/>
            <w:gridSpan w:val="2"/>
            <w:vAlign w:val="center"/>
          </w:tcPr>
          <w:p>
            <w:pPr>
              <w:widowControl/>
              <w:spacing w:line="240" w:lineRule="auto"/>
              <w:ind w:firstLine="0" w:firstLineChars="0"/>
              <w:jc w:val="center"/>
              <w:rPr>
                <w:rFonts w:hint="default" w:eastAsia="宋体"/>
                <w:color w:val="000000"/>
                <w:kern w:val="0"/>
                <w:sz w:val="21"/>
                <w:szCs w:val="21"/>
                <w:lang w:val="en-US" w:eastAsia="zh-CN" w:bidi="ar"/>
              </w:rPr>
            </w:pPr>
            <w:r>
              <w:rPr>
                <w:rFonts w:hint="eastAsia"/>
                <w:color w:val="000000"/>
                <w:kern w:val="0"/>
                <w:sz w:val="21"/>
                <w:szCs w:val="21"/>
                <w:lang w:bidi="ar"/>
              </w:rPr>
              <w:t>1</w:t>
            </w:r>
            <w:r>
              <w:rPr>
                <w:rFonts w:hint="eastAsia"/>
                <w:color w:val="000000"/>
                <w:kern w:val="0"/>
                <w:sz w:val="21"/>
                <w:szCs w:val="21"/>
                <w:lang w:val="en-US" w:eastAsia="zh-CN" w:bidi="ar"/>
              </w:rPr>
              <w:t>59</w:t>
            </w:r>
          </w:p>
        </w:tc>
        <w:tc>
          <w:tcPr>
            <w:tcW w:w="1998" w:type="pct"/>
            <w:gridSpan w:val="2"/>
            <w:vAlign w:val="center"/>
          </w:tcPr>
          <w:p>
            <w:pPr>
              <w:widowControl/>
              <w:spacing w:line="240" w:lineRule="auto"/>
              <w:ind w:firstLine="0" w:firstLineChars="0"/>
              <w:jc w:val="center"/>
              <w:rPr>
                <w:rFonts w:hint="default" w:eastAsia="宋体"/>
                <w:color w:val="000000"/>
                <w:kern w:val="0"/>
                <w:sz w:val="21"/>
                <w:szCs w:val="21"/>
                <w:lang w:val="en-US" w:eastAsia="zh-CN" w:bidi="ar"/>
              </w:rPr>
            </w:pPr>
            <w:r>
              <w:rPr>
                <w:rFonts w:hint="eastAsia"/>
                <w:color w:val="000000"/>
                <w:kern w:val="0"/>
                <w:sz w:val="21"/>
                <w:szCs w:val="21"/>
                <w:lang w:bidi="ar"/>
              </w:rPr>
              <w:t>1</w:t>
            </w:r>
            <w:r>
              <w:rPr>
                <w:rFonts w:hint="eastAsia"/>
                <w:color w:val="000000"/>
                <w:kern w:val="0"/>
                <w:sz w:val="21"/>
                <w:szCs w:val="21"/>
                <w:lang w:val="en-US" w:eastAsia="zh-CN" w:bidi="ar"/>
              </w:rPr>
              <w:t>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1980" w:type="pct"/>
            <w:gridSpan w:val="2"/>
            <w:vAlign w:val="center"/>
          </w:tcPr>
          <w:p>
            <w:pPr>
              <w:widowControl/>
              <w:spacing w:line="240" w:lineRule="auto"/>
              <w:ind w:firstLine="0" w:firstLineChars="0"/>
              <w:jc w:val="center"/>
              <w:rPr>
                <w:sz w:val="21"/>
                <w:szCs w:val="21"/>
              </w:rPr>
            </w:pPr>
            <w:r>
              <w:rPr>
                <w:rFonts w:hint="eastAsia"/>
                <w:sz w:val="21"/>
                <w:szCs w:val="21"/>
              </w:rPr>
              <w:t>/</w:t>
            </w:r>
          </w:p>
        </w:tc>
        <w:tc>
          <w:tcPr>
            <w:tcW w:w="1998" w:type="pct"/>
            <w:gridSpan w:val="2"/>
            <w:vAlign w:val="center"/>
          </w:tcPr>
          <w:p>
            <w:pPr>
              <w:widowControl/>
              <w:spacing w:line="240" w:lineRule="auto"/>
              <w:ind w:firstLine="0" w:firstLineChars="0"/>
              <w:jc w:val="center"/>
              <w:rPr>
                <w:sz w:val="21"/>
                <w:szCs w:val="21"/>
              </w:rPr>
            </w:pPr>
            <w:r>
              <w:rPr>
                <w:rFonts w:hint="eastAsia"/>
                <w:sz w:val="21"/>
                <w:szCs w:val="21"/>
              </w:rPr>
              <w:t>/</w:t>
            </w:r>
          </w:p>
        </w:tc>
      </w:tr>
    </w:tbl>
    <w:p>
      <w:pPr>
        <w:ind w:firstLine="482"/>
        <w:jc w:val="center"/>
        <w:rPr>
          <w:b/>
          <w:bCs/>
        </w:rPr>
      </w:pPr>
      <w:r>
        <w:rPr>
          <w:b/>
          <w:bCs/>
        </w:rPr>
        <w:t>6.2-</w:t>
      </w:r>
      <w:r>
        <w:rPr>
          <w:rFonts w:hint="eastAsia"/>
          <w:b/>
          <w:bCs/>
        </w:rPr>
        <w:t>18  正常工况下无组织废气小时浓度随距离分布情况</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78"/>
        <w:gridCol w:w="1896"/>
        <w:gridCol w:w="1780"/>
        <w:gridCol w:w="2065"/>
        <w:gridCol w:w="1645"/>
        <w:gridCol w:w="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12" w:type="pct"/>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3987" w:type="pct"/>
            <w:gridSpan w:val="5"/>
            <w:vAlign w:val="center"/>
          </w:tcPr>
          <w:p>
            <w:pPr>
              <w:spacing w:line="240" w:lineRule="auto"/>
              <w:ind w:firstLine="0" w:firstLineChars="0"/>
              <w:jc w:val="center"/>
              <w:rPr>
                <w:sz w:val="21"/>
                <w:szCs w:val="21"/>
              </w:rPr>
            </w:pPr>
            <w:r>
              <w:rPr>
                <w:rFonts w:hint="eastAsia"/>
                <w:sz w:val="21"/>
                <w:szCs w:val="21"/>
                <w:lang w:val="en-US" w:eastAsia="zh-CN"/>
              </w:rPr>
              <w:t>2</w:t>
            </w:r>
            <w:r>
              <w:rPr>
                <w:rFonts w:hint="eastAsia"/>
                <w:sz w:val="21"/>
                <w:szCs w:val="21"/>
              </w:rPr>
              <w:t>#车间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980" w:type="pct"/>
            <w:gridSpan w:val="2"/>
            <w:vAlign w:val="center"/>
          </w:tcPr>
          <w:p>
            <w:pPr>
              <w:widowControl/>
              <w:spacing w:line="240" w:lineRule="auto"/>
              <w:ind w:firstLine="0" w:firstLineChars="0"/>
              <w:jc w:val="center"/>
              <w:rPr>
                <w:sz w:val="21"/>
                <w:szCs w:val="21"/>
              </w:rPr>
            </w:pPr>
            <w:r>
              <w:rPr>
                <w:rFonts w:hint="eastAsia"/>
                <w:sz w:val="21"/>
                <w:szCs w:val="21"/>
              </w:rPr>
              <w:t>非甲烷总烃</w:t>
            </w:r>
          </w:p>
        </w:tc>
        <w:tc>
          <w:tcPr>
            <w:tcW w:w="1998" w:type="pct"/>
            <w:gridSpan w:val="2"/>
            <w:vAlign w:val="center"/>
          </w:tcPr>
          <w:p>
            <w:pPr>
              <w:widowControl/>
              <w:spacing w:line="240" w:lineRule="auto"/>
              <w:ind w:firstLine="0" w:firstLineChars="0"/>
              <w:jc w:val="center"/>
              <w:rPr>
                <w:sz w:val="21"/>
                <w:szCs w:val="21"/>
              </w:rPr>
            </w:pPr>
            <w:r>
              <w:rPr>
                <w:rFonts w:hint="eastAsia"/>
                <w:sz w:val="21"/>
                <w:szCs w:val="21"/>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021"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958" w:type="pct"/>
            <w:vAlign w:val="center"/>
          </w:tcPr>
          <w:p>
            <w:pPr>
              <w:widowControl/>
              <w:spacing w:line="240" w:lineRule="auto"/>
              <w:ind w:firstLine="0" w:firstLineChars="0"/>
              <w:jc w:val="center"/>
              <w:rPr>
                <w:sz w:val="21"/>
                <w:szCs w:val="21"/>
              </w:rPr>
            </w:pPr>
            <w:r>
              <w:rPr>
                <w:rFonts w:hint="eastAsia"/>
                <w:sz w:val="21"/>
                <w:szCs w:val="21"/>
              </w:rPr>
              <w:t>占标率（%）</w:t>
            </w:r>
          </w:p>
        </w:tc>
        <w:tc>
          <w:tcPr>
            <w:tcW w:w="1112"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886" w:type="pct"/>
            <w:vAlign w:val="center"/>
          </w:tcPr>
          <w:p>
            <w:pPr>
              <w:widowControl/>
              <w:spacing w:line="240" w:lineRule="auto"/>
              <w:ind w:firstLine="0" w:firstLineChars="0"/>
              <w:jc w:val="center"/>
              <w:rPr>
                <w:sz w:val="21"/>
                <w:szCs w:val="21"/>
              </w:rPr>
            </w:pPr>
            <w:r>
              <w:rPr>
                <w:rFonts w:hint="eastAsia"/>
                <w:sz w:val="21"/>
                <w:szCs w:val="21"/>
              </w:rPr>
              <w:t>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0.00449</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0.22</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2.138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shd w:val="clear" w:color="auto" w:fill="ED7D31" w:themeFill="accent2"/>
            <w:vAlign w:val="center"/>
          </w:tcPr>
          <w:p>
            <w:pPr>
              <w:pStyle w:val="25"/>
              <w:widowControl/>
              <w:spacing w:beforeAutospacing="0" w:afterAutospacing="0" w:line="240" w:lineRule="auto"/>
              <w:ind w:firstLine="0" w:firstLineChars="0"/>
              <w:jc w:val="center"/>
              <w:rPr>
                <w:rFonts w:hint="default" w:eastAsia="宋体"/>
                <w:color w:val="000000"/>
                <w:sz w:val="21"/>
                <w:szCs w:val="21"/>
                <w:lang w:val="en-US" w:eastAsia="zh-CN"/>
              </w:rPr>
            </w:pPr>
            <w:r>
              <w:rPr>
                <w:rFonts w:hint="eastAsia"/>
                <w:color w:val="000000"/>
                <w:sz w:val="21"/>
                <w:szCs w:val="21"/>
              </w:rPr>
              <w:t>1</w:t>
            </w:r>
            <w:r>
              <w:rPr>
                <w:rFonts w:hint="eastAsia"/>
                <w:color w:val="000000"/>
                <w:sz w:val="21"/>
                <w:szCs w:val="21"/>
                <w:lang w:val="en-US" w:eastAsia="zh-CN"/>
              </w:rPr>
              <w:t>59</w:t>
            </w:r>
          </w:p>
        </w:tc>
        <w:tc>
          <w:tcPr>
            <w:tcW w:w="1896"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0.004997</w:t>
            </w:r>
          </w:p>
        </w:tc>
        <w:tc>
          <w:tcPr>
            <w:tcW w:w="1780"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0.25</w:t>
            </w:r>
          </w:p>
        </w:tc>
        <w:tc>
          <w:tcPr>
            <w:tcW w:w="2065"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2.38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0.004625</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0.23</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2.203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rPr>
            </w:pPr>
            <w:r>
              <w:rPr>
                <w:rFonts w:hint="eastAsia"/>
                <w:sz w:val="21"/>
                <w:szCs w:val="21"/>
              </w:rPr>
              <w:t>300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0.004612</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0.23</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2.196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0.004196</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0.21</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1.998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0.003848</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0.19</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1.832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0.00369</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0.18</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1.757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0.003674</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0.18</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1.749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0.003488</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0.17</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1.661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0.003252</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0.16</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1.549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0.003008</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1.432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0.002776</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0.14</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1.322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0.00256</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0.13</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1.219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0.002365</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0.12</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1.126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0.002189</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0.11</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1.042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0.002029</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2065" w:type="dxa"/>
            <w:vAlign w:val="center"/>
          </w:tcPr>
          <w:p>
            <w:pPr>
              <w:widowControl/>
              <w:spacing w:line="240" w:lineRule="auto"/>
              <w:ind w:firstLine="0" w:firstLineChars="0"/>
              <w:jc w:val="center"/>
              <w:rPr>
                <w:rFonts w:hint="default"/>
                <w:sz w:val="21"/>
                <w:szCs w:val="21"/>
                <w:lang w:val="en-US"/>
              </w:rPr>
            </w:pPr>
            <w:r>
              <w:rPr>
                <w:rFonts w:hint="eastAsia"/>
                <w:sz w:val="21"/>
                <w:szCs w:val="21"/>
              </w:rPr>
              <w:t>9.663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0.001887</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8.987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0.00176</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8.382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0.001644</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7.828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0.001539</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7.326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0.001444</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0.07</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6.876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0.001361</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0.07</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6.483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0.001287</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6.128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0.001219</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5.805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0.001157</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0.06</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5.508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0.001099</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0.05</w:t>
            </w:r>
          </w:p>
        </w:tc>
        <w:tc>
          <w:tcPr>
            <w:tcW w:w="2065" w:type="dxa"/>
            <w:vAlign w:val="center"/>
          </w:tcPr>
          <w:p>
            <w:pPr>
              <w:widowControl/>
              <w:spacing w:line="240" w:lineRule="auto"/>
              <w:ind w:firstLine="0" w:firstLineChars="0"/>
              <w:jc w:val="center"/>
              <w:rPr>
                <w:rFonts w:hint="eastAsia"/>
                <w:sz w:val="21"/>
                <w:szCs w:val="21"/>
              </w:rPr>
            </w:pPr>
            <w:r>
              <w:rPr>
                <w:rFonts w:hint="eastAsia"/>
                <w:sz w:val="21"/>
                <w:szCs w:val="21"/>
              </w:rPr>
              <w:t>5.233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896" w:type="dxa"/>
            <w:vAlign w:val="center"/>
          </w:tcPr>
          <w:p>
            <w:pPr>
              <w:widowControl/>
              <w:spacing w:line="240" w:lineRule="auto"/>
              <w:ind w:firstLine="0" w:firstLineChars="0"/>
              <w:jc w:val="center"/>
              <w:rPr>
                <w:rFonts w:hint="eastAsia"/>
                <w:sz w:val="21"/>
                <w:szCs w:val="21"/>
              </w:rPr>
            </w:pPr>
            <w:r>
              <w:rPr>
                <w:rFonts w:hint="eastAsia"/>
                <w:sz w:val="21"/>
                <w:szCs w:val="21"/>
              </w:rPr>
              <w:t>0.004997</w:t>
            </w:r>
          </w:p>
        </w:tc>
        <w:tc>
          <w:tcPr>
            <w:tcW w:w="1780" w:type="dxa"/>
            <w:vAlign w:val="center"/>
          </w:tcPr>
          <w:p>
            <w:pPr>
              <w:widowControl/>
              <w:spacing w:line="240" w:lineRule="auto"/>
              <w:ind w:firstLine="0" w:firstLineChars="0"/>
              <w:jc w:val="center"/>
              <w:rPr>
                <w:rFonts w:hint="eastAsia"/>
                <w:sz w:val="21"/>
                <w:szCs w:val="21"/>
              </w:rPr>
            </w:pPr>
            <w:r>
              <w:rPr>
                <w:rFonts w:hint="eastAsia"/>
                <w:sz w:val="21"/>
                <w:szCs w:val="21"/>
              </w:rPr>
              <w:t>0.25</w:t>
            </w:r>
          </w:p>
        </w:tc>
        <w:tc>
          <w:tcPr>
            <w:tcW w:w="2065" w:type="dxa"/>
            <w:vAlign w:val="center"/>
          </w:tcPr>
          <w:p>
            <w:pPr>
              <w:widowControl/>
              <w:spacing w:line="240" w:lineRule="auto"/>
              <w:ind w:firstLine="0" w:firstLineChars="0"/>
              <w:jc w:val="center"/>
              <w:rPr>
                <w:rFonts w:hint="default"/>
                <w:sz w:val="21"/>
                <w:szCs w:val="21"/>
                <w:lang w:val="en-US"/>
              </w:rPr>
            </w:pPr>
            <w:r>
              <w:rPr>
                <w:rFonts w:hint="eastAsia"/>
                <w:sz w:val="21"/>
                <w:szCs w:val="21"/>
              </w:rPr>
              <w:t>2.38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3676" w:type="dxa"/>
            <w:gridSpan w:val="2"/>
            <w:vAlign w:val="center"/>
          </w:tcPr>
          <w:p>
            <w:pPr>
              <w:widowControl/>
              <w:spacing w:line="240" w:lineRule="auto"/>
              <w:ind w:firstLine="0" w:firstLineChars="0"/>
              <w:jc w:val="center"/>
              <w:rPr>
                <w:color w:val="000000"/>
                <w:kern w:val="0"/>
                <w:sz w:val="21"/>
                <w:szCs w:val="21"/>
                <w:lang w:bidi="ar"/>
              </w:rPr>
            </w:pPr>
            <w:r>
              <w:rPr>
                <w:rFonts w:hint="eastAsia"/>
                <w:color w:val="000000"/>
                <w:kern w:val="0"/>
                <w:sz w:val="21"/>
                <w:szCs w:val="21"/>
                <w:lang w:bidi="ar"/>
              </w:rPr>
              <w:t>1</w:t>
            </w:r>
            <w:r>
              <w:rPr>
                <w:rFonts w:hint="eastAsia"/>
                <w:color w:val="000000"/>
                <w:kern w:val="0"/>
                <w:sz w:val="21"/>
                <w:szCs w:val="21"/>
                <w:lang w:val="en-US" w:eastAsia="zh-CN" w:bidi="ar"/>
              </w:rPr>
              <w:t>59</w:t>
            </w:r>
          </w:p>
        </w:tc>
        <w:tc>
          <w:tcPr>
            <w:tcW w:w="3710" w:type="dxa"/>
            <w:gridSpan w:val="2"/>
            <w:vAlign w:val="center"/>
          </w:tcPr>
          <w:p>
            <w:pPr>
              <w:widowControl/>
              <w:spacing w:line="240" w:lineRule="auto"/>
              <w:ind w:firstLine="0" w:firstLineChars="0"/>
              <w:jc w:val="center"/>
              <w:rPr>
                <w:color w:val="000000"/>
                <w:kern w:val="0"/>
                <w:sz w:val="21"/>
                <w:szCs w:val="21"/>
                <w:lang w:bidi="ar"/>
              </w:rPr>
            </w:pPr>
            <w:r>
              <w:rPr>
                <w:rFonts w:hint="eastAsia"/>
                <w:color w:val="000000"/>
                <w:kern w:val="0"/>
                <w:sz w:val="21"/>
                <w:szCs w:val="21"/>
                <w:lang w:bidi="ar"/>
              </w:rPr>
              <w:t>1</w:t>
            </w:r>
            <w:r>
              <w:rPr>
                <w:rFonts w:hint="eastAsia"/>
                <w:color w:val="000000"/>
                <w:kern w:val="0"/>
                <w:sz w:val="21"/>
                <w:szCs w:val="21"/>
                <w:lang w:val="en-US" w:eastAsia="zh-CN" w:bidi="ar"/>
              </w:rPr>
              <w:t>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pct"/>
          <w:trHeight w:val="23" w:hRule="atLeast"/>
          <w:jc w:val="center"/>
        </w:trPr>
        <w:tc>
          <w:tcPr>
            <w:tcW w:w="1012" w:type="pct"/>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1980" w:type="pct"/>
            <w:gridSpan w:val="2"/>
            <w:vAlign w:val="center"/>
          </w:tcPr>
          <w:p>
            <w:pPr>
              <w:widowControl/>
              <w:spacing w:line="240" w:lineRule="auto"/>
              <w:ind w:firstLine="0" w:firstLineChars="0"/>
              <w:jc w:val="center"/>
              <w:rPr>
                <w:sz w:val="21"/>
                <w:szCs w:val="21"/>
              </w:rPr>
            </w:pPr>
            <w:r>
              <w:rPr>
                <w:rFonts w:hint="eastAsia"/>
                <w:sz w:val="21"/>
                <w:szCs w:val="21"/>
              </w:rPr>
              <w:t>/</w:t>
            </w:r>
          </w:p>
        </w:tc>
        <w:tc>
          <w:tcPr>
            <w:tcW w:w="1998" w:type="pct"/>
            <w:gridSpan w:val="2"/>
            <w:vAlign w:val="center"/>
          </w:tcPr>
          <w:p>
            <w:pPr>
              <w:widowControl/>
              <w:spacing w:line="240" w:lineRule="auto"/>
              <w:ind w:firstLine="0" w:firstLineChars="0"/>
              <w:jc w:val="center"/>
              <w:rPr>
                <w:sz w:val="21"/>
                <w:szCs w:val="21"/>
              </w:rPr>
            </w:pPr>
            <w:r>
              <w:rPr>
                <w:rFonts w:hint="eastAsia"/>
                <w:sz w:val="21"/>
                <w:szCs w:val="21"/>
              </w:rPr>
              <w:t>/</w:t>
            </w:r>
          </w:p>
        </w:tc>
      </w:tr>
    </w:tbl>
    <w:p>
      <w:pPr>
        <w:ind w:firstLine="482"/>
        <w:jc w:val="center"/>
        <w:rPr>
          <w:b/>
          <w:bCs/>
        </w:rPr>
      </w:pPr>
      <w:r>
        <w:rPr>
          <w:b/>
          <w:bCs/>
        </w:rPr>
        <w:t>6.2-</w:t>
      </w:r>
      <w:r>
        <w:rPr>
          <w:rFonts w:hint="eastAsia"/>
          <w:b/>
          <w:bCs/>
        </w:rPr>
        <w:t>19  正常工况下无组织废气小时浓度随距离分布情况</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4"/>
        <w:gridCol w:w="1261"/>
        <w:gridCol w:w="1114"/>
        <w:gridCol w:w="1450"/>
        <w:gridCol w:w="1424"/>
        <w:gridCol w:w="1249"/>
        <w:gridCol w:w="11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下风向距离（</w:t>
            </w:r>
            <w:r>
              <w:rPr>
                <w:rFonts w:cs="TimesNewRomanPS-BoldMT"/>
                <w:color w:val="000000"/>
                <w:sz w:val="21"/>
                <w:szCs w:val="21"/>
                <w:lang w:bidi="ar"/>
              </w:rPr>
              <w:t>m</w:t>
            </w:r>
            <w:r>
              <w:rPr>
                <w:rFonts w:hint="eastAsia"/>
                <w:color w:val="000000"/>
                <w:sz w:val="21"/>
                <w:szCs w:val="21"/>
                <w:lang w:bidi="ar"/>
              </w:rPr>
              <w:t>）</w:t>
            </w:r>
          </w:p>
        </w:tc>
        <w:tc>
          <w:tcPr>
            <w:tcW w:w="4119" w:type="pct"/>
            <w:gridSpan w:val="6"/>
            <w:vAlign w:val="center"/>
          </w:tcPr>
          <w:p>
            <w:pPr>
              <w:spacing w:line="240" w:lineRule="auto"/>
              <w:ind w:firstLine="0" w:firstLineChars="0"/>
              <w:jc w:val="center"/>
              <w:rPr>
                <w:sz w:val="21"/>
                <w:szCs w:val="21"/>
              </w:rPr>
            </w:pPr>
            <w:r>
              <w:rPr>
                <w:rFonts w:hint="eastAsia"/>
                <w:sz w:val="21"/>
                <w:szCs w:val="21"/>
              </w:rPr>
              <w:t>3#车间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Merge w:val="continue"/>
            <w:vAlign w:val="center"/>
          </w:tcPr>
          <w:p>
            <w:pPr>
              <w:pStyle w:val="25"/>
              <w:widowControl/>
              <w:spacing w:beforeAutospacing="0" w:afterAutospacing="0" w:line="240" w:lineRule="auto"/>
              <w:ind w:firstLine="0" w:firstLineChars="0"/>
              <w:jc w:val="center"/>
              <w:rPr>
                <w:color w:val="000000"/>
                <w:sz w:val="21"/>
                <w:szCs w:val="21"/>
              </w:rPr>
            </w:pPr>
          </w:p>
        </w:tc>
        <w:tc>
          <w:tcPr>
            <w:tcW w:w="679" w:type="pct"/>
            <w:vAlign w:val="center"/>
          </w:tcPr>
          <w:p>
            <w:pPr>
              <w:widowControl/>
              <w:spacing w:line="240" w:lineRule="auto"/>
              <w:ind w:firstLine="0" w:firstLineChars="0"/>
              <w:jc w:val="center"/>
              <w:rPr>
                <w:color w:val="000000"/>
                <w:sz w:val="21"/>
                <w:szCs w:val="21"/>
                <w:lang w:bidi="ar"/>
              </w:rPr>
            </w:pPr>
            <w:r>
              <w:rPr>
                <w:rFonts w:hint="eastAsia"/>
                <w:sz w:val="21"/>
                <w:szCs w:val="21"/>
              </w:rPr>
              <w:t>颗粒物浓度（m</w:t>
            </w:r>
            <w:r>
              <w:rPr>
                <w:sz w:val="21"/>
                <w:szCs w:val="21"/>
              </w:rPr>
              <w:t>g/m³</w:t>
            </w:r>
            <w:r>
              <w:rPr>
                <w:rFonts w:hint="eastAsia"/>
                <w:sz w:val="21"/>
                <w:szCs w:val="21"/>
              </w:rPr>
              <w:t>）</w:t>
            </w:r>
          </w:p>
        </w:tc>
        <w:tc>
          <w:tcPr>
            <w:tcW w:w="599" w:type="pct"/>
            <w:vAlign w:val="center"/>
          </w:tcPr>
          <w:p>
            <w:pPr>
              <w:widowControl/>
              <w:spacing w:line="240" w:lineRule="auto"/>
              <w:ind w:firstLine="0" w:firstLineChars="0"/>
              <w:jc w:val="center"/>
              <w:rPr>
                <w:color w:val="000000"/>
                <w:sz w:val="21"/>
                <w:szCs w:val="21"/>
                <w:lang w:bidi="ar"/>
              </w:rPr>
            </w:pPr>
            <w:r>
              <w:rPr>
                <w:rFonts w:hint="eastAsia"/>
                <w:sz w:val="21"/>
                <w:szCs w:val="21"/>
              </w:rPr>
              <w:t>颗粒物占标率（%）</w:t>
            </w:r>
          </w:p>
        </w:tc>
        <w:tc>
          <w:tcPr>
            <w:tcW w:w="781" w:type="pct"/>
            <w:vAlign w:val="center"/>
          </w:tcPr>
          <w:p>
            <w:pPr>
              <w:widowControl/>
              <w:spacing w:line="240" w:lineRule="auto"/>
              <w:ind w:firstLine="0" w:firstLineChars="0"/>
              <w:jc w:val="center"/>
              <w:rPr>
                <w:sz w:val="21"/>
                <w:szCs w:val="21"/>
              </w:rPr>
            </w:pPr>
            <w:r>
              <w:rPr>
                <w:rFonts w:hint="eastAsia"/>
                <w:sz w:val="21"/>
                <w:szCs w:val="21"/>
              </w:rPr>
              <w:t>非甲烷总烃浓度（m</w:t>
            </w:r>
            <w:r>
              <w:rPr>
                <w:sz w:val="21"/>
                <w:szCs w:val="21"/>
              </w:rPr>
              <w:t>g/m³</w:t>
            </w:r>
            <w:r>
              <w:rPr>
                <w:rFonts w:hint="eastAsia"/>
                <w:sz w:val="21"/>
                <w:szCs w:val="21"/>
              </w:rPr>
              <w:t>）</w:t>
            </w:r>
          </w:p>
        </w:tc>
        <w:tc>
          <w:tcPr>
            <w:tcW w:w="767" w:type="pct"/>
            <w:vAlign w:val="center"/>
          </w:tcPr>
          <w:p>
            <w:pPr>
              <w:widowControl/>
              <w:spacing w:line="240" w:lineRule="auto"/>
              <w:ind w:firstLine="0" w:firstLineChars="0"/>
              <w:jc w:val="center"/>
              <w:rPr>
                <w:sz w:val="21"/>
                <w:szCs w:val="21"/>
              </w:rPr>
            </w:pPr>
            <w:r>
              <w:rPr>
                <w:rFonts w:hint="eastAsia"/>
                <w:sz w:val="21"/>
                <w:szCs w:val="21"/>
              </w:rPr>
              <w:t>非甲烷总烃占标率（%）</w:t>
            </w:r>
          </w:p>
        </w:tc>
        <w:tc>
          <w:tcPr>
            <w:tcW w:w="673" w:type="pct"/>
            <w:vAlign w:val="center"/>
          </w:tcPr>
          <w:p>
            <w:pPr>
              <w:widowControl/>
              <w:spacing w:line="240" w:lineRule="auto"/>
              <w:ind w:firstLine="0" w:firstLineChars="0"/>
              <w:jc w:val="center"/>
              <w:rPr>
                <w:sz w:val="21"/>
                <w:szCs w:val="21"/>
              </w:rPr>
            </w:pPr>
            <w:r>
              <w:rPr>
                <w:rFonts w:hint="eastAsia"/>
                <w:sz w:val="21"/>
                <w:szCs w:val="21"/>
              </w:rPr>
              <w:t>硫化氢浓度（m</w:t>
            </w:r>
            <w:r>
              <w:rPr>
                <w:sz w:val="21"/>
                <w:szCs w:val="21"/>
              </w:rPr>
              <w:t>g/m³</w:t>
            </w:r>
            <w:r>
              <w:rPr>
                <w:rFonts w:hint="eastAsia"/>
                <w:sz w:val="21"/>
                <w:szCs w:val="21"/>
              </w:rPr>
              <w:t>）</w:t>
            </w:r>
          </w:p>
        </w:tc>
        <w:tc>
          <w:tcPr>
            <w:tcW w:w="617" w:type="pct"/>
            <w:vAlign w:val="center"/>
          </w:tcPr>
          <w:p>
            <w:pPr>
              <w:widowControl/>
              <w:spacing w:line="240" w:lineRule="auto"/>
              <w:ind w:firstLine="0" w:firstLineChars="0"/>
              <w:jc w:val="center"/>
              <w:rPr>
                <w:sz w:val="21"/>
                <w:szCs w:val="21"/>
              </w:rPr>
            </w:pPr>
            <w:r>
              <w:rPr>
                <w:rFonts w:hint="eastAsia"/>
                <w:sz w:val="21"/>
                <w:szCs w:val="21"/>
              </w:rPr>
              <w:t>硫化氢占标率（%）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0.008234</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1.83</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0.006269</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0.31</w:t>
            </w:r>
          </w:p>
        </w:tc>
        <w:tc>
          <w:tcPr>
            <w:tcW w:w="673" w:type="pct"/>
            <w:vAlign w:val="center"/>
          </w:tcPr>
          <w:p>
            <w:pPr>
              <w:widowControl/>
              <w:spacing w:line="240" w:lineRule="auto"/>
              <w:ind w:firstLine="0" w:firstLineChars="0"/>
              <w:jc w:val="center"/>
              <w:rPr>
                <w:rFonts w:hint="default"/>
                <w:sz w:val="21"/>
                <w:szCs w:val="21"/>
                <w:lang w:val="en-US"/>
              </w:rPr>
            </w:pPr>
            <w:r>
              <w:rPr>
                <w:rFonts w:hint="eastAsia"/>
                <w:sz w:val="21"/>
                <w:szCs w:val="21"/>
              </w:rPr>
              <w:t>7.46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shd w:val="clear" w:color="auto" w:fill="ED7D31" w:themeFill="accent2"/>
            <w:vAlign w:val="center"/>
          </w:tcPr>
          <w:p>
            <w:pPr>
              <w:widowControl/>
              <w:spacing w:line="240" w:lineRule="auto"/>
              <w:ind w:firstLine="0" w:firstLineChars="0"/>
              <w:jc w:val="center"/>
              <w:rPr>
                <w:rFonts w:hint="default" w:eastAsia="宋体"/>
                <w:color w:val="000000"/>
                <w:sz w:val="21"/>
                <w:szCs w:val="21"/>
                <w:lang w:val="en-US" w:eastAsia="zh-CN" w:bidi="ar"/>
              </w:rPr>
            </w:pPr>
            <w:r>
              <w:rPr>
                <w:rFonts w:hint="eastAsia"/>
                <w:color w:val="000000"/>
                <w:sz w:val="21"/>
                <w:szCs w:val="21"/>
                <w:lang w:bidi="ar"/>
              </w:rPr>
              <w:t>1</w:t>
            </w:r>
            <w:r>
              <w:rPr>
                <w:rFonts w:hint="eastAsia"/>
                <w:color w:val="000000"/>
                <w:sz w:val="21"/>
                <w:szCs w:val="21"/>
                <w:lang w:val="en-US" w:eastAsia="zh-CN" w:bidi="ar"/>
              </w:rPr>
              <w:t>56</w:t>
            </w:r>
          </w:p>
        </w:tc>
        <w:tc>
          <w:tcPr>
            <w:tcW w:w="679"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0.009018</w:t>
            </w:r>
          </w:p>
        </w:tc>
        <w:tc>
          <w:tcPr>
            <w:tcW w:w="599"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2.00</w:t>
            </w:r>
          </w:p>
        </w:tc>
        <w:tc>
          <w:tcPr>
            <w:tcW w:w="781"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0.006866</w:t>
            </w:r>
          </w:p>
        </w:tc>
        <w:tc>
          <w:tcPr>
            <w:tcW w:w="767"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0.34</w:t>
            </w:r>
          </w:p>
        </w:tc>
        <w:tc>
          <w:tcPr>
            <w:tcW w:w="673"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8.17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200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0.008225</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1.83</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0.006263</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0.31</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7.452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300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0.00821</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1.82</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0.00625</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0.31</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7.438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0.007473</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1.66</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0.00569</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0.28</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6.771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0.006802</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1.51</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0.005179</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0.26</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6.163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0.006577</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1.46</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0.005007</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0.25</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5.958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0.006514</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1.45</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0.004959</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0.25</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5.901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0.00616</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1.37</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0.00469</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0.23</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5.58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0.00573</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1.27</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0.004362</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0.22</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5.191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0.005293</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1.18</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0.00403</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0.20</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4.795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0.004871</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1.08</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0.003709</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0.19</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4.413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0.004491</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1.00</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0.003419</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0.17</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4.068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0.004143</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0.92</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0.003154</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0.16</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3.754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0.00383</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0.85</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0.002916</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3.47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0.003552</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0.79</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0.002704</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0.14</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3.218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0.003303</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0.73</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0.002514</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0.13</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2.992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0.003074</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0.68</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0.002341</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0.12</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2.785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0.00287</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0.64</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0.002185</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0.11</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2.6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0.002686</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0.60</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0.002045</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2.434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0.002522</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0.56</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0.00192</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0.10</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2.285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0.002378</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0.53</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0.00181</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2.154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0.002247</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0.50</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0.001711</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0.09</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2.036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0.002127</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0.47</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0.001619</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1.927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0.002017</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0.45</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0.001535</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0.08</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1.827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679" w:type="pct"/>
            <w:vAlign w:val="center"/>
          </w:tcPr>
          <w:p>
            <w:pPr>
              <w:widowControl/>
              <w:spacing w:line="240" w:lineRule="auto"/>
              <w:ind w:firstLine="0" w:firstLineChars="0"/>
              <w:jc w:val="center"/>
              <w:rPr>
                <w:rFonts w:hint="eastAsia"/>
                <w:sz w:val="21"/>
                <w:szCs w:val="21"/>
              </w:rPr>
            </w:pPr>
            <w:r>
              <w:rPr>
                <w:rFonts w:hint="eastAsia"/>
                <w:sz w:val="21"/>
                <w:szCs w:val="21"/>
              </w:rPr>
              <w:t>0.001916</w:t>
            </w:r>
          </w:p>
        </w:tc>
        <w:tc>
          <w:tcPr>
            <w:tcW w:w="599" w:type="pct"/>
            <w:vAlign w:val="center"/>
          </w:tcPr>
          <w:p>
            <w:pPr>
              <w:widowControl/>
              <w:spacing w:line="240" w:lineRule="auto"/>
              <w:ind w:firstLine="0" w:firstLineChars="0"/>
              <w:jc w:val="center"/>
              <w:rPr>
                <w:rFonts w:hint="eastAsia"/>
                <w:sz w:val="21"/>
                <w:szCs w:val="21"/>
              </w:rPr>
            </w:pPr>
            <w:r>
              <w:rPr>
                <w:rFonts w:hint="eastAsia"/>
                <w:sz w:val="21"/>
                <w:szCs w:val="21"/>
              </w:rPr>
              <w:t>0.43</w:t>
            </w:r>
          </w:p>
        </w:tc>
        <w:tc>
          <w:tcPr>
            <w:tcW w:w="781" w:type="pct"/>
            <w:vAlign w:val="center"/>
          </w:tcPr>
          <w:p>
            <w:pPr>
              <w:widowControl/>
              <w:spacing w:line="240" w:lineRule="auto"/>
              <w:ind w:firstLine="0" w:firstLineChars="0"/>
              <w:jc w:val="center"/>
              <w:rPr>
                <w:rFonts w:hint="eastAsia"/>
                <w:sz w:val="21"/>
                <w:szCs w:val="21"/>
              </w:rPr>
            </w:pPr>
            <w:r>
              <w:rPr>
                <w:rFonts w:hint="eastAsia"/>
                <w:sz w:val="21"/>
                <w:szCs w:val="21"/>
              </w:rPr>
              <w:t>0.001459</w:t>
            </w:r>
          </w:p>
        </w:tc>
        <w:tc>
          <w:tcPr>
            <w:tcW w:w="767" w:type="pct"/>
            <w:vAlign w:val="center"/>
          </w:tcPr>
          <w:p>
            <w:pPr>
              <w:widowControl/>
              <w:spacing w:line="240" w:lineRule="auto"/>
              <w:ind w:firstLine="0" w:firstLineChars="0"/>
              <w:jc w:val="center"/>
              <w:rPr>
                <w:rFonts w:hint="eastAsia"/>
                <w:sz w:val="21"/>
                <w:szCs w:val="21"/>
              </w:rPr>
            </w:pPr>
            <w:r>
              <w:rPr>
                <w:rFonts w:hint="eastAsia"/>
                <w:sz w:val="21"/>
                <w:szCs w:val="21"/>
              </w:rPr>
              <w:t>0.07</w:t>
            </w:r>
          </w:p>
        </w:tc>
        <w:tc>
          <w:tcPr>
            <w:tcW w:w="673" w:type="pct"/>
            <w:vAlign w:val="center"/>
          </w:tcPr>
          <w:p>
            <w:pPr>
              <w:widowControl/>
              <w:spacing w:line="240" w:lineRule="auto"/>
              <w:ind w:firstLine="0" w:firstLineChars="0"/>
              <w:jc w:val="center"/>
              <w:rPr>
                <w:rFonts w:hint="eastAsia"/>
                <w:sz w:val="21"/>
                <w:szCs w:val="21"/>
              </w:rPr>
            </w:pPr>
            <w:r>
              <w:rPr>
                <w:rFonts w:hint="eastAsia"/>
                <w:sz w:val="21"/>
                <w:szCs w:val="21"/>
              </w:rPr>
              <w:t>1.736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617" w:type="pct"/>
            <w:vAlign w:val="center"/>
          </w:tcPr>
          <w:p>
            <w:pPr>
              <w:widowControl/>
              <w:spacing w:line="240" w:lineRule="auto"/>
              <w:ind w:firstLine="0" w:firstLineChars="0"/>
              <w:jc w:val="center"/>
              <w:rPr>
                <w:rFonts w:hint="eastAsia"/>
                <w:sz w:val="21"/>
                <w:szCs w:val="21"/>
              </w:rPr>
            </w:pPr>
            <w:r>
              <w:rPr>
                <w:rFonts w:hint="eastAsia"/>
                <w:sz w:val="21"/>
                <w:szCs w:val="21"/>
              </w:rPr>
              <w:t>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cs="Times New Roman"/>
                <w:color w:val="000000"/>
                <w:sz w:val="21"/>
                <w:szCs w:val="21"/>
                <w:lang w:bidi="ar"/>
              </w:rPr>
              <w:t>下风向最大浓度（占标率）</w:t>
            </w:r>
          </w:p>
        </w:tc>
        <w:tc>
          <w:tcPr>
            <w:tcW w:w="1262" w:type="dxa"/>
            <w:vAlign w:val="center"/>
          </w:tcPr>
          <w:p>
            <w:pPr>
              <w:widowControl/>
              <w:spacing w:line="240" w:lineRule="auto"/>
              <w:ind w:firstLine="0" w:firstLineChars="0"/>
              <w:jc w:val="center"/>
              <w:rPr>
                <w:sz w:val="21"/>
                <w:szCs w:val="21"/>
              </w:rPr>
            </w:pPr>
            <w:r>
              <w:rPr>
                <w:rFonts w:hint="eastAsia"/>
                <w:sz w:val="21"/>
                <w:szCs w:val="21"/>
              </w:rPr>
              <w:t>0.009018</w:t>
            </w:r>
          </w:p>
        </w:tc>
        <w:tc>
          <w:tcPr>
            <w:tcW w:w="1113" w:type="dxa"/>
            <w:vAlign w:val="center"/>
          </w:tcPr>
          <w:p>
            <w:pPr>
              <w:widowControl/>
              <w:spacing w:line="240" w:lineRule="auto"/>
              <w:ind w:firstLine="0" w:firstLineChars="0"/>
              <w:jc w:val="center"/>
              <w:rPr>
                <w:sz w:val="21"/>
                <w:szCs w:val="21"/>
              </w:rPr>
            </w:pPr>
            <w:r>
              <w:rPr>
                <w:rFonts w:hint="eastAsia"/>
                <w:sz w:val="21"/>
                <w:szCs w:val="21"/>
              </w:rPr>
              <w:t>2.00</w:t>
            </w:r>
          </w:p>
        </w:tc>
        <w:tc>
          <w:tcPr>
            <w:tcW w:w="1450" w:type="dxa"/>
            <w:vAlign w:val="center"/>
          </w:tcPr>
          <w:p>
            <w:pPr>
              <w:widowControl/>
              <w:spacing w:line="240" w:lineRule="auto"/>
              <w:ind w:firstLine="0" w:firstLineChars="0"/>
              <w:jc w:val="center"/>
              <w:rPr>
                <w:sz w:val="21"/>
                <w:szCs w:val="21"/>
              </w:rPr>
            </w:pPr>
            <w:r>
              <w:rPr>
                <w:rFonts w:hint="eastAsia"/>
                <w:sz w:val="21"/>
                <w:szCs w:val="21"/>
              </w:rPr>
              <w:t>0.006866</w:t>
            </w:r>
          </w:p>
        </w:tc>
        <w:tc>
          <w:tcPr>
            <w:tcW w:w="1425" w:type="dxa"/>
            <w:vAlign w:val="center"/>
          </w:tcPr>
          <w:p>
            <w:pPr>
              <w:widowControl/>
              <w:spacing w:line="240" w:lineRule="auto"/>
              <w:ind w:firstLine="0" w:firstLineChars="0"/>
              <w:jc w:val="center"/>
              <w:rPr>
                <w:sz w:val="21"/>
                <w:szCs w:val="21"/>
              </w:rPr>
            </w:pPr>
            <w:r>
              <w:rPr>
                <w:rFonts w:hint="eastAsia"/>
                <w:sz w:val="21"/>
                <w:szCs w:val="21"/>
              </w:rPr>
              <w:t>0.34</w:t>
            </w:r>
          </w:p>
        </w:tc>
        <w:tc>
          <w:tcPr>
            <w:tcW w:w="1250" w:type="dxa"/>
            <w:vAlign w:val="center"/>
          </w:tcPr>
          <w:p>
            <w:pPr>
              <w:widowControl/>
              <w:spacing w:line="240" w:lineRule="auto"/>
              <w:ind w:firstLine="0" w:firstLineChars="0"/>
              <w:jc w:val="center"/>
              <w:rPr>
                <w:sz w:val="21"/>
                <w:szCs w:val="21"/>
              </w:rPr>
            </w:pPr>
            <w:r>
              <w:rPr>
                <w:rFonts w:hint="eastAsia"/>
                <w:sz w:val="21"/>
                <w:szCs w:val="21"/>
              </w:rPr>
              <w:t>8.17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146" w:type="dxa"/>
            <w:vAlign w:val="center"/>
          </w:tcPr>
          <w:p>
            <w:pPr>
              <w:widowControl/>
              <w:spacing w:line="240" w:lineRule="auto"/>
              <w:ind w:firstLine="0" w:firstLineChars="0"/>
              <w:jc w:val="center"/>
              <w:rPr>
                <w:sz w:val="21"/>
                <w:szCs w:val="21"/>
              </w:rPr>
            </w:pPr>
            <w:r>
              <w:rPr>
                <w:rFonts w:hint="eastAsia"/>
                <w:sz w:val="21"/>
                <w:szCs w:val="21"/>
              </w:rPr>
              <w:t>0.82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hint="eastAsia" w:cs="Times New Roman"/>
                <w:color w:val="000000"/>
                <w:sz w:val="21"/>
                <w:szCs w:val="21"/>
                <w:lang w:bidi="ar"/>
              </w:rPr>
              <w:t>下风向最大浓度出现距离m</w:t>
            </w:r>
          </w:p>
        </w:tc>
        <w:tc>
          <w:tcPr>
            <w:tcW w:w="1279" w:type="pct"/>
            <w:gridSpan w:val="2"/>
            <w:vAlign w:val="center"/>
          </w:tcPr>
          <w:p>
            <w:pPr>
              <w:widowControl/>
              <w:spacing w:line="240" w:lineRule="auto"/>
              <w:ind w:firstLine="0" w:firstLineChars="0"/>
              <w:jc w:val="center"/>
              <w:rPr>
                <w:rFonts w:hint="default" w:eastAsia="宋体"/>
                <w:sz w:val="21"/>
                <w:szCs w:val="21"/>
                <w:lang w:val="en-US" w:eastAsia="zh-CN"/>
              </w:rPr>
            </w:pPr>
            <w:r>
              <w:rPr>
                <w:rFonts w:hint="eastAsia"/>
                <w:sz w:val="21"/>
                <w:szCs w:val="21"/>
                <w:lang w:val="en-US" w:eastAsia="zh-CN"/>
              </w:rPr>
              <w:t>156</w:t>
            </w:r>
          </w:p>
        </w:tc>
        <w:tc>
          <w:tcPr>
            <w:tcW w:w="1548" w:type="pct"/>
            <w:gridSpan w:val="2"/>
            <w:vAlign w:val="center"/>
          </w:tcPr>
          <w:p>
            <w:pPr>
              <w:widowControl/>
              <w:spacing w:line="240" w:lineRule="auto"/>
              <w:ind w:firstLine="0" w:firstLineChars="0"/>
              <w:jc w:val="center"/>
              <w:rPr>
                <w:rFonts w:hint="default" w:eastAsia="宋体"/>
                <w:sz w:val="21"/>
                <w:szCs w:val="21"/>
                <w:lang w:val="en-US" w:eastAsia="zh-CN"/>
              </w:rPr>
            </w:pPr>
            <w:r>
              <w:rPr>
                <w:rFonts w:hint="eastAsia"/>
                <w:sz w:val="21"/>
                <w:szCs w:val="21"/>
                <w:lang w:val="en-US" w:eastAsia="zh-CN"/>
              </w:rPr>
              <w:t>156</w:t>
            </w:r>
          </w:p>
        </w:tc>
        <w:tc>
          <w:tcPr>
            <w:tcW w:w="1290" w:type="pct"/>
            <w:gridSpan w:val="2"/>
            <w:vAlign w:val="center"/>
          </w:tcPr>
          <w:p>
            <w:pPr>
              <w:widowControl/>
              <w:spacing w:line="240" w:lineRule="auto"/>
              <w:ind w:firstLine="0" w:firstLineChars="0"/>
              <w:jc w:val="center"/>
              <w:rPr>
                <w:rFonts w:hint="default" w:eastAsia="宋体"/>
                <w:sz w:val="21"/>
                <w:szCs w:val="21"/>
                <w:lang w:val="en-US" w:eastAsia="zh-CN"/>
              </w:rPr>
            </w:pPr>
            <w:r>
              <w:rPr>
                <w:rFonts w:hint="eastAsia"/>
                <w:sz w:val="21"/>
                <w:szCs w:val="21"/>
                <w:lang w:val="en-US" w:eastAsia="zh-CN"/>
              </w:rPr>
              <w:t>156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0" w:type="pct"/>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1279" w:type="pct"/>
            <w:gridSpan w:val="2"/>
            <w:vAlign w:val="center"/>
          </w:tcPr>
          <w:p>
            <w:pPr>
              <w:widowControl/>
              <w:spacing w:line="240" w:lineRule="auto"/>
              <w:ind w:firstLine="0" w:firstLineChars="0"/>
              <w:jc w:val="center"/>
              <w:rPr>
                <w:sz w:val="21"/>
                <w:szCs w:val="21"/>
              </w:rPr>
            </w:pPr>
            <w:r>
              <w:rPr>
                <w:rFonts w:hint="eastAsia"/>
                <w:sz w:val="21"/>
                <w:szCs w:val="21"/>
              </w:rPr>
              <w:t>/</w:t>
            </w:r>
          </w:p>
        </w:tc>
        <w:tc>
          <w:tcPr>
            <w:tcW w:w="1548" w:type="pct"/>
            <w:gridSpan w:val="2"/>
            <w:vAlign w:val="center"/>
          </w:tcPr>
          <w:p>
            <w:pPr>
              <w:widowControl/>
              <w:spacing w:line="240" w:lineRule="auto"/>
              <w:ind w:firstLine="0" w:firstLineChars="0"/>
              <w:jc w:val="center"/>
              <w:rPr>
                <w:sz w:val="21"/>
                <w:szCs w:val="21"/>
              </w:rPr>
            </w:pPr>
            <w:r>
              <w:rPr>
                <w:rFonts w:hint="eastAsia"/>
                <w:sz w:val="21"/>
                <w:szCs w:val="21"/>
              </w:rPr>
              <w:t>/</w:t>
            </w:r>
          </w:p>
        </w:tc>
        <w:tc>
          <w:tcPr>
            <w:tcW w:w="1290" w:type="pct"/>
            <w:gridSpan w:val="2"/>
            <w:vAlign w:val="center"/>
          </w:tcPr>
          <w:p>
            <w:pPr>
              <w:widowControl/>
              <w:spacing w:line="240" w:lineRule="auto"/>
              <w:ind w:firstLine="0" w:firstLineChars="0"/>
              <w:jc w:val="center"/>
              <w:rPr>
                <w:sz w:val="21"/>
                <w:szCs w:val="21"/>
              </w:rPr>
            </w:pPr>
            <w:r>
              <w:rPr>
                <w:rFonts w:hint="eastAsia"/>
                <w:sz w:val="21"/>
                <w:szCs w:val="21"/>
              </w:rPr>
              <w:t>/</w:t>
            </w:r>
          </w:p>
        </w:tc>
      </w:tr>
    </w:tbl>
    <w:p>
      <w:pPr>
        <w:ind w:firstLine="482"/>
        <w:jc w:val="center"/>
        <w:rPr>
          <w:b/>
          <w:bCs/>
        </w:rPr>
      </w:pPr>
      <w:r>
        <w:rPr>
          <w:b/>
          <w:bCs/>
        </w:rPr>
        <w:t>6.2-</w:t>
      </w:r>
      <w:r>
        <w:rPr>
          <w:rFonts w:hint="eastAsia"/>
          <w:b/>
          <w:bCs/>
        </w:rPr>
        <w:t>20  正常工况下无组织废气小时浓度随距离分布情况</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80"/>
        <w:gridCol w:w="1896"/>
        <w:gridCol w:w="1780"/>
        <w:gridCol w:w="2065"/>
        <w:gridCol w:w="1645"/>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3" w:type="pct"/>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3986" w:type="pct"/>
            <w:gridSpan w:val="5"/>
            <w:vAlign w:val="center"/>
          </w:tcPr>
          <w:p>
            <w:pPr>
              <w:spacing w:line="240" w:lineRule="auto"/>
              <w:ind w:firstLine="0" w:firstLineChars="0"/>
              <w:jc w:val="center"/>
              <w:rPr>
                <w:sz w:val="21"/>
                <w:szCs w:val="21"/>
              </w:rPr>
            </w:pPr>
            <w:r>
              <w:rPr>
                <w:rFonts w:hint="eastAsia"/>
                <w:sz w:val="21"/>
                <w:szCs w:val="21"/>
              </w:rPr>
              <w:t>5#车间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331" w:hRule="atLeast"/>
          <w:jc w:val="center"/>
        </w:trPr>
        <w:tc>
          <w:tcPr>
            <w:tcW w:w="1013"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980" w:type="pct"/>
            <w:gridSpan w:val="2"/>
            <w:vAlign w:val="center"/>
          </w:tcPr>
          <w:p>
            <w:pPr>
              <w:widowControl/>
              <w:spacing w:line="240" w:lineRule="auto"/>
              <w:ind w:firstLine="0" w:firstLineChars="0"/>
              <w:jc w:val="center"/>
              <w:rPr>
                <w:sz w:val="21"/>
                <w:szCs w:val="21"/>
              </w:rPr>
            </w:pPr>
            <w:r>
              <w:rPr>
                <w:rFonts w:hint="eastAsia"/>
                <w:sz w:val="21"/>
                <w:szCs w:val="21"/>
              </w:rPr>
              <w:t>非甲烷总烃</w:t>
            </w:r>
          </w:p>
        </w:tc>
        <w:tc>
          <w:tcPr>
            <w:tcW w:w="1998" w:type="pct"/>
            <w:gridSpan w:val="2"/>
            <w:vAlign w:val="center"/>
          </w:tcPr>
          <w:p>
            <w:pPr>
              <w:widowControl/>
              <w:spacing w:line="240" w:lineRule="auto"/>
              <w:ind w:firstLine="0" w:firstLineChars="0"/>
              <w:jc w:val="center"/>
              <w:rPr>
                <w:sz w:val="21"/>
                <w:szCs w:val="21"/>
              </w:rPr>
            </w:pPr>
            <w:r>
              <w:rPr>
                <w:rFonts w:hint="eastAsia"/>
                <w:sz w:val="21"/>
                <w:szCs w:val="21"/>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303" w:hRule="atLeast"/>
          <w:jc w:val="center"/>
        </w:trPr>
        <w:tc>
          <w:tcPr>
            <w:tcW w:w="1013"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021"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958" w:type="pct"/>
            <w:vAlign w:val="center"/>
          </w:tcPr>
          <w:p>
            <w:pPr>
              <w:widowControl/>
              <w:spacing w:line="240" w:lineRule="auto"/>
              <w:ind w:firstLine="0" w:firstLineChars="0"/>
              <w:jc w:val="center"/>
              <w:rPr>
                <w:sz w:val="21"/>
                <w:szCs w:val="21"/>
              </w:rPr>
            </w:pPr>
            <w:r>
              <w:rPr>
                <w:rFonts w:hint="eastAsia"/>
                <w:sz w:val="21"/>
                <w:szCs w:val="21"/>
              </w:rPr>
              <w:t>占标率（%）</w:t>
            </w:r>
          </w:p>
        </w:tc>
        <w:tc>
          <w:tcPr>
            <w:tcW w:w="1112"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886" w:type="pct"/>
            <w:vAlign w:val="center"/>
          </w:tcPr>
          <w:p>
            <w:pPr>
              <w:widowControl/>
              <w:spacing w:line="240" w:lineRule="auto"/>
              <w:ind w:firstLine="0" w:firstLineChars="0"/>
              <w:jc w:val="center"/>
              <w:rPr>
                <w:sz w:val="21"/>
                <w:szCs w:val="21"/>
              </w:rPr>
            </w:pPr>
            <w:r>
              <w:rPr>
                <w:rFonts w:hint="eastAsia"/>
                <w:sz w:val="21"/>
                <w:szCs w:val="21"/>
              </w:rPr>
              <w:t>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153" w:hRule="atLeast"/>
          <w:jc w:val="center"/>
        </w:trPr>
        <w:tc>
          <w:tcPr>
            <w:tcW w:w="1013"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0.02026</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1.01</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0.0002196</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169" w:hRule="atLeast"/>
          <w:jc w:val="center"/>
        </w:trPr>
        <w:tc>
          <w:tcPr>
            <w:tcW w:w="1013" w:type="pct"/>
            <w:shd w:val="clear" w:color="auto" w:fill="ED7D31" w:themeFill="accent2"/>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148</w:t>
            </w:r>
          </w:p>
        </w:tc>
        <w:tc>
          <w:tcPr>
            <w:tcW w:w="1021"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0.02234</w:t>
            </w:r>
          </w:p>
        </w:tc>
        <w:tc>
          <w:tcPr>
            <w:tcW w:w="958"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1.12</w:t>
            </w:r>
          </w:p>
        </w:tc>
        <w:tc>
          <w:tcPr>
            <w:tcW w:w="1112"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0.000242</w:t>
            </w:r>
          </w:p>
        </w:tc>
        <w:tc>
          <w:tcPr>
            <w:tcW w:w="886"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0.01954</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0.98</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0.0002117</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188" w:hRule="atLeast"/>
          <w:jc w:val="center"/>
        </w:trPr>
        <w:tc>
          <w:tcPr>
            <w:tcW w:w="1013" w:type="pct"/>
            <w:vAlign w:val="center"/>
          </w:tcPr>
          <w:p>
            <w:pPr>
              <w:widowControl/>
              <w:spacing w:line="240" w:lineRule="auto"/>
              <w:ind w:firstLine="0" w:firstLineChars="0"/>
              <w:jc w:val="center"/>
              <w:rPr>
                <w:color w:val="000000"/>
                <w:sz w:val="21"/>
                <w:szCs w:val="21"/>
              </w:rPr>
            </w:pPr>
            <w:r>
              <w:rPr>
                <w:rFonts w:hint="eastAsia"/>
                <w:sz w:val="21"/>
                <w:szCs w:val="21"/>
              </w:rPr>
              <w:t>300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0.01959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0.98</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0.0002122</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0.01789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0.89</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0.0001938</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0.01588</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0.79</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0.000172</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0.01583</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0.79</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0.0001715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0.01537</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0.77</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0.0001665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0.01434</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0.72</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0.0001554</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0.01321</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0.66</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0.0001431</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0.01211</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0.61</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0.0001312</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0.01108</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0.55</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0.0001201</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0.01017</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0.51</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0.0001102</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0.009358</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0.47</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0.0001014</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0.008627</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0.43</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9.348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212" w:hRule="atLeas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0.007975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0.40</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8.642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0.007396</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0.37</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8.015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0.00688</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0.34</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7.456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0.006419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0.32</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6.955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0.006004</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0.30</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6.506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0.005632</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0.28</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6.103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0.005305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0.27</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5.749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0.005007</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0.25</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5.426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0.004736</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0.24</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5.132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0.004489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0.22</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4.864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0.004262</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0.21</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4.618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896" w:type="dxa"/>
            <w:vAlign w:val="center"/>
          </w:tcPr>
          <w:p>
            <w:pPr>
              <w:widowControl/>
              <w:spacing w:line="240" w:lineRule="auto"/>
              <w:ind w:firstLine="0" w:firstLineChars="0"/>
              <w:jc w:val="center"/>
              <w:rPr>
                <w:color w:val="000000"/>
                <w:kern w:val="0"/>
                <w:sz w:val="21"/>
                <w:szCs w:val="21"/>
                <w:lang w:bidi="ar"/>
              </w:rPr>
            </w:pPr>
            <w:r>
              <w:rPr>
                <w:rFonts w:hint="eastAsia"/>
                <w:sz w:val="21"/>
                <w:szCs w:val="21"/>
              </w:rPr>
              <w:t>0.02234</w:t>
            </w:r>
          </w:p>
        </w:tc>
        <w:tc>
          <w:tcPr>
            <w:tcW w:w="1780" w:type="dxa"/>
            <w:vAlign w:val="center"/>
          </w:tcPr>
          <w:p>
            <w:pPr>
              <w:widowControl/>
              <w:spacing w:line="240" w:lineRule="auto"/>
              <w:ind w:firstLine="0" w:firstLineChars="0"/>
              <w:jc w:val="center"/>
              <w:rPr>
                <w:color w:val="000000"/>
                <w:kern w:val="0"/>
                <w:sz w:val="21"/>
                <w:szCs w:val="21"/>
                <w:lang w:bidi="ar"/>
              </w:rPr>
            </w:pPr>
            <w:r>
              <w:rPr>
                <w:rFonts w:hint="eastAsia"/>
                <w:sz w:val="21"/>
                <w:szCs w:val="21"/>
              </w:rPr>
              <w:t>1.12</w:t>
            </w:r>
          </w:p>
        </w:tc>
        <w:tc>
          <w:tcPr>
            <w:tcW w:w="2065" w:type="dxa"/>
            <w:vAlign w:val="center"/>
          </w:tcPr>
          <w:p>
            <w:pPr>
              <w:widowControl/>
              <w:spacing w:line="240" w:lineRule="auto"/>
              <w:ind w:firstLine="0" w:firstLineChars="0"/>
              <w:jc w:val="center"/>
              <w:rPr>
                <w:color w:val="000000"/>
                <w:kern w:val="0"/>
                <w:sz w:val="21"/>
                <w:szCs w:val="21"/>
                <w:lang w:bidi="ar"/>
              </w:rPr>
            </w:pPr>
            <w:r>
              <w:rPr>
                <w:rFonts w:hint="eastAsia"/>
                <w:sz w:val="21"/>
                <w:szCs w:val="21"/>
              </w:rPr>
              <w:t>0.000242</w:t>
            </w:r>
          </w:p>
        </w:tc>
        <w:tc>
          <w:tcPr>
            <w:tcW w:w="1645" w:type="dxa"/>
            <w:vAlign w:val="center"/>
          </w:tcPr>
          <w:p>
            <w:pPr>
              <w:widowControl/>
              <w:spacing w:line="240" w:lineRule="auto"/>
              <w:ind w:firstLine="0" w:firstLineChars="0"/>
              <w:jc w:val="center"/>
              <w:rPr>
                <w:color w:val="000000"/>
                <w:kern w:val="0"/>
                <w:sz w:val="21"/>
                <w:szCs w:val="21"/>
                <w:lang w:bidi="ar"/>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90" w:hRule="atLeast"/>
          <w:jc w:val="center"/>
        </w:trPr>
        <w:tc>
          <w:tcPr>
            <w:tcW w:w="1013"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1980" w:type="pct"/>
            <w:gridSpan w:val="2"/>
            <w:vAlign w:val="center"/>
          </w:tcPr>
          <w:p>
            <w:pPr>
              <w:widowControl/>
              <w:spacing w:line="240" w:lineRule="auto"/>
              <w:ind w:firstLine="0" w:firstLineChars="0"/>
              <w:jc w:val="center"/>
              <w:rPr>
                <w:color w:val="000000"/>
                <w:kern w:val="0"/>
                <w:sz w:val="21"/>
                <w:szCs w:val="21"/>
                <w:lang w:bidi="ar"/>
              </w:rPr>
            </w:pPr>
            <w:r>
              <w:rPr>
                <w:rFonts w:hint="eastAsia"/>
                <w:color w:val="000000"/>
                <w:kern w:val="0"/>
                <w:sz w:val="21"/>
                <w:szCs w:val="21"/>
                <w:lang w:bidi="ar"/>
              </w:rPr>
              <w:t>148</w:t>
            </w:r>
          </w:p>
        </w:tc>
        <w:tc>
          <w:tcPr>
            <w:tcW w:w="1998" w:type="pct"/>
            <w:gridSpan w:val="2"/>
            <w:vAlign w:val="center"/>
          </w:tcPr>
          <w:p>
            <w:pPr>
              <w:widowControl/>
              <w:spacing w:line="240" w:lineRule="auto"/>
              <w:ind w:firstLine="0" w:firstLineChars="0"/>
              <w:jc w:val="center"/>
              <w:rPr>
                <w:color w:val="000000"/>
                <w:kern w:val="0"/>
                <w:sz w:val="21"/>
                <w:szCs w:val="21"/>
                <w:lang w:bidi="ar"/>
              </w:rPr>
            </w:pPr>
            <w:r>
              <w:rPr>
                <w:rFonts w:hint="eastAsia"/>
                <w:color w:val="000000"/>
                <w:kern w:val="0"/>
                <w:sz w:val="21"/>
                <w:szCs w:val="21"/>
                <w:lang w:bidi="ar"/>
              </w:rPr>
              <w:t>148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1980" w:type="pct"/>
            <w:gridSpan w:val="2"/>
            <w:vAlign w:val="center"/>
          </w:tcPr>
          <w:p>
            <w:pPr>
              <w:widowControl/>
              <w:spacing w:line="240" w:lineRule="auto"/>
              <w:ind w:firstLine="0" w:firstLineChars="0"/>
              <w:jc w:val="center"/>
              <w:rPr>
                <w:sz w:val="21"/>
                <w:szCs w:val="21"/>
              </w:rPr>
            </w:pPr>
            <w:r>
              <w:rPr>
                <w:rFonts w:hint="eastAsia"/>
                <w:sz w:val="21"/>
                <w:szCs w:val="21"/>
              </w:rPr>
              <w:t>/</w:t>
            </w:r>
          </w:p>
        </w:tc>
        <w:tc>
          <w:tcPr>
            <w:tcW w:w="1998" w:type="pct"/>
            <w:gridSpan w:val="2"/>
            <w:vAlign w:val="center"/>
          </w:tcPr>
          <w:p>
            <w:pPr>
              <w:widowControl/>
              <w:spacing w:line="240" w:lineRule="auto"/>
              <w:ind w:firstLine="0" w:firstLineChars="0"/>
              <w:jc w:val="center"/>
              <w:rPr>
                <w:sz w:val="21"/>
                <w:szCs w:val="21"/>
              </w:rPr>
            </w:pPr>
            <w:r>
              <w:rPr>
                <w:rFonts w:hint="eastAsia"/>
                <w:sz w:val="21"/>
                <w:szCs w:val="21"/>
              </w:rPr>
              <w:t>/</w:t>
            </w:r>
          </w:p>
        </w:tc>
      </w:tr>
    </w:tbl>
    <w:p>
      <w:pPr>
        <w:ind w:firstLine="482"/>
        <w:jc w:val="center"/>
        <w:rPr>
          <w:b/>
          <w:bCs/>
        </w:rPr>
      </w:pPr>
      <w:r>
        <w:rPr>
          <w:b/>
          <w:bCs/>
        </w:rPr>
        <w:t>6.2-</w:t>
      </w:r>
      <w:r>
        <w:rPr>
          <w:rFonts w:hint="eastAsia"/>
          <w:b/>
          <w:bCs/>
        </w:rPr>
        <w:t>21  正常工况下无组织废气小时浓度随距离分布情况</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80"/>
        <w:gridCol w:w="1896"/>
        <w:gridCol w:w="1780"/>
        <w:gridCol w:w="2065"/>
        <w:gridCol w:w="1645"/>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3" w:type="pct"/>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3986" w:type="pct"/>
            <w:gridSpan w:val="5"/>
            <w:vAlign w:val="center"/>
          </w:tcPr>
          <w:p>
            <w:pPr>
              <w:spacing w:line="240" w:lineRule="auto"/>
              <w:ind w:firstLine="0" w:firstLineChars="0"/>
              <w:jc w:val="center"/>
              <w:rPr>
                <w:sz w:val="21"/>
                <w:szCs w:val="21"/>
              </w:rPr>
            </w:pPr>
            <w:r>
              <w:rPr>
                <w:rFonts w:hint="eastAsia"/>
                <w:sz w:val="21"/>
                <w:szCs w:val="21"/>
              </w:rPr>
              <w:t>6#车间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331" w:hRule="atLeast"/>
          <w:jc w:val="center"/>
        </w:trPr>
        <w:tc>
          <w:tcPr>
            <w:tcW w:w="1013"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980" w:type="pct"/>
            <w:gridSpan w:val="2"/>
            <w:vAlign w:val="center"/>
          </w:tcPr>
          <w:p>
            <w:pPr>
              <w:widowControl/>
              <w:spacing w:line="240" w:lineRule="auto"/>
              <w:ind w:firstLine="0" w:firstLineChars="0"/>
              <w:jc w:val="center"/>
              <w:rPr>
                <w:sz w:val="21"/>
                <w:szCs w:val="21"/>
              </w:rPr>
            </w:pPr>
            <w:r>
              <w:rPr>
                <w:rFonts w:hint="eastAsia"/>
                <w:sz w:val="21"/>
                <w:szCs w:val="21"/>
              </w:rPr>
              <w:t>非甲烷总烃</w:t>
            </w:r>
          </w:p>
        </w:tc>
        <w:tc>
          <w:tcPr>
            <w:tcW w:w="1998" w:type="pct"/>
            <w:gridSpan w:val="2"/>
            <w:vAlign w:val="center"/>
          </w:tcPr>
          <w:p>
            <w:pPr>
              <w:widowControl/>
              <w:spacing w:line="240" w:lineRule="auto"/>
              <w:ind w:firstLine="0" w:firstLineChars="0"/>
              <w:jc w:val="center"/>
              <w:rPr>
                <w:sz w:val="21"/>
                <w:szCs w:val="21"/>
              </w:rPr>
            </w:pPr>
            <w:r>
              <w:rPr>
                <w:rFonts w:hint="eastAsia"/>
                <w:sz w:val="21"/>
                <w:szCs w:val="21"/>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303" w:hRule="atLeast"/>
          <w:jc w:val="center"/>
        </w:trPr>
        <w:tc>
          <w:tcPr>
            <w:tcW w:w="1013"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021"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958" w:type="pct"/>
            <w:vAlign w:val="center"/>
          </w:tcPr>
          <w:p>
            <w:pPr>
              <w:widowControl/>
              <w:spacing w:line="240" w:lineRule="auto"/>
              <w:ind w:firstLine="0" w:firstLineChars="0"/>
              <w:jc w:val="center"/>
              <w:rPr>
                <w:sz w:val="21"/>
                <w:szCs w:val="21"/>
              </w:rPr>
            </w:pPr>
            <w:r>
              <w:rPr>
                <w:rFonts w:hint="eastAsia"/>
                <w:sz w:val="21"/>
                <w:szCs w:val="21"/>
              </w:rPr>
              <w:t>占标率（%）</w:t>
            </w:r>
          </w:p>
        </w:tc>
        <w:tc>
          <w:tcPr>
            <w:tcW w:w="1112"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886" w:type="pct"/>
            <w:vAlign w:val="center"/>
          </w:tcPr>
          <w:p>
            <w:pPr>
              <w:widowControl/>
              <w:spacing w:line="240" w:lineRule="auto"/>
              <w:ind w:firstLine="0" w:firstLineChars="0"/>
              <w:jc w:val="center"/>
              <w:rPr>
                <w:sz w:val="21"/>
                <w:szCs w:val="21"/>
              </w:rPr>
            </w:pPr>
            <w:r>
              <w:rPr>
                <w:rFonts w:hint="eastAsia"/>
                <w:sz w:val="21"/>
                <w:szCs w:val="21"/>
              </w:rPr>
              <w:t>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90" w:hRule="atLeast"/>
          <w:jc w:val="center"/>
        </w:trPr>
        <w:tc>
          <w:tcPr>
            <w:tcW w:w="1013"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0.0141</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0.70</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3.607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169" w:hRule="atLeast"/>
          <w:jc w:val="center"/>
        </w:trPr>
        <w:tc>
          <w:tcPr>
            <w:tcW w:w="1013" w:type="pct"/>
            <w:shd w:val="clear" w:color="auto" w:fill="ED7D31" w:themeFill="accent2"/>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148</w:t>
            </w:r>
          </w:p>
        </w:tc>
        <w:tc>
          <w:tcPr>
            <w:tcW w:w="1021"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0.01554</w:t>
            </w:r>
          </w:p>
        </w:tc>
        <w:tc>
          <w:tcPr>
            <w:tcW w:w="958"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0.78</w:t>
            </w:r>
          </w:p>
        </w:tc>
        <w:tc>
          <w:tcPr>
            <w:tcW w:w="1112"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3.976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0.01359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0.68</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3.478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188" w:hRule="atLeast"/>
          <w:jc w:val="center"/>
        </w:trPr>
        <w:tc>
          <w:tcPr>
            <w:tcW w:w="1013" w:type="pct"/>
            <w:vAlign w:val="center"/>
          </w:tcPr>
          <w:p>
            <w:pPr>
              <w:widowControl/>
              <w:spacing w:line="240" w:lineRule="auto"/>
              <w:ind w:firstLine="0" w:firstLineChars="0"/>
              <w:jc w:val="center"/>
              <w:rPr>
                <w:color w:val="000000"/>
                <w:sz w:val="21"/>
                <w:szCs w:val="21"/>
              </w:rPr>
            </w:pPr>
            <w:r>
              <w:rPr>
                <w:rFonts w:hint="eastAsia"/>
                <w:sz w:val="21"/>
                <w:szCs w:val="21"/>
              </w:rPr>
              <w:t>300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0.01363</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0.68</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3.487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0.01244</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0.62</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3.185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0.01104</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0.55</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2.826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0.01101</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0.55</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2.817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0.01069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0.53</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2.736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0.009977</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0.50</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2.553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0.00919</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0.46</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2.352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0.008425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0.42</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2.156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0.007711</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0.39</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1.973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0.007075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0.35</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1.81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0.00651</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0.33</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1.666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0.006001</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0.30</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1.536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212" w:hRule="atLeas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0.005548</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0.28</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1.42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0.005145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0.26</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1.317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0.004786</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0.24</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1.225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0.004465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0.22</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1.143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0.004177</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0.21</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1.069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0.003918</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0.20</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1.003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0.003691</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0.18</w:t>
            </w:r>
          </w:p>
        </w:tc>
        <w:tc>
          <w:tcPr>
            <w:tcW w:w="1112" w:type="pct"/>
            <w:vAlign w:val="center"/>
          </w:tcPr>
          <w:p>
            <w:pPr>
              <w:widowControl/>
              <w:spacing w:line="240" w:lineRule="auto"/>
              <w:ind w:firstLine="0" w:firstLineChars="0"/>
              <w:jc w:val="center"/>
              <w:rPr>
                <w:rFonts w:hint="default"/>
                <w:sz w:val="21"/>
                <w:szCs w:val="21"/>
                <w:lang w:val="en-US"/>
              </w:rPr>
            </w:pPr>
            <w:r>
              <w:rPr>
                <w:rFonts w:hint="eastAsia"/>
                <w:sz w:val="21"/>
                <w:szCs w:val="21"/>
              </w:rPr>
              <w:t>9.445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0.003483</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0.17</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8.914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0.003295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0.16</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8.431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0.003123</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0.16</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7.991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1021" w:type="pct"/>
            <w:vAlign w:val="center"/>
          </w:tcPr>
          <w:p>
            <w:pPr>
              <w:widowControl/>
              <w:spacing w:line="240" w:lineRule="auto"/>
              <w:ind w:firstLine="0" w:firstLineChars="0"/>
              <w:jc w:val="center"/>
              <w:rPr>
                <w:rFonts w:hint="eastAsia"/>
                <w:sz w:val="21"/>
                <w:szCs w:val="21"/>
              </w:rPr>
            </w:pPr>
            <w:r>
              <w:rPr>
                <w:rFonts w:hint="eastAsia"/>
                <w:sz w:val="21"/>
                <w:szCs w:val="21"/>
              </w:rPr>
              <w:t>0.002965</w:t>
            </w:r>
          </w:p>
        </w:tc>
        <w:tc>
          <w:tcPr>
            <w:tcW w:w="958" w:type="pct"/>
            <w:vAlign w:val="center"/>
          </w:tcPr>
          <w:p>
            <w:pPr>
              <w:widowControl/>
              <w:spacing w:line="240" w:lineRule="auto"/>
              <w:ind w:firstLine="0" w:firstLineChars="0"/>
              <w:jc w:val="center"/>
              <w:rPr>
                <w:rFonts w:hint="eastAsia"/>
                <w:sz w:val="21"/>
                <w:szCs w:val="21"/>
              </w:rPr>
            </w:pPr>
            <w:r>
              <w:rPr>
                <w:rFonts w:hint="eastAsia"/>
                <w:sz w:val="21"/>
                <w:szCs w:val="21"/>
              </w:rPr>
              <w:t>0.15</w:t>
            </w:r>
          </w:p>
        </w:tc>
        <w:tc>
          <w:tcPr>
            <w:tcW w:w="1112" w:type="pct"/>
            <w:vAlign w:val="center"/>
          </w:tcPr>
          <w:p>
            <w:pPr>
              <w:widowControl/>
              <w:spacing w:line="240" w:lineRule="auto"/>
              <w:ind w:firstLine="0" w:firstLineChars="0"/>
              <w:jc w:val="center"/>
              <w:rPr>
                <w:rFonts w:hint="eastAsia"/>
                <w:sz w:val="21"/>
                <w:szCs w:val="21"/>
              </w:rPr>
            </w:pPr>
            <w:r>
              <w:rPr>
                <w:rFonts w:hint="eastAsia"/>
                <w:sz w:val="21"/>
                <w:szCs w:val="21"/>
              </w:rPr>
              <w:t>7.587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886" w:type="pct"/>
            <w:vAlign w:val="center"/>
          </w:tcPr>
          <w:p>
            <w:pPr>
              <w:widowControl/>
              <w:spacing w:line="240" w:lineRule="auto"/>
              <w:ind w:firstLine="0" w:firstLineChars="0"/>
              <w:jc w:val="center"/>
              <w:rPr>
                <w:rFonts w:hint="eastAsia"/>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896" w:type="dxa"/>
            <w:vAlign w:val="center"/>
          </w:tcPr>
          <w:p>
            <w:pPr>
              <w:widowControl/>
              <w:spacing w:line="240" w:lineRule="auto"/>
              <w:ind w:firstLine="0" w:firstLineChars="0"/>
              <w:jc w:val="center"/>
              <w:rPr>
                <w:sz w:val="21"/>
                <w:szCs w:val="21"/>
              </w:rPr>
            </w:pPr>
            <w:r>
              <w:rPr>
                <w:rFonts w:hint="eastAsia"/>
                <w:sz w:val="21"/>
                <w:szCs w:val="21"/>
              </w:rPr>
              <w:t>0.01554</w:t>
            </w:r>
          </w:p>
        </w:tc>
        <w:tc>
          <w:tcPr>
            <w:tcW w:w="1780" w:type="dxa"/>
            <w:vAlign w:val="center"/>
          </w:tcPr>
          <w:p>
            <w:pPr>
              <w:widowControl/>
              <w:spacing w:line="240" w:lineRule="auto"/>
              <w:ind w:firstLine="0" w:firstLineChars="0"/>
              <w:jc w:val="center"/>
              <w:rPr>
                <w:sz w:val="21"/>
                <w:szCs w:val="21"/>
              </w:rPr>
            </w:pPr>
            <w:r>
              <w:rPr>
                <w:rFonts w:hint="eastAsia"/>
                <w:sz w:val="21"/>
                <w:szCs w:val="21"/>
              </w:rPr>
              <w:t>0.78</w:t>
            </w:r>
          </w:p>
        </w:tc>
        <w:tc>
          <w:tcPr>
            <w:tcW w:w="2065" w:type="dxa"/>
            <w:vAlign w:val="center"/>
          </w:tcPr>
          <w:p>
            <w:pPr>
              <w:widowControl/>
              <w:spacing w:line="240" w:lineRule="auto"/>
              <w:ind w:firstLine="0" w:firstLineChars="0"/>
              <w:jc w:val="center"/>
              <w:rPr>
                <w:rFonts w:hint="default"/>
                <w:sz w:val="21"/>
                <w:szCs w:val="21"/>
                <w:lang w:val="en-US"/>
              </w:rPr>
            </w:pPr>
            <w:r>
              <w:rPr>
                <w:rFonts w:hint="eastAsia"/>
                <w:sz w:val="21"/>
                <w:szCs w:val="21"/>
              </w:rPr>
              <w:t>3.976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645" w:type="dxa"/>
            <w:vAlign w:val="center"/>
          </w:tcPr>
          <w:p>
            <w:pPr>
              <w:widowControl/>
              <w:spacing w:line="240" w:lineRule="auto"/>
              <w:ind w:firstLine="0" w:firstLineChars="0"/>
              <w:jc w:val="center"/>
              <w:rPr>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trHeight w:val="90" w:hRule="atLeast"/>
          <w:jc w:val="center"/>
        </w:trPr>
        <w:tc>
          <w:tcPr>
            <w:tcW w:w="1013"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1980" w:type="pct"/>
            <w:gridSpan w:val="2"/>
            <w:vAlign w:val="center"/>
          </w:tcPr>
          <w:p>
            <w:pPr>
              <w:widowControl/>
              <w:spacing w:line="240" w:lineRule="auto"/>
              <w:ind w:firstLine="0" w:firstLineChars="0"/>
              <w:jc w:val="center"/>
              <w:rPr>
                <w:color w:val="000000"/>
                <w:kern w:val="0"/>
                <w:sz w:val="21"/>
                <w:szCs w:val="21"/>
                <w:lang w:bidi="ar"/>
              </w:rPr>
            </w:pPr>
            <w:r>
              <w:rPr>
                <w:rFonts w:hint="eastAsia"/>
                <w:color w:val="000000"/>
                <w:kern w:val="0"/>
                <w:sz w:val="21"/>
                <w:szCs w:val="21"/>
                <w:lang w:bidi="ar"/>
              </w:rPr>
              <w:t>148</w:t>
            </w:r>
          </w:p>
        </w:tc>
        <w:tc>
          <w:tcPr>
            <w:tcW w:w="1998" w:type="pct"/>
            <w:gridSpan w:val="2"/>
            <w:vAlign w:val="center"/>
          </w:tcPr>
          <w:p>
            <w:pPr>
              <w:widowControl/>
              <w:spacing w:line="240" w:lineRule="auto"/>
              <w:ind w:firstLine="0" w:firstLineChars="0"/>
              <w:jc w:val="center"/>
              <w:rPr>
                <w:color w:val="000000"/>
                <w:kern w:val="0"/>
                <w:sz w:val="21"/>
                <w:szCs w:val="21"/>
                <w:lang w:bidi="ar"/>
              </w:rPr>
            </w:pPr>
            <w:r>
              <w:rPr>
                <w:rFonts w:hint="eastAsia"/>
                <w:color w:val="000000"/>
                <w:kern w:val="0"/>
                <w:sz w:val="21"/>
                <w:szCs w:val="21"/>
                <w:lang w:bidi="ar"/>
              </w:rPr>
              <w:t>148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pct"/>
          <w:jc w:val="center"/>
        </w:trPr>
        <w:tc>
          <w:tcPr>
            <w:tcW w:w="1013" w:type="pct"/>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1980" w:type="pct"/>
            <w:gridSpan w:val="2"/>
            <w:vAlign w:val="center"/>
          </w:tcPr>
          <w:p>
            <w:pPr>
              <w:widowControl/>
              <w:spacing w:line="240" w:lineRule="auto"/>
              <w:ind w:firstLine="0" w:firstLineChars="0"/>
              <w:jc w:val="center"/>
              <w:rPr>
                <w:sz w:val="21"/>
                <w:szCs w:val="21"/>
              </w:rPr>
            </w:pPr>
            <w:r>
              <w:rPr>
                <w:rFonts w:hint="eastAsia"/>
                <w:sz w:val="21"/>
                <w:szCs w:val="21"/>
              </w:rPr>
              <w:t>/</w:t>
            </w:r>
          </w:p>
        </w:tc>
        <w:tc>
          <w:tcPr>
            <w:tcW w:w="1998" w:type="pct"/>
            <w:gridSpan w:val="2"/>
            <w:vAlign w:val="center"/>
          </w:tcPr>
          <w:p>
            <w:pPr>
              <w:widowControl/>
              <w:spacing w:line="240" w:lineRule="auto"/>
              <w:ind w:firstLine="0" w:firstLineChars="0"/>
              <w:jc w:val="center"/>
              <w:rPr>
                <w:sz w:val="21"/>
                <w:szCs w:val="21"/>
              </w:rPr>
            </w:pPr>
            <w:r>
              <w:rPr>
                <w:rFonts w:hint="eastAsia"/>
                <w:sz w:val="21"/>
                <w:szCs w:val="21"/>
              </w:rPr>
              <w:t>/</w:t>
            </w:r>
          </w:p>
        </w:tc>
      </w:tr>
    </w:tbl>
    <w:p>
      <w:pPr>
        <w:ind w:firstLine="0" w:firstLineChars="0"/>
        <w:jc w:val="center"/>
        <w:rPr>
          <w:b/>
          <w:bCs/>
        </w:rPr>
      </w:pPr>
      <w:r>
        <w:rPr>
          <w:b/>
          <w:bCs/>
        </w:rPr>
        <w:t>6.2-</w:t>
      </w:r>
      <w:r>
        <w:rPr>
          <w:rFonts w:hint="eastAsia"/>
          <w:b/>
          <w:bCs/>
        </w:rPr>
        <w:t>22  正常工况下无组织废气小时浓度预测结果</w:t>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75"/>
        <w:gridCol w:w="1885"/>
        <w:gridCol w:w="1710"/>
        <w:gridCol w:w="1933"/>
        <w:gridCol w:w="1673"/>
        <w:gridCol w:w="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23" w:hRule="atLeast"/>
          <w:jc w:val="center"/>
        </w:trPr>
        <w:tc>
          <w:tcPr>
            <w:tcW w:w="1118" w:type="pct"/>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3878" w:type="pct"/>
            <w:gridSpan w:val="4"/>
            <w:vAlign w:val="center"/>
          </w:tcPr>
          <w:p>
            <w:pPr>
              <w:spacing w:line="240" w:lineRule="auto"/>
              <w:ind w:firstLine="0" w:firstLineChars="0"/>
              <w:jc w:val="center"/>
              <w:rPr>
                <w:sz w:val="21"/>
                <w:szCs w:val="21"/>
              </w:rPr>
            </w:pPr>
            <w:r>
              <w:rPr>
                <w:rFonts w:hint="eastAsia"/>
                <w:sz w:val="21"/>
                <w:szCs w:val="21"/>
              </w:rPr>
              <w:t>污水处理站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936" w:type="pct"/>
            <w:gridSpan w:val="2"/>
            <w:vAlign w:val="center"/>
          </w:tcPr>
          <w:p>
            <w:pPr>
              <w:widowControl/>
              <w:spacing w:line="240" w:lineRule="auto"/>
              <w:ind w:firstLine="0" w:firstLineChars="0"/>
              <w:jc w:val="center"/>
              <w:rPr>
                <w:sz w:val="21"/>
                <w:szCs w:val="21"/>
              </w:rPr>
            </w:pPr>
            <w:r>
              <w:rPr>
                <w:rFonts w:hint="eastAsia"/>
                <w:sz w:val="21"/>
                <w:szCs w:val="21"/>
              </w:rPr>
              <w:t>氨</w:t>
            </w:r>
          </w:p>
        </w:tc>
        <w:tc>
          <w:tcPr>
            <w:tcW w:w="1945" w:type="pct"/>
            <w:gridSpan w:val="3"/>
            <w:vAlign w:val="center"/>
          </w:tcPr>
          <w:p>
            <w:pPr>
              <w:widowControl/>
              <w:spacing w:line="240" w:lineRule="auto"/>
              <w:ind w:firstLine="0" w:firstLineChars="0"/>
              <w:jc w:val="center"/>
              <w:rPr>
                <w:sz w:val="21"/>
                <w:szCs w:val="21"/>
              </w:rPr>
            </w:pPr>
            <w:r>
              <w:rPr>
                <w:rFonts w:hint="eastAsia"/>
                <w:sz w:val="21"/>
                <w:szCs w:val="21"/>
              </w:rPr>
              <w:t>硫化氢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015"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921" w:type="pct"/>
            <w:vAlign w:val="center"/>
          </w:tcPr>
          <w:p>
            <w:pPr>
              <w:widowControl/>
              <w:spacing w:line="240" w:lineRule="auto"/>
              <w:ind w:firstLine="0" w:firstLineChars="0"/>
              <w:jc w:val="center"/>
              <w:rPr>
                <w:sz w:val="21"/>
                <w:szCs w:val="21"/>
              </w:rPr>
            </w:pPr>
            <w:r>
              <w:rPr>
                <w:rFonts w:hint="eastAsia"/>
                <w:sz w:val="21"/>
                <w:szCs w:val="21"/>
              </w:rPr>
              <w:t>占标率（%）</w:t>
            </w:r>
          </w:p>
        </w:tc>
        <w:tc>
          <w:tcPr>
            <w:tcW w:w="1041"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1015" w:type="pct"/>
            <w:vAlign w:val="center"/>
          </w:tcPr>
          <w:p>
            <w:pPr>
              <w:widowControl/>
              <w:spacing w:line="240" w:lineRule="auto"/>
              <w:ind w:firstLine="0" w:firstLineChars="0"/>
              <w:jc w:val="center"/>
              <w:rPr>
                <w:sz w:val="21"/>
                <w:szCs w:val="21"/>
              </w:rPr>
            </w:pPr>
            <w:r>
              <w:rPr>
                <w:rFonts w:hint="eastAsia"/>
                <w:sz w:val="21"/>
                <w:szCs w:val="21"/>
              </w:rPr>
              <w:t>0.001395</w:t>
            </w:r>
          </w:p>
        </w:tc>
        <w:tc>
          <w:tcPr>
            <w:tcW w:w="921" w:type="pct"/>
            <w:vAlign w:val="center"/>
          </w:tcPr>
          <w:p>
            <w:pPr>
              <w:widowControl/>
              <w:spacing w:line="240" w:lineRule="auto"/>
              <w:ind w:firstLine="0" w:firstLineChars="0"/>
              <w:jc w:val="center"/>
              <w:rPr>
                <w:sz w:val="21"/>
                <w:szCs w:val="21"/>
              </w:rPr>
            </w:pPr>
            <w:r>
              <w:rPr>
                <w:rFonts w:hint="eastAsia"/>
                <w:sz w:val="21"/>
                <w:szCs w:val="21"/>
              </w:rPr>
              <w:t>0.01</w:t>
            </w:r>
          </w:p>
        </w:tc>
        <w:tc>
          <w:tcPr>
            <w:tcW w:w="1041" w:type="pct"/>
            <w:vAlign w:val="center"/>
          </w:tcPr>
          <w:p>
            <w:pPr>
              <w:widowControl/>
              <w:spacing w:line="240" w:lineRule="auto"/>
              <w:ind w:firstLine="0" w:firstLineChars="0"/>
              <w:jc w:val="center"/>
              <w:rPr>
                <w:sz w:val="21"/>
                <w:szCs w:val="21"/>
              </w:rPr>
            </w:pPr>
            <w:r>
              <w:rPr>
                <w:rFonts w:hint="eastAsia"/>
                <w:sz w:val="21"/>
                <w:szCs w:val="21"/>
              </w:rPr>
              <w:t>1.032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shd w:val="clear" w:color="auto" w:fill="FFC000"/>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1015" w:type="pct"/>
            <w:shd w:val="clear" w:color="auto" w:fill="FFC000"/>
            <w:vAlign w:val="center"/>
          </w:tcPr>
          <w:p>
            <w:pPr>
              <w:widowControl/>
              <w:spacing w:line="240" w:lineRule="auto"/>
              <w:ind w:firstLine="0" w:firstLineChars="0"/>
              <w:jc w:val="center"/>
              <w:rPr>
                <w:sz w:val="21"/>
                <w:szCs w:val="21"/>
              </w:rPr>
            </w:pPr>
            <w:r>
              <w:rPr>
                <w:rFonts w:hint="eastAsia"/>
                <w:sz w:val="21"/>
                <w:szCs w:val="21"/>
              </w:rPr>
              <w:t>0.001395</w:t>
            </w:r>
          </w:p>
        </w:tc>
        <w:tc>
          <w:tcPr>
            <w:tcW w:w="921" w:type="pct"/>
            <w:shd w:val="clear" w:color="auto" w:fill="FFC000"/>
            <w:vAlign w:val="center"/>
          </w:tcPr>
          <w:p>
            <w:pPr>
              <w:widowControl/>
              <w:spacing w:line="240" w:lineRule="auto"/>
              <w:ind w:firstLine="0" w:firstLineChars="0"/>
              <w:jc w:val="center"/>
              <w:rPr>
                <w:sz w:val="21"/>
                <w:szCs w:val="21"/>
              </w:rPr>
            </w:pPr>
            <w:r>
              <w:rPr>
                <w:rFonts w:hint="eastAsia"/>
                <w:sz w:val="21"/>
                <w:szCs w:val="21"/>
              </w:rPr>
              <w:t>0.01</w:t>
            </w:r>
          </w:p>
        </w:tc>
        <w:tc>
          <w:tcPr>
            <w:tcW w:w="1041" w:type="pct"/>
            <w:shd w:val="clear" w:color="auto" w:fill="FFC000"/>
            <w:vAlign w:val="center"/>
          </w:tcPr>
          <w:p>
            <w:pPr>
              <w:widowControl/>
              <w:spacing w:line="240" w:lineRule="auto"/>
              <w:ind w:firstLine="0" w:firstLineChars="0"/>
              <w:jc w:val="center"/>
              <w:rPr>
                <w:sz w:val="21"/>
                <w:szCs w:val="21"/>
              </w:rPr>
            </w:pPr>
            <w:r>
              <w:rPr>
                <w:rFonts w:hint="eastAsia"/>
                <w:sz w:val="21"/>
                <w:szCs w:val="21"/>
              </w:rPr>
              <w:t>1.032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03" w:type="pct"/>
            <w:gridSpan w:val="2"/>
            <w:shd w:val="clear" w:color="auto" w:fill="FFC000"/>
            <w:vAlign w:val="center"/>
          </w:tcPr>
          <w:p>
            <w:pPr>
              <w:widowControl/>
              <w:spacing w:line="240" w:lineRule="auto"/>
              <w:ind w:firstLine="0" w:firstLineChars="0"/>
              <w:jc w:val="center"/>
              <w:rPr>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1015" w:type="pct"/>
            <w:vAlign w:val="center"/>
          </w:tcPr>
          <w:p>
            <w:pPr>
              <w:widowControl/>
              <w:spacing w:line="240" w:lineRule="auto"/>
              <w:ind w:firstLine="0" w:firstLineChars="0"/>
              <w:jc w:val="center"/>
              <w:rPr>
                <w:rFonts w:hint="default"/>
                <w:sz w:val="21"/>
                <w:szCs w:val="21"/>
                <w:lang w:val="en-US"/>
              </w:rPr>
            </w:pPr>
            <w:r>
              <w:rPr>
                <w:rFonts w:hint="eastAsia"/>
                <w:sz w:val="21"/>
                <w:szCs w:val="21"/>
              </w:rPr>
              <w:t>1.244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21" w:type="pct"/>
            <w:vAlign w:val="center"/>
          </w:tcPr>
          <w:p>
            <w:pPr>
              <w:widowControl/>
              <w:spacing w:line="240" w:lineRule="auto"/>
              <w:ind w:firstLine="0" w:firstLineChars="0"/>
              <w:jc w:val="center"/>
              <w:rPr>
                <w:sz w:val="21"/>
                <w:szCs w:val="21"/>
              </w:rPr>
            </w:pPr>
            <w:r>
              <w:rPr>
                <w:rFonts w:hint="eastAsia"/>
                <w:sz w:val="21"/>
                <w:szCs w:val="21"/>
              </w:rPr>
              <w:t>0.01</w:t>
            </w:r>
          </w:p>
        </w:tc>
        <w:tc>
          <w:tcPr>
            <w:tcW w:w="1041" w:type="pct"/>
            <w:vAlign w:val="center"/>
          </w:tcPr>
          <w:p>
            <w:pPr>
              <w:widowControl/>
              <w:spacing w:line="240" w:lineRule="auto"/>
              <w:ind w:firstLine="0" w:firstLineChars="0"/>
              <w:jc w:val="center"/>
              <w:rPr>
                <w:rFonts w:hint="default"/>
                <w:sz w:val="21"/>
                <w:szCs w:val="21"/>
                <w:lang w:val="en-US"/>
              </w:rPr>
            </w:pPr>
            <w:r>
              <w:rPr>
                <w:rFonts w:hint="eastAsia"/>
                <w:sz w:val="21"/>
                <w:szCs w:val="21"/>
              </w:rPr>
              <w:t>4.796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rPr>
            </w:pPr>
            <w:r>
              <w:rPr>
                <w:rFonts w:hint="eastAsia"/>
                <w:sz w:val="21"/>
                <w:szCs w:val="21"/>
              </w:rPr>
              <w:t>300</w:t>
            </w:r>
          </w:p>
        </w:tc>
        <w:tc>
          <w:tcPr>
            <w:tcW w:w="1015" w:type="pct"/>
            <w:vAlign w:val="center"/>
          </w:tcPr>
          <w:p>
            <w:pPr>
              <w:widowControl/>
              <w:spacing w:line="240" w:lineRule="auto"/>
              <w:ind w:firstLine="0" w:firstLineChars="0"/>
              <w:jc w:val="center"/>
              <w:rPr>
                <w:sz w:val="21"/>
                <w:szCs w:val="21"/>
              </w:rPr>
            </w:pPr>
            <w:r>
              <w:rPr>
                <w:rFonts w:hint="eastAsia"/>
                <w:sz w:val="21"/>
                <w:szCs w:val="21"/>
              </w:rPr>
              <w:t>6.862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21" w:type="pct"/>
            <w:vAlign w:val="center"/>
          </w:tcPr>
          <w:p>
            <w:pPr>
              <w:widowControl/>
              <w:spacing w:line="240" w:lineRule="auto"/>
              <w:ind w:firstLine="0" w:firstLineChars="0"/>
              <w:jc w:val="center"/>
              <w:rPr>
                <w:sz w:val="21"/>
                <w:szCs w:val="21"/>
              </w:rPr>
            </w:pPr>
            <w:r>
              <w:rPr>
                <w:rFonts w:hint="eastAsia"/>
                <w:sz w:val="21"/>
                <w:szCs w:val="21"/>
              </w:rPr>
              <w:t>0.01</w:t>
            </w:r>
          </w:p>
        </w:tc>
        <w:tc>
          <w:tcPr>
            <w:tcW w:w="1041" w:type="pct"/>
            <w:vAlign w:val="center"/>
          </w:tcPr>
          <w:p>
            <w:pPr>
              <w:widowControl/>
              <w:spacing w:line="240" w:lineRule="auto"/>
              <w:ind w:firstLine="0" w:firstLineChars="0"/>
              <w:jc w:val="center"/>
              <w:rPr>
                <w:sz w:val="21"/>
                <w:szCs w:val="21"/>
              </w:rPr>
            </w:pPr>
            <w:r>
              <w:rPr>
                <w:rFonts w:hint="eastAsia"/>
                <w:sz w:val="21"/>
                <w:szCs w:val="21"/>
              </w:rPr>
              <w:t>2.645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1015" w:type="pct"/>
            <w:vAlign w:val="center"/>
          </w:tcPr>
          <w:p>
            <w:pPr>
              <w:widowControl/>
              <w:spacing w:line="240" w:lineRule="auto"/>
              <w:ind w:firstLine="0" w:firstLineChars="0"/>
              <w:jc w:val="center"/>
              <w:rPr>
                <w:sz w:val="21"/>
                <w:szCs w:val="21"/>
              </w:rPr>
            </w:pPr>
            <w:r>
              <w:rPr>
                <w:rFonts w:hint="eastAsia"/>
                <w:sz w:val="21"/>
                <w:szCs w:val="21"/>
              </w:rPr>
              <w:t>4.377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1.687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1015" w:type="pct"/>
            <w:vAlign w:val="center"/>
          </w:tcPr>
          <w:p>
            <w:pPr>
              <w:widowControl/>
              <w:spacing w:line="240" w:lineRule="auto"/>
              <w:ind w:firstLine="0" w:firstLineChars="0"/>
              <w:jc w:val="center"/>
              <w:rPr>
                <w:sz w:val="21"/>
                <w:szCs w:val="21"/>
              </w:rPr>
            </w:pPr>
            <w:r>
              <w:rPr>
                <w:rFonts w:hint="eastAsia"/>
                <w:sz w:val="21"/>
                <w:szCs w:val="21"/>
              </w:rPr>
              <w:t>3.054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4.796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1015" w:type="pct"/>
            <w:vAlign w:val="center"/>
          </w:tcPr>
          <w:p>
            <w:pPr>
              <w:widowControl/>
              <w:spacing w:line="240" w:lineRule="auto"/>
              <w:ind w:firstLine="0" w:firstLineChars="0"/>
              <w:jc w:val="center"/>
              <w:rPr>
                <w:sz w:val="21"/>
                <w:szCs w:val="21"/>
              </w:rPr>
            </w:pPr>
            <w:r>
              <w:rPr>
                <w:rFonts w:hint="eastAsia"/>
                <w:sz w:val="21"/>
                <w:szCs w:val="21"/>
              </w:rPr>
              <w:t>2.267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2.645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1015" w:type="pct"/>
            <w:vAlign w:val="center"/>
          </w:tcPr>
          <w:p>
            <w:pPr>
              <w:widowControl/>
              <w:spacing w:line="240" w:lineRule="auto"/>
              <w:ind w:firstLine="0" w:firstLineChars="0"/>
              <w:jc w:val="center"/>
              <w:rPr>
                <w:sz w:val="21"/>
                <w:szCs w:val="21"/>
              </w:rPr>
            </w:pPr>
            <w:r>
              <w:rPr>
                <w:rFonts w:hint="eastAsia"/>
                <w:sz w:val="21"/>
                <w:szCs w:val="21"/>
              </w:rPr>
              <w:t>1.758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1.687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1015" w:type="pct"/>
            <w:vAlign w:val="center"/>
          </w:tcPr>
          <w:p>
            <w:pPr>
              <w:widowControl/>
              <w:spacing w:line="240" w:lineRule="auto"/>
              <w:ind w:firstLine="0" w:firstLineChars="0"/>
              <w:jc w:val="center"/>
              <w:rPr>
                <w:sz w:val="21"/>
                <w:szCs w:val="21"/>
              </w:rPr>
            </w:pPr>
            <w:r>
              <w:rPr>
                <w:rFonts w:hint="eastAsia"/>
                <w:sz w:val="21"/>
                <w:szCs w:val="21"/>
              </w:rPr>
              <w:t>1.426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4.796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1015" w:type="pct"/>
            <w:vAlign w:val="center"/>
          </w:tcPr>
          <w:p>
            <w:pPr>
              <w:widowControl/>
              <w:spacing w:line="240" w:lineRule="auto"/>
              <w:ind w:firstLine="0" w:firstLineChars="0"/>
              <w:jc w:val="center"/>
              <w:rPr>
                <w:sz w:val="21"/>
                <w:szCs w:val="21"/>
              </w:rPr>
            </w:pPr>
            <w:r>
              <w:rPr>
                <w:rFonts w:hint="eastAsia"/>
                <w:sz w:val="21"/>
                <w:szCs w:val="21"/>
              </w:rPr>
              <w:t>1.186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2.645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1015" w:type="pct"/>
            <w:vAlign w:val="center"/>
          </w:tcPr>
          <w:p>
            <w:pPr>
              <w:widowControl/>
              <w:spacing w:line="240" w:lineRule="auto"/>
              <w:ind w:firstLine="0" w:firstLineChars="0"/>
              <w:jc w:val="center"/>
              <w:rPr>
                <w:sz w:val="21"/>
                <w:szCs w:val="21"/>
              </w:rPr>
            </w:pPr>
            <w:r>
              <w:rPr>
                <w:rFonts w:hint="eastAsia"/>
                <w:sz w:val="21"/>
                <w:szCs w:val="21"/>
              </w:rPr>
              <w:t>1.005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1.687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1015" w:type="pct"/>
            <w:vAlign w:val="center"/>
          </w:tcPr>
          <w:p>
            <w:pPr>
              <w:widowControl/>
              <w:spacing w:line="240" w:lineRule="auto"/>
              <w:ind w:firstLine="0" w:firstLineChars="0"/>
              <w:jc w:val="center"/>
              <w:rPr>
                <w:sz w:val="21"/>
                <w:szCs w:val="21"/>
              </w:rPr>
            </w:pPr>
            <w:r>
              <w:rPr>
                <w:rFonts w:hint="eastAsia"/>
                <w:sz w:val="21"/>
                <w:szCs w:val="21"/>
              </w:rPr>
              <w:t>8.689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4.796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1015" w:type="pct"/>
            <w:vAlign w:val="center"/>
          </w:tcPr>
          <w:p>
            <w:pPr>
              <w:widowControl/>
              <w:spacing w:line="240" w:lineRule="auto"/>
              <w:ind w:firstLine="0" w:firstLineChars="0"/>
              <w:jc w:val="center"/>
              <w:rPr>
                <w:sz w:val="21"/>
                <w:szCs w:val="21"/>
              </w:rPr>
            </w:pPr>
            <w:r>
              <w:rPr>
                <w:rFonts w:hint="eastAsia"/>
                <w:sz w:val="21"/>
                <w:szCs w:val="21"/>
              </w:rPr>
              <w:t>7.609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2.645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1015" w:type="pct"/>
            <w:vAlign w:val="center"/>
          </w:tcPr>
          <w:p>
            <w:pPr>
              <w:widowControl/>
              <w:spacing w:line="240" w:lineRule="auto"/>
              <w:ind w:firstLine="0" w:firstLineChars="0"/>
              <w:jc w:val="center"/>
              <w:rPr>
                <w:sz w:val="21"/>
                <w:szCs w:val="21"/>
              </w:rPr>
            </w:pPr>
            <w:r>
              <w:rPr>
                <w:rFonts w:hint="eastAsia"/>
                <w:sz w:val="21"/>
                <w:szCs w:val="21"/>
              </w:rPr>
              <w:t>6.734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1.687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1015" w:type="pct"/>
            <w:vAlign w:val="center"/>
          </w:tcPr>
          <w:p>
            <w:pPr>
              <w:widowControl/>
              <w:spacing w:line="240" w:lineRule="auto"/>
              <w:ind w:firstLine="0" w:firstLineChars="0"/>
              <w:jc w:val="center"/>
              <w:rPr>
                <w:sz w:val="21"/>
                <w:szCs w:val="21"/>
              </w:rPr>
            </w:pPr>
            <w:r>
              <w:rPr>
                <w:rFonts w:hint="eastAsia"/>
                <w:sz w:val="21"/>
                <w:szCs w:val="21"/>
              </w:rPr>
              <w:t>6.013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4.796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1015" w:type="pct"/>
            <w:vAlign w:val="center"/>
          </w:tcPr>
          <w:p>
            <w:pPr>
              <w:widowControl/>
              <w:spacing w:line="240" w:lineRule="auto"/>
              <w:ind w:firstLine="0" w:firstLineChars="0"/>
              <w:jc w:val="center"/>
              <w:rPr>
                <w:sz w:val="21"/>
                <w:szCs w:val="21"/>
              </w:rPr>
            </w:pPr>
            <w:r>
              <w:rPr>
                <w:rFonts w:hint="eastAsia"/>
                <w:sz w:val="21"/>
                <w:szCs w:val="21"/>
              </w:rPr>
              <w:t>5.411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2.645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1015" w:type="pct"/>
            <w:vAlign w:val="center"/>
          </w:tcPr>
          <w:p>
            <w:pPr>
              <w:widowControl/>
              <w:spacing w:line="240" w:lineRule="auto"/>
              <w:ind w:firstLine="0" w:firstLineChars="0"/>
              <w:jc w:val="center"/>
              <w:rPr>
                <w:sz w:val="21"/>
                <w:szCs w:val="21"/>
              </w:rPr>
            </w:pPr>
            <w:r>
              <w:rPr>
                <w:rFonts w:hint="eastAsia"/>
                <w:sz w:val="21"/>
                <w:szCs w:val="21"/>
              </w:rPr>
              <w:t>4.903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1.687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1015" w:type="pct"/>
            <w:vAlign w:val="center"/>
          </w:tcPr>
          <w:p>
            <w:pPr>
              <w:widowControl/>
              <w:spacing w:line="240" w:lineRule="auto"/>
              <w:ind w:firstLine="0" w:firstLineChars="0"/>
              <w:jc w:val="center"/>
              <w:rPr>
                <w:sz w:val="21"/>
                <w:szCs w:val="21"/>
              </w:rPr>
            </w:pPr>
            <w:r>
              <w:rPr>
                <w:rFonts w:hint="eastAsia"/>
                <w:sz w:val="21"/>
                <w:szCs w:val="21"/>
              </w:rPr>
              <w:t>4.468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4.796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1015" w:type="pct"/>
            <w:vAlign w:val="center"/>
          </w:tcPr>
          <w:p>
            <w:pPr>
              <w:widowControl/>
              <w:spacing w:line="240" w:lineRule="auto"/>
              <w:ind w:firstLine="0" w:firstLineChars="0"/>
              <w:jc w:val="center"/>
              <w:rPr>
                <w:sz w:val="21"/>
                <w:szCs w:val="21"/>
              </w:rPr>
            </w:pPr>
            <w:r>
              <w:rPr>
                <w:rFonts w:hint="eastAsia"/>
                <w:sz w:val="21"/>
                <w:szCs w:val="21"/>
              </w:rPr>
              <w:t>4.094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2.645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1015" w:type="pct"/>
            <w:vAlign w:val="center"/>
          </w:tcPr>
          <w:p>
            <w:pPr>
              <w:widowControl/>
              <w:spacing w:line="240" w:lineRule="auto"/>
              <w:ind w:firstLine="0" w:firstLineChars="0"/>
              <w:jc w:val="center"/>
              <w:rPr>
                <w:sz w:val="21"/>
                <w:szCs w:val="21"/>
              </w:rPr>
            </w:pPr>
            <w:r>
              <w:rPr>
                <w:rFonts w:hint="eastAsia"/>
                <w:sz w:val="21"/>
                <w:szCs w:val="21"/>
              </w:rPr>
              <w:t>3.769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1.687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1015" w:type="pct"/>
            <w:vAlign w:val="center"/>
          </w:tcPr>
          <w:p>
            <w:pPr>
              <w:widowControl/>
              <w:spacing w:line="240" w:lineRule="auto"/>
              <w:ind w:firstLine="0" w:firstLineChars="0"/>
              <w:jc w:val="center"/>
              <w:rPr>
                <w:sz w:val="21"/>
                <w:szCs w:val="21"/>
              </w:rPr>
            </w:pPr>
            <w:r>
              <w:rPr>
                <w:rFonts w:hint="eastAsia"/>
                <w:sz w:val="21"/>
                <w:szCs w:val="21"/>
              </w:rPr>
              <w:t>3.485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4.796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1015" w:type="pct"/>
            <w:vAlign w:val="center"/>
          </w:tcPr>
          <w:p>
            <w:pPr>
              <w:widowControl/>
              <w:spacing w:line="240" w:lineRule="auto"/>
              <w:ind w:firstLine="0" w:firstLineChars="0"/>
              <w:jc w:val="center"/>
              <w:rPr>
                <w:sz w:val="21"/>
                <w:szCs w:val="21"/>
              </w:rPr>
            </w:pPr>
            <w:r>
              <w:rPr>
                <w:rFonts w:hint="eastAsia"/>
                <w:sz w:val="21"/>
                <w:szCs w:val="21"/>
              </w:rPr>
              <w:t>3.247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2.645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1015" w:type="pct"/>
            <w:vAlign w:val="center"/>
          </w:tcPr>
          <w:p>
            <w:pPr>
              <w:widowControl/>
              <w:spacing w:line="240" w:lineRule="auto"/>
              <w:ind w:firstLine="0" w:firstLineChars="0"/>
              <w:jc w:val="center"/>
              <w:rPr>
                <w:sz w:val="21"/>
                <w:szCs w:val="21"/>
              </w:rPr>
            </w:pPr>
            <w:r>
              <w:rPr>
                <w:rFonts w:hint="eastAsia"/>
                <w:sz w:val="21"/>
                <w:szCs w:val="21"/>
              </w:rPr>
              <w:t>3.036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1.687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1015" w:type="pct"/>
            <w:vAlign w:val="center"/>
          </w:tcPr>
          <w:p>
            <w:pPr>
              <w:widowControl/>
              <w:spacing w:line="240" w:lineRule="auto"/>
              <w:ind w:firstLine="0" w:firstLineChars="0"/>
              <w:jc w:val="center"/>
              <w:rPr>
                <w:sz w:val="21"/>
                <w:szCs w:val="21"/>
              </w:rPr>
            </w:pPr>
            <w:r>
              <w:rPr>
                <w:rFonts w:hint="eastAsia"/>
                <w:sz w:val="21"/>
                <w:szCs w:val="21"/>
              </w:rPr>
              <w:t>2.848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4.796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1015" w:type="pct"/>
            <w:vAlign w:val="center"/>
          </w:tcPr>
          <w:p>
            <w:pPr>
              <w:widowControl/>
              <w:spacing w:line="240" w:lineRule="auto"/>
              <w:ind w:firstLine="0" w:firstLineChars="0"/>
              <w:jc w:val="center"/>
              <w:rPr>
                <w:sz w:val="21"/>
                <w:szCs w:val="21"/>
              </w:rPr>
            </w:pPr>
            <w:r>
              <w:rPr>
                <w:rFonts w:hint="eastAsia"/>
                <w:sz w:val="21"/>
                <w:szCs w:val="21"/>
              </w:rPr>
              <w:t>2.678</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2.645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1015" w:type="pct"/>
            <w:vAlign w:val="center"/>
          </w:tcPr>
          <w:p>
            <w:pPr>
              <w:widowControl/>
              <w:spacing w:line="240" w:lineRule="auto"/>
              <w:ind w:firstLine="0" w:firstLineChars="0"/>
              <w:jc w:val="center"/>
              <w:rPr>
                <w:sz w:val="21"/>
                <w:szCs w:val="21"/>
              </w:rPr>
            </w:pPr>
            <w:r>
              <w:rPr>
                <w:rFonts w:hint="eastAsia"/>
                <w:sz w:val="21"/>
                <w:szCs w:val="21"/>
              </w:rPr>
              <w:t>2.525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21" w:type="pct"/>
            <w:vAlign w:val="center"/>
          </w:tcPr>
          <w:p>
            <w:pPr>
              <w:widowControl/>
              <w:spacing w:line="240" w:lineRule="auto"/>
              <w:ind w:firstLine="0" w:firstLineChars="0"/>
              <w:jc w:val="center"/>
              <w:rPr>
                <w:sz w:val="21"/>
                <w:szCs w:val="21"/>
              </w:rPr>
            </w:pPr>
            <w:r>
              <w:rPr>
                <w:rFonts w:hint="eastAsia"/>
                <w:sz w:val="21"/>
                <w:szCs w:val="21"/>
              </w:rPr>
              <w:t>0.00</w:t>
            </w:r>
          </w:p>
        </w:tc>
        <w:tc>
          <w:tcPr>
            <w:tcW w:w="1041" w:type="pct"/>
            <w:vAlign w:val="center"/>
          </w:tcPr>
          <w:p>
            <w:pPr>
              <w:widowControl/>
              <w:spacing w:line="240" w:lineRule="auto"/>
              <w:ind w:firstLine="0" w:firstLineChars="0"/>
              <w:jc w:val="center"/>
              <w:rPr>
                <w:sz w:val="21"/>
                <w:szCs w:val="21"/>
              </w:rPr>
            </w:pPr>
            <w:r>
              <w:rPr>
                <w:rFonts w:hint="eastAsia"/>
                <w:sz w:val="21"/>
                <w:szCs w:val="21"/>
              </w:rPr>
              <w:t>1.687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015" w:type="pct"/>
            <w:vAlign w:val="center"/>
          </w:tcPr>
          <w:p>
            <w:pPr>
              <w:widowControl/>
              <w:spacing w:line="240" w:lineRule="auto"/>
              <w:ind w:firstLine="0" w:firstLineChars="0"/>
              <w:jc w:val="center"/>
              <w:rPr>
                <w:sz w:val="21"/>
                <w:szCs w:val="21"/>
              </w:rPr>
            </w:pPr>
            <w:r>
              <w:rPr>
                <w:rFonts w:hint="eastAsia"/>
                <w:sz w:val="21"/>
                <w:szCs w:val="21"/>
              </w:rPr>
              <w:t>0.001395</w:t>
            </w:r>
          </w:p>
        </w:tc>
        <w:tc>
          <w:tcPr>
            <w:tcW w:w="921" w:type="pct"/>
            <w:vAlign w:val="center"/>
          </w:tcPr>
          <w:p>
            <w:pPr>
              <w:widowControl/>
              <w:spacing w:line="240" w:lineRule="auto"/>
              <w:ind w:firstLine="0" w:firstLineChars="0"/>
              <w:jc w:val="center"/>
              <w:rPr>
                <w:sz w:val="21"/>
                <w:szCs w:val="21"/>
              </w:rPr>
            </w:pPr>
            <w:r>
              <w:rPr>
                <w:rFonts w:hint="eastAsia"/>
                <w:sz w:val="21"/>
                <w:szCs w:val="21"/>
              </w:rPr>
              <w:t>0.01</w:t>
            </w:r>
          </w:p>
        </w:tc>
        <w:tc>
          <w:tcPr>
            <w:tcW w:w="1041" w:type="pct"/>
            <w:vAlign w:val="center"/>
          </w:tcPr>
          <w:p>
            <w:pPr>
              <w:widowControl/>
              <w:spacing w:line="240" w:lineRule="auto"/>
              <w:ind w:firstLine="0" w:firstLineChars="0"/>
              <w:jc w:val="center"/>
              <w:rPr>
                <w:rFonts w:hint="default"/>
                <w:sz w:val="21"/>
                <w:szCs w:val="21"/>
                <w:lang w:val="en-US"/>
              </w:rPr>
            </w:pPr>
            <w:r>
              <w:rPr>
                <w:rFonts w:hint="eastAsia"/>
                <w:sz w:val="21"/>
                <w:szCs w:val="21"/>
              </w:rPr>
              <w:t>1.032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903" w:type="pct"/>
            <w:gridSpan w:val="2"/>
            <w:vAlign w:val="center"/>
          </w:tcPr>
          <w:p>
            <w:pPr>
              <w:widowControl/>
              <w:spacing w:line="240" w:lineRule="auto"/>
              <w:ind w:firstLine="0" w:firstLineChars="0"/>
              <w:jc w:val="center"/>
              <w:rPr>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1936" w:type="pct"/>
            <w:gridSpan w:val="2"/>
            <w:vAlign w:val="center"/>
          </w:tcPr>
          <w:p>
            <w:pPr>
              <w:widowControl/>
              <w:spacing w:line="240" w:lineRule="auto"/>
              <w:ind w:firstLine="0" w:firstLineChars="0"/>
              <w:jc w:val="center"/>
              <w:rPr>
                <w:sz w:val="21"/>
                <w:szCs w:val="21"/>
              </w:rPr>
            </w:pPr>
            <w:r>
              <w:rPr>
                <w:rFonts w:hint="eastAsia"/>
                <w:sz w:val="21"/>
                <w:szCs w:val="21"/>
              </w:rPr>
              <w:t>100</w:t>
            </w:r>
          </w:p>
        </w:tc>
        <w:tc>
          <w:tcPr>
            <w:tcW w:w="1945" w:type="pct"/>
            <w:gridSpan w:val="3"/>
            <w:vAlign w:val="center"/>
          </w:tcPr>
          <w:p>
            <w:pPr>
              <w:widowControl/>
              <w:spacing w:line="240" w:lineRule="auto"/>
              <w:ind w:firstLine="0" w:firstLineChars="0"/>
              <w:jc w:val="center"/>
              <w:rPr>
                <w:sz w:val="21"/>
                <w:szCs w:val="21"/>
              </w:rPr>
            </w:pPr>
            <w:r>
              <w:rPr>
                <w:rFonts w:hint="eastAsia"/>
                <w:sz w:val="21"/>
                <w:szCs w:val="21"/>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8" w:type="pct"/>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1936" w:type="pct"/>
            <w:gridSpan w:val="2"/>
            <w:vAlign w:val="center"/>
          </w:tcPr>
          <w:p>
            <w:pPr>
              <w:widowControl/>
              <w:spacing w:line="240" w:lineRule="auto"/>
              <w:ind w:firstLine="420"/>
              <w:jc w:val="center"/>
              <w:rPr>
                <w:sz w:val="21"/>
                <w:szCs w:val="21"/>
              </w:rPr>
            </w:pPr>
            <w:r>
              <w:rPr>
                <w:rFonts w:hint="eastAsia"/>
                <w:sz w:val="21"/>
                <w:szCs w:val="21"/>
              </w:rPr>
              <w:t>/</w:t>
            </w:r>
          </w:p>
        </w:tc>
        <w:tc>
          <w:tcPr>
            <w:tcW w:w="1945" w:type="pct"/>
            <w:gridSpan w:val="3"/>
            <w:vAlign w:val="center"/>
          </w:tcPr>
          <w:p>
            <w:pPr>
              <w:widowControl/>
              <w:spacing w:line="240" w:lineRule="auto"/>
              <w:ind w:firstLine="420"/>
              <w:jc w:val="center"/>
              <w:rPr>
                <w:sz w:val="21"/>
                <w:szCs w:val="21"/>
              </w:rPr>
            </w:pPr>
            <w:r>
              <w:rPr>
                <w:rFonts w:hint="eastAsia"/>
                <w:sz w:val="21"/>
                <w:szCs w:val="21"/>
              </w:rPr>
              <w:t>/</w:t>
            </w:r>
          </w:p>
        </w:tc>
      </w:tr>
    </w:tbl>
    <w:p>
      <w:pPr>
        <w:widowControl/>
        <w:ind w:firstLine="480"/>
        <w:jc w:val="left"/>
      </w:pPr>
      <w:r>
        <w:rPr>
          <w:rFonts w:hint="eastAsia" w:ascii="宋体" w:hAnsi="宋体"/>
          <w:color w:val="000000"/>
          <w:lang w:bidi="ar"/>
        </w:rPr>
        <w:t>综上，建设项目排放的大气污染物最大落地浓度均符合环境质量标准的要求，对周围环境的影响较小。</w:t>
      </w:r>
    </w:p>
    <w:p>
      <w:pPr>
        <w:ind w:firstLine="0" w:firstLineChars="0"/>
        <w:jc w:val="center"/>
        <w:rPr>
          <w:b/>
          <w:bCs/>
        </w:rPr>
      </w:pPr>
      <w:r>
        <w:rPr>
          <w:b/>
          <w:bCs/>
        </w:rPr>
        <w:t>6.2-</w:t>
      </w:r>
      <w:r>
        <w:rPr>
          <w:rFonts w:hint="eastAsia"/>
          <w:b/>
          <w:bCs/>
        </w:rPr>
        <w:t>23  非正常工况下废气排气筒最大落地浓度预测结果</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0"/>
        <w:gridCol w:w="1413"/>
        <w:gridCol w:w="1150"/>
        <w:gridCol w:w="1425"/>
        <w:gridCol w:w="1370"/>
        <w:gridCol w:w="1189"/>
        <w:gridCol w:w="1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7638" w:type="dxa"/>
            <w:gridSpan w:val="6"/>
            <w:vAlign w:val="center"/>
          </w:tcPr>
          <w:p>
            <w:pPr>
              <w:spacing w:line="240" w:lineRule="auto"/>
              <w:ind w:firstLine="0" w:firstLineChars="0"/>
              <w:jc w:val="center"/>
              <w:rPr>
                <w:sz w:val="21"/>
                <w:szCs w:val="21"/>
              </w:rPr>
            </w:pPr>
            <w:r>
              <w:rPr>
                <w:rFonts w:hint="eastAsia"/>
                <w:sz w:val="21"/>
                <w:szCs w:val="21"/>
              </w:rPr>
              <w:t>DA001排气筒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413" w:type="dxa"/>
            <w:vAlign w:val="center"/>
          </w:tcPr>
          <w:p>
            <w:pPr>
              <w:widowControl/>
              <w:spacing w:line="240" w:lineRule="auto"/>
              <w:ind w:firstLine="0" w:firstLineChars="0"/>
              <w:jc w:val="center"/>
              <w:rPr>
                <w:sz w:val="21"/>
                <w:szCs w:val="21"/>
              </w:rPr>
            </w:pPr>
            <w:r>
              <w:rPr>
                <w:rFonts w:hint="eastAsia"/>
                <w:sz w:val="21"/>
                <w:szCs w:val="21"/>
              </w:rPr>
              <w:t>颗粒物浓度（m</w:t>
            </w:r>
            <w:r>
              <w:rPr>
                <w:sz w:val="21"/>
                <w:szCs w:val="21"/>
              </w:rPr>
              <w:t>g/m³</w:t>
            </w:r>
            <w:r>
              <w:rPr>
                <w:rFonts w:hint="eastAsia"/>
                <w:sz w:val="21"/>
                <w:szCs w:val="21"/>
              </w:rPr>
              <w:t>）</w:t>
            </w:r>
          </w:p>
        </w:tc>
        <w:tc>
          <w:tcPr>
            <w:tcW w:w="1150" w:type="dxa"/>
            <w:vAlign w:val="center"/>
          </w:tcPr>
          <w:p>
            <w:pPr>
              <w:widowControl/>
              <w:spacing w:line="240" w:lineRule="auto"/>
              <w:ind w:firstLine="0" w:firstLineChars="0"/>
              <w:jc w:val="center"/>
              <w:rPr>
                <w:sz w:val="21"/>
                <w:szCs w:val="21"/>
              </w:rPr>
            </w:pPr>
            <w:r>
              <w:rPr>
                <w:rFonts w:hint="eastAsia"/>
                <w:sz w:val="21"/>
                <w:szCs w:val="21"/>
              </w:rPr>
              <w:t>颗粒物占标率（%）</w:t>
            </w:r>
          </w:p>
        </w:tc>
        <w:tc>
          <w:tcPr>
            <w:tcW w:w="1425" w:type="dxa"/>
            <w:vAlign w:val="center"/>
          </w:tcPr>
          <w:p>
            <w:pPr>
              <w:widowControl/>
              <w:spacing w:line="240" w:lineRule="auto"/>
              <w:ind w:firstLine="0" w:firstLineChars="0"/>
              <w:jc w:val="center"/>
              <w:rPr>
                <w:sz w:val="21"/>
                <w:szCs w:val="21"/>
              </w:rPr>
            </w:pPr>
            <w:r>
              <w:rPr>
                <w:rFonts w:hint="eastAsia"/>
                <w:sz w:val="21"/>
                <w:szCs w:val="21"/>
              </w:rPr>
              <w:t>非甲烷总烃浓度（m</w:t>
            </w:r>
            <w:r>
              <w:rPr>
                <w:sz w:val="21"/>
                <w:szCs w:val="21"/>
              </w:rPr>
              <w:t>g/m³</w:t>
            </w:r>
            <w:r>
              <w:rPr>
                <w:rFonts w:hint="eastAsia"/>
                <w:sz w:val="21"/>
                <w:szCs w:val="21"/>
              </w:rPr>
              <w:t>）</w:t>
            </w:r>
          </w:p>
        </w:tc>
        <w:tc>
          <w:tcPr>
            <w:tcW w:w="1370" w:type="dxa"/>
            <w:vAlign w:val="center"/>
          </w:tcPr>
          <w:p>
            <w:pPr>
              <w:widowControl/>
              <w:spacing w:line="240" w:lineRule="auto"/>
              <w:ind w:firstLine="0" w:firstLineChars="0"/>
              <w:jc w:val="center"/>
              <w:rPr>
                <w:sz w:val="21"/>
                <w:szCs w:val="21"/>
              </w:rPr>
            </w:pPr>
            <w:r>
              <w:rPr>
                <w:rFonts w:hint="eastAsia"/>
                <w:sz w:val="21"/>
                <w:szCs w:val="21"/>
              </w:rPr>
              <w:t>非甲烷总烃占标率（%）</w:t>
            </w:r>
          </w:p>
        </w:tc>
        <w:tc>
          <w:tcPr>
            <w:tcW w:w="1189" w:type="dxa"/>
            <w:vAlign w:val="center"/>
          </w:tcPr>
          <w:p>
            <w:pPr>
              <w:widowControl/>
              <w:spacing w:line="240" w:lineRule="auto"/>
              <w:ind w:firstLine="0" w:firstLineChars="0"/>
              <w:jc w:val="center"/>
              <w:rPr>
                <w:sz w:val="21"/>
                <w:szCs w:val="21"/>
              </w:rPr>
            </w:pPr>
            <w:r>
              <w:rPr>
                <w:rFonts w:hint="eastAsia"/>
                <w:sz w:val="21"/>
                <w:szCs w:val="21"/>
              </w:rPr>
              <w:t>硫化氢浓度（m</w:t>
            </w:r>
            <w:r>
              <w:rPr>
                <w:sz w:val="21"/>
                <w:szCs w:val="21"/>
              </w:rPr>
              <w:t>g/m³</w:t>
            </w:r>
            <w:r>
              <w:rPr>
                <w:rFonts w:hint="eastAsia"/>
                <w:sz w:val="21"/>
                <w:szCs w:val="21"/>
              </w:rPr>
              <w:t>）</w:t>
            </w:r>
          </w:p>
        </w:tc>
        <w:tc>
          <w:tcPr>
            <w:tcW w:w="1091" w:type="dxa"/>
            <w:vAlign w:val="center"/>
          </w:tcPr>
          <w:p>
            <w:pPr>
              <w:widowControl/>
              <w:spacing w:line="240" w:lineRule="auto"/>
              <w:ind w:firstLine="0" w:firstLineChars="0"/>
              <w:jc w:val="center"/>
              <w:rPr>
                <w:sz w:val="21"/>
                <w:szCs w:val="21"/>
              </w:rPr>
            </w:pPr>
            <w:r>
              <w:rPr>
                <w:rFonts w:hint="eastAsia"/>
                <w:sz w:val="21"/>
                <w:szCs w:val="21"/>
              </w:rPr>
              <w:t>硫化氢占标率（%）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0.002924</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0.65</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0.02038</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1.02</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5.452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-7</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0.003933</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0.87</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0.02742</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1.37</w:t>
            </w:r>
          </w:p>
        </w:tc>
        <w:tc>
          <w:tcPr>
            <w:tcW w:w="1189" w:type="dxa"/>
            <w:vAlign w:val="center"/>
          </w:tcPr>
          <w:p>
            <w:pPr>
              <w:widowControl/>
              <w:spacing w:line="240" w:lineRule="auto"/>
              <w:ind w:firstLine="0" w:firstLineChars="0"/>
              <w:jc w:val="center"/>
              <w:rPr>
                <w:rFonts w:hint="default"/>
                <w:sz w:val="21"/>
                <w:szCs w:val="21"/>
                <w:lang w:val="en-US"/>
              </w:rPr>
            </w:pPr>
            <w:r>
              <w:rPr>
                <w:rFonts w:hint="eastAsia"/>
                <w:sz w:val="21"/>
                <w:szCs w:val="21"/>
              </w:rPr>
              <w:t>1.06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300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0.004165</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0.93</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0.02904</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1.45</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1.121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0.00399</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0.89</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0.02782</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1.39</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1.084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0.003727</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0.83</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0.02598</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1.30</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1.01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0.00466</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1.04</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0.03249</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1.62</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1.035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0.005458</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1.21</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0.03805</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1.90</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1.325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0.005889</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1.31</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0.04106</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2.05</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1.536</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0.006049</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1.34</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0.04217</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2.11</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1.671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shd w:val="clear" w:color="auto" w:fill="ED7D31" w:themeFill="accent2"/>
            <w:vAlign w:val="center"/>
          </w:tcPr>
          <w:p>
            <w:pPr>
              <w:widowControl/>
              <w:spacing w:line="240" w:lineRule="auto"/>
              <w:ind w:firstLine="0" w:firstLineChars="0"/>
              <w:jc w:val="center"/>
              <w:rPr>
                <w:rFonts w:hint="default" w:eastAsia="宋体"/>
                <w:color w:val="000000"/>
                <w:sz w:val="21"/>
                <w:szCs w:val="21"/>
                <w:lang w:val="en-US" w:eastAsia="zh-CN" w:bidi="ar"/>
              </w:rPr>
            </w:pPr>
            <w:r>
              <w:rPr>
                <w:rFonts w:hint="eastAsia"/>
                <w:sz w:val="21"/>
                <w:szCs w:val="21"/>
                <w:lang w:val="en-US" w:eastAsia="zh-CN"/>
              </w:rPr>
              <w:t>923</w:t>
            </w:r>
          </w:p>
        </w:tc>
        <w:tc>
          <w:tcPr>
            <w:tcW w:w="1413"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0.006058</w:t>
            </w:r>
          </w:p>
        </w:tc>
        <w:tc>
          <w:tcPr>
            <w:tcW w:w="1150"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1.35</w:t>
            </w:r>
          </w:p>
        </w:tc>
        <w:tc>
          <w:tcPr>
            <w:tcW w:w="1425"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0.04223</w:t>
            </w:r>
          </w:p>
        </w:tc>
        <w:tc>
          <w:tcPr>
            <w:tcW w:w="1370"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2.11</w:t>
            </w:r>
          </w:p>
        </w:tc>
        <w:tc>
          <w:tcPr>
            <w:tcW w:w="1189"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1.744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shd w:val="clear" w:color="auto" w:fill="FFFFFF" w:themeFill="background1"/>
            <w:vAlign w:val="center"/>
          </w:tcPr>
          <w:p>
            <w:pPr>
              <w:widowControl/>
              <w:spacing w:line="240" w:lineRule="auto"/>
              <w:ind w:firstLine="0" w:firstLineChars="0"/>
              <w:jc w:val="center"/>
              <w:rPr>
                <w:sz w:val="21"/>
                <w:szCs w:val="21"/>
              </w:rPr>
            </w:pPr>
            <w:r>
              <w:rPr>
                <w:rFonts w:hint="eastAsia"/>
                <w:sz w:val="21"/>
                <w:szCs w:val="21"/>
              </w:rPr>
              <w:t>1000</w:t>
            </w:r>
          </w:p>
        </w:tc>
        <w:tc>
          <w:tcPr>
            <w:tcW w:w="1413"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0.006025</w:t>
            </w:r>
          </w:p>
        </w:tc>
        <w:tc>
          <w:tcPr>
            <w:tcW w:w="1150"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1.34</w:t>
            </w:r>
          </w:p>
        </w:tc>
        <w:tc>
          <w:tcPr>
            <w:tcW w:w="1425"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0.042</w:t>
            </w:r>
          </w:p>
        </w:tc>
        <w:tc>
          <w:tcPr>
            <w:tcW w:w="1370"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2.10</w:t>
            </w:r>
          </w:p>
        </w:tc>
        <w:tc>
          <w:tcPr>
            <w:tcW w:w="1189"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1.744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shd w:val="clear" w:color="auto" w:fill="FFFFFF" w:themeFill="background1"/>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0.00583</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1.30</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0.04064</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2.03</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1.744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0.005599</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1.24</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0.03903</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1.95</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1.721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0.005352</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1.19</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0.03731</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1.87</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1.684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0.005232</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1.16</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0.03647</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1.82</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1.637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0.005271</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1.17</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0.03675</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1.84</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1.585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0.005267</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1.17</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0.03672</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1.84</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1.53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0.00523</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1.16</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0.03646</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1.82</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1.507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0.005168</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1.15</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0.03603</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1.80</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1.52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0.005086</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1.13</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0.03546</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1.77</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1.523</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0.004992</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1.11</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0.0348</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1.74</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1.519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0.004873</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1.08</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0.03397</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1.70</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1.502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0.004752</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1.06</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0.03313</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1.66</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1.482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0.004631</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1.03</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0.03228</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1.61</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1.461</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0.004511</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1.00</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0.03145</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1.57</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1.437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0.004392</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0.98</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0.03062</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1.53</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1.412</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413" w:type="dxa"/>
            <w:vAlign w:val="center"/>
          </w:tcPr>
          <w:p>
            <w:pPr>
              <w:widowControl/>
              <w:spacing w:line="240" w:lineRule="auto"/>
              <w:ind w:firstLine="0" w:firstLineChars="0"/>
              <w:jc w:val="center"/>
              <w:rPr>
                <w:rFonts w:hint="eastAsia"/>
                <w:sz w:val="21"/>
                <w:szCs w:val="21"/>
              </w:rPr>
            </w:pPr>
            <w:r>
              <w:rPr>
                <w:rFonts w:hint="eastAsia"/>
                <w:sz w:val="21"/>
                <w:szCs w:val="21"/>
              </w:rPr>
              <w:t>0.006058</w:t>
            </w:r>
          </w:p>
        </w:tc>
        <w:tc>
          <w:tcPr>
            <w:tcW w:w="1150" w:type="dxa"/>
            <w:vAlign w:val="center"/>
          </w:tcPr>
          <w:p>
            <w:pPr>
              <w:widowControl/>
              <w:spacing w:line="240" w:lineRule="auto"/>
              <w:ind w:firstLine="0" w:firstLineChars="0"/>
              <w:jc w:val="center"/>
              <w:rPr>
                <w:rFonts w:hint="eastAsia"/>
                <w:sz w:val="21"/>
                <w:szCs w:val="21"/>
              </w:rPr>
            </w:pPr>
            <w:r>
              <w:rPr>
                <w:rFonts w:hint="eastAsia"/>
                <w:sz w:val="21"/>
                <w:szCs w:val="21"/>
              </w:rPr>
              <w:t>1.35</w:t>
            </w:r>
          </w:p>
        </w:tc>
        <w:tc>
          <w:tcPr>
            <w:tcW w:w="1425" w:type="dxa"/>
            <w:vAlign w:val="center"/>
          </w:tcPr>
          <w:p>
            <w:pPr>
              <w:widowControl/>
              <w:spacing w:line="240" w:lineRule="auto"/>
              <w:ind w:firstLine="0" w:firstLineChars="0"/>
              <w:jc w:val="center"/>
              <w:rPr>
                <w:rFonts w:hint="eastAsia"/>
                <w:sz w:val="21"/>
                <w:szCs w:val="21"/>
              </w:rPr>
            </w:pPr>
            <w:r>
              <w:rPr>
                <w:rFonts w:hint="eastAsia"/>
                <w:sz w:val="21"/>
                <w:szCs w:val="21"/>
              </w:rPr>
              <w:t>0.04223</w:t>
            </w:r>
          </w:p>
        </w:tc>
        <w:tc>
          <w:tcPr>
            <w:tcW w:w="1370" w:type="dxa"/>
            <w:vAlign w:val="center"/>
          </w:tcPr>
          <w:p>
            <w:pPr>
              <w:widowControl/>
              <w:spacing w:line="240" w:lineRule="auto"/>
              <w:ind w:firstLine="0" w:firstLineChars="0"/>
              <w:jc w:val="center"/>
              <w:rPr>
                <w:rFonts w:hint="eastAsia"/>
                <w:sz w:val="21"/>
                <w:szCs w:val="21"/>
              </w:rPr>
            </w:pPr>
            <w:r>
              <w:rPr>
                <w:rFonts w:hint="eastAsia"/>
                <w:sz w:val="21"/>
                <w:szCs w:val="21"/>
              </w:rPr>
              <w:t>2.11</w:t>
            </w:r>
          </w:p>
        </w:tc>
        <w:tc>
          <w:tcPr>
            <w:tcW w:w="1189" w:type="dxa"/>
            <w:vAlign w:val="center"/>
          </w:tcPr>
          <w:p>
            <w:pPr>
              <w:widowControl/>
              <w:spacing w:line="240" w:lineRule="auto"/>
              <w:ind w:firstLine="0" w:firstLineChars="0"/>
              <w:jc w:val="center"/>
              <w:rPr>
                <w:rFonts w:hint="eastAsia"/>
                <w:sz w:val="21"/>
                <w:szCs w:val="21"/>
              </w:rPr>
            </w:pPr>
            <w:r>
              <w:rPr>
                <w:rFonts w:hint="eastAsia"/>
                <w:sz w:val="21"/>
                <w:szCs w:val="21"/>
              </w:rPr>
              <w:t>1.744</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p>
        </w:tc>
        <w:tc>
          <w:tcPr>
            <w:tcW w:w="1091" w:type="dxa"/>
            <w:vAlign w:val="center"/>
          </w:tcPr>
          <w:p>
            <w:pPr>
              <w:widowControl/>
              <w:spacing w:line="240" w:lineRule="auto"/>
              <w:ind w:firstLine="0" w:firstLineChars="0"/>
              <w:jc w:val="center"/>
              <w:rPr>
                <w:rFonts w:hint="eastAsia"/>
                <w:sz w:val="21"/>
                <w:szCs w:val="21"/>
              </w:rPr>
            </w:pPr>
            <w:r>
              <w:rPr>
                <w:rFonts w:hint="eastAsia"/>
                <w:sz w:val="21"/>
                <w:szCs w:val="21"/>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7638" w:type="dxa"/>
            <w:gridSpan w:val="6"/>
            <w:vAlign w:val="center"/>
          </w:tcPr>
          <w:p>
            <w:pPr>
              <w:widowControl/>
              <w:spacing w:line="240" w:lineRule="auto"/>
              <w:ind w:firstLine="0" w:firstLineChars="0"/>
              <w:jc w:val="center"/>
              <w:rPr>
                <w:rFonts w:hint="default" w:eastAsia="宋体"/>
                <w:sz w:val="21"/>
                <w:szCs w:val="21"/>
                <w:lang w:val="en-US" w:eastAsia="zh-CN"/>
              </w:rPr>
            </w:pPr>
            <w:r>
              <w:rPr>
                <w:rFonts w:hint="eastAsia"/>
                <w:sz w:val="21"/>
                <w:szCs w:val="21"/>
                <w:lang w:val="en-US" w:eastAsia="zh-CN"/>
              </w:rPr>
              <w:t>923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650" w:type="dxa"/>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2563" w:type="dxa"/>
            <w:gridSpan w:val="2"/>
            <w:vAlign w:val="center"/>
          </w:tcPr>
          <w:p>
            <w:pPr>
              <w:widowControl/>
              <w:spacing w:line="240" w:lineRule="auto"/>
              <w:ind w:firstLine="0" w:firstLineChars="0"/>
              <w:jc w:val="center"/>
              <w:rPr>
                <w:color w:val="000000"/>
                <w:sz w:val="21"/>
                <w:szCs w:val="21"/>
              </w:rPr>
            </w:pPr>
            <w:r>
              <w:rPr>
                <w:rFonts w:hint="eastAsia"/>
                <w:color w:val="000000"/>
                <w:sz w:val="21"/>
                <w:szCs w:val="21"/>
                <w:lang w:bidi="ar"/>
              </w:rPr>
              <w:t>/</w:t>
            </w:r>
          </w:p>
        </w:tc>
        <w:tc>
          <w:tcPr>
            <w:tcW w:w="2795" w:type="dxa"/>
            <w:gridSpan w:val="2"/>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w:t>
            </w:r>
          </w:p>
        </w:tc>
        <w:tc>
          <w:tcPr>
            <w:tcW w:w="2280" w:type="dxa"/>
            <w:gridSpan w:val="2"/>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w:t>
            </w:r>
          </w:p>
        </w:tc>
      </w:tr>
    </w:tbl>
    <w:p>
      <w:pPr>
        <w:ind w:firstLine="0" w:firstLineChars="0"/>
        <w:jc w:val="center"/>
        <w:rPr>
          <w:b/>
          <w:bCs/>
        </w:rPr>
      </w:pPr>
      <w:r>
        <w:rPr>
          <w:b/>
          <w:bCs/>
        </w:rPr>
        <w:t>6.2-</w:t>
      </w:r>
      <w:r>
        <w:rPr>
          <w:rFonts w:hint="eastAsia"/>
          <w:b/>
          <w:bCs/>
        </w:rPr>
        <w:t>24  非正常工况下废气排气筒最大落地浓度预测结果</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15"/>
        <w:gridCol w:w="1704"/>
        <w:gridCol w:w="1632"/>
        <w:gridCol w:w="1638"/>
        <w:gridCol w:w="1686"/>
        <w:gridCol w:w="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 w:type="pct"/>
          <w:trHeight w:val="23" w:hRule="atLeast"/>
          <w:jc w:val="center"/>
        </w:trPr>
        <w:tc>
          <w:tcPr>
            <w:tcW w:w="1409" w:type="pct"/>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3587" w:type="pct"/>
            <w:gridSpan w:val="4"/>
            <w:vAlign w:val="center"/>
          </w:tcPr>
          <w:p>
            <w:pPr>
              <w:spacing w:line="240" w:lineRule="auto"/>
              <w:ind w:firstLine="0" w:firstLineChars="0"/>
              <w:jc w:val="center"/>
              <w:rPr>
                <w:sz w:val="21"/>
                <w:szCs w:val="21"/>
              </w:rPr>
            </w:pPr>
            <w:r>
              <w:rPr>
                <w:rFonts w:hint="eastAsia"/>
                <w:sz w:val="21"/>
                <w:szCs w:val="21"/>
              </w:rPr>
              <w:t>DA002排气筒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797" w:type="pct"/>
            <w:gridSpan w:val="2"/>
            <w:vAlign w:val="center"/>
          </w:tcPr>
          <w:p>
            <w:pPr>
              <w:widowControl/>
              <w:spacing w:line="240" w:lineRule="auto"/>
              <w:ind w:firstLine="0" w:firstLineChars="0"/>
              <w:jc w:val="center"/>
              <w:rPr>
                <w:sz w:val="21"/>
                <w:szCs w:val="21"/>
              </w:rPr>
            </w:pPr>
            <w:r>
              <w:rPr>
                <w:rFonts w:hint="eastAsia"/>
                <w:sz w:val="21"/>
                <w:szCs w:val="21"/>
              </w:rPr>
              <w:t>非甲烷总烃</w:t>
            </w:r>
          </w:p>
        </w:tc>
        <w:tc>
          <w:tcPr>
            <w:tcW w:w="1793" w:type="pct"/>
            <w:gridSpan w:val="3"/>
            <w:vAlign w:val="center"/>
          </w:tcPr>
          <w:p>
            <w:pPr>
              <w:widowControl/>
              <w:spacing w:line="240" w:lineRule="auto"/>
              <w:ind w:firstLine="0" w:firstLineChars="0"/>
              <w:jc w:val="center"/>
              <w:rPr>
                <w:sz w:val="21"/>
                <w:szCs w:val="21"/>
              </w:rPr>
            </w:pPr>
            <w:r>
              <w:rPr>
                <w:rFonts w:hint="eastAsia"/>
                <w:sz w:val="21"/>
                <w:szCs w:val="21"/>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918"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879" w:type="pct"/>
            <w:vAlign w:val="center"/>
          </w:tcPr>
          <w:p>
            <w:pPr>
              <w:widowControl/>
              <w:spacing w:line="240" w:lineRule="auto"/>
              <w:ind w:firstLine="0" w:firstLineChars="0"/>
              <w:jc w:val="center"/>
              <w:rPr>
                <w:sz w:val="21"/>
                <w:szCs w:val="21"/>
              </w:rPr>
            </w:pPr>
            <w:r>
              <w:rPr>
                <w:rFonts w:hint="eastAsia"/>
                <w:sz w:val="21"/>
                <w:szCs w:val="21"/>
              </w:rPr>
              <w:t>占标率（%）</w:t>
            </w:r>
          </w:p>
        </w:tc>
        <w:tc>
          <w:tcPr>
            <w:tcW w:w="882" w:type="pct"/>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910" w:type="pct"/>
            <w:gridSpan w:val="2"/>
            <w:vAlign w:val="center"/>
          </w:tcPr>
          <w:p>
            <w:pPr>
              <w:widowControl/>
              <w:spacing w:line="240" w:lineRule="auto"/>
              <w:ind w:firstLine="0" w:firstLineChars="0"/>
              <w:jc w:val="center"/>
              <w:rPr>
                <w:sz w:val="21"/>
                <w:szCs w:val="21"/>
              </w:rPr>
            </w:pPr>
            <w:r>
              <w:rPr>
                <w:rFonts w:hint="eastAsia"/>
                <w:sz w:val="21"/>
                <w:szCs w:val="21"/>
              </w:rPr>
              <w:t>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0.007788</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0.39</w:t>
            </w:r>
          </w:p>
        </w:tc>
        <w:tc>
          <w:tcPr>
            <w:tcW w:w="882" w:type="pct"/>
            <w:vAlign w:val="center"/>
          </w:tcPr>
          <w:p>
            <w:pPr>
              <w:widowControl/>
              <w:spacing w:line="240" w:lineRule="auto"/>
              <w:ind w:firstLine="0" w:firstLineChars="0"/>
              <w:jc w:val="center"/>
              <w:rPr>
                <w:rFonts w:hint="default"/>
                <w:sz w:val="21"/>
                <w:szCs w:val="21"/>
                <w:lang w:val="en-US"/>
              </w:rPr>
            </w:pPr>
            <w:r>
              <w:rPr>
                <w:rFonts w:hint="eastAsia"/>
                <w:sz w:val="21"/>
                <w:szCs w:val="21"/>
              </w:rPr>
              <w:t>4.749</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0.02456</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1.23</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0.0001497</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rPr>
            </w:pPr>
            <w:r>
              <w:rPr>
                <w:rFonts w:hint="eastAsia"/>
                <w:sz w:val="21"/>
                <w:szCs w:val="21"/>
              </w:rPr>
              <w:t>300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0.02601</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1.30</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0.0001586</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0.02514</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1.26</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0.0001533</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0.02327</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1.16</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0.0001419</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0.02184</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1.09</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0.0001331</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0.02573</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1.29</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0.0001569</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0.03155</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1.58</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0.0001924</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0.03601</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1.80</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0.0002195</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0.03912</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1.96</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0.0002385</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0.04023</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2.01</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0.0002453</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0.04069</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2.03</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0.0002481</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shd w:val="clear" w:color="auto" w:fill="ED7D31" w:themeFill="accent2"/>
            <w:vAlign w:val="center"/>
          </w:tcPr>
          <w:p>
            <w:pPr>
              <w:widowControl/>
              <w:spacing w:line="240" w:lineRule="auto"/>
              <w:ind w:firstLine="0" w:firstLineChars="0"/>
              <w:jc w:val="center"/>
              <w:rPr>
                <w:sz w:val="21"/>
                <w:szCs w:val="21"/>
              </w:rPr>
            </w:pPr>
            <w:r>
              <w:rPr>
                <w:rFonts w:hint="eastAsia"/>
                <w:sz w:val="21"/>
                <w:szCs w:val="21"/>
              </w:rPr>
              <w:t>1241</w:t>
            </w:r>
          </w:p>
        </w:tc>
        <w:tc>
          <w:tcPr>
            <w:tcW w:w="918"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0.04072</w:t>
            </w:r>
          </w:p>
        </w:tc>
        <w:tc>
          <w:tcPr>
            <w:tcW w:w="879"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2.04</w:t>
            </w:r>
          </w:p>
        </w:tc>
        <w:tc>
          <w:tcPr>
            <w:tcW w:w="882" w:type="pct"/>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0.0002483</w:t>
            </w:r>
          </w:p>
        </w:tc>
        <w:tc>
          <w:tcPr>
            <w:tcW w:w="910" w:type="pct"/>
            <w:gridSpan w:val="2"/>
            <w:shd w:val="clear" w:color="auto" w:fill="ED7D31" w:themeFill="accent2"/>
            <w:vAlign w:val="center"/>
          </w:tcPr>
          <w:p>
            <w:pPr>
              <w:widowControl/>
              <w:spacing w:line="240" w:lineRule="auto"/>
              <w:ind w:firstLine="0" w:firstLineChars="0"/>
              <w:jc w:val="center"/>
              <w:rPr>
                <w:rFonts w:hint="eastAsia"/>
                <w:sz w:val="21"/>
                <w:szCs w:val="21"/>
              </w:rPr>
            </w:pPr>
            <w:r>
              <w:rPr>
                <w:rFonts w:hint="eastAsia"/>
                <w:sz w:val="21"/>
                <w:szCs w:val="21"/>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0.04065</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2.03</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0.0002479</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0.04026</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2.01</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0.0002455</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0.03962</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1.98</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0.0002416</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0.03879</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1.94</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0.0002365</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0.03784</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1.89</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0.0002307</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0.03682</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1.84</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0.0002245</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0.03576</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1.79</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0.000218</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0.03565</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1.78</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0.0002174</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0.03566</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1.78</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0.0002174</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0.03557</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1.78</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0.0002168</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0.03539</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1.77</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0.0002158</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0.03514</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1.76</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0.0002142</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918" w:type="pct"/>
            <w:vAlign w:val="center"/>
          </w:tcPr>
          <w:p>
            <w:pPr>
              <w:widowControl/>
              <w:spacing w:line="240" w:lineRule="auto"/>
              <w:ind w:firstLine="0" w:firstLineChars="0"/>
              <w:jc w:val="center"/>
              <w:rPr>
                <w:rFonts w:hint="eastAsia"/>
                <w:sz w:val="21"/>
                <w:szCs w:val="21"/>
              </w:rPr>
            </w:pPr>
            <w:r>
              <w:rPr>
                <w:rFonts w:hint="eastAsia"/>
                <w:sz w:val="21"/>
                <w:szCs w:val="21"/>
              </w:rPr>
              <w:t>0.03483</w:t>
            </w:r>
          </w:p>
        </w:tc>
        <w:tc>
          <w:tcPr>
            <w:tcW w:w="879" w:type="pct"/>
            <w:vAlign w:val="center"/>
          </w:tcPr>
          <w:p>
            <w:pPr>
              <w:widowControl/>
              <w:spacing w:line="240" w:lineRule="auto"/>
              <w:ind w:firstLine="0" w:firstLineChars="0"/>
              <w:jc w:val="center"/>
              <w:rPr>
                <w:rFonts w:hint="eastAsia"/>
                <w:sz w:val="21"/>
                <w:szCs w:val="21"/>
              </w:rPr>
            </w:pPr>
            <w:r>
              <w:rPr>
                <w:rFonts w:hint="eastAsia"/>
                <w:sz w:val="21"/>
                <w:szCs w:val="21"/>
              </w:rPr>
              <w:t>1.74</w:t>
            </w:r>
          </w:p>
        </w:tc>
        <w:tc>
          <w:tcPr>
            <w:tcW w:w="882" w:type="pct"/>
            <w:vAlign w:val="center"/>
          </w:tcPr>
          <w:p>
            <w:pPr>
              <w:widowControl/>
              <w:spacing w:line="240" w:lineRule="auto"/>
              <w:ind w:firstLine="0" w:firstLineChars="0"/>
              <w:jc w:val="center"/>
              <w:rPr>
                <w:rFonts w:hint="eastAsia"/>
                <w:sz w:val="21"/>
                <w:szCs w:val="21"/>
              </w:rPr>
            </w:pPr>
            <w:r>
              <w:rPr>
                <w:rFonts w:hint="eastAsia"/>
                <w:sz w:val="21"/>
                <w:szCs w:val="21"/>
              </w:rPr>
              <w:t>0.0002124</w:t>
            </w:r>
          </w:p>
        </w:tc>
        <w:tc>
          <w:tcPr>
            <w:tcW w:w="910" w:type="pct"/>
            <w:gridSpan w:val="2"/>
            <w:vAlign w:val="center"/>
          </w:tcPr>
          <w:p>
            <w:pPr>
              <w:widowControl/>
              <w:spacing w:line="240" w:lineRule="auto"/>
              <w:ind w:firstLine="0" w:firstLineChars="0"/>
              <w:jc w:val="center"/>
              <w:rPr>
                <w:rFonts w:hint="eastAsia"/>
                <w:sz w:val="21"/>
                <w:szCs w:val="21"/>
              </w:rPr>
            </w:pPr>
            <w:r>
              <w:rPr>
                <w:rFonts w:hint="eastAsia"/>
                <w:sz w:val="21"/>
                <w:szCs w:val="21"/>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704" w:type="dxa"/>
            <w:vAlign w:val="center"/>
          </w:tcPr>
          <w:p>
            <w:pPr>
              <w:widowControl/>
              <w:spacing w:line="240" w:lineRule="auto"/>
              <w:ind w:firstLine="0" w:firstLineChars="0"/>
              <w:jc w:val="center"/>
              <w:rPr>
                <w:rFonts w:hint="eastAsia"/>
                <w:sz w:val="21"/>
                <w:szCs w:val="21"/>
              </w:rPr>
            </w:pPr>
            <w:r>
              <w:rPr>
                <w:rFonts w:hint="eastAsia"/>
                <w:sz w:val="21"/>
                <w:szCs w:val="21"/>
              </w:rPr>
              <w:t>0.04072</w:t>
            </w:r>
          </w:p>
        </w:tc>
        <w:tc>
          <w:tcPr>
            <w:tcW w:w="1632" w:type="dxa"/>
            <w:vAlign w:val="center"/>
          </w:tcPr>
          <w:p>
            <w:pPr>
              <w:widowControl/>
              <w:spacing w:line="240" w:lineRule="auto"/>
              <w:ind w:firstLine="0" w:firstLineChars="0"/>
              <w:jc w:val="center"/>
              <w:rPr>
                <w:rFonts w:hint="eastAsia"/>
                <w:sz w:val="21"/>
                <w:szCs w:val="21"/>
              </w:rPr>
            </w:pPr>
            <w:r>
              <w:rPr>
                <w:rFonts w:hint="eastAsia"/>
                <w:sz w:val="21"/>
                <w:szCs w:val="21"/>
              </w:rPr>
              <w:t>2.04</w:t>
            </w:r>
          </w:p>
        </w:tc>
        <w:tc>
          <w:tcPr>
            <w:tcW w:w="1638" w:type="dxa"/>
            <w:vAlign w:val="center"/>
          </w:tcPr>
          <w:p>
            <w:pPr>
              <w:widowControl/>
              <w:spacing w:line="240" w:lineRule="auto"/>
              <w:ind w:firstLine="0" w:firstLineChars="0"/>
              <w:jc w:val="center"/>
              <w:rPr>
                <w:rFonts w:hint="eastAsia"/>
                <w:sz w:val="21"/>
                <w:szCs w:val="21"/>
              </w:rPr>
            </w:pPr>
            <w:r>
              <w:rPr>
                <w:rFonts w:hint="eastAsia"/>
                <w:sz w:val="21"/>
                <w:szCs w:val="21"/>
              </w:rPr>
              <w:t>0.0002483</w:t>
            </w:r>
          </w:p>
        </w:tc>
        <w:tc>
          <w:tcPr>
            <w:tcW w:w="1692" w:type="dxa"/>
            <w:gridSpan w:val="2"/>
            <w:vAlign w:val="center"/>
          </w:tcPr>
          <w:p>
            <w:pPr>
              <w:widowControl/>
              <w:spacing w:line="240" w:lineRule="auto"/>
              <w:ind w:firstLine="0" w:firstLineChars="0"/>
              <w:jc w:val="center"/>
              <w:rPr>
                <w:rFonts w:hint="eastAsia"/>
                <w:sz w:val="21"/>
                <w:szCs w:val="21"/>
              </w:rPr>
            </w:pPr>
            <w:r>
              <w:rPr>
                <w:rFonts w:hint="eastAsia"/>
                <w:sz w:val="21"/>
                <w:szCs w:val="21"/>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1797" w:type="pct"/>
            <w:gridSpan w:val="2"/>
            <w:vAlign w:val="center"/>
          </w:tcPr>
          <w:p>
            <w:pPr>
              <w:widowControl/>
              <w:spacing w:line="240" w:lineRule="auto"/>
              <w:ind w:firstLine="0" w:firstLineChars="0"/>
              <w:jc w:val="center"/>
              <w:rPr>
                <w:sz w:val="21"/>
                <w:szCs w:val="21"/>
              </w:rPr>
            </w:pPr>
            <w:r>
              <w:rPr>
                <w:rFonts w:hint="eastAsia"/>
                <w:sz w:val="21"/>
                <w:szCs w:val="21"/>
              </w:rPr>
              <w:t>1241</w:t>
            </w:r>
          </w:p>
        </w:tc>
        <w:tc>
          <w:tcPr>
            <w:tcW w:w="1793" w:type="pct"/>
            <w:gridSpan w:val="3"/>
            <w:vAlign w:val="center"/>
          </w:tcPr>
          <w:p>
            <w:pPr>
              <w:widowControl/>
              <w:spacing w:line="240" w:lineRule="auto"/>
              <w:ind w:firstLine="0" w:firstLineChars="0"/>
              <w:jc w:val="center"/>
              <w:rPr>
                <w:sz w:val="21"/>
                <w:szCs w:val="21"/>
              </w:rPr>
            </w:pPr>
            <w:r>
              <w:rPr>
                <w:rFonts w:hint="eastAsia"/>
                <w:sz w:val="21"/>
                <w:szCs w:val="21"/>
              </w:rPr>
              <w:t>1241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409" w:type="pct"/>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1797" w:type="pct"/>
            <w:gridSpan w:val="2"/>
            <w:vAlign w:val="center"/>
          </w:tcPr>
          <w:p>
            <w:pPr>
              <w:widowControl/>
              <w:spacing w:line="240" w:lineRule="auto"/>
              <w:ind w:firstLine="0" w:firstLineChars="0"/>
              <w:jc w:val="center"/>
              <w:rPr>
                <w:sz w:val="21"/>
                <w:szCs w:val="21"/>
              </w:rPr>
            </w:pPr>
            <w:r>
              <w:rPr>
                <w:rFonts w:hint="eastAsia"/>
                <w:sz w:val="21"/>
                <w:szCs w:val="21"/>
              </w:rPr>
              <w:t>/</w:t>
            </w:r>
          </w:p>
        </w:tc>
        <w:tc>
          <w:tcPr>
            <w:tcW w:w="1793" w:type="pct"/>
            <w:gridSpan w:val="3"/>
            <w:vAlign w:val="center"/>
          </w:tcPr>
          <w:p>
            <w:pPr>
              <w:widowControl/>
              <w:spacing w:line="240" w:lineRule="auto"/>
              <w:ind w:firstLine="0" w:firstLineChars="0"/>
              <w:jc w:val="center"/>
              <w:rPr>
                <w:sz w:val="21"/>
                <w:szCs w:val="21"/>
              </w:rPr>
            </w:pPr>
            <w:r>
              <w:rPr>
                <w:rFonts w:hint="eastAsia"/>
                <w:sz w:val="21"/>
                <w:szCs w:val="21"/>
              </w:rPr>
              <w:t>/</w:t>
            </w:r>
          </w:p>
        </w:tc>
      </w:tr>
    </w:tbl>
    <w:p>
      <w:pPr>
        <w:ind w:firstLine="0" w:firstLineChars="0"/>
        <w:jc w:val="center"/>
        <w:rPr>
          <w:b/>
          <w:bCs/>
        </w:rPr>
      </w:pPr>
      <w:r>
        <w:rPr>
          <w:b/>
          <w:bCs/>
        </w:rPr>
        <w:t>6.2-</w:t>
      </w:r>
      <w:r>
        <w:rPr>
          <w:rFonts w:hint="eastAsia"/>
          <w:b/>
          <w:bCs/>
        </w:rPr>
        <w:t>25  非正常工况下废气排气筒最大落地浓度预测结果</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35"/>
        <w:gridCol w:w="1646"/>
        <w:gridCol w:w="2192"/>
        <w:gridCol w:w="1897"/>
        <w:gridCol w:w="1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Merge w:val="restart"/>
            <w:vAlign w:val="center"/>
          </w:tcPr>
          <w:p>
            <w:pPr>
              <w:spacing w:line="240" w:lineRule="auto"/>
              <w:ind w:firstLine="0" w:firstLineChars="0"/>
              <w:jc w:val="center"/>
              <w:rPr>
                <w:sz w:val="21"/>
                <w:szCs w:val="21"/>
              </w:rPr>
            </w:pPr>
            <w:r>
              <w:rPr>
                <w:rFonts w:hint="eastAsia"/>
                <w:sz w:val="21"/>
                <w:szCs w:val="21"/>
              </w:rPr>
              <w:t>下风向距离（m）</w:t>
            </w:r>
          </w:p>
        </w:tc>
        <w:tc>
          <w:tcPr>
            <w:tcW w:w="7552" w:type="dxa"/>
            <w:gridSpan w:val="4"/>
            <w:vAlign w:val="center"/>
          </w:tcPr>
          <w:p>
            <w:pPr>
              <w:spacing w:line="240" w:lineRule="auto"/>
              <w:ind w:firstLine="0" w:firstLineChars="0"/>
              <w:jc w:val="center"/>
              <w:rPr>
                <w:sz w:val="21"/>
                <w:szCs w:val="21"/>
              </w:rPr>
            </w:pPr>
            <w:r>
              <w:rPr>
                <w:rFonts w:hint="eastAsia"/>
                <w:sz w:val="21"/>
                <w:szCs w:val="21"/>
              </w:rPr>
              <w:t>DA00</w:t>
            </w:r>
            <w:r>
              <w:rPr>
                <w:rFonts w:hint="eastAsia"/>
                <w:sz w:val="21"/>
                <w:szCs w:val="21"/>
                <w:lang w:val="en-US" w:eastAsia="zh-CN"/>
              </w:rPr>
              <w:t>3</w:t>
            </w:r>
            <w:r>
              <w:rPr>
                <w:rFonts w:hint="eastAsia"/>
                <w:sz w:val="21"/>
                <w:szCs w:val="21"/>
              </w:rPr>
              <w:t>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3838" w:type="dxa"/>
            <w:gridSpan w:val="2"/>
            <w:vAlign w:val="center"/>
          </w:tcPr>
          <w:p>
            <w:pPr>
              <w:widowControl/>
              <w:spacing w:line="240" w:lineRule="auto"/>
              <w:ind w:firstLine="0" w:firstLineChars="0"/>
              <w:jc w:val="center"/>
              <w:rPr>
                <w:sz w:val="21"/>
                <w:szCs w:val="21"/>
              </w:rPr>
            </w:pPr>
            <w:r>
              <w:rPr>
                <w:rFonts w:hint="eastAsia"/>
                <w:sz w:val="21"/>
                <w:szCs w:val="21"/>
              </w:rPr>
              <w:t>硫化氢</w:t>
            </w:r>
          </w:p>
        </w:tc>
        <w:tc>
          <w:tcPr>
            <w:tcW w:w="3714" w:type="dxa"/>
            <w:gridSpan w:val="2"/>
            <w:vAlign w:val="center"/>
          </w:tcPr>
          <w:p>
            <w:pPr>
              <w:widowControl/>
              <w:spacing w:line="240" w:lineRule="auto"/>
              <w:ind w:firstLine="0" w:firstLineChars="0"/>
              <w:jc w:val="center"/>
              <w:rPr>
                <w:sz w:val="21"/>
                <w:szCs w:val="21"/>
              </w:rPr>
            </w:pPr>
            <w:r>
              <w:rPr>
                <w:rFonts w:hint="eastAsia"/>
                <w:sz w:val="21"/>
                <w:szCs w:val="21"/>
              </w:rPr>
              <w:t>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Merge w:val="continue"/>
            <w:vAlign w:val="center"/>
          </w:tcPr>
          <w:p>
            <w:pPr>
              <w:pStyle w:val="25"/>
              <w:widowControl/>
              <w:spacing w:beforeAutospacing="0" w:afterAutospacing="0" w:line="240" w:lineRule="auto"/>
              <w:ind w:firstLine="0" w:firstLineChars="0"/>
              <w:jc w:val="center"/>
              <w:rPr>
                <w:sz w:val="21"/>
                <w:szCs w:val="21"/>
                <w:lang w:bidi="zh-CN"/>
              </w:rPr>
            </w:pPr>
          </w:p>
        </w:tc>
        <w:tc>
          <w:tcPr>
            <w:tcW w:w="1646" w:type="dxa"/>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2192" w:type="dxa"/>
            <w:vAlign w:val="center"/>
          </w:tcPr>
          <w:p>
            <w:pPr>
              <w:widowControl/>
              <w:spacing w:line="240" w:lineRule="auto"/>
              <w:ind w:firstLine="0" w:firstLineChars="0"/>
              <w:jc w:val="center"/>
              <w:rPr>
                <w:sz w:val="21"/>
                <w:szCs w:val="21"/>
              </w:rPr>
            </w:pPr>
            <w:r>
              <w:rPr>
                <w:rFonts w:hint="eastAsia"/>
                <w:sz w:val="21"/>
                <w:szCs w:val="21"/>
              </w:rPr>
              <w:t>占标率（%）</w:t>
            </w:r>
          </w:p>
        </w:tc>
        <w:tc>
          <w:tcPr>
            <w:tcW w:w="1897" w:type="dxa"/>
            <w:vAlign w:val="center"/>
          </w:tcPr>
          <w:p>
            <w:pPr>
              <w:widowControl/>
              <w:spacing w:line="240" w:lineRule="auto"/>
              <w:ind w:firstLine="0" w:firstLineChars="0"/>
              <w:jc w:val="center"/>
              <w:rPr>
                <w:sz w:val="21"/>
                <w:szCs w:val="21"/>
              </w:rPr>
            </w:pPr>
            <w:r>
              <w:rPr>
                <w:rFonts w:hint="eastAsia"/>
                <w:sz w:val="21"/>
                <w:szCs w:val="21"/>
              </w:rPr>
              <w:t>浓度（m</w:t>
            </w:r>
            <w:r>
              <w:rPr>
                <w:sz w:val="21"/>
                <w:szCs w:val="21"/>
              </w:rPr>
              <w:t>g/m³</w:t>
            </w:r>
            <w:r>
              <w:rPr>
                <w:rFonts w:hint="eastAsia"/>
                <w:sz w:val="21"/>
                <w:szCs w:val="21"/>
              </w:rPr>
              <w:t>）</w:t>
            </w:r>
          </w:p>
        </w:tc>
        <w:tc>
          <w:tcPr>
            <w:tcW w:w="1817" w:type="dxa"/>
            <w:vAlign w:val="center"/>
          </w:tcPr>
          <w:p>
            <w:pPr>
              <w:widowControl/>
              <w:spacing w:line="240" w:lineRule="auto"/>
              <w:ind w:firstLine="0" w:firstLineChars="0"/>
              <w:jc w:val="center"/>
              <w:rPr>
                <w:sz w:val="21"/>
                <w:szCs w:val="21"/>
              </w:rPr>
            </w:pPr>
            <w:r>
              <w:rPr>
                <w:rFonts w:hint="eastAsia"/>
                <w:sz w:val="21"/>
                <w:szCs w:val="21"/>
              </w:rPr>
              <w:t>占标率（%）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100</w:t>
            </w:r>
          </w:p>
        </w:tc>
        <w:tc>
          <w:tcPr>
            <w:tcW w:w="1646" w:type="dxa"/>
            <w:vAlign w:val="center"/>
          </w:tcPr>
          <w:p>
            <w:pPr>
              <w:widowControl/>
              <w:spacing w:line="240" w:lineRule="auto"/>
              <w:ind w:firstLine="0" w:firstLineChars="0"/>
              <w:jc w:val="center"/>
              <w:rPr>
                <w:sz w:val="21"/>
                <w:szCs w:val="21"/>
              </w:rPr>
            </w:pPr>
            <w:r>
              <w:rPr>
                <w:rFonts w:hint="eastAsia"/>
                <w:sz w:val="21"/>
                <w:szCs w:val="21"/>
              </w:rPr>
              <w:t>0.000276</w:t>
            </w:r>
          </w:p>
        </w:tc>
        <w:tc>
          <w:tcPr>
            <w:tcW w:w="2192" w:type="dxa"/>
            <w:vAlign w:val="center"/>
          </w:tcPr>
          <w:p>
            <w:pPr>
              <w:widowControl/>
              <w:spacing w:line="240" w:lineRule="auto"/>
              <w:ind w:firstLine="0" w:firstLineChars="0"/>
              <w:jc w:val="center"/>
              <w:rPr>
                <w:sz w:val="21"/>
                <w:szCs w:val="21"/>
              </w:rPr>
            </w:pPr>
            <w:r>
              <w:rPr>
                <w:rFonts w:hint="eastAsia"/>
                <w:sz w:val="21"/>
                <w:szCs w:val="21"/>
              </w:rPr>
              <w:t>0.01</w:t>
            </w:r>
          </w:p>
        </w:tc>
        <w:tc>
          <w:tcPr>
            <w:tcW w:w="1897" w:type="dxa"/>
            <w:vAlign w:val="center"/>
          </w:tcPr>
          <w:p>
            <w:pPr>
              <w:widowControl/>
              <w:spacing w:line="240" w:lineRule="auto"/>
              <w:ind w:firstLine="0" w:firstLineChars="0"/>
              <w:jc w:val="center"/>
              <w:rPr>
                <w:rFonts w:hint="default"/>
                <w:sz w:val="21"/>
                <w:szCs w:val="21"/>
                <w:lang w:val="en-US"/>
              </w:rPr>
            </w:pPr>
            <w:r>
              <w:rPr>
                <w:rFonts w:hint="eastAsia"/>
                <w:sz w:val="21"/>
                <w:szCs w:val="21"/>
              </w:rPr>
              <w:t>7.155</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-5</w:t>
            </w:r>
          </w:p>
        </w:tc>
        <w:tc>
          <w:tcPr>
            <w:tcW w:w="1817" w:type="dxa"/>
            <w:vAlign w:val="center"/>
          </w:tcPr>
          <w:p>
            <w:pPr>
              <w:widowControl/>
              <w:spacing w:line="240" w:lineRule="auto"/>
              <w:ind w:firstLine="0" w:firstLineChars="0"/>
              <w:jc w:val="center"/>
              <w:rPr>
                <w:sz w:val="21"/>
                <w:szCs w:val="21"/>
              </w:rPr>
            </w:pPr>
            <w:r>
              <w:rPr>
                <w:rFonts w:hint="eastAsia"/>
                <w:sz w:val="21"/>
                <w:szCs w:val="21"/>
              </w:rPr>
              <w:t>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pStyle w:val="25"/>
              <w:widowControl/>
              <w:spacing w:beforeAutospacing="0" w:afterAutospacing="0" w:line="240" w:lineRule="auto"/>
              <w:ind w:firstLine="0" w:firstLineChars="0"/>
              <w:jc w:val="center"/>
              <w:rPr>
                <w:color w:val="000000"/>
                <w:sz w:val="21"/>
                <w:szCs w:val="21"/>
              </w:rPr>
            </w:pPr>
            <w:r>
              <w:rPr>
                <w:rFonts w:hint="eastAsia"/>
                <w:color w:val="000000"/>
                <w:sz w:val="21"/>
                <w:szCs w:val="21"/>
              </w:rPr>
              <w:t>200</w:t>
            </w:r>
          </w:p>
        </w:tc>
        <w:tc>
          <w:tcPr>
            <w:tcW w:w="1646" w:type="dxa"/>
            <w:vAlign w:val="center"/>
          </w:tcPr>
          <w:p>
            <w:pPr>
              <w:widowControl/>
              <w:spacing w:line="240" w:lineRule="auto"/>
              <w:ind w:firstLine="0" w:firstLineChars="0"/>
              <w:jc w:val="center"/>
              <w:rPr>
                <w:sz w:val="21"/>
                <w:szCs w:val="21"/>
              </w:rPr>
            </w:pPr>
            <w:r>
              <w:rPr>
                <w:rFonts w:hint="eastAsia"/>
                <w:sz w:val="21"/>
                <w:szCs w:val="21"/>
              </w:rPr>
              <w:t>0.001661</w:t>
            </w:r>
          </w:p>
        </w:tc>
        <w:tc>
          <w:tcPr>
            <w:tcW w:w="2192" w:type="dxa"/>
            <w:vAlign w:val="center"/>
          </w:tcPr>
          <w:p>
            <w:pPr>
              <w:widowControl/>
              <w:spacing w:line="240" w:lineRule="auto"/>
              <w:ind w:firstLine="0" w:firstLineChars="0"/>
              <w:jc w:val="center"/>
              <w:rPr>
                <w:sz w:val="21"/>
                <w:szCs w:val="21"/>
              </w:rPr>
            </w:pPr>
            <w:r>
              <w:rPr>
                <w:rFonts w:hint="eastAsia"/>
                <w:sz w:val="21"/>
                <w:szCs w:val="21"/>
              </w:rPr>
              <w:t>0.08</w:t>
            </w:r>
          </w:p>
        </w:tc>
        <w:tc>
          <w:tcPr>
            <w:tcW w:w="1897" w:type="dxa"/>
            <w:vAlign w:val="center"/>
          </w:tcPr>
          <w:p>
            <w:pPr>
              <w:widowControl/>
              <w:spacing w:line="240" w:lineRule="auto"/>
              <w:ind w:firstLine="0" w:firstLineChars="0"/>
              <w:jc w:val="center"/>
              <w:rPr>
                <w:sz w:val="21"/>
                <w:szCs w:val="21"/>
              </w:rPr>
            </w:pPr>
            <w:r>
              <w:rPr>
                <w:rFonts w:hint="eastAsia"/>
                <w:sz w:val="21"/>
                <w:szCs w:val="21"/>
              </w:rPr>
              <w:t>0.0004307</w:t>
            </w:r>
          </w:p>
        </w:tc>
        <w:tc>
          <w:tcPr>
            <w:tcW w:w="1817" w:type="dxa"/>
            <w:vAlign w:val="center"/>
          </w:tcPr>
          <w:p>
            <w:pPr>
              <w:widowControl/>
              <w:spacing w:line="240" w:lineRule="auto"/>
              <w:ind w:firstLine="0" w:firstLineChars="0"/>
              <w:jc w:val="center"/>
              <w:rPr>
                <w:sz w:val="21"/>
                <w:szCs w:val="21"/>
              </w:rPr>
            </w:pPr>
            <w:r>
              <w:rPr>
                <w:rFonts w:hint="eastAsia"/>
                <w:sz w:val="21"/>
                <w:szCs w:val="21"/>
              </w:rPr>
              <w:t>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rPr>
            </w:pPr>
            <w:r>
              <w:rPr>
                <w:rFonts w:hint="eastAsia"/>
                <w:sz w:val="21"/>
                <w:szCs w:val="21"/>
              </w:rPr>
              <w:t>300</w:t>
            </w:r>
          </w:p>
        </w:tc>
        <w:tc>
          <w:tcPr>
            <w:tcW w:w="1646" w:type="dxa"/>
            <w:vAlign w:val="center"/>
          </w:tcPr>
          <w:p>
            <w:pPr>
              <w:widowControl/>
              <w:spacing w:line="240" w:lineRule="auto"/>
              <w:ind w:firstLine="0" w:firstLineChars="0"/>
              <w:jc w:val="center"/>
              <w:rPr>
                <w:sz w:val="21"/>
                <w:szCs w:val="21"/>
              </w:rPr>
            </w:pPr>
            <w:r>
              <w:rPr>
                <w:rFonts w:hint="eastAsia"/>
                <w:sz w:val="21"/>
                <w:szCs w:val="21"/>
              </w:rPr>
              <w:t>0.001846</w:t>
            </w:r>
          </w:p>
        </w:tc>
        <w:tc>
          <w:tcPr>
            <w:tcW w:w="2192" w:type="dxa"/>
            <w:vAlign w:val="center"/>
          </w:tcPr>
          <w:p>
            <w:pPr>
              <w:widowControl/>
              <w:spacing w:line="240" w:lineRule="auto"/>
              <w:ind w:firstLine="0" w:firstLineChars="0"/>
              <w:jc w:val="center"/>
              <w:rPr>
                <w:sz w:val="21"/>
                <w:szCs w:val="21"/>
              </w:rPr>
            </w:pPr>
            <w:r>
              <w:rPr>
                <w:rFonts w:hint="eastAsia"/>
                <w:sz w:val="21"/>
                <w:szCs w:val="21"/>
              </w:rPr>
              <w:t>0.09</w:t>
            </w:r>
          </w:p>
        </w:tc>
        <w:tc>
          <w:tcPr>
            <w:tcW w:w="1897" w:type="dxa"/>
            <w:vAlign w:val="center"/>
          </w:tcPr>
          <w:p>
            <w:pPr>
              <w:widowControl/>
              <w:spacing w:line="240" w:lineRule="auto"/>
              <w:ind w:firstLine="0" w:firstLineChars="0"/>
              <w:jc w:val="center"/>
              <w:rPr>
                <w:sz w:val="21"/>
                <w:szCs w:val="21"/>
              </w:rPr>
            </w:pPr>
            <w:r>
              <w:rPr>
                <w:rFonts w:hint="eastAsia"/>
                <w:sz w:val="21"/>
                <w:szCs w:val="21"/>
              </w:rPr>
              <w:t>0.0004787</w:t>
            </w:r>
          </w:p>
        </w:tc>
        <w:tc>
          <w:tcPr>
            <w:tcW w:w="1817" w:type="dxa"/>
            <w:vAlign w:val="center"/>
          </w:tcPr>
          <w:p>
            <w:pPr>
              <w:widowControl/>
              <w:spacing w:line="240" w:lineRule="auto"/>
              <w:ind w:firstLine="0" w:firstLineChars="0"/>
              <w:jc w:val="center"/>
              <w:rPr>
                <w:sz w:val="21"/>
                <w:szCs w:val="21"/>
              </w:rPr>
            </w:pPr>
            <w:r>
              <w:rPr>
                <w:rFonts w:hint="eastAsia"/>
                <w:sz w:val="21"/>
                <w:szCs w:val="21"/>
              </w:rPr>
              <w:t>0.48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400</w:t>
            </w:r>
          </w:p>
        </w:tc>
        <w:tc>
          <w:tcPr>
            <w:tcW w:w="1646" w:type="dxa"/>
            <w:vAlign w:val="center"/>
          </w:tcPr>
          <w:p>
            <w:pPr>
              <w:widowControl/>
              <w:spacing w:line="240" w:lineRule="auto"/>
              <w:ind w:firstLine="0" w:firstLineChars="0"/>
              <w:jc w:val="center"/>
              <w:rPr>
                <w:sz w:val="21"/>
                <w:szCs w:val="21"/>
              </w:rPr>
            </w:pPr>
            <w:r>
              <w:rPr>
                <w:rFonts w:hint="eastAsia"/>
                <w:sz w:val="21"/>
                <w:szCs w:val="21"/>
              </w:rPr>
              <w:t>0.001756</w:t>
            </w:r>
          </w:p>
        </w:tc>
        <w:tc>
          <w:tcPr>
            <w:tcW w:w="2192" w:type="dxa"/>
            <w:vAlign w:val="center"/>
          </w:tcPr>
          <w:p>
            <w:pPr>
              <w:widowControl/>
              <w:spacing w:line="240" w:lineRule="auto"/>
              <w:ind w:firstLine="0" w:firstLineChars="0"/>
              <w:jc w:val="center"/>
              <w:rPr>
                <w:sz w:val="21"/>
                <w:szCs w:val="21"/>
              </w:rPr>
            </w:pPr>
            <w:r>
              <w:rPr>
                <w:rFonts w:hint="eastAsia"/>
                <w:sz w:val="21"/>
                <w:szCs w:val="21"/>
              </w:rPr>
              <w:t>0.09</w:t>
            </w:r>
          </w:p>
        </w:tc>
        <w:tc>
          <w:tcPr>
            <w:tcW w:w="1897" w:type="dxa"/>
            <w:vAlign w:val="center"/>
          </w:tcPr>
          <w:p>
            <w:pPr>
              <w:widowControl/>
              <w:spacing w:line="240" w:lineRule="auto"/>
              <w:ind w:firstLine="0" w:firstLineChars="0"/>
              <w:jc w:val="center"/>
              <w:rPr>
                <w:sz w:val="21"/>
                <w:szCs w:val="21"/>
              </w:rPr>
            </w:pPr>
            <w:r>
              <w:rPr>
                <w:rFonts w:hint="eastAsia"/>
                <w:sz w:val="21"/>
                <w:szCs w:val="21"/>
              </w:rPr>
              <w:t>0.0004553</w:t>
            </w:r>
          </w:p>
        </w:tc>
        <w:tc>
          <w:tcPr>
            <w:tcW w:w="1817" w:type="dxa"/>
            <w:vAlign w:val="center"/>
          </w:tcPr>
          <w:p>
            <w:pPr>
              <w:widowControl/>
              <w:spacing w:line="240" w:lineRule="auto"/>
              <w:ind w:firstLine="0" w:firstLineChars="0"/>
              <w:jc w:val="center"/>
              <w:rPr>
                <w:sz w:val="21"/>
                <w:szCs w:val="21"/>
              </w:rPr>
            </w:pPr>
            <w:r>
              <w:rPr>
                <w:rFonts w:hint="eastAsia"/>
                <w:sz w:val="21"/>
                <w:szCs w:val="21"/>
              </w:rPr>
              <w:t>0.46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500</w:t>
            </w:r>
          </w:p>
        </w:tc>
        <w:tc>
          <w:tcPr>
            <w:tcW w:w="1646" w:type="dxa"/>
            <w:vAlign w:val="center"/>
          </w:tcPr>
          <w:p>
            <w:pPr>
              <w:widowControl/>
              <w:spacing w:line="240" w:lineRule="auto"/>
              <w:ind w:firstLine="0" w:firstLineChars="0"/>
              <w:jc w:val="center"/>
              <w:rPr>
                <w:sz w:val="21"/>
                <w:szCs w:val="21"/>
              </w:rPr>
            </w:pPr>
            <w:r>
              <w:rPr>
                <w:rFonts w:hint="eastAsia"/>
                <w:sz w:val="21"/>
                <w:szCs w:val="21"/>
              </w:rPr>
              <w:t>0.001617</w:t>
            </w:r>
          </w:p>
        </w:tc>
        <w:tc>
          <w:tcPr>
            <w:tcW w:w="2192" w:type="dxa"/>
            <w:vAlign w:val="center"/>
          </w:tcPr>
          <w:p>
            <w:pPr>
              <w:widowControl/>
              <w:spacing w:line="240" w:lineRule="auto"/>
              <w:ind w:firstLine="0" w:firstLineChars="0"/>
              <w:jc w:val="center"/>
              <w:rPr>
                <w:sz w:val="21"/>
                <w:szCs w:val="21"/>
              </w:rPr>
            </w:pPr>
            <w:r>
              <w:rPr>
                <w:rFonts w:hint="eastAsia"/>
                <w:sz w:val="21"/>
                <w:szCs w:val="21"/>
              </w:rPr>
              <w:t>0.08</w:t>
            </w:r>
          </w:p>
        </w:tc>
        <w:tc>
          <w:tcPr>
            <w:tcW w:w="1897" w:type="dxa"/>
            <w:vAlign w:val="center"/>
          </w:tcPr>
          <w:p>
            <w:pPr>
              <w:widowControl/>
              <w:spacing w:line="240" w:lineRule="auto"/>
              <w:ind w:firstLine="0" w:firstLineChars="0"/>
              <w:jc w:val="center"/>
              <w:rPr>
                <w:sz w:val="21"/>
                <w:szCs w:val="21"/>
              </w:rPr>
            </w:pPr>
            <w:r>
              <w:rPr>
                <w:rFonts w:hint="eastAsia"/>
                <w:sz w:val="21"/>
                <w:szCs w:val="21"/>
              </w:rPr>
              <w:t>0.0004192</w:t>
            </w:r>
          </w:p>
        </w:tc>
        <w:tc>
          <w:tcPr>
            <w:tcW w:w="1817" w:type="dxa"/>
            <w:vAlign w:val="center"/>
          </w:tcPr>
          <w:p>
            <w:pPr>
              <w:widowControl/>
              <w:spacing w:line="240" w:lineRule="auto"/>
              <w:ind w:firstLine="0" w:firstLineChars="0"/>
              <w:jc w:val="center"/>
              <w:rPr>
                <w:sz w:val="21"/>
                <w:szCs w:val="21"/>
              </w:rPr>
            </w:pPr>
            <w:r>
              <w:rPr>
                <w:rFonts w:hint="eastAsia"/>
                <w:sz w:val="21"/>
                <w:szCs w:val="21"/>
              </w:rPr>
              <w:t>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600</w:t>
            </w:r>
          </w:p>
        </w:tc>
        <w:tc>
          <w:tcPr>
            <w:tcW w:w="1646" w:type="dxa"/>
            <w:vAlign w:val="center"/>
          </w:tcPr>
          <w:p>
            <w:pPr>
              <w:widowControl/>
              <w:spacing w:line="240" w:lineRule="auto"/>
              <w:ind w:firstLine="0" w:firstLineChars="0"/>
              <w:jc w:val="center"/>
              <w:rPr>
                <w:sz w:val="21"/>
                <w:szCs w:val="21"/>
              </w:rPr>
            </w:pPr>
            <w:r>
              <w:rPr>
                <w:rFonts w:hint="eastAsia"/>
                <w:sz w:val="21"/>
                <w:szCs w:val="21"/>
              </w:rPr>
              <w:t>0.001526</w:t>
            </w:r>
          </w:p>
        </w:tc>
        <w:tc>
          <w:tcPr>
            <w:tcW w:w="2192" w:type="dxa"/>
            <w:vAlign w:val="center"/>
          </w:tcPr>
          <w:p>
            <w:pPr>
              <w:widowControl/>
              <w:spacing w:line="240" w:lineRule="auto"/>
              <w:ind w:firstLine="0" w:firstLineChars="0"/>
              <w:jc w:val="center"/>
              <w:rPr>
                <w:sz w:val="21"/>
                <w:szCs w:val="21"/>
              </w:rPr>
            </w:pPr>
            <w:r>
              <w:rPr>
                <w:rFonts w:hint="eastAsia"/>
                <w:sz w:val="21"/>
                <w:szCs w:val="21"/>
              </w:rPr>
              <w:t>0.08</w:t>
            </w:r>
          </w:p>
        </w:tc>
        <w:tc>
          <w:tcPr>
            <w:tcW w:w="1897" w:type="dxa"/>
            <w:vAlign w:val="center"/>
          </w:tcPr>
          <w:p>
            <w:pPr>
              <w:widowControl/>
              <w:spacing w:line="240" w:lineRule="auto"/>
              <w:ind w:firstLine="0" w:firstLineChars="0"/>
              <w:jc w:val="center"/>
              <w:rPr>
                <w:sz w:val="21"/>
                <w:szCs w:val="21"/>
              </w:rPr>
            </w:pPr>
            <w:r>
              <w:rPr>
                <w:rFonts w:hint="eastAsia"/>
                <w:sz w:val="21"/>
                <w:szCs w:val="21"/>
              </w:rPr>
              <w:t>0.0003956</w:t>
            </w:r>
          </w:p>
        </w:tc>
        <w:tc>
          <w:tcPr>
            <w:tcW w:w="1817" w:type="dxa"/>
            <w:vAlign w:val="center"/>
          </w:tcPr>
          <w:p>
            <w:pPr>
              <w:widowControl/>
              <w:spacing w:line="240" w:lineRule="auto"/>
              <w:ind w:firstLine="0" w:firstLineChars="0"/>
              <w:jc w:val="center"/>
              <w:rPr>
                <w:sz w:val="21"/>
                <w:szCs w:val="21"/>
              </w:rPr>
            </w:pPr>
            <w:r>
              <w:rPr>
                <w:rFonts w:hint="eastAsia"/>
                <w:sz w:val="21"/>
                <w:szCs w:val="21"/>
              </w:rPr>
              <w:t>0.42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700</w:t>
            </w:r>
          </w:p>
        </w:tc>
        <w:tc>
          <w:tcPr>
            <w:tcW w:w="1646" w:type="dxa"/>
            <w:vAlign w:val="center"/>
          </w:tcPr>
          <w:p>
            <w:pPr>
              <w:widowControl/>
              <w:spacing w:line="240" w:lineRule="auto"/>
              <w:ind w:firstLine="0" w:firstLineChars="0"/>
              <w:jc w:val="center"/>
              <w:rPr>
                <w:sz w:val="21"/>
                <w:szCs w:val="21"/>
              </w:rPr>
            </w:pPr>
            <w:r>
              <w:rPr>
                <w:rFonts w:hint="eastAsia"/>
                <w:sz w:val="21"/>
                <w:szCs w:val="21"/>
              </w:rPr>
              <w:t>0.001474</w:t>
            </w:r>
          </w:p>
        </w:tc>
        <w:tc>
          <w:tcPr>
            <w:tcW w:w="2192" w:type="dxa"/>
            <w:vAlign w:val="center"/>
          </w:tcPr>
          <w:p>
            <w:pPr>
              <w:widowControl/>
              <w:spacing w:line="240" w:lineRule="auto"/>
              <w:ind w:firstLine="0" w:firstLineChars="0"/>
              <w:jc w:val="center"/>
              <w:rPr>
                <w:sz w:val="21"/>
                <w:szCs w:val="21"/>
              </w:rPr>
            </w:pPr>
            <w:r>
              <w:rPr>
                <w:rFonts w:hint="eastAsia"/>
                <w:sz w:val="21"/>
                <w:szCs w:val="21"/>
              </w:rPr>
              <w:t>0.07</w:t>
            </w:r>
          </w:p>
        </w:tc>
        <w:tc>
          <w:tcPr>
            <w:tcW w:w="1897" w:type="dxa"/>
            <w:vAlign w:val="center"/>
          </w:tcPr>
          <w:p>
            <w:pPr>
              <w:widowControl/>
              <w:spacing w:line="240" w:lineRule="auto"/>
              <w:ind w:firstLine="0" w:firstLineChars="0"/>
              <w:jc w:val="center"/>
              <w:rPr>
                <w:sz w:val="21"/>
                <w:szCs w:val="21"/>
              </w:rPr>
            </w:pPr>
            <w:r>
              <w:rPr>
                <w:rFonts w:hint="eastAsia"/>
                <w:sz w:val="21"/>
                <w:szCs w:val="21"/>
              </w:rPr>
              <w:t>0.0003821</w:t>
            </w:r>
          </w:p>
        </w:tc>
        <w:tc>
          <w:tcPr>
            <w:tcW w:w="1817" w:type="dxa"/>
            <w:vAlign w:val="center"/>
          </w:tcPr>
          <w:p>
            <w:pPr>
              <w:widowControl/>
              <w:spacing w:line="240" w:lineRule="auto"/>
              <w:ind w:firstLine="0" w:firstLineChars="0"/>
              <w:jc w:val="center"/>
              <w:rPr>
                <w:sz w:val="21"/>
                <w:szCs w:val="21"/>
              </w:rPr>
            </w:pPr>
            <w:r>
              <w:rPr>
                <w:rFonts w:hint="eastAsia"/>
                <w:sz w:val="21"/>
                <w:szCs w:val="21"/>
              </w:rPr>
              <w:t>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800</w:t>
            </w:r>
          </w:p>
        </w:tc>
        <w:tc>
          <w:tcPr>
            <w:tcW w:w="1646" w:type="dxa"/>
            <w:vAlign w:val="center"/>
          </w:tcPr>
          <w:p>
            <w:pPr>
              <w:widowControl/>
              <w:spacing w:line="240" w:lineRule="auto"/>
              <w:ind w:firstLine="0" w:firstLineChars="0"/>
              <w:jc w:val="center"/>
              <w:rPr>
                <w:sz w:val="21"/>
                <w:szCs w:val="21"/>
              </w:rPr>
            </w:pPr>
            <w:r>
              <w:rPr>
                <w:rFonts w:hint="eastAsia"/>
                <w:sz w:val="21"/>
                <w:szCs w:val="21"/>
              </w:rPr>
              <w:t>0.001724</w:t>
            </w:r>
          </w:p>
        </w:tc>
        <w:tc>
          <w:tcPr>
            <w:tcW w:w="2192" w:type="dxa"/>
            <w:vAlign w:val="center"/>
          </w:tcPr>
          <w:p>
            <w:pPr>
              <w:widowControl/>
              <w:spacing w:line="240" w:lineRule="auto"/>
              <w:ind w:firstLine="0" w:firstLineChars="0"/>
              <w:jc w:val="center"/>
              <w:rPr>
                <w:sz w:val="21"/>
                <w:szCs w:val="21"/>
              </w:rPr>
            </w:pPr>
            <w:r>
              <w:rPr>
                <w:rFonts w:hint="eastAsia"/>
                <w:sz w:val="21"/>
                <w:szCs w:val="21"/>
              </w:rPr>
              <w:t>0.09</w:t>
            </w:r>
          </w:p>
        </w:tc>
        <w:tc>
          <w:tcPr>
            <w:tcW w:w="1897" w:type="dxa"/>
            <w:vAlign w:val="center"/>
          </w:tcPr>
          <w:p>
            <w:pPr>
              <w:widowControl/>
              <w:spacing w:line="240" w:lineRule="auto"/>
              <w:ind w:firstLine="0" w:firstLineChars="0"/>
              <w:jc w:val="center"/>
              <w:rPr>
                <w:sz w:val="21"/>
                <w:szCs w:val="21"/>
              </w:rPr>
            </w:pPr>
            <w:r>
              <w:rPr>
                <w:rFonts w:hint="eastAsia"/>
                <w:sz w:val="21"/>
                <w:szCs w:val="21"/>
              </w:rPr>
              <w:t>0.0004469</w:t>
            </w:r>
          </w:p>
        </w:tc>
        <w:tc>
          <w:tcPr>
            <w:tcW w:w="1817" w:type="dxa"/>
            <w:vAlign w:val="center"/>
          </w:tcPr>
          <w:p>
            <w:pPr>
              <w:widowControl/>
              <w:spacing w:line="240" w:lineRule="auto"/>
              <w:ind w:firstLine="0" w:firstLineChars="0"/>
              <w:jc w:val="center"/>
              <w:rPr>
                <w:sz w:val="21"/>
                <w:szCs w:val="21"/>
              </w:rPr>
            </w:pPr>
            <w:r>
              <w:rPr>
                <w:rFonts w:hint="eastAsia"/>
                <w:sz w:val="21"/>
                <w:szCs w:val="21"/>
              </w:rPr>
              <w:t>0.38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900</w:t>
            </w:r>
          </w:p>
        </w:tc>
        <w:tc>
          <w:tcPr>
            <w:tcW w:w="1646" w:type="dxa"/>
            <w:vAlign w:val="center"/>
          </w:tcPr>
          <w:p>
            <w:pPr>
              <w:widowControl/>
              <w:spacing w:line="240" w:lineRule="auto"/>
              <w:ind w:firstLine="0" w:firstLineChars="0"/>
              <w:jc w:val="center"/>
              <w:rPr>
                <w:sz w:val="21"/>
                <w:szCs w:val="21"/>
              </w:rPr>
            </w:pPr>
            <w:r>
              <w:rPr>
                <w:rFonts w:hint="eastAsia"/>
                <w:sz w:val="21"/>
                <w:szCs w:val="21"/>
              </w:rPr>
              <w:t>0.002077</w:t>
            </w:r>
          </w:p>
        </w:tc>
        <w:tc>
          <w:tcPr>
            <w:tcW w:w="2192" w:type="dxa"/>
            <w:vAlign w:val="center"/>
          </w:tcPr>
          <w:p>
            <w:pPr>
              <w:widowControl/>
              <w:spacing w:line="240" w:lineRule="auto"/>
              <w:ind w:firstLine="0" w:firstLineChars="0"/>
              <w:jc w:val="center"/>
              <w:rPr>
                <w:sz w:val="21"/>
                <w:szCs w:val="21"/>
              </w:rPr>
            </w:pPr>
            <w:r>
              <w:rPr>
                <w:rFonts w:hint="eastAsia"/>
                <w:sz w:val="21"/>
                <w:szCs w:val="21"/>
              </w:rPr>
              <w:t>0.10</w:t>
            </w:r>
          </w:p>
        </w:tc>
        <w:tc>
          <w:tcPr>
            <w:tcW w:w="1897" w:type="dxa"/>
            <w:vAlign w:val="center"/>
          </w:tcPr>
          <w:p>
            <w:pPr>
              <w:widowControl/>
              <w:spacing w:line="240" w:lineRule="auto"/>
              <w:ind w:firstLine="0" w:firstLineChars="0"/>
              <w:jc w:val="center"/>
              <w:rPr>
                <w:sz w:val="21"/>
                <w:szCs w:val="21"/>
              </w:rPr>
            </w:pPr>
            <w:r>
              <w:rPr>
                <w:rFonts w:hint="eastAsia"/>
                <w:sz w:val="21"/>
                <w:szCs w:val="21"/>
              </w:rPr>
              <w:t>0.0005385</w:t>
            </w:r>
          </w:p>
        </w:tc>
        <w:tc>
          <w:tcPr>
            <w:tcW w:w="1817" w:type="dxa"/>
            <w:vAlign w:val="center"/>
          </w:tcPr>
          <w:p>
            <w:pPr>
              <w:widowControl/>
              <w:spacing w:line="240" w:lineRule="auto"/>
              <w:ind w:firstLine="0" w:firstLineChars="0"/>
              <w:jc w:val="center"/>
              <w:rPr>
                <w:sz w:val="21"/>
                <w:szCs w:val="21"/>
              </w:rPr>
            </w:pPr>
            <w:r>
              <w:rPr>
                <w:rFonts w:hint="eastAsia"/>
                <w:sz w:val="21"/>
                <w:szCs w:val="21"/>
              </w:rPr>
              <w:t>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1000</w:t>
            </w:r>
          </w:p>
        </w:tc>
        <w:tc>
          <w:tcPr>
            <w:tcW w:w="1646" w:type="dxa"/>
            <w:vAlign w:val="center"/>
          </w:tcPr>
          <w:p>
            <w:pPr>
              <w:widowControl/>
              <w:spacing w:line="240" w:lineRule="auto"/>
              <w:ind w:firstLine="0" w:firstLineChars="0"/>
              <w:jc w:val="center"/>
              <w:rPr>
                <w:sz w:val="21"/>
                <w:szCs w:val="21"/>
              </w:rPr>
            </w:pPr>
            <w:r>
              <w:rPr>
                <w:rFonts w:hint="eastAsia"/>
                <w:sz w:val="21"/>
                <w:szCs w:val="21"/>
              </w:rPr>
              <w:t>0.002372</w:t>
            </w:r>
          </w:p>
        </w:tc>
        <w:tc>
          <w:tcPr>
            <w:tcW w:w="2192" w:type="dxa"/>
            <w:vAlign w:val="center"/>
          </w:tcPr>
          <w:p>
            <w:pPr>
              <w:widowControl/>
              <w:spacing w:line="240" w:lineRule="auto"/>
              <w:ind w:firstLine="0" w:firstLineChars="0"/>
              <w:jc w:val="center"/>
              <w:rPr>
                <w:sz w:val="21"/>
                <w:szCs w:val="21"/>
              </w:rPr>
            </w:pPr>
            <w:r>
              <w:rPr>
                <w:rFonts w:hint="eastAsia"/>
                <w:sz w:val="21"/>
                <w:szCs w:val="21"/>
              </w:rPr>
              <w:t>0.12</w:t>
            </w:r>
          </w:p>
        </w:tc>
        <w:tc>
          <w:tcPr>
            <w:tcW w:w="1897" w:type="dxa"/>
            <w:vAlign w:val="center"/>
          </w:tcPr>
          <w:p>
            <w:pPr>
              <w:widowControl/>
              <w:spacing w:line="240" w:lineRule="auto"/>
              <w:ind w:firstLine="0" w:firstLineChars="0"/>
              <w:jc w:val="center"/>
              <w:rPr>
                <w:sz w:val="21"/>
                <w:szCs w:val="21"/>
              </w:rPr>
            </w:pPr>
            <w:r>
              <w:rPr>
                <w:rFonts w:hint="eastAsia"/>
                <w:sz w:val="21"/>
                <w:szCs w:val="21"/>
              </w:rPr>
              <w:t>0.0006149</w:t>
            </w:r>
          </w:p>
        </w:tc>
        <w:tc>
          <w:tcPr>
            <w:tcW w:w="1817" w:type="dxa"/>
            <w:vAlign w:val="center"/>
          </w:tcPr>
          <w:p>
            <w:pPr>
              <w:widowControl/>
              <w:spacing w:line="240" w:lineRule="auto"/>
              <w:ind w:firstLine="0" w:firstLineChars="0"/>
              <w:jc w:val="center"/>
              <w:rPr>
                <w:sz w:val="21"/>
                <w:szCs w:val="21"/>
              </w:rPr>
            </w:pPr>
            <w:r>
              <w:rPr>
                <w:rFonts w:hint="eastAsia"/>
                <w:sz w:val="21"/>
                <w:szCs w:val="21"/>
              </w:rPr>
              <w:t>0.54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1100</w:t>
            </w:r>
          </w:p>
        </w:tc>
        <w:tc>
          <w:tcPr>
            <w:tcW w:w="1646" w:type="dxa"/>
            <w:vAlign w:val="center"/>
          </w:tcPr>
          <w:p>
            <w:pPr>
              <w:widowControl/>
              <w:spacing w:line="240" w:lineRule="auto"/>
              <w:ind w:firstLine="0" w:firstLineChars="0"/>
              <w:jc w:val="center"/>
              <w:rPr>
                <w:sz w:val="21"/>
                <w:szCs w:val="21"/>
              </w:rPr>
            </w:pPr>
            <w:r>
              <w:rPr>
                <w:rFonts w:hint="eastAsia"/>
                <w:sz w:val="21"/>
                <w:szCs w:val="21"/>
              </w:rPr>
              <w:t>0.002532</w:t>
            </w:r>
          </w:p>
        </w:tc>
        <w:tc>
          <w:tcPr>
            <w:tcW w:w="2192" w:type="dxa"/>
            <w:vAlign w:val="center"/>
          </w:tcPr>
          <w:p>
            <w:pPr>
              <w:widowControl/>
              <w:spacing w:line="240" w:lineRule="auto"/>
              <w:ind w:firstLine="0" w:firstLineChars="0"/>
              <w:jc w:val="center"/>
              <w:rPr>
                <w:sz w:val="21"/>
                <w:szCs w:val="21"/>
              </w:rPr>
            </w:pPr>
            <w:r>
              <w:rPr>
                <w:rFonts w:hint="eastAsia"/>
                <w:sz w:val="21"/>
                <w:szCs w:val="21"/>
              </w:rPr>
              <w:t>0.13</w:t>
            </w:r>
          </w:p>
        </w:tc>
        <w:tc>
          <w:tcPr>
            <w:tcW w:w="1897" w:type="dxa"/>
            <w:vAlign w:val="center"/>
          </w:tcPr>
          <w:p>
            <w:pPr>
              <w:widowControl/>
              <w:spacing w:line="240" w:lineRule="auto"/>
              <w:ind w:firstLine="0" w:firstLineChars="0"/>
              <w:jc w:val="center"/>
              <w:rPr>
                <w:sz w:val="21"/>
                <w:szCs w:val="21"/>
              </w:rPr>
            </w:pPr>
            <w:r>
              <w:rPr>
                <w:rFonts w:hint="eastAsia"/>
                <w:sz w:val="21"/>
                <w:szCs w:val="21"/>
              </w:rPr>
              <w:t>0.0006565</w:t>
            </w:r>
          </w:p>
        </w:tc>
        <w:tc>
          <w:tcPr>
            <w:tcW w:w="1817" w:type="dxa"/>
            <w:vAlign w:val="center"/>
          </w:tcPr>
          <w:p>
            <w:pPr>
              <w:widowControl/>
              <w:spacing w:line="240" w:lineRule="auto"/>
              <w:ind w:firstLine="0" w:firstLineChars="0"/>
              <w:jc w:val="center"/>
              <w:rPr>
                <w:sz w:val="21"/>
                <w:szCs w:val="21"/>
              </w:rPr>
            </w:pPr>
            <w:r>
              <w:rPr>
                <w:rFonts w:hint="eastAsia"/>
                <w:sz w:val="21"/>
                <w:szCs w:val="21"/>
              </w:rPr>
              <w:t>0.61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1200</w:t>
            </w:r>
          </w:p>
        </w:tc>
        <w:tc>
          <w:tcPr>
            <w:tcW w:w="1646" w:type="dxa"/>
            <w:vAlign w:val="center"/>
          </w:tcPr>
          <w:p>
            <w:pPr>
              <w:widowControl/>
              <w:spacing w:line="240" w:lineRule="auto"/>
              <w:ind w:firstLine="0" w:firstLineChars="0"/>
              <w:jc w:val="center"/>
              <w:rPr>
                <w:sz w:val="21"/>
                <w:szCs w:val="21"/>
              </w:rPr>
            </w:pPr>
            <w:r>
              <w:rPr>
                <w:rFonts w:hint="eastAsia"/>
                <w:sz w:val="21"/>
                <w:szCs w:val="21"/>
              </w:rPr>
              <w:t>0.002648</w:t>
            </w:r>
          </w:p>
        </w:tc>
        <w:tc>
          <w:tcPr>
            <w:tcW w:w="2192" w:type="dxa"/>
            <w:vAlign w:val="center"/>
          </w:tcPr>
          <w:p>
            <w:pPr>
              <w:widowControl/>
              <w:spacing w:line="240" w:lineRule="auto"/>
              <w:ind w:firstLine="0" w:firstLineChars="0"/>
              <w:jc w:val="center"/>
              <w:rPr>
                <w:sz w:val="21"/>
                <w:szCs w:val="21"/>
              </w:rPr>
            </w:pPr>
            <w:r>
              <w:rPr>
                <w:rFonts w:hint="eastAsia"/>
                <w:sz w:val="21"/>
                <w:szCs w:val="21"/>
              </w:rPr>
              <w:t>0.13</w:t>
            </w:r>
          </w:p>
        </w:tc>
        <w:tc>
          <w:tcPr>
            <w:tcW w:w="1897" w:type="dxa"/>
            <w:vAlign w:val="center"/>
          </w:tcPr>
          <w:p>
            <w:pPr>
              <w:widowControl/>
              <w:spacing w:line="240" w:lineRule="auto"/>
              <w:ind w:firstLine="0" w:firstLineChars="0"/>
              <w:jc w:val="center"/>
              <w:rPr>
                <w:sz w:val="21"/>
                <w:szCs w:val="21"/>
              </w:rPr>
            </w:pPr>
            <w:r>
              <w:rPr>
                <w:rFonts w:hint="eastAsia"/>
                <w:sz w:val="21"/>
                <w:szCs w:val="21"/>
              </w:rPr>
              <w:t>0.0006865</w:t>
            </w:r>
          </w:p>
        </w:tc>
        <w:tc>
          <w:tcPr>
            <w:tcW w:w="1817" w:type="dxa"/>
            <w:vAlign w:val="center"/>
          </w:tcPr>
          <w:p>
            <w:pPr>
              <w:widowControl/>
              <w:spacing w:line="240" w:lineRule="auto"/>
              <w:ind w:firstLine="0" w:firstLineChars="0"/>
              <w:jc w:val="center"/>
              <w:rPr>
                <w:sz w:val="21"/>
                <w:szCs w:val="21"/>
              </w:rPr>
            </w:pPr>
            <w:r>
              <w:rPr>
                <w:rFonts w:hint="eastAsia"/>
                <w:sz w:val="21"/>
                <w:szCs w:val="21"/>
              </w:rPr>
              <w:t>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1300</w:t>
            </w:r>
          </w:p>
        </w:tc>
        <w:tc>
          <w:tcPr>
            <w:tcW w:w="1646" w:type="dxa"/>
            <w:vAlign w:val="center"/>
          </w:tcPr>
          <w:p>
            <w:pPr>
              <w:widowControl/>
              <w:spacing w:line="240" w:lineRule="auto"/>
              <w:ind w:firstLine="0" w:firstLineChars="0"/>
              <w:jc w:val="center"/>
              <w:rPr>
                <w:sz w:val="21"/>
                <w:szCs w:val="21"/>
              </w:rPr>
            </w:pPr>
            <w:r>
              <w:rPr>
                <w:rFonts w:hint="eastAsia"/>
                <w:sz w:val="21"/>
                <w:szCs w:val="21"/>
              </w:rPr>
              <w:t>0.002726</w:t>
            </w:r>
          </w:p>
        </w:tc>
        <w:tc>
          <w:tcPr>
            <w:tcW w:w="2192" w:type="dxa"/>
            <w:vAlign w:val="center"/>
          </w:tcPr>
          <w:p>
            <w:pPr>
              <w:widowControl/>
              <w:spacing w:line="240" w:lineRule="auto"/>
              <w:ind w:firstLine="0" w:firstLineChars="0"/>
              <w:jc w:val="center"/>
              <w:rPr>
                <w:sz w:val="21"/>
                <w:szCs w:val="21"/>
              </w:rPr>
            </w:pPr>
            <w:r>
              <w:rPr>
                <w:rFonts w:hint="eastAsia"/>
                <w:sz w:val="21"/>
                <w:szCs w:val="21"/>
              </w:rPr>
              <w:t>0.14</w:t>
            </w:r>
          </w:p>
        </w:tc>
        <w:tc>
          <w:tcPr>
            <w:tcW w:w="1897" w:type="dxa"/>
            <w:vAlign w:val="center"/>
          </w:tcPr>
          <w:p>
            <w:pPr>
              <w:widowControl/>
              <w:spacing w:line="240" w:lineRule="auto"/>
              <w:ind w:firstLine="0" w:firstLineChars="0"/>
              <w:jc w:val="center"/>
              <w:rPr>
                <w:sz w:val="21"/>
                <w:szCs w:val="21"/>
              </w:rPr>
            </w:pPr>
            <w:r>
              <w:rPr>
                <w:rFonts w:hint="eastAsia"/>
                <w:sz w:val="21"/>
                <w:szCs w:val="21"/>
              </w:rPr>
              <w:t>0.0007067</w:t>
            </w:r>
          </w:p>
        </w:tc>
        <w:tc>
          <w:tcPr>
            <w:tcW w:w="1817" w:type="dxa"/>
            <w:vAlign w:val="center"/>
          </w:tcPr>
          <w:p>
            <w:pPr>
              <w:widowControl/>
              <w:spacing w:line="240" w:lineRule="auto"/>
              <w:ind w:firstLine="0" w:firstLineChars="0"/>
              <w:jc w:val="center"/>
              <w:rPr>
                <w:sz w:val="21"/>
                <w:szCs w:val="21"/>
              </w:rPr>
            </w:pPr>
            <w:r>
              <w:rPr>
                <w:rFonts w:hint="eastAsia"/>
                <w:sz w:val="21"/>
                <w:szCs w:val="21"/>
              </w:rPr>
              <w:t>0.69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1400</w:t>
            </w:r>
          </w:p>
        </w:tc>
        <w:tc>
          <w:tcPr>
            <w:tcW w:w="1646" w:type="dxa"/>
            <w:vAlign w:val="center"/>
          </w:tcPr>
          <w:p>
            <w:pPr>
              <w:widowControl/>
              <w:spacing w:line="240" w:lineRule="auto"/>
              <w:ind w:firstLine="0" w:firstLineChars="0"/>
              <w:jc w:val="center"/>
              <w:rPr>
                <w:sz w:val="21"/>
                <w:szCs w:val="21"/>
              </w:rPr>
            </w:pPr>
            <w:r>
              <w:rPr>
                <w:rFonts w:hint="eastAsia"/>
                <w:sz w:val="21"/>
                <w:szCs w:val="21"/>
              </w:rPr>
              <w:t>0.002772</w:t>
            </w:r>
          </w:p>
        </w:tc>
        <w:tc>
          <w:tcPr>
            <w:tcW w:w="2192" w:type="dxa"/>
            <w:vAlign w:val="center"/>
          </w:tcPr>
          <w:p>
            <w:pPr>
              <w:widowControl/>
              <w:spacing w:line="240" w:lineRule="auto"/>
              <w:ind w:firstLine="0" w:firstLineChars="0"/>
              <w:jc w:val="center"/>
              <w:rPr>
                <w:sz w:val="21"/>
                <w:szCs w:val="21"/>
              </w:rPr>
            </w:pPr>
            <w:r>
              <w:rPr>
                <w:rFonts w:hint="eastAsia"/>
                <w:sz w:val="21"/>
                <w:szCs w:val="21"/>
              </w:rPr>
              <w:t>0.14</w:t>
            </w:r>
          </w:p>
        </w:tc>
        <w:tc>
          <w:tcPr>
            <w:tcW w:w="1897" w:type="dxa"/>
            <w:vAlign w:val="center"/>
          </w:tcPr>
          <w:p>
            <w:pPr>
              <w:widowControl/>
              <w:spacing w:line="240" w:lineRule="auto"/>
              <w:ind w:firstLine="0" w:firstLineChars="0"/>
              <w:jc w:val="center"/>
              <w:rPr>
                <w:sz w:val="21"/>
                <w:szCs w:val="21"/>
              </w:rPr>
            </w:pPr>
            <w:r>
              <w:rPr>
                <w:rFonts w:hint="eastAsia"/>
                <w:sz w:val="21"/>
                <w:szCs w:val="21"/>
              </w:rPr>
              <w:t>0.0007188</w:t>
            </w:r>
          </w:p>
        </w:tc>
        <w:tc>
          <w:tcPr>
            <w:tcW w:w="1817" w:type="dxa"/>
            <w:vAlign w:val="center"/>
          </w:tcPr>
          <w:p>
            <w:pPr>
              <w:widowControl/>
              <w:spacing w:line="240" w:lineRule="auto"/>
              <w:ind w:firstLine="0" w:firstLineChars="0"/>
              <w:jc w:val="center"/>
              <w:rPr>
                <w:sz w:val="21"/>
                <w:szCs w:val="21"/>
              </w:rPr>
            </w:pPr>
            <w:r>
              <w:rPr>
                <w:rFonts w:hint="eastAsia"/>
                <w:sz w:val="21"/>
                <w:szCs w:val="21"/>
              </w:rPr>
              <w:t>0.71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1500</w:t>
            </w:r>
          </w:p>
        </w:tc>
        <w:tc>
          <w:tcPr>
            <w:tcW w:w="1646" w:type="dxa"/>
            <w:vAlign w:val="center"/>
          </w:tcPr>
          <w:p>
            <w:pPr>
              <w:widowControl/>
              <w:spacing w:line="240" w:lineRule="auto"/>
              <w:ind w:firstLine="0" w:firstLineChars="0"/>
              <w:jc w:val="center"/>
              <w:rPr>
                <w:sz w:val="21"/>
                <w:szCs w:val="21"/>
              </w:rPr>
            </w:pPr>
            <w:r>
              <w:rPr>
                <w:rFonts w:hint="eastAsia"/>
                <w:sz w:val="21"/>
                <w:szCs w:val="21"/>
              </w:rPr>
              <w:t>0.002794</w:t>
            </w:r>
          </w:p>
        </w:tc>
        <w:tc>
          <w:tcPr>
            <w:tcW w:w="2192" w:type="dxa"/>
            <w:vAlign w:val="center"/>
          </w:tcPr>
          <w:p>
            <w:pPr>
              <w:widowControl/>
              <w:spacing w:line="240" w:lineRule="auto"/>
              <w:ind w:firstLine="0" w:firstLineChars="0"/>
              <w:jc w:val="center"/>
              <w:rPr>
                <w:sz w:val="21"/>
                <w:szCs w:val="21"/>
              </w:rPr>
            </w:pPr>
            <w:r>
              <w:rPr>
                <w:rFonts w:hint="eastAsia"/>
                <w:sz w:val="21"/>
                <w:szCs w:val="21"/>
              </w:rPr>
              <w:t>0.14</w:t>
            </w:r>
          </w:p>
        </w:tc>
        <w:tc>
          <w:tcPr>
            <w:tcW w:w="1897" w:type="dxa"/>
            <w:vAlign w:val="center"/>
          </w:tcPr>
          <w:p>
            <w:pPr>
              <w:widowControl/>
              <w:spacing w:line="240" w:lineRule="auto"/>
              <w:ind w:firstLine="0" w:firstLineChars="0"/>
              <w:jc w:val="center"/>
              <w:rPr>
                <w:sz w:val="21"/>
                <w:szCs w:val="21"/>
              </w:rPr>
            </w:pPr>
            <w:r>
              <w:rPr>
                <w:rFonts w:hint="eastAsia"/>
                <w:sz w:val="21"/>
                <w:szCs w:val="21"/>
              </w:rPr>
              <w:t>0.0007243</w:t>
            </w:r>
          </w:p>
        </w:tc>
        <w:tc>
          <w:tcPr>
            <w:tcW w:w="1817" w:type="dxa"/>
            <w:vAlign w:val="center"/>
          </w:tcPr>
          <w:p>
            <w:pPr>
              <w:widowControl/>
              <w:spacing w:line="240" w:lineRule="auto"/>
              <w:ind w:firstLine="0" w:firstLineChars="0"/>
              <w:jc w:val="center"/>
              <w:rPr>
                <w:sz w:val="21"/>
                <w:szCs w:val="21"/>
              </w:rPr>
            </w:pPr>
            <w:r>
              <w:rPr>
                <w:rFonts w:hint="eastAsia"/>
                <w:sz w:val="21"/>
                <w:szCs w:val="21"/>
              </w:rPr>
              <w:t>0.72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shd w:val="clear" w:color="auto" w:fill="FFC000"/>
            <w:vAlign w:val="center"/>
          </w:tcPr>
          <w:p>
            <w:pPr>
              <w:widowControl/>
              <w:spacing w:line="240" w:lineRule="auto"/>
              <w:ind w:firstLine="0" w:firstLineChars="0"/>
              <w:jc w:val="center"/>
              <w:rPr>
                <w:sz w:val="21"/>
                <w:szCs w:val="21"/>
              </w:rPr>
            </w:pPr>
            <w:r>
              <w:rPr>
                <w:rFonts w:hint="eastAsia"/>
                <w:sz w:val="21"/>
                <w:szCs w:val="21"/>
              </w:rPr>
              <w:t>1554</w:t>
            </w:r>
          </w:p>
        </w:tc>
        <w:tc>
          <w:tcPr>
            <w:tcW w:w="1646" w:type="dxa"/>
            <w:shd w:val="clear" w:color="auto" w:fill="FFC000"/>
            <w:vAlign w:val="center"/>
          </w:tcPr>
          <w:p>
            <w:pPr>
              <w:widowControl/>
              <w:spacing w:line="240" w:lineRule="auto"/>
              <w:ind w:firstLine="0" w:firstLineChars="0"/>
              <w:jc w:val="center"/>
              <w:rPr>
                <w:sz w:val="21"/>
                <w:szCs w:val="21"/>
              </w:rPr>
            </w:pPr>
            <w:r>
              <w:rPr>
                <w:rFonts w:hint="eastAsia"/>
                <w:sz w:val="21"/>
                <w:szCs w:val="21"/>
              </w:rPr>
              <w:t>0.002796</w:t>
            </w:r>
          </w:p>
        </w:tc>
        <w:tc>
          <w:tcPr>
            <w:tcW w:w="2192" w:type="dxa"/>
            <w:shd w:val="clear" w:color="auto" w:fill="FFC000"/>
            <w:vAlign w:val="center"/>
          </w:tcPr>
          <w:p>
            <w:pPr>
              <w:widowControl/>
              <w:spacing w:line="240" w:lineRule="auto"/>
              <w:ind w:firstLine="0" w:firstLineChars="0"/>
              <w:jc w:val="center"/>
              <w:rPr>
                <w:sz w:val="21"/>
                <w:szCs w:val="21"/>
              </w:rPr>
            </w:pPr>
            <w:r>
              <w:rPr>
                <w:rFonts w:hint="eastAsia"/>
                <w:sz w:val="21"/>
                <w:szCs w:val="21"/>
              </w:rPr>
              <w:t>0.14</w:t>
            </w:r>
          </w:p>
        </w:tc>
        <w:tc>
          <w:tcPr>
            <w:tcW w:w="1897" w:type="dxa"/>
            <w:shd w:val="clear" w:color="auto" w:fill="FFC000"/>
            <w:vAlign w:val="center"/>
          </w:tcPr>
          <w:p>
            <w:pPr>
              <w:widowControl/>
              <w:spacing w:line="240" w:lineRule="auto"/>
              <w:ind w:firstLine="0" w:firstLineChars="0"/>
              <w:jc w:val="center"/>
              <w:rPr>
                <w:sz w:val="21"/>
                <w:szCs w:val="21"/>
              </w:rPr>
            </w:pPr>
            <w:r>
              <w:rPr>
                <w:rFonts w:hint="eastAsia"/>
                <w:sz w:val="21"/>
                <w:szCs w:val="21"/>
              </w:rPr>
              <w:t>0.000725</w:t>
            </w:r>
          </w:p>
        </w:tc>
        <w:tc>
          <w:tcPr>
            <w:tcW w:w="1817" w:type="dxa"/>
            <w:shd w:val="clear" w:color="auto" w:fill="FFC000"/>
            <w:vAlign w:val="center"/>
          </w:tcPr>
          <w:p>
            <w:pPr>
              <w:widowControl/>
              <w:spacing w:line="240" w:lineRule="auto"/>
              <w:ind w:firstLine="0" w:firstLineChars="0"/>
              <w:jc w:val="center"/>
              <w:rPr>
                <w:sz w:val="21"/>
                <w:szCs w:val="21"/>
              </w:rPr>
            </w:pPr>
            <w:r>
              <w:rPr>
                <w:rFonts w:hint="eastAsia"/>
                <w:sz w:val="21"/>
                <w:szCs w:val="21"/>
              </w:rPr>
              <w:t>0.72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1600</w:t>
            </w:r>
          </w:p>
        </w:tc>
        <w:tc>
          <w:tcPr>
            <w:tcW w:w="1646" w:type="dxa"/>
            <w:vAlign w:val="center"/>
          </w:tcPr>
          <w:p>
            <w:pPr>
              <w:widowControl/>
              <w:spacing w:line="240" w:lineRule="auto"/>
              <w:ind w:firstLine="0" w:firstLineChars="0"/>
              <w:jc w:val="center"/>
              <w:rPr>
                <w:sz w:val="21"/>
                <w:szCs w:val="21"/>
              </w:rPr>
            </w:pPr>
            <w:r>
              <w:rPr>
                <w:rFonts w:hint="eastAsia"/>
                <w:sz w:val="21"/>
                <w:szCs w:val="21"/>
              </w:rPr>
              <w:t>0.002795</w:t>
            </w:r>
          </w:p>
        </w:tc>
        <w:tc>
          <w:tcPr>
            <w:tcW w:w="2192" w:type="dxa"/>
            <w:vAlign w:val="center"/>
          </w:tcPr>
          <w:p>
            <w:pPr>
              <w:widowControl/>
              <w:spacing w:line="240" w:lineRule="auto"/>
              <w:ind w:firstLine="0" w:firstLineChars="0"/>
              <w:jc w:val="center"/>
              <w:rPr>
                <w:sz w:val="21"/>
                <w:szCs w:val="21"/>
              </w:rPr>
            </w:pPr>
            <w:r>
              <w:rPr>
                <w:rFonts w:hint="eastAsia"/>
                <w:sz w:val="21"/>
                <w:szCs w:val="21"/>
              </w:rPr>
              <w:t>0.14</w:t>
            </w:r>
          </w:p>
        </w:tc>
        <w:tc>
          <w:tcPr>
            <w:tcW w:w="1897" w:type="dxa"/>
            <w:vAlign w:val="center"/>
          </w:tcPr>
          <w:p>
            <w:pPr>
              <w:widowControl/>
              <w:spacing w:line="240" w:lineRule="auto"/>
              <w:ind w:firstLine="0" w:firstLineChars="0"/>
              <w:jc w:val="center"/>
              <w:rPr>
                <w:sz w:val="21"/>
                <w:szCs w:val="21"/>
              </w:rPr>
            </w:pPr>
            <w:r>
              <w:rPr>
                <w:rFonts w:hint="eastAsia"/>
                <w:sz w:val="21"/>
                <w:szCs w:val="21"/>
              </w:rPr>
              <w:t>0.0007245</w:t>
            </w:r>
          </w:p>
        </w:tc>
        <w:tc>
          <w:tcPr>
            <w:tcW w:w="1817" w:type="dxa"/>
            <w:vAlign w:val="center"/>
          </w:tcPr>
          <w:p>
            <w:pPr>
              <w:widowControl/>
              <w:spacing w:line="240" w:lineRule="auto"/>
              <w:ind w:firstLine="0" w:firstLineChars="0"/>
              <w:jc w:val="center"/>
              <w:rPr>
                <w:sz w:val="21"/>
                <w:szCs w:val="21"/>
              </w:rPr>
            </w:pPr>
            <w:r>
              <w:rPr>
                <w:rFonts w:hint="eastAsia"/>
                <w:sz w:val="21"/>
                <w:szCs w:val="21"/>
              </w:rPr>
              <w:t>0.72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1700</w:t>
            </w:r>
          </w:p>
        </w:tc>
        <w:tc>
          <w:tcPr>
            <w:tcW w:w="1646" w:type="dxa"/>
            <w:vAlign w:val="center"/>
          </w:tcPr>
          <w:p>
            <w:pPr>
              <w:widowControl/>
              <w:spacing w:line="240" w:lineRule="auto"/>
              <w:ind w:firstLine="0" w:firstLineChars="0"/>
              <w:jc w:val="center"/>
              <w:rPr>
                <w:sz w:val="21"/>
                <w:szCs w:val="21"/>
              </w:rPr>
            </w:pPr>
            <w:r>
              <w:rPr>
                <w:rFonts w:hint="eastAsia"/>
                <w:sz w:val="21"/>
                <w:szCs w:val="21"/>
              </w:rPr>
              <w:t>0.002779</w:t>
            </w:r>
          </w:p>
        </w:tc>
        <w:tc>
          <w:tcPr>
            <w:tcW w:w="2192" w:type="dxa"/>
            <w:vAlign w:val="center"/>
          </w:tcPr>
          <w:p>
            <w:pPr>
              <w:widowControl/>
              <w:spacing w:line="240" w:lineRule="auto"/>
              <w:ind w:firstLine="0" w:firstLineChars="0"/>
              <w:jc w:val="center"/>
              <w:rPr>
                <w:sz w:val="21"/>
                <w:szCs w:val="21"/>
              </w:rPr>
            </w:pPr>
            <w:r>
              <w:rPr>
                <w:rFonts w:hint="eastAsia"/>
                <w:sz w:val="21"/>
                <w:szCs w:val="21"/>
              </w:rPr>
              <w:t>0.14</w:t>
            </w:r>
          </w:p>
        </w:tc>
        <w:tc>
          <w:tcPr>
            <w:tcW w:w="1897" w:type="dxa"/>
            <w:vAlign w:val="center"/>
          </w:tcPr>
          <w:p>
            <w:pPr>
              <w:widowControl/>
              <w:spacing w:line="240" w:lineRule="auto"/>
              <w:ind w:firstLine="0" w:firstLineChars="0"/>
              <w:jc w:val="center"/>
              <w:rPr>
                <w:sz w:val="21"/>
                <w:szCs w:val="21"/>
              </w:rPr>
            </w:pPr>
            <w:r>
              <w:rPr>
                <w:rFonts w:hint="eastAsia"/>
                <w:sz w:val="21"/>
                <w:szCs w:val="21"/>
              </w:rPr>
              <w:t>0.0007206</w:t>
            </w:r>
          </w:p>
        </w:tc>
        <w:tc>
          <w:tcPr>
            <w:tcW w:w="1817" w:type="dxa"/>
            <w:vAlign w:val="center"/>
          </w:tcPr>
          <w:p>
            <w:pPr>
              <w:widowControl/>
              <w:spacing w:line="240" w:lineRule="auto"/>
              <w:ind w:firstLine="0" w:firstLineChars="0"/>
              <w:jc w:val="center"/>
              <w:rPr>
                <w:sz w:val="21"/>
                <w:szCs w:val="21"/>
              </w:rPr>
            </w:pPr>
            <w:r>
              <w:rPr>
                <w:rFonts w:hint="eastAsia"/>
                <w:sz w:val="21"/>
                <w:szCs w:val="21"/>
              </w:rPr>
              <w:t>0.72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1800</w:t>
            </w:r>
          </w:p>
        </w:tc>
        <w:tc>
          <w:tcPr>
            <w:tcW w:w="1646" w:type="dxa"/>
            <w:vAlign w:val="center"/>
          </w:tcPr>
          <w:p>
            <w:pPr>
              <w:widowControl/>
              <w:spacing w:line="240" w:lineRule="auto"/>
              <w:ind w:firstLine="0" w:firstLineChars="0"/>
              <w:jc w:val="center"/>
              <w:rPr>
                <w:sz w:val="21"/>
                <w:szCs w:val="21"/>
              </w:rPr>
            </w:pPr>
            <w:r>
              <w:rPr>
                <w:rFonts w:hint="eastAsia"/>
                <w:sz w:val="21"/>
                <w:szCs w:val="21"/>
              </w:rPr>
              <w:t>0.002752</w:t>
            </w:r>
          </w:p>
        </w:tc>
        <w:tc>
          <w:tcPr>
            <w:tcW w:w="2192" w:type="dxa"/>
            <w:vAlign w:val="center"/>
          </w:tcPr>
          <w:p>
            <w:pPr>
              <w:widowControl/>
              <w:spacing w:line="240" w:lineRule="auto"/>
              <w:ind w:firstLine="0" w:firstLineChars="0"/>
              <w:jc w:val="center"/>
              <w:rPr>
                <w:sz w:val="21"/>
                <w:szCs w:val="21"/>
              </w:rPr>
            </w:pPr>
            <w:r>
              <w:rPr>
                <w:rFonts w:hint="eastAsia"/>
                <w:sz w:val="21"/>
                <w:szCs w:val="21"/>
              </w:rPr>
              <w:t>0.14</w:t>
            </w:r>
          </w:p>
        </w:tc>
        <w:tc>
          <w:tcPr>
            <w:tcW w:w="1897" w:type="dxa"/>
            <w:vAlign w:val="center"/>
          </w:tcPr>
          <w:p>
            <w:pPr>
              <w:widowControl/>
              <w:spacing w:line="240" w:lineRule="auto"/>
              <w:ind w:firstLine="0" w:firstLineChars="0"/>
              <w:jc w:val="center"/>
              <w:rPr>
                <w:sz w:val="21"/>
                <w:szCs w:val="21"/>
              </w:rPr>
            </w:pPr>
            <w:r>
              <w:rPr>
                <w:rFonts w:hint="eastAsia"/>
                <w:sz w:val="21"/>
                <w:szCs w:val="21"/>
              </w:rPr>
              <w:t>0.0007135</w:t>
            </w:r>
          </w:p>
        </w:tc>
        <w:tc>
          <w:tcPr>
            <w:tcW w:w="1817" w:type="dxa"/>
            <w:vAlign w:val="center"/>
          </w:tcPr>
          <w:p>
            <w:pPr>
              <w:widowControl/>
              <w:spacing w:line="240" w:lineRule="auto"/>
              <w:ind w:firstLine="0" w:firstLineChars="0"/>
              <w:jc w:val="center"/>
              <w:rPr>
                <w:sz w:val="21"/>
                <w:szCs w:val="21"/>
              </w:rPr>
            </w:pPr>
            <w:r>
              <w:rPr>
                <w:rFonts w:hint="eastAsia"/>
                <w:sz w:val="21"/>
                <w:szCs w:val="21"/>
              </w:rPr>
              <w:t>0.72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1900</w:t>
            </w:r>
          </w:p>
        </w:tc>
        <w:tc>
          <w:tcPr>
            <w:tcW w:w="1646" w:type="dxa"/>
            <w:vAlign w:val="center"/>
          </w:tcPr>
          <w:p>
            <w:pPr>
              <w:widowControl/>
              <w:spacing w:line="240" w:lineRule="auto"/>
              <w:ind w:firstLine="0" w:firstLineChars="0"/>
              <w:jc w:val="center"/>
              <w:rPr>
                <w:sz w:val="21"/>
                <w:szCs w:val="21"/>
              </w:rPr>
            </w:pPr>
            <w:r>
              <w:rPr>
                <w:rFonts w:hint="eastAsia"/>
                <w:sz w:val="21"/>
                <w:szCs w:val="21"/>
              </w:rPr>
              <w:t>0.002715</w:t>
            </w:r>
          </w:p>
        </w:tc>
        <w:tc>
          <w:tcPr>
            <w:tcW w:w="2192" w:type="dxa"/>
            <w:vAlign w:val="center"/>
          </w:tcPr>
          <w:p>
            <w:pPr>
              <w:widowControl/>
              <w:spacing w:line="240" w:lineRule="auto"/>
              <w:ind w:firstLine="0" w:firstLineChars="0"/>
              <w:jc w:val="center"/>
              <w:rPr>
                <w:sz w:val="21"/>
                <w:szCs w:val="21"/>
              </w:rPr>
            </w:pPr>
            <w:r>
              <w:rPr>
                <w:rFonts w:hint="eastAsia"/>
                <w:sz w:val="21"/>
                <w:szCs w:val="21"/>
              </w:rPr>
              <w:t>0.14</w:t>
            </w:r>
          </w:p>
        </w:tc>
        <w:tc>
          <w:tcPr>
            <w:tcW w:w="1897" w:type="dxa"/>
            <w:vAlign w:val="center"/>
          </w:tcPr>
          <w:p>
            <w:pPr>
              <w:widowControl/>
              <w:spacing w:line="240" w:lineRule="auto"/>
              <w:ind w:firstLine="0" w:firstLineChars="0"/>
              <w:jc w:val="center"/>
              <w:rPr>
                <w:sz w:val="21"/>
                <w:szCs w:val="21"/>
              </w:rPr>
            </w:pPr>
            <w:r>
              <w:rPr>
                <w:rFonts w:hint="eastAsia"/>
                <w:sz w:val="21"/>
                <w:szCs w:val="21"/>
              </w:rPr>
              <w:t>0.0007038</w:t>
            </w:r>
          </w:p>
        </w:tc>
        <w:tc>
          <w:tcPr>
            <w:tcW w:w="1817" w:type="dxa"/>
            <w:vAlign w:val="center"/>
          </w:tcPr>
          <w:p>
            <w:pPr>
              <w:widowControl/>
              <w:spacing w:line="240" w:lineRule="auto"/>
              <w:ind w:firstLine="0" w:firstLineChars="0"/>
              <w:jc w:val="center"/>
              <w:rPr>
                <w:sz w:val="21"/>
                <w:szCs w:val="21"/>
              </w:rPr>
            </w:pPr>
            <w:r>
              <w:rPr>
                <w:rFonts w:hint="eastAsia"/>
                <w:sz w:val="21"/>
                <w:szCs w:val="21"/>
              </w:rPr>
              <w:t>0.71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2000</w:t>
            </w:r>
          </w:p>
        </w:tc>
        <w:tc>
          <w:tcPr>
            <w:tcW w:w="1646" w:type="dxa"/>
            <w:vAlign w:val="center"/>
          </w:tcPr>
          <w:p>
            <w:pPr>
              <w:widowControl/>
              <w:spacing w:line="240" w:lineRule="auto"/>
              <w:ind w:firstLine="0" w:firstLineChars="0"/>
              <w:jc w:val="center"/>
              <w:rPr>
                <w:sz w:val="21"/>
                <w:szCs w:val="21"/>
              </w:rPr>
            </w:pPr>
            <w:r>
              <w:rPr>
                <w:rFonts w:hint="eastAsia"/>
                <w:sz w:val="21"/>
                <w:szCs w:val="21"/>
              </w:rPr>
              <w:t>0.002671</w:t>
            </w:r>
          </w:p>
        </w:tc>
        <w:tc>
          <w:tcPr>
            <w:tcW w:w="2192" w:type="dxa"/>
            <w:vAlign w:val="center"/>
          </w:tcPr>
          <w:p>
            <w:pPr>
              <w:widowControl/>
              <w:spacing w:line="240" w:lineRule="auto"/>
              <w:ind w:firstLine="0" w:firstLineChars="0"/>
              <w:jc w:val="center"/>
              <w:rPr>
                <w:sz w:val="21"/>
                <w:szCs w:val="21"/>
              </w:rPr>
            </w:pPr>
            <w:r>
              <w:rPr>
                <w:rFonts w:hint="eastAsia"/>
                <w:sz w:val="21"/>
                <w:szCs w:val="21"/>
              </w:rPr>
              <w:t>0.13</w:t>
            </w:r>
          </w:p>
        </w:tc>
        <w:tc>
          <w:tcPr>
            <w:tcW w:w="1897" w:type="dxa"/>
            <w:vAlign w:val="center"/>
          </w:tcPr>
          <w:p>
            <w:pPr>
              <w:widowControl/>
              <w:spacing w:line="240" w:lineRule="auto"/>
              <w:ind w:firstLine="0" w:firstLineChars="0"/>
              <w:jc w:val="center"/>
              <w:rPr>
                <w:sz w:val="21"/>
                <w:szCs w:val="21"/>
              </w:rPr>
            </w:pPr>
            <w:r>
              <w:rPr>
                <w:rFonts w:hint="eastAsia"/>
                <w:sz w:val="21"/>
                <w:szCs w:val="21"/>
              </w:rPr>
              <w:t>0.0006924</w:t>
            </w:r>
          </w:p>
        </w:tc>
        <w:tc>
          <w:tcPr>
            <w:tcW w:w="1817" w:type="dxa"/>
            <w:vAlign w:val="center"/>
          </w:tcPr>
          <w:p>
            <w:pPr>
              <w:widowControl/>
              <w:spacing w:line="240" w:lineRule="auto"/>
              <w:ind w:firstLine="0" w:firstLineChars="0"/>
              <w:jc w:val="center"/>
              <w:rPr>
                <w:sz w:val="21"/>
                <w:szCs w:val="21"/>
              </w:rPr>
            </w:pPr>
            <w:r>
              <w:rPr>
                <w:rFonts w:hint="eastAsia"/>
                <w:sz w:val="21"/>
                <w:szCs w:val="21"/>
              </w:rPr>
              <w:t>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2100</w:t>
            </w:r>
          </w:p>
        </w:tc>
        <w:tc>
          <w:tcPr>
            <w:tcW w:w="1646" w:type="dxa"/>
            <w:vAlign w:val="center"/>
          </w:tcPr>
          <w:p>
            <w:pPr>
              <w:widowControl/>
              <w:spacing w:line="240" w:lineRule="auto"/>
              <w:ind w:firstLine="0" w:firstLineChars="0"/>
              <w:jc w:val="center"/>
              <w:rPr>
                <w:sz w:val="21"/>
                <w:szCs w:val="21"/>
              </w:rPr>
            </w:pPr>
            <w:r>
              <w:rPr>
                <w:rFonts w:hint="eastAsia"/>
                <w:sz w:val="21"/>
                <w:szCs w:val="21"/>
              </w:rPr>
              <w:t>0.002615</w:t>
            </w:r>
          </w:p>
        </w:tc>
        <w:tc>
          <w:tcPr>
            <w:tcW w:w="2192" w:type="dxa"/>
            <w:vAlign w:val="center"/>
          </w:tcPr>
          <w:p>
            <w:pPr>
              <w:widowControl/>
              <w:spacing w:line="240" w:lineRule="auto"/>
              <w:ind w:firstLine="0" w:firstLineChars="0"/>
              <w:jc w:val="center"/>
              <w:rPr>
                <w:sz w:val="21"/>
                <w:szCs w:val="21"/>
              </w:rPr>
            </w:pPr>
            <w:r>
              <w:rPr>
                <w:rFonts w:hint="eastAsia"/>
                <w:sz w:val="21"/>
                <w:szCs w:val="21"/>
              </w:rPr>
              <w:t>0.13</w:t>
            </w:r>
          </w:p>
        </w:tc>
        <w:tc>
          <w:tcPr>
            <w:tcW w:w="1897" w:type="dxa"/>
            <w:vAlign w:val="center"/>
          </w:tcPr>
          <w:p>
            <w:pPr>
              <w:widowControl/>
              <w:spacing w:line="240" w:lineRule="auto"/>
              <w:ind w:firstLine="0" w:firstLineChars="0"/>
              <w:jc w:val="center"/>
              <w:rPr>
                <w:sz w:val="21"/>
                <w:szCs w:val="21"/>
              </w:rPr>
            </w:pPr>
            <w:r>
              <w:rPr>
                <w:rFonts w:hint="eastAsia"/>
                <w:sz w:val="21"/>
                <w:szCs w:val="21"/>
              </w:rPr>
              <w:t>0.000678</w:t>
            </w:r>
          </w:p>
        </w:tc>
        <w:tc>
          <w:tcPr>
            <w:tcW w:w="1817" w:type="dxa"/>
            <w:vAlign w:val="center"/>
          </w:tcPr>
          <w:p>
            <w:pPr>
              <w:widowControl/>
              <w:spacing w:line="240" w:lineRule="auto"/>
              <w:ind w:firstLine="0" w:firstLineChars="0"/>
              <w:jc w:val="center"/>
              <w:rPr>
                <w:sz w:val="21"/>
                <w:szCs w:val="21"/>
              </w:rPr>
            </w:pPr>
            <w:r>
              <w:rPr>
                <w:rFonts w:hint="eastAsia"/>
                <w:sz w:val="21"/>
                <w:szCs w:val="21"/>
              </w:rPr>
              <w:t>0.69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2200</w:t>
            </w:r>
          </w:p>
        </w:tc>
        <w:tc>
          <w:tcPr>
            <w:tcW w:w="1646" w:type="dxa"/>
            <w:vAlign w:val="center"/>
          </w:tcPr>
          <w:p>
            <w:pPr>
              <w:widowControl/>
              <w:spacing w:line="240" w:lineRule="auto"/>
              <w:ind w:firstLine="0" w:firstLineChars="0"/>
              <w:jc w:val="center"/>
              <w:rPr>
                <w:sz w:val="21"/>
                <w:szCs w:val="21"/>
              </w:rPr>
            </w:pPr>
            <w:r>
              <w:rPr>
                <w:rFonts w:hint="eastAsia"/>
                <w:sz w:val="21"/>
                <w:szCs w:val="21"/>
              </w:rPr>
              <w:t>0.002558</w:t>
            </w:r>
          </w:p>
        </w:tc>
        <w:tc>
          <w:tcPr>
            <w:tcW w:w="2192" w:type="dxa"/>
            <w:vAlign w:val="center"/>
          </w:tcPr>
          <w:p>
            <w:pPr>
              <w:widowControl/>
              <w:spacing w:line="240" w:lineRule="auto"/>
              <w:ind w:firstLine="0" w:firstLineChars="0"/>
              <w:jc w:val="center"/>
              <w:rPr>
                <w:sz w:val="21"/>
                <w:szCs w:val="21"/>
              </w:rPr>
            </w:pPr>
            <w:r>
              <w:rPr>
                <w:rFonts w:hint="eastAsia"/>
                <w:sz w:val="21"/>
                <w:szCs w:val="21"/>
              </w:rPr>
              <w:t>0.13</w:t>
            </w:r>
          </w:p>
        </w:tc>
        <w:tc>
          <w:tcPr>
            <w:tcW w:w="1897" w:type="dxa"/>
            <w:vAlign w:val="center"/>
          </w:tcPr>
          <w:p>
            <w:pPr>
              <w:widowControl/>
              <w:spacing w:line="240" w:lineRule="auto"/>
              <w:ind w:firstLine="0" w:firstLineChars="0"/>
              <w:jc w:val="center"/>
              <w:rPr>
                <w:sz w:val="21"/>
                <w:szCs w:val="21"/>
              </w:rPr>
            </w:pPr>
            <w:r>
              <w:rPr>
                <w:rFonts w:hint="eastAsia"/>
                <w:sz w:val="21"/>
                <w:szCs w:val="21"/>
              </w:rPr>
              <w:t>0.0006632</w:t>
            </w:r>
          </w:p>
        </w:tc>
        <w:tc>
          <w:tcPr>
            <w:tcW w:w="1817" w:type="dxa"/>
            <w:vAlign w:val="center"/>
          </w:tcPr>
          <w:p>
            <w:pPr>
              <w:widowControl/>
              <w:spacing w:line="240" w:lineRule="auto"/>
              <w:ind w:firstLine="0" w:firstLineChars="0"/>
              <w:jc w:val="center"/>
              <w:rPr>
                <w:sz w:val="21"/>
                <w:szCs w:val="21"/>
              </w:rPr>
            </w:pPr>
            <w:r>
              <w:rPr>
                <w:rFonts w:hint="eastAsia"/>
                <w:sz w:val="21"/>
                <w:szCs w:val="21"/>
              </w:rPr>
              <w:t>0.68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2300</w:t>
            </w:r>
          </w:p>
        </w:tc>
        <w:tc>
          <w:tcPr>
            <w:tcW w:w="1646" w:type="dxa"/>
            <w:vAlign w:val="center"/>
          </w:tcPr>
          <w:p>
            <w:pPr>
              <w:widowControl/>
              <w:spacing w:line="240" w:lineRule="auto"/>
              <w:ind w:firstLine="0" w:firstLineChars="0"/>
              <w:jc w:val="center"/>
              <w:rPr>
                <w:sz w:val="21"/>
                <w:szCs w:val="21"/>
              </w:rPr>
            </w:pPr>
            <w:r>
              <w:rPr>
                <w:rFonts w:hint="eastAsia"/>
                <w:sz w:val="21"/>
                <w:szCs w:val="21"/>
              </w:rPr>
              <w:t>0.002499</w:t>
            </w:r>
          </w:p>
        </w:tc>
        <w:tc>
          <w:tcPr>
            <w:tcW w:w="2192" w:type="dxa"/>
            <w:vAlign w:val="center"/>
          </w:tcPr>
          <w:p>
            <w:pPr>
              <w:widowControl/>
              <w:spacing w:line="240" w:lineRule="auto"/>
              <w:ind w:firstLine="0" w:firstLineChars="0"/>
              <w:jc w:val="center"/>
              <w:rPr>
                <w:sz w:val="21"/>
                <w:szCs w:val="21"/>
              </w:rPr>
            </w:pPr>
            <w:r>
              <w:rPr>
                <w:rFonts w:hint="eastAsia"/>
                <w:sz w:val="21"/>
                <w:szCs w:val="21"/>
              </w:rPr>
              <w:t>0.12</w:t>
            </w:r>
          </w:p>
        </w:tc>
        <w:tc>
          <w:tcPr>
            <w:tcW w:w="1897" w:type="dxa"/>
            <w:vAlign w:val="center"/>
          </w:tcPr>
          <w:p>
            <w:pPr>
              <w:widowControl/>
              <w:spacing w:line="240" w:lineRule="auto"/>
              <w:ind w:firstLine="0" w:firstLineChars="0"/>
              <w:jc w:val="center"/>
              <w:rPr>
                <w:sz w:val="21"/>
                <w:szCs w:val="21"/>
              </w:rPr>
            </w:pPr>
            <w:r>
              <w:rPr>
                <w:rFonts w:hint="eastAsia"/>
                <w:sz w:val="21"/>
                <w:szCs w:val="21"/>
              </w:rPr>
              <w:t>0.000648</w:t>
            </w:r>
          </w:p>
        </w:tc>
        <w:tc>
          <w:tcPr>
            <w:tcW w:w="1817" w:type="dxa"/>
            <w:vAlign w:val="center"/>
          </w:tcPr>
          <w:p>
            <w:pPr>
              <w:widowControl/>
              <w:spacing w:line="240" w:lineRule="auto"/>
              <w:ind w:firstLine="0" w:firstLineChars="0"/>
              <w:jc w:val="center"/>
              <w:rPr>
                <w:sz w:val="21"/>
                <w:szCs w:val="21"/>
              </w:rPr>
            </w:pPr>
            <w:r>
              <w:rPr>
                <w:rFonts w:hint="eastAsia"/>
                <w:sz w:val="21"/>
                <w:szCs w:val="21"/>
              </w:rPr>
              <w:t>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2400</w:t>
            </w:r>
          </w:p>
        </w:tc>
        <w:tc>
          <w:tcPr>
            <w:tcW w:w="1646" w:type="dxa"/>
            <w:vAlign w:val="center"/>
          </w:tcPr>
          <w:p>
            <w:pPr>
              <w:widowControl/>
              <w:spacing w:line="240" w:lineRule="auto"/>
              <w:ind w:firstLine="0" w:firstLineChars="0"/>
              <w:jc w:val="center"/>
              <w:rPr>
                <w:sz w:val="21"/>
                <w:szCs w:val="21"/>
              </w:rPr>
            </w:pPr>
            <w:r>
              <w:rPr>
                <w:rFonts w:hint="eastAsia"/>
                <w:sz w:val="21"/>
                <w:szCs w:val="21"/>
              </w:rPr>
              <w:t>0.002441</w:t>
            </w:r>
          </w:p>
        </w:tc>
        <w:tc>
          <w:tcPr>
            <w:tcW w:w="2192" w:type="dxa"/>
            <w:vAlign w:val="center"/>
          </w:tcPr>
          <w:p>
            <w:pPr>
              <w:widowControl/>
              <w:spacing w:line="240" w:lineRule="auto"/>
              <w:ind w:firstLine="0" w:firstLineChars="0"/>
              <w:jc w:val="center"/>
              <w:rPr>
                <w:sz w:val="21"/>
                <w:szCs w:val="21"/>
              </w:rPr>
            </w:pPr>
            <w:r>
              <w:rPr>
                <w:rFonts w:hint="eastAsia"/>
                <w:sz w:val="21"/>
                <w:szCs w:val="21"/>
              </w:rPr>
              <w:t>0.12</w:t>
            </w:r>
          </w:p>
        </w:tc>
        <w:tc>
          <w:tcPr>
            <w:tcW w:w="1897" w:type="dxa"/>
            <w:vAlign w:val="center"/>
          </w:tcPr>
          <w:p>
            <w:pPr>
              <w:widowControl/>
              <w:spacing w:line="240" w:lineRule="auto"/>
              <w:ind w:firstLine="0" w:firstLineChars="0"/>
              <w:jc w:val="center"/>
              <w:rPr>
                <w:sz w:val="21"/>
                <w:szCs w:val="21"/>
              </w:rPr>
            </w:pPr>
            <w:r>
              <w:rPr>
                <w:rFonts w:hint="eastAsia"/>
                <w:sz w:val="21"/>
                <w:szCs w:val="21"/>
              </w:rPr>
              <w:t>0.0006327</w:t>
            </w:r>
          </w:p>
        </w:tc>
        <w:tc>
          <w:tcPr>
            <w:tcW w:w="1817" w:type="dxa"/>
            <w:vAlign w:val="center"/>
          </w:tcPr>
          <w:p>
            <w:pPr>
              <w:widowControl/>
              <w:spacing w:line="240" w:lineRule="auto"/>
              <w:ind w:firstLine="0" w:firstLineChars="0"/>
              <w:jc w:val="center"/>
              <w:rPr>
                <w:sz w:val="21"/>
                <w:szCs w:val="21"/>
              </w:rPr>
            </w:pPr>
            <w:r>
              <w:rPr>
                <w:rFonts w:hint="eastAsia"/>
                <w:sz w:val="21"/>
                <w:szCs w:val="21"/>
              </w:rPr>
              <w:t>0.65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hint="eastAsia"/>
                <w:sz w:val="21"/>
                <w:szCs w:val="21"/>
              </w:rPr>
              <w:t>2500</w:t>
            </w:r>
          </w:p>
        </w:tc>
        <w:tc>
          <w:tcPr>
            <w:tcW w:w="1646" w:type="dxa"/>
            <w:vAlign w:val="center"/>
          </w:tcPr>
          <w:p>
            <w:pPr>
              <w:widowControl/>
              <w:spacing w:line="240" w:lineRule="auto"/>
              <w:ind w:firstLine="0" w:firstLineChars="0"/>
              <w:jc w:val="center"/>
              <w:rPr>
                <w:sz w:val="21"/>
                <w:szCs w:val="21"/>
              </w:rPr>
            </w:pPr>
            <w:r>
              <w:rPr>
                <w:rFonts w:hint="eastAsia"/>
                <w:sz w:val="21"/>
                <w:szCs w:val="21"/>
              </w:rPr>
              <w:t>0.002431</w:t>
            </w:r>
          </w:p>
        </w:tc>
        <w:tc>
          <w:tcPr>
            <w:tcW w:w="2192" w:type="dxa"/>
            <w:vAlign w:val="center"/>
          </w:tcPr>
          <w:p>
            <w:pPr>
              <w:widowControl/>
              <w:spacing w:line="240" w:lineRule="auto"/>
              <w:ind w:firstLine="0" w:firstLineChars="0"/>
              <w:jc w:val="center"/>
              <w:rPr>
                <w:sz w:val="21"/>
                <w:szCs w:val="21"/>
              </w:rPr>
            </w:pPr>
            <w:r>
              <w:rPr>
                <w:rFonts w:hint="eastAsia"/>
                <w:sz w:val="21"/>
                <w:szCs w:val="21"/>
              </w:rPr>
              <w:t>0.12</w:t>
            </w:r>
          </w:p>
        </w:tc>
        <w:tc>
          <w:tcPr>
            <w:tcW w:w="1897" w:type="dxa"/>
            <w:vAlign w:val="center"/>
          </w:tcPr>
          <w:p>
            <w:pPr>
              <w:widowControl/>
              <w:spacing w:line="240" w:lineRule="auto"/>
              <w:ind w:firstLine="0" w:firstLineChars="0"/>
              <w:jc w:val="center"/>
              <w:rPr>
                <w:sz w:val="21"/>
                <w:szCs w:val="21"/>
              </w:rPr>
            </w:pPr>
            <w:r>
              <w:rPr>
                <w:rFonts w:hint="eastAsia"/>
                <w:sz w:val="21"/>
                <w:szCs w:val="21"/>
              </w:rPr>
              <w:t>0.0006304</w:t>
            </w:r>
          </w:p>
        </w:tc>
        <w:tc>
          <w:tcPr>
            <w:tcW w:w="1817" w:type="dxa"/>
            <w:vAlign w:val="center"/>
          </w:tcPr>
          <w:p>
            <w:pPr>
              <w:widowControl/>
              <w:spacing w:line="240" w:lineRule="auto"/>
              <w:ind w:firstLine="0" w:firstLineChars="0"/>
              <w:jc w:val="center"/>
              <w:rPr>
                <w:sz w:val="21"/>
                <w:szCs w:val="21"/>
              </w:rPr>
            </w:pPr>
            <w:r>
              <w:rPr>
                <w:rFonts w:hint="eastAsia"/>
                <w:sz w:val="21"/>
                <w:szCs w:val="21"/>
              </w:rPr>
              <w:t>0.63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下风向最大浓度（占标率）</w:t>
            </w:r>
          </w:p>
        </w:tc>
        <w:tc>
          <w:tcPr>
            <w:tcW w:w="1646" w:type="dxa"/>
            <w:vAlign w:val="center"/>
          </w:tcPr>
          <w:p>
            <w:pPr>
              <w:widowControl/>
              <w:spacing w:line="240" w:lineRule="auto"/>
              <w:ind w:firstLine="0" w:firstLineChars="0"/>
              <w:jc w:val="center"/>
              <w:rPr>
                <w:sz w:val="21"/>
                <w:szCs w:val="21"/>
              </w:rPr>
            </w:pPr>
            <w:r>
              <w:rPr>
                <w:rFonts w:hint="eastAsia"/>
                <w:sz w:val="21"/>
                <w:szCs w:val="21"/>
              </w:rPr>
              <w:t>0.002796</w:t>
            </w:r>
          </w:p>
        </w:tc>
        <w:tc>
          <w:tcPr>
            <w:tcW w:w="2192" w:type="dxa"/>
            <w:vAlign w:val="center"/>
          </w:tcPr>
          <w:p>
            <w:pPr>
              <w:widowControl/>
              <w:spacing w:line="240" w:lineRule="auto"/>
              <w:ind w:firstLine="0" w:firstLineChars="0"/>
              <w:jc w:val="center"/>
              <w:rPr>
                <w:sz w:val="21"/>
                <w:szCs w:val="21"/>
              </w:rPr>
            </w:pPr>
            <w:r>
              <w:rPr>
                <w:rFonts w:hint="eastAsia"/>
                <w:sz w:val="21"/>
                <w:szCs w:val="21"/>
              </w:rPr>
              <w:t>0.14</w:t>
            </w:r>
          </w:p>
        </w:tc>
        <w:tc>
          <w:tcPr>
            <w:tcW w:w="1897" w:type="dxa"/>
            <w:vAlign w:val="center"/>
          </w:tcPr>
          <w:p>
            <w:pPr>
              <w:widowControl/>
              <w:spacing w:line="240" w:lineRule="auto"/>
              <w:ind w:firstLine="0" w:firstLineChars="0"/>
              <w:jc w:val="center"/>
              <w:rPr>
                <w:sz w:val="21"/>
                <w:szCs w:val="21"/>
              </w:rPr>
            </w:pPr>
            <w:r>
              <w:rPr>
                <w:rFonts w:hint="eastAsia"/>
                <w:sz w:val="21"/>
                <w:szCs w:val="21"/>
              </w:rPr>
              <w:t>0.000725</w:t>
            </w:r>
          </w:p>
        </w:tc>
        <w:tc>
          <w:tcPr>
            <w:tcW w:w="1817" w:type="dxa"/>
            <w:vAlign w:val="center"/>
          </w:tcPr>
          <w:p>
            <w:pPr>
              <w:widowControl/>
              <w:spacing w:line="240" w:lineRule="auto"/>
              <w:ind w:firstLine="0" w:firstLineChars="0"/>
              <w:jc w:val="center"/>
              <w:rPr>
                <w:sz w:val="21"/>
                <w:szCs w:val="21"/>
              </w:rPr>
            </w:pPr>
            <w:r>
              <w:rPr>
                <w:rFonts w:hint="eastAsia"/>
                <w:sz w:val="21"/>
                <w:szCs w:val="21"/>
              </w:rPr>
              <w:t>0.72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rFonts w:cs="Times New Roman"/>
                <w:color w:val="000000"/>
                <w:sz w:val="21"/>
                <w:szCs w:val="21"/>
                <w:lang w:bidi="ar"/>
              </w:rPr>
            </w:pPr>
            <w:r>
              <w:rPr>
                <w:rFonts w:hint="eastAsia" w:cs="Times New Roman"/>
                <w:color w:val="000000"/>
                <w:sz w:val="21"/>
                <w:szCs w:val="21"/>
                <w:lang w:bidi="ar"/>
              </w:rPr>
              <w:t>下风向最大浓度出现距离m</w:t>
            </w:r>
          </w:p>
        </w:tc>
        <w:tc>
          <w:tcPr>
            <w:tcW w:w="3838" w:type="dxa"/>
            <w:gridSpan w:val="2"/>
            <w:vAlign w:val="center"/>
          </w:tcPr>
          <w:p>
            <w:pPr>
              <w:widowControl/>
              <w:spacing w:line="240" w:lineRule="auto"/>
              <w:ind w:firstLine="0" w:firstLineChars="0"/>
              <w:jc w:val="center"/>
              <w:rPr>
                <w:sz w:val="21"/>
                <w:szCs w:val="21"/>
              </w:rPr>
            </w:pPr>
            <w:r>
              <w:rPr>
                <w:rFonts w:hint="eastAsia"/>
                <w:sz w:val="21"/>
                <w:szCs w:val="21"/>
              </w:rPr>
              <w:t>1554</w:t>
            </w:r>
          </w:p>
        </w:tc>
        <w:tc>
          <w:tcPr>
            <w:tcW w:w="3714" w:type="dxa"/>
            <w:gridSpan w:val="2"/>
            <w:vAlign w:val="center"/>
          </w:tcPr>
          <w:p>
            <w:pPr>
              <w:widowControl/>
              <w:spacing w:line="240" w:lineRule="auto"/>
              <w:ind w:firstLine="0" w:firstLineChars="0"/>
              <w:jc w:val="center"/>
              <w:rPr>
                <w:sz w:val="21"/>
                <w:szCs w:val="21"/>
              </w:rPr>
            </w:pPr>
            <w:r>
              <w:rPr>
                <w:rFonts w:hint="eastAsia"/>
                <w:sz w:val="21"/>
                <w:szCs w:val="21"/>
              </w:rPr>
              <w:t>1554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35" w:type="dxa"/>
            <w:vAlign w:val="center"/>
          </w:tcPr>
          <w:p>
            <w:pPr>
              <w:widowControl/>
              <w:spacing w:line="240" w:lineRule="auto"/>
              <w:ind w:firstLine="0" w:firstLineChars="0"/>
              <w:jc w:val="center"/>
              <w:rPr>
                <w:color w:val="000000"/>
                <w:sz w:val="21"/>
                <w:szCs w:val="21"/>
                <w:lang w:bidi="ar"/>
              </w:rPr>
            </w:pPr>
            <w:r>
              <w:rPr>
                <w:rFonts w:cs="Times New Roman"/>
                <w:color w:val="000000"/>
                <w:sz w:val="21"/>
                <w:szCs w:val="21"/>
                <w:lang w:bidi="ar"/>
              </w:rPr>
              <w:t>D</w:t>
            </w:r>
            <w:r>
              <w:rPr>
                <w:rFonts w:cs="Times New Roman"/>
                <w:color w:val="000000"/>
                <w:sz w:val="21"/>
                <w:szCs w:val="21"/>
                <w:vertAlign w:val="subscript"/>
                <w:lang w:bidi="ar"/>
              </w:rPr>
              <w:t>10</w:t>
            </w:r>
            <w:r>
              <w:rPr>
                <w:rFonts w:cs="Times New Roman"/>
                <w:color w:val="000000"/>
                <w:sz w:val="21"/>
                <w:szCs w:val="21"/>
                <w:lang w:bidi="ar"/>
              </w:rPr>
              <w:t>%</w:t>
            </w:r>
            <w:r>
              <w:rPr>
                <w:rFonts w:hint="eastAsia" w:ascii="宋体" w:hAnsi="宋体"/>
                <w:color w:val="000000"/>
                <w:sz w:val="21"/>
                <w:szCs w:val="21"/>
                <w:lang w:bidi="ar"/>
              </w:rPr>
              <w:t>最远</w:t>
            </w:r>
          </w:p>
        </w:tc>
        <w:tc>
          <w:tcPr>
            <w:tcW w:w="3838" w:type="dxa"/>
            <w:gridSpan w:val="2"/>
            <w:vAlign w:val="center"/>
          </w:tcPr>
          <w:p>
            <w:pPr>
              <w:widowControl/>
              <w:spacing w:line="240" w:lineRule="auto"/>
              <w:ind w:firstLine="0" w:firstLineChars="0"/>
              <w:jc w:val="center"/>
              <w:rPr>
                <w:sz w:val="21"/>
                <w:szCs w:val="21"/>
              </w:rPr>
            </w:pPr>
            <w:r>
              <w:rPr>
                <w:rFonts w:hint="eastAsia"/>
                <w:sz w:val="21"/>
                <w:szCs w:val="21"/>
              </w:rPr>
              <w:t>/</w:t>
            </w:r>
          </w:p>
        </w:tc>
        <w:tc>
          <w:tcPr>
            <w:tcW w:w="3714" w:type="dxa"/>
            <w:gridSpan w:val="2"/>
            <w:vAlign w:val="center"/>
          </w:tcPr>
          <w:p>
            <w:pPr>
              <w:widowControl/>
              <w:spacing w:line="240" w:lineRule="auto"/>
              <w:ind w:firstLine="0" w:firstLineChars="0"/>
              <w:jc w:val="center"/>
              <w:rPr>
                <w:sz w:val="21"/>
                <w:szCs w:val="21"/>
              </w:rPr>
            </w:pPr>
            <w:r>
              <w:rPr>
                <w:rFonts w:hint="eastAsia"/>
                <w:sz w:val="21"/>
                <w:szCs w:val="21"/>
              </w:rPr>
              <w:t>/</w:t>
            </w:r>
          </w:p>
        </w:tc>
      </w:tr>
    </w:tbl>
    <w:p>
      <w:pPr>
        <w:pStyle w:val="25"/>
        <w:widowControl/>
        <w:spacing w:beforeAutospacing="0" w:afterAutospacing="0"/>
        <w:ind w:firstLine="480"/>
        <w:jc w:val="both"/>
      </w:pPr>
      <w:r>
        <w:rPr>
          <w:rFonts w:hint="eastAsia"/>
        </w:rPr>
        <w:t>从上表可以看出，</w:t>
      </w:r>
      <w:r>
        <w:t>非正常工况下，当净化装置失效，废气净化效率降为0时，</w:t>
      </w:r>
      <w:r>
        <w:rPr>
          <w:rFonts w:hint="eastAsia"/>
          <w:lang w:val="en-US" w:eastAsia="zh-CN"/>
        </w:rPr>
        <w:t>DA001</w:t>
      </w:r>
      <w:r>
        <w:t>排气筒有组织排放</w:t>
      </w:r>
      <w:r>
        <w:rPr>
          <w:rFonts w:hint="eastAsia"/>
        </w:rPr>
        <w:t>颗粒物</w:t>
      </w:r>
      <w:r>
        <w:t>最大地面浓度、最大浓度占标百分比分别为</w:t>
      </w:r>
      <w:r>
        <w:rPr>
          <w:rFonts w:hint="eastAsia"/>
        </w:rPr>
        <w:t>0.006058</w:t>
      </w:r>
      <w:r>
        <w:t>mg/m</w:t>
      </w:r>
      <w:r>
        <w:rPr>
          <w:rFonts w:hint="eastAsia"/>
          <w:vertAlign w:val="superscript"/>
        </w:rPr>
        <w:t>3</w:t>
      </w:r>
      <w:r>
        <w:t>、</w:t>
      </w:r>
      <w:r>
        <w:rPr>
          <w:rFonts w:hint="eastAsia"/>
        </w:rPr>
        <w:t>1.35</w:t>
      </w:r>
      <w:r>
        <w:t>%</w:t>
      </w:r>
      <w:r>
        <w:rPr>
          <w:rFonts w:hint="eastAsia"/>
        </w:rPr>
        <w:t>；</w:t>
      </w:r>
      <w:r>
        <w:t>有组织排放</w:t>
      </w:r>
      <w:r>
        <w:rPr>
          <w:rFonts w:hint="eastAsia"/>
        </w:rPr>
        <w:t>非甲烷总烃</w:t>
      </w:r>
      <w:r>
        <w:t>最大地面浓度、最大浓度占标百分比分别为</w:t>
      </w:r>
      <w:r>
        <w:rPr>
          <w:rFonts w:hint="eastAsia"/>
        </w:rPr>
        <w:t>0.04223</w:t>
      </w:r>
      <w:r>
        <w:t>mg/m</w:t>
      </w:r>
      <w:r>
        <w:rPr>
          <w:rFonts w:hint="eastAsia"/>
          <w:vertAlign w:val="superscript"/>
        </w:rPr>
        <w:t>3</w:t>
      </w:r>
      <w:r>
        <w:t>、</w:t>
      </w:r>
      <w:r>
        <w:rPr>
          <w:rFonts w:hint="eastAsia"/>
        </w:rPr>
        <w:t>2.11</w:t>
      </w:r>
      <w:r>
        <w:t>%</w:t>
      </w:r>
      <w:r>
        <w:rPr>
          <w:rFonts w:hint="eastAsia"/>
        </w:rPr>
        <w:t>；</w:t>
      </w:r>
      <w:r>
        <w:t>有组织排放</w:t>
      </w:r>
      <w:r>
        <w:rPr>
          <w:rFonts w:hint="eastAsia"/>
        </w:rPr>
        <w:t>硫化氢</w:t>
      </w:r>
      <w:r>
        <w:t>最大地面浓度、最大浓度占标百分比分别为</w:t>
      </w:r>
      <w:r>
        <w:rPr>
          <w:rFonts w:hint="eastAsia"/>
        </w:rPr>
        <w:t>1.747</w:t>
      </w:r>
      <w:r>
        <w:rPr>
          <w:rFonts w:hint="default"/>
          <w:sz w:val="21"/>
          <w:szCs w:val="21"/>
        </w:rPr>
        <w:t>×</w:t>
      </w:r>
      <w:r>
        <w:rPr>
          <w:rFonts w:hint="eastAsia"/>
          <w:sz w:val="21"/>
          <w:szCs w:val="21"/>
          <w:lang w:val="en-US" w:eastAsia="zh-CN"/>
        </w:rPr>
        <w:t>10</w:t>
      </w:r>
      <w:r>
        <w:rPr>
          <w:rFonts w:hint="eastAsia"/>
          <w:sz w:val="21"/>
          <w:szCs w:val="21"/>
          <w:vertAlign w:val="superscript"/>
          <w:lang w:val="en-US" w:eastAsia="zh-CN"/>
        </w:rPr>
        <w:t>-6</w:t>
      </w:r>
      <w:r>
        <w:t>mg/m</w:t>
      </w:r>
      <w:r>
        <w:rPr>
          <w:rFonts w:hint="eastAsia"/>
          <w:vertAlign w:val="superscript"/>
        </w:rPr>
        <w:t>3</w:t>
      </w:r>
      <w:r>
        <w:t>、</w:t>
      </w:r>
      <w:r>
        <w:rPr>
          <w:rFonts w:hint="eastAsia"/>
        </w:rPr>
        <w:t>0.02</w:t>
      </w:r>
      <w:r>
        <w:t>%，出现在距源中心下风向</w:t>
      </w:r>
      <w:r>
        <w:rPr>
          <w:rFonts w:hint="eastAsia"/>
          <w:lang w:val="en-US" w:eastAsia="zh-CN"/>
        </w:rPr>
        <w:t>923</w:t>
      </w:r>
      <w:r>
        <w:rPr>
          <w:rFonts w:hint="eastAsia"/>
        </w:rPr>
        <w:t>m</w:t>
      </w:r>
      <w:r>
        <w:t>处</w:t>
      </w:r>
      <w:r>
        <w:rPr>
          <w:rFonts w:hint="eastAsia"/>
        </w:rPr>
        <w:t>；</w:t>
      </w:r>
      <w:r>
        <w:rPr>
          <w:rFonts w:hint="eastAsia"/>
          <w:lang w:val="en-US" w:eastAsia="zh-CN"/>
        </w:rPr>
        <w:t>DA002</w:t>
      </w:r>
      <w:r>
        <w:t>排气筒非甲烷总烃最大地面浓度、最大浓度占标百分比分别为</w:t>
      </w:r>
      <w:r>
        <w:rPr>
          <w:rFonts w:hint="eastAsia"/>
        </w:rPr>
        <w:t>0.04072</w:t>
      </w:r>
      <w:r>
        <w:t>mg/m</w:t>
      </w:r>
      <w:r>
        <w:rPr>
          <w:rFonts w:hint="eastAsia"/>
          <w:vertAlign w:val="superscript"/>
        </w:rPr>
        <w:t>3</w:t>
      </w:r>
      <w:r>
        <w:t>、</w:t>
      </w:r>
      <w:r>
        <w:rPr>
          <w:rFonts w:hint="eastAsia"/>
          <w:lang w:val="en-US" w:eastAsia="zh-CN"/>
        </w:rPr>
        <w:t>2.04</w:t>
      </w:r>
      <w:r>
        <w:t>%，出现在距源中心下风向</w:t>
      </w:r>
      <w:r>
        <w:rPr>
          <w:rFonts w:hint="eastAsia"/>
        </w:rPr>
        <w:t>1241m</w:t>
      </w:r>
      <w:r>
        <w:t>处</w:t>
      </w:r>
      <w:r>
        <w:rPr>
          <w:rFonts w:hint="eastAsia"/>
        </w:rPr>
        <w:t>；颗粒物</w:t>
      </w:r>
      <w:r>
        <w:t>最大地面浓度、最大浓度占标百分比分别为</w:t>
      </w:r>
      <w:r>
        <w:rPr>
          <w:rFonts w:hint="eastAsia"/>
        </w:rPr>
        <w:t>0.0002483</w:t>
      </w:r>
      <w:r>
        <w:t>mg/m</w:t>
      </w:r>
      <w:r>
        <w:rPr>
          <w:rFonts w:hint="eastAsia"/>
          <w:vertAlign w:val="superscript"/>
        </w:rPr>
        <w:t>3</w:t>
      </w:r>
      <w:r>
        <w:t>、</w:t>
      </w:r>
      <w:r>
        <w:rPr>
          <w:rFonts w:hint="eastAsia"/>
        </w:rPr>
        <w:t>0.</w:t>
      </w:r>
      <w:r>
        <w:rPr>
          <w:rFonts w:hint="eastAsia"/>
          <w:lang w:val="en-US" w:eastAsia="zh-CN"/>
        </w:rPr>
        <w:t>06</w:t>
      </w:r>
      <w:r>
        <w:t>%</w:t>
      </w:r>
      <w:r>
        <w:rPr>
          <w:rFonts w:hint="eastAsia"/>
        </w:rPr>
        <w:t>；</w:t>
      </w:r>
      <w:r>
        <w:rPr>
          <w:rFonts w:hint="eastAsia"/>
          <w:lang w:eastAsia="zh-CN"/>
        </w:rPr>
        <w:t>污水处理站排气筒</w:t>
      </w:r>
      <w:r>
        <w:rPr>
          <w:rFonts w:hint="eastAsia"/>
          <w:lang w:val="en-US" w:eastAsia="zh-CN"/>
        </w:rPr>
        <w:t>DA003</w:t>
      </w:r>
      <w:r>
        <w:rPr>
          <w:rFonts w:hint="eastAsia"/>
        </w:rPr>
        <w:t>硫化氢</w:t>
      </w:r>
      <w:r>
        <w:t>最大地面浓度、最大浓度占标百分比分别为</w:t>
      </w:r>
      <w:r>
        <w:rPr>
          <w:rFonts w:hint="eastAsia"/>
        </w:rPr>
        <w:t>0.002796</w:t>
      </w:r>
      <w:r>
        <w:t>mg/m²、</w:t>
      </w:r>
      <w:r>
        <w:rPr>
          <w:rFonts w:hint="eastAsia"/>
        </w:rPr>
        <w:t>0.14</w:t>
      </w:r>
      <w:r>
        <w:t>%出现在距源中心下风向</w:t>
      </w:r>
      <w:r>
        <w:rPr>
          <w:rFonts w:hint="eastAsia"/>
          <w:lang w:val="en-US" w:eastAsia="zh-CN"/>
        </w:rPr>
        <w:t>1554</w:t>
      </w:r>
      <w:r>
        <w:rPr>
          <w:rFonts w:hint="eastAsia"/>
        </w:rPr>
        <w:t>m</w:t>
      </w:r>
      <w:r>
        <w:t>处</w:t>
      </w:r>
      <w:r>
        <w:rPr>
          <w:rFonts w:hint="eastAsia"/>
          <w:lang w:eastAsia="zh-CN"/>
        </w:rPr>
        <w:t>；氨</w:t>
      </w:r>
      <w:r>
        <w:t>最大地面浓度、最大浓度占标百分比分别为</w:t>
      </w:r>
      <w:r>
        <w:rPr>
          <w:rFonts w:hint="eastAsia"/>
        </w:rPr>
        <w:t>0.000725</w:t>
      </w:r>
      <w:r>
        <w:t>mg/m²、</w:t>
      </w:r>
      <w:r>
        <w:rPr>
          <w:rFonts w:hint="eastAsia"/>
        </w:rPr>
        <w:t>0.</w:t>
      </w:r>
      <w:r>
        <w:rPr>
          <w:rFonts w:hint="eastAsia"/>
          <w:lang w:val="en-US" w:eastAsia="zh-CN"/>
        </w:rPr>
        <w:t>72</w:t>
      </w:r>
      <w:r>
        <w:t>%出现在距源中心下风向</w:t>
      </w:r>
      <w:r>
        <w:rPr>
          <w:rFonts w:hint="eastAsia"/>
          <w:lang w:val="en-US" w:eastAsia="zh-CN"/>
        </w:rPr>
        <w:t>1554</w:t>
      </w:r>
      <w:r>
        <w:rPr>
          <w:rFonts w:hint="eastAsia"/>
        </w:rPr>
        <w:t>m</w:t>
      </w:r>
      <w:r>
        <w:t>处。非正常</w:t>
      </w:r>
      <w:r>
        <w:rPr>
          <w:rFonts w:hint="eastAsia"/>
        </w:rPr>
        <w:t>工况</w:t>
      </w:r>
      <w:r>
        <w:t>下项目有组织排放的</w:t>
      </w:r>
      <w:r>
        <w:rPr>
          <w:rFonts w:hint="eastAsia"/>
        </w:rPr>
        <w:t>颗粒物、</w:t>
      </w:r>
      <w:r>
        <w:t>非甲烷总烃</w:t>
      </w:r>
      <w:r>
        <w:rPr>
          <w:rFonts w:hint="eastAsia"/>
        </w:rPr>
        <w:t>、氨和硫化氢</w:t>
      </w:r>
      <w:r>
        <w:t>对周边环境的影响也</w:t>
      </w:r>
      <w:r>
        <w:rPr>
          <w:rFonts w:hint="eastAsia"/>
        </w:rPr>
        <w:t>较</w:t>
      </w:r>
      <w:r>
        <w:t>小，不会对周边区域环境空气质量带来明显不利影响。</w:t>
      </w:r>
    </w:p>
    <w:p>
      <w:pPr>
        <w:pStyle w:val="7"/>
        <w:ind w:firstLine="562"/>
      </w:pPr>
      <w:r>
        <w:rPr>
          <w:rFonts w:hint="eastAsia"/>
        </w:rPr>
        <w:t xml:space="preserve">6.2.5 </w:t>
      </w:r>
      <w:r>
        <w:t>大气环境防护距离</w:t>
      </w:r>
    </w:p>
    <w:p>
      <w:pPr>
        <w:ind w:firstLine="422" w:firstLineChars="176"/>
        <w:rPr>
          <w:szCs w:val="32"/>
        </w:rPr>
      </w:pPr>
      <w:r>
        <w:rPr>
          <w:szCs w:val="32"/>
        </w:rPr>
        <w:t>根据《环境影响评价技术导则—大气环境》（HJ2.2-20</w:t>
      </w:r>
      <w:r>
        <w:rPr>
          <w:rFonts w:hint="eastAsia"/>
          <w:szCs w:val="32"/>
        </w:rPr>
        <w:t>18</w:t>
      </w:r>
      <w:r>
        <w:rPr>
          <w:szCs w:val="32"/>
        </w:rPr>
        <w:t>）中相关大气环境防护距离计算的要求，对本项目生产过程所排废气进行核算。经过计算，在大气评价范围内未出现厂界超标点，故本项目无组织排放废气不需设置大气环境防护距离。</w:t>
      </w:r>
    </w:p>
    <w:p>
      <w:pPr>
        <w:pStyle w:val="7"/>
        <w:ind w:firstLine="562"/>
      </w:pPr>
      <w:r>
        <w:rPr>
          <w:rFonts w:hint="eastAsia"/>
        </w:rPr>
        <w:t>6.2.6 大气环境影响评价自查表</w:t>
      </w:r>
    </w:p>
    <w:p>
      <w:pPr>
        <w:ind w:firstLine="0" w:firstLineChars="0"/>
        <w:jc w:val="center"/>
      </w:pPr>
      <w:r>
        <w:rPr>
          <w:rFonts w:hint="eastAsia"/>
          <w:b/>
          <w:bCs/>
        </w:rPr>
        <w:t>表</w:t>
      </w:r>
      <w:r>
        <w:rPr>
          <w:b/>
          <w:bCs/>
        </w:rPr>
        <w:t>6.2-</w:t>
      </w:r>
      <w:r>
        <w:rPr>
          <w:rFonts w:hint="eastAsia"/>
          <w:b/>
          <w:bCs/>
        </w:rPr>
        <w:t>23</w:t>
      </w:r>
      <w:r>
        <w:rPr>
          <w:b/>
          <w:bCs/>
        </w:rPr>
        <w:t xml:space="preserve"> </w:t>
      </w:r>
      <w:r>
        <w:rPr>
          <w:rFonts w:hint="eastAsia"/>
          <w:b/>
          <w:bCs/>
        </w:rPr>
        <w:t xml:space="preserve"> 建设项目大气环境影响评价自查表</w:t>
      </w:r>
    </w:p>
    <w:tbl>
      <w:tblPr>
        <w:tblStyle w:val="28"/>
        <w:tblW w:w="502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15"/>
        <w:gridCol w:w="985"/>
        <w:gridCol w:w="1448"/>
        <w:gridCol w:w="385"/>
        <w:gridCol w:w="475"/>
        <w:gridCol w:w="1451"/>
        <w:gridCol w:w="478"/>
        <w:gridCol w:w="927"/>
        <w:gridCol w:w="1008"/>
        <w:gridCol w:w="1017"/>
        <w:gridCol w:w="5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 w:hRule="atLeast"/>
        </w:trPr>
        <w:tc>
          <w:tcPr>
            <w:tcW w:w="766"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工作内容</w:t>
            </w:r>
          </w:p>
        </w:tc>
        <w:tc>
          <w:tcPr>
            <w:tcW w:w="4233" w:type="pct"/>
            <w:gridSpan w:val="9"/>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自查项目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 w:hRule="atLeast"/>
        </w:trPr>
        <w:tc>
          <w:tcPr>
            <w:tcW w:w="227"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评价等级与范围</w:t>
            </w: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评价等级</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一级</w:t>
            </w:r>
            <w:r>
              <w:rPr>
                <w:rFonts w:ascii="Times New Roman" w:hAnsi="Times New Roman"/>
                <w:sz w:val="21"/>
                <w:szCs w:val="21"/>
              </w:rPr>
              <w:sym w:font="Wingdings" w:char="00A8"/>
            </w:r>
          </w:p>
        </w:tc>
        <w:tc>
          <w:tcPr>
            <w:tcW w:w="2117"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二级</w:t>
            </w:r>
            <w:r>
              <w:rPr>
                <w:rFonts w:ascii="Times New Roman" w:hAnsi="Times New Roman"/>
                <w:sz w:val="21"/>
                <w:szCs w:val="21"/>
              </w:rPr>
              <w:sym w:font="Wingdings" w:char="00FE"/>
            </w:r>
          </w:p>
        </w:tc>
        <w:tc>
          <w:tcPr>
            <w:tcW w:w="851" w:type="pct"/>
            <w:gridSpan w:val="2"/>
            <w:vAlign w:val="center"/>
          </w:tcPr>
          <w:p>
            <w:pPr>
              <w:pStyle w:val="39"/>
              <w:spacing w:line="240" w:lineRule="auto"/>
              <w:ind w:firstLine="0" w:firstLineChars="0"/>
              <w:rPr>
                <w:sz w:val="21"/>
                <w:szCs w:val="21"/>
              </w:rPr>
            </w:pPr>
            <w:r>
              <w:rPr>
                <w:rFonts w:ascii="Times New Roman" w:hAnsi="Times New Roman"/>
                <w:sz w:val="21"/>
                <w:szCs w:val="21"/>
              </w:rPr>
              <w:t>三级</w:t>
            </w:r>
            <w:r>
              <w:rPr>
                <w:rFonts w:ascii="Times New Roman" w:hAnsi="Times New Roman"/>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79"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评价范围</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边长=50km□</w:t>
            </w:r>
          </w:p>
        </w:tc>
        <w:tc>
          <w:tcPr>
            <w:tcW w:w="2117"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边长=5~50km□</w:t>
            </w:r>
          </w:p>
        </w:tc>
        <w:tc>
          <w:tcPr>
            <w:tcW w:w="851"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边长=5km□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0" w:hRule="atLeast"/>
        </w:trPr>
        <w:tc>
          <w:tcPr>
            <w:tcW w:w="227"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评价因子</w:t>
            </w: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SO</w:t>
            </w:r>
            <w:r>
              <w:rPr>
                <w:rFonts w:ascii="Times New Roman" w:hAnsi="Times New Roman"/>
                <w:sz w:val="21"/>
                <w:szCs w:val="21"/>
                <w:vertAlign w:val="subscript"/>
              </w:rPr>
              <w:t>2</w:t>
            </w:r>
            <w:r>
              <w:rPr>
                <w:rFonts w:ascii="Times New Roman" w:hAnsi="Times New Roman"/>
                <w:sz w:val="21"/>
                <w:szCs w:val="21"/>
              </w:rPr>
              <w:t>+NO</w:t>
            </w:r>
            <w:r>
              <w:rPr>
                <w:rFonts w:ascii="Times New Roman" w:hAnsi="Times New Roman"/>
                <w:sz w:val="21"/>
                <w:szCs w:val="21"/>
                <w:vertAlign w:val="subscript"/>
              </w:rPr>
              <w:t>x</w:t>
            </w:r>
          </w:p>
          <w:p>
            <w:pPr>
              <w:pStyle w:val="39"/>
              <w:spacing w:line="240" w:lineRule="auto"/>
              <w:ind w:firstLine="0" w:firstLineChars="0"/>
              <w:rPr>
                <w:rFonts w:ascii="Times New Roman" w:hAnsi="Times New Roman"/>
                <w:sz w:val="21"/>
                <w:szCs w:val="21"/>
              </w:rPr>
            </w:pPr>
            <w:r>
              <w:rPr>
                <w:rFonts w:ascii="Times New Roman" w:hAnsi="Times New Roman"/>
                <w:sz w:val="21"/>
                <w:szCs w:val="21"/>
              </w:rPr>
              <w:t>排放量</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≥2000t/a□</w:t>
            </w:r>
          </w:p>
        </w:tc>
        <w:tc>
          <w:tcPr>
            <w:tcW w:w="1565"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500~2000t/a□</w:t>
            </w: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&lt;500t/a□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 w:hRule="atLeast"/>
        </w:trPr>
        <w:tc>
          <w:tcPr>
            <w:tcW w:w="227" w:type="pct"/>
            <w:vMerge w:val="continue"/>
            <w:vAlign w:val="center"/>
          </w:tcPr>
          <w:p>
            <w:pPr>
              <w:spacing w:line="240" w:lineRule="auto"/>
              <w:ind w:firstLine="0" w:firstLineChars="0"/>
              <w:jc w:val="center"/>
              <w:rPr>
                <w:sz w:val="21"/>
                <w:szCs w:val="21"/>
              </w:rPr>
            </w:pPr>
          </w:p>
        </w:tc>
        <w:tc>
          <w:tcPr>
            <w:tcW w:w="539"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评价因子</w:t>
            </w:r>
          </w:p>
        </w:tc>
        <w:tc>
          <w:tcPr>
            <w:tcW w:w="2829" w:type="pct"/>
            <w:gridSpan w:val="6"/>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基本污染物（）</w:t>
            </w:r>
          </w:p>
          <w:p>
            <w:pPr>
              <w:pStyle w:val="39"/>
              <w:spacing w:line="240" w:lineRule="auto"/>
              <w:ind w:firstLine="0" w:firstLineChars="0"/>
              <w:rPr>
                <w:rFonts w:ascii="Times New Roman" w:hAnsi="Times New Roman"/>
                <w:sz w:val="21"/>
                <w:szCs w:val="21"/>
              </w:rPr>
            </w:pPr>
            <w:r>
              <w:rPr>
                <w:rFonts w:ascii="Times New Roman" w:hAnsi="Times New Roman"/>
                <w:sz w:val="21"/>
                <w:szCs w:val="21"/>
              </w:rPr>
              <w:t>其他污染物（</w:t>
            </w:r>
            <w:r>
              <w:rPr>
                <w:rFonts w:hint="eastAsia" w:ascii="Times New Roman" w:hAnsi="Times New Roman"/>
                <w:sz w:val="21"/>
                <w:szCs w:val="21"/>
                <w:lang w:val="en-US"/>
              </w:rPr>
              <w:t>颗粒物、NMHC</w:t>
            </w:r>
            <w:r>
              <w:rPr>
                <w:rFonts w:ascii="Times New Roman" w:hAnsi="Times New Roman"/>
                <w:sz w:val="21"/>
                <w:szCs w:val="21"/>
              </w:rPr>
              <w:t>）</w:t>
            </w: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包括二次PM</w:t>
            </w:r>
            <w:r>
              <w:rPr>
                <w:rFonts w:ascii="Times New Roman" w:hAnsi="Times New Roman"/>
                <w:sz w:val="21"/>
                <w:szCs w:val="21"/>
                <w:vertAlign w:val="subscript"/>
              </w:rPr>
              <w:t>2.5</w:t>
            </w:r>
            <w:r>
              <w:rPr>
                <w:rFonts w:ascii="Times New Roman" w:hAnsi="Times New Roman"/>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2" w:hRule="atLeast"/>
        </w:trPr>
        <w:tc>
          <w:tcPr>
            <w:tcW w:w="227" w:type="pct"/>
            <w:vMerge w:val="continue"/>
            <w:vAlign w:val="center"/>
          </w:tcPr>
          <w:p>
            <w:pPr>
              <w:spacing w:line="240" w:lineRule="auto"/>
              <w:ind w:firstLine="0" w:firstLineChars="0"/>
              <w:jc w:val="center"/>
              <w:rPr>
                <w:sz w:val="21"/>
                <w:szCs w:val="21"/>
              </w:rPr>
            </w:pPr>
          </w:p>
        </w:tc>
        <w:tc>
          <w:tcPr>
            <w:tcW w:w="539" w:type="pct"/>
            <w:vMerge w:val="continue"/>
            <w:vAlign w:val="center"/>
          </w:tcPr>
          <w:p>
            <w:pPr>
              <w:spacing w:line="240" w:lineRule="auto"/>
              <w:ind w:firstLine="0" w:firstLineChars="0"/>
              <w:jc w:val="center"/>
              <w:rPr>
                <w:sz w:val="21"/>
                <w:szCs w:val="21"/>
              </w:rPr>
            </w:pPr>
          </w:p>
        </w:tc>
        <w:tc>
          <w:tcPr>
            <w:tcW w:w="2829" w:type="pct"/>
            <w:gridSpan w:val="6"/>
            <w:vMerge w:val="continue"/>
            <w:vAlign w:val="center"/>
          </w:tcPr>
          <w:p>
            <w:pPr>
              <w:spacing w:line="240" w:lineRule="auto"/>
              <w:ind w:firstLine="0" w:firstLineChars="0"/>
              <w:jc w:val="center"/>
              <w:rPr>
                <w:sz w:val="21"/>
                <w:szCs w:val="21"/>
              </w:rPr>
            </w:pP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不包括二次PM</w:t>
            </w:r>
            <w:r>
              <w:rPr>
                <w:rFonts w:ascii="Times New Roman" w:hAnsi="Times New Roman"/>
                <w:sz w:val="21"/>
                <w:szCs w:val="21"/>
                <w:vertAlign w:val="subscript"/>
              </w:rPr>
              <w:t>2.5</w:t>
            </w:r>
            <w:r>
              <w:rPr>
                <w:rFonts w:ascii="Times New Roman" w:hAnsi="Times New Roman"/>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5" w:hRule="atLeast"/>
        </w:trPr>
        <w:tc>
          <w:tcPr>
            <w:tcW w:w="227"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评价标准</w:t>
            </w: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评价标准</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国家标准□</w:t>
            </w:r>
          </w:p>
        </w:tc>
        <w:tc>
          <w:tcPr>
            <w:tcW w:w="1565"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地方标准□</w:t>
            </w:r>
          </w:p>
        </w:tc>
        <w:tc>
          <w:tcPr>
            <w:tcW w:w="552"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附录D□</w:t>
            </w:r>
          </w:p>
        </w:tc>
        <w:tc>
          <w:tcPr>
            <w:tcW w:w="851"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其他标准□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4" w:hRule="atLeast"/>
        </w:trPr>
        <w:tc>
          <w:tcPr>
            <w:tcW w:w="227"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现状评价</w:t>
            </w: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评价功能区</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一类区□</w:t>
            </w:r>
          </w:p>
        </w:tc>
        <w:tc>
          <w:tcPr>
            <w:tcW w:w="2117"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二类区□</w:t>
            </w:r>
          </w:p>
        </w:tc>
        <w:tc>
          <w:tcPr>
            <w:tcW w:w="851"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一类区和二类区□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评价基准年</w:t>
            </w:r>
          </w:p>
        </w:tc>
        <w:tc>
          <w:tcPr>
            <w:tcW w:w="4233" w:type="pct"/>
            <w:gridSpan w:val="9"/>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（20</w:t>
            </w:r>
            <w:r>
              <w:rPr>
                <w:rFonts w:hint="eastAsia" w:ascii="Times New Roman" w:hAnsi="Times New Roman"/>
                <w:sz w:val="21"/>
                <w:szCs w:val="21"/>
                <w:lang w:val="en-US"/>
              </w:rPr>
              <w:t>21</w:t>
            </w:r>
            <w:r>
              <w:rPr>
                <w:rFonts w:ascii="Times New Roman" w:hAnsi="Times New Roman"/>
                <w:sz w:val="21"/>
                <w:szCs w:val="21"/>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5"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环境空气质量现状调查数据来源</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长期例行监测数据□</w:t>
            </w:r>
          </w:p>
        </w:tc>
        <w:tc>
          <w:tcPr>
            <w:tcW w:w="2117"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主管部门发布的数据□</w:t>
            </w:r>
          </w:p>
        </w:tc>
        <w:tc>
          <w:tcPr>
            <w:tcW w:w="851"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现状补充检测□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2"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现状评价</w:t>
            </w:r>
          </w:p>
        </w:tc>
        <w:tc>
          <w:tcPr>
            <w:tcW w:w="2829" w:type="pct"/>
            <w:gridSpan w:val="6"/>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达标区□</w:t>
            </w: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不达标区□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 w:hRule="atLeast"/>
        </w:trPr>
        <w:tc>
          <w:tcPr>
            <w:tcW w:w="227"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污染源调查</w:t>
            </w:r>
          </w:p>
        </w:tc>
        <w:tc>
          <w:tcPr>
            <w:tcW w:w="539"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调查内容</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本项目正常排放源□</w:t>
            </w:r>
          </w:p>
        </w:tc>
        <w:tc>
          <w:tcPr>
            <w:tcW w:w="1565" w:type="pct"/>
            <w:gridSpan w:val="3"/>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拟替代的污染源□</w:t>
            </w:r>
          </w:p>
        </w:tc>
        <w:tc>
          <w:tcPr>
            <w:tcW w:w="552"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其他在建、拟建项目污染源□</w:t>
            </w:r>
          </w:p>
        </w:tc>
        <w:tc>
          <w:tcPr>
            <w:tcW w:w="851" w:type="pct"/>
            <w:gridSpan w:val="2"/>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区域污染源□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3" w:hRule="atLeast"/>
        </w:trPr>
        <w:tc>
          <w:tcPr>
            <w:tcW w:w="227" w:type="pct"/>
            <w:vMerge w:val="continue"/>
            <w:vAlign w:val="center"/>
          </w:tcPr>
          <w:p>
            <w:pPr>
              <w:spacing w:line="240" w:lineRule="auto"/>
              <w:ind w:firstLine="0" w:firstLineChars="0"/>
              <w:jc w:val="center"/>
              <w:rPr>
                <w:sz w:val="21"/>
                <w:szCs w:val="21"/>
              </w:rPr>
            </w:pPr>
          </w:p>
        </w:tc>
        <w:tc>
          <w:tcPr>
            <w:tcW w:w="539" w:type="pct"/>
            <w:vMerge w:val="continue"/>
            <w:vAlign w:val="center"/>
          </w:tcPr>
          <w:p>
            <w:pPr>
              <w:spacing w:line="240" w:lineRule="auto"/>
              <w:ind w:firstLine="0" w:firstLineChars="0"/>
              <w:jc w:val="center"/>
              <w:rPr>
                <w:sz w:val="21"/>
                <w:szCs w:val="21"/>
              </w:rPr>
            </w:pP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本项目非正常排放源□</w:t>
            </w:r>
          </w:p>
        </w:tc>
        <w:tc>
          <w:tcPr>
            <w:tcW w:w="1565" w:type="pct"/>
            <w:gridSpan w:val="3"/>
            <w:vMerge w:val="continue"/>
            <w:vAlign w:val="center"/>
          </w:tcPr>
          <w:p>
            <w:pPr>
              <w:spacing w:line="240" w:lineRule="auto"/>
              <w:ind w:firstLine="0" w:firstLineChars="0"/>
              <w:jc w:val="center"/>
              <w:rPr>
                <w:sz w:val="21"/>
                <w:szCs w:val="21"/>
              </w:rPr>
            </w:pPr>
          </w:p>
        </w:tc>
        <w:tc>
          <w:tcPr>
            <w:tcW w:w="552" w:type="pct"/>
            <w:vMerge w:val="continue"/>
            <w:vAlign w:val="center"/>
          </w:tcPr>
          <w:p>
            <w:pPr>
              <w:spacing w:line="240" w:lineRule="auto"/>
              <w:ind w:firstLine="0" w:firstLineChars="0"/>
              <w:jc w:val="center"/>
              <w:rPr>
                <w:sz w:val="21"/>
                <w:szCs w:val="21"/>
              </w:rPr>
            </w:pPr>
          </w:p>
        </w:tc>
        <w:tc>
          <w:tcPr>
            <w:tcW w:w="851" w:type="pct"/>
            <w:gridSpan w:val="2"/>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9" w:hRule="atLeast"/>
        </w:trPr>
        <w:tc>
          <w:tcPr>
            <w:tcW w:w="227" w:type="pct"/>
            <w:vMerge w:val="continue"/>
            <w:vAlign w:val="center"/>
          </w:tcPr>
          <w:p>
            <w:pPr>
              <w:spacing w:line="240" w:lineRule="auto"/>
              <w:ind w:firstLine="0" w:firstLineChars="0"/>
              <w:jc w:val="center"/>
              <w:rPr>
                <w:sz w:val="21"/>
                <w:szCs w:val="21"/>
              </w:rPr>
            </w:pPr>
          </w:p>
        </w:tc>
        <w:tc>
          <w:tcPr>
            <w:tcW w:w="539" w:type="pct"/>
            <w:vMerge w:val="continue"/>
            <w:vAlign w:val="center"/>
          </w:tcPr>
          <w:p>
            <w:pPr>
              <w:spacing w:line="240" w:lineRule="auto"/>
              <w:ind w:firstLine="0" w:firstLineChars="0"/>
              <w:jc w:val="center"/>
              <w:rPr>
                <w:sz w:val="21"/>
                <w:szCs w:val="21"/>
              </w:rPr>
            </w:pP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现有污染源□</w:t>
            </w:r>
          </w:p>
        </w:tc>
        <w:tc>
          <w:tcPr>
            <w:tcW w:w="1565" w:type="pct"/>
            <w:gridSpan w:val="3"/>
            <w:vMerge w:val="continue"/>
            <w:vAlign w:val="center"/>
          </w:tcPr>
          <w:p>
            <w:pPr>
              <w:spacing w:line="240" w:lineRule="auto"/>
              <w:ind w:firstLine="0" w:firstLineChars="0"/>
              <w:jc w:val="center"/>
              <w:rPr>
                <w:sz w:val="21"/>
                <w:szCs w:val="21"/>
              </w:rPr>
            </w:pPr>
          </w:p>
        </w:tc>
        <w:tc>
          <w:tcPr>
            <w:tcW w:w="552" w:type="pct"/>
            <w:vMerge w:val="continue"/>
            <w:vAlign w:val="center"/>
          </w:tcPr>
          <w:p>
            <w:pPr>
              <w:spacing w:line="240" w:lineRule="auto"/>
              <w:ind w:firstLine="0" w:firstLineChars="0"/>
              <w:jc w:val="center"/>
              <w:rPr>
                <w:sz w:val="21"/>
                <w:szCs w:val="21"/>
              </w:rPr>
            </w:pPr>
          </w:p>
        </w:tc>
        <w:tc>
          <w:tcPr>
            <w:tcW w:w="851" w:type="pct"/>
            <w:gridSpan w:val="2"/>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3" w:hRule="atLeast"/>
        </w:trPr>
        <w:tc>
          <w:tcPr>
            <w:tcW w:w="227"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大气环境影响预测与评价</w:t>
            </w: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预测模型</w:t>
            </w:r>
          </w:p>
        </w:tc>
        <w:tc>
          <w:tcPr>
            <w:tcW w:w="793"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AERMOD□</w:t>
            </w:r>
          </w:p>
        </w:tc>
        <w:tc>
          <w:tcPr>
            <w:tcW w:w="471"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ADMS□</w:t>
            </w:r>
          </w:p>
        </w:tc>
        <w:tc>
          <w:tcPr>
            <w:tcW w:w="795"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AUSTAL2000□</w:t>
            </w:r>
          </w:p>
        </w:tc>
        <w:tc>
          <w:tcPr>
            <w:tcW w:w="769"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EDMS/AEDT□</w:t>
            </w:r>
          </w:p>
        </w:tc>
        <w:tc>
          <w:tcPr>
            <w:tcW w:w="552"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CALPUFF□</w:t>
            </w:r>
          </w:p>
        </w:tc>
        <w:tc>
          <w:tcPr>
            <w:tcW w:w="557"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网格模型□</w:t>
            </w:r>
          </w:p>
        </w:tc>
        <w:tc>
          <w:tcPr>
            <w:tcW w:w="294"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0"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预测范围</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边长≥50km□</w:t>
            </w:r>
          </w:p>
        </w:tc>
        <w:tc>
          <w:tcPr>
            <w:tcW w:w="2117"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边长5~50km□</w:t>
            </w:r>
          </w:p>
        </w:tc>
        <w:tc>
          <w:tcPr>
            <w:tcW w:w="851"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边长=5km□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2" w:hRule="atLeast"/>
        </w:trPr>
        <w:tc>
          <w:tcPr>
            <w:tcW w:w="227" w:type="pct"/>
            <w:vMerge w:val="continue"/>
            <w:vAlign w:val="center"/>
          </w:tcPr>
          <w:p>
            <w:pPr>
              <w:spacing w:line="240" w:lineRule="auto"/>
              <w:ind w:firstLine="0" w:firstLineChars="0"/>
              <w:jc w:val="center"/>
              <w:rPr>
                <w:sz w:val="21"/>
                <w:szCs w:val="21"/>
              </w:rPr>
            </w:pPr>
          </w:p>
        </w:tc>
        <w:tc>
          <w:tcPr>
            <w:tcW w:w="539"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预测因子</w:t>
            </w:r>
          </w:p>
        </w:tc>
        <w:tc>
          <w:tcPr>
            <w:tcW w:w="2829" w:type="pct"/>
            <w:gridSpan w:val="6"/>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预测因子（）</w:t>
            </w: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包括二次PM2.5□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 w:hRule="atLeast"/>
        </w:trPr>
        <w:tc>
          <w:tcPr>
            <w:tcW w:w="227" w:type="pct"/>
            <w:vMerge w:val="continue"/>
            <w:vAlign w:val="center"/>
          </w:tcPr>
          <w:p>
            <w:pPr>
              <w:spacing w:line="240" w:lineRule="auto"/>
              <w:ind w:firstLine="0" w:firstLineChars="0"/>
              <w:jc w:val="center"/>
              <w:rPr>
                <w:sz w:val="21"/>
                <w:szCs w:val="21"/>
              </w:rPr>
            </w:pPr>
          </w:p>
        </w:tc>
        <w:tc>
          <w:tcPr>
            <w:tcW w:w="539" w:type="pct"/>
            <w:vMerge w:val="continue"/>
            <w:vAlign w:val="center"/>
          </w:tcPr>
          <w:p>
            <w:pPr>
              <w:spacing w:line="240" w:lineRule="auto"/>
              <w:ind w:firstLine="0" w:firstLineChars="0"/>
              <w:jc w:val="center"/>
              <w:rPr>
                <w:sz w:val="21"/>
                <w:szCs w:val="21"/>
              </w:rPr>
            </w:pPr>
          </w:p>
        </w:tc>
        <w:tc>
          <w:tcPr>
            <w:tcW w:w="2829" w:type="pct"/>
            <w:gridSpan w:val="6"/>
            <w:vMerge w:val="continue"/>
            <w:vAlign w:val="center"/>
          </w:tcPr>
          <w:p>
            <w:pPr>
              <w:spacing w:line="240" w:lineRule="auto"/>
              <w:ind w:firstLine="0" w:firstLineChars="0"/>
              <w:jc w:val="center"/>
              <w:rPr>
                <w:sz w:val="21"/>
                <w:szCs w:val="21"/>
              </w:rPr>
            </w:pP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不包括二次PM2.5□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0"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正常排放</w:t>
            </w:r>
          </w:p>
          <w:p>
            <w:pPr>
              <w:pStyle w:val="39"/>
              <w:spacing w:line="240" w:lineRule="auto"/>
              <w:ind w:firstLine="0" w:firstLineChars="0"/>
              <w:rPr>
                <w:rFonts w:ascii="Times New Roman" w:hAnsi="Times New Roman"/>
                <w:sz w:val="21"/>
                <w:szCs w:val="21"/>
              </w:rPr>
            </w:pPr>
            <w:r>
              <w:rPr>
                <w:rFonts w:ascii="Times New Roman" w:hAnsi="Times New Roman"/>
                <w:spacing w:val="-4"/>
                <w:sz w:val="21"/>
                <w:szCs w:val="21"/>
              </w:rPr>
              <w:t>短期浓度</w:t>
            </w:r>
            <w:r>
              <w:rPr>
                <w:rFonts w:ascii="Times New Roman" w:hAnsi="Times New Roman"/>
                <w:sz w:val="21"/>
                <w:szCs w:val="21"/>
              </w:rPr>
              <w:t>贡献值</w:t>
            </w:r>
          </w:p>
        </w:tc>
        <w:tc>
          <w:tcPr>
            <w:tcW w:w="2829" w:type="pct"/>
            <w:gridSpan w:val="6"/>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C本项目最大占标率≤100%□</w:t>
            </w: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C本项目最大占标率&gt;100%□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trPr>
        <w:tc>
          <w:tcPr>
            <w:tcW w:w="227" w:type="pct"/>
            <w:vMerge w:val="continue"/>
            <w:vAlign w:val="center"/>
          </w:tcPr>
          <w:p>
            <w:pPr>
              <w:spacing w:line="240" w:lineRule="auto"/>
              <w:ind w:firstLine="0" w:firstLineChars="0"/>
              <w:jc w:val="center"/>
              <w:rPr>
                <w:sz w:val="21"/>
                <w:szCs w:val="21"/>
              </w:rPr>
            </w:pPr>
          </w:p>
        </w:tc>
        <w:tc>
          <w:tcPr>
            <w:tcW w:w="539"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正常排放年均浓度贡献值</w:t>
            </w:r>
          </w:p>
        </w:tc>
        <w:tc>
          <w:tcPr>
            <w:tcW w:w="1004"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一类区</w:t>
            </w:r>
          </w:p>
        </w:tc>
        <w:tc>
          <w:tcPr>
            <w:tcW w:w="1825"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C本项目最大占标率≤10%□</w:t>
            </w: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C本项目最大占标率&gt;10%□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trPr>
        <w:tc>
          <w:tcPr>
            <w:tcW w:w="227" w:type="pct"/>
            <w:vMerge w:val="continue"/>
            <w:vAlign w:val="center"/>
          </w:tcPr>
          <w:p>
            <w:pPr>
              <w:spacing w:line="240" w:lineRule="auto"/>
              <w:ind w:firstLine="0" w:firstLineChars="0"/>
              <w:jc w:val="center"/>
              <w:rPr>
                <w:sz w:val="21"/>
                <w:szCs w:val="21"/>
              </w:rPr>
            </w:pPr>
          </w:p>
        </w:tc>
        <w:tc>
          <w:tcPr>
            <w:tcW w:w="539" w:type="pct"/>
            <w:vMerge w:val="continue"/>
            <w:vAlign w:val="center"/>
          </w:tcPr>
          <w:p>
            <w:pPr>
              <w:spacing w:line="240" w:lineRule="auto"/>
              <w:ind w:firstLine="0" w:firstLineChars="0"/>
              <w:jc w:val="center"/>
              <w:rPr>
                <w:sz w:val="21"/>
                <w:szCs w:val="21"/>
              </w:rPr>
            </w:pPr>
          </w:p>
        </w:tc>
        <w:tc>
          <w:tcPr>
            <w:tcW w:w="1004"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二类区</w:t>
            </w:r>
          </w:p>
        </w:tc>
        <w:tc>
          <w:tcPr>
            <w:tcW w:w="1825"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C本项目最大占标率≤30%□</w:t>
            </w: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C本项目最大占标</w:t>
            </w:r>
          </w:p>
          <w:p>
            <w:pPr>
              <w:pStyle w:val="39"/>
              <w:spacing w:line="240" w:lineRule="auto"/>
              <w:ind w:firstLine="0" w:firstLineChars="0"/>
              <w:rPr>
                <w:rFonts w:ascii="Times New Roman" w:hAnsi="Times New Roman"/>
                <w:sz w:val="21"/>
                <w:szCs w:val="21"/>
              </w:rPr>
            </w:pPr>
            <w:r>
              <w:rPr>
                <w:rFonts w:ascii="Times New Roman" w:hAnsi="Times New Roman"/>
                <w:sz w:val="21"/>
                <w:szCs w:val="21"/>
              </w:rPr>
              <w:t>率&gt;30%□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 w:hRule="atLeast"/>
        </w:trPr>
        <w:tc>
          <w:tcPr>
            <w:tcW w:w="227" w:type="pct"/>
            <w:vMerge w:val="continue"/>
            <w:vAlign w:val="center"/>
          </w:tcPr>
          <w:p>
            <w:pPr>
              <w:spacing w:line="240" w:lineRule="auto"/>
              <w:ind w:firstLine="0" w:firstLineChars="0"/>
              <w:jc w:val="center"/>
              <w:rPr>
                <w:sz w:val="21"/>
                <w:szCs w:val="21"/>
              </w:rPr>
            </w:pPr>
          </w:p>
        </w:tc>
        <w:tc>
          <w:tcPr>
            <w:tcW w:w="539"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非正常1h</w:t>
            </w:r>
          </w:p>
          <w:p>
            <w:pPr>
              <w:pStyle w:val="39"/>
              <w:spacing w:line="240" w:lineRule="auto"/>
              <w:ind w:firstLine="0" w:firstLineChars="0"/>
              <w:rPr>
                <w:rFonts w:ascii="Times New Roman" w:hAnsi="Times New Roman"/>
                <w:sz w:val="21"/>
                <w:szCs w:val="21"/>
              </w:rPr>
            </w:pPr>
            <w:r>
              <w:rPr>
                <w:rFonts w:ascii="Times New Roman" w:hAnsi="Times New Roman"/>
                <w:sz w:val="21"/>
                <w:szCs w:val="21"/>
              </w:rPr>
              <w:t>浓度贡献值</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非正常持续时长</w:t>
            </w:r>
          </w:p>
        </w:tc>
        <w:tc>
          <w:tcPr>
            <w:tcW w:w="2117" w:type="pct"/>
            <w:gridSpan w:val="4"/>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w:t>
            </w:r>
            <w:r>
              <w:rPr>
                <w:rFonts w:ascii="Times New Roman" w:hAnsi="Times New Roman"/>
                <w:sz w:val="21"/>
                <w:szCs w:val="21"/>
                <w:vertAlign w:val="subscript"/>
              </w:rPr>
              <w:t>非正常</w:t>
            </w:r>
            <w:r>
              <w:rPr>
                <w:rFonts w:ascii="Times New Roman" w:hAnsi="Times New Roman"/>
                <w:sz w:val="21"/>
                <w:szCs w:val="21"/>
              </w:rPr>
              <w:t>占标率≤100%□</w:t>
            </w:r>
          </w:p>
        </w:tc>
        <w:tc>
          <w:tcPr>
            <w:tcW w:w="851" w:type="pct"/>
            <w:gridSpan w:val="2"/>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w:t>
            </w:r>
            <w:r>
              <w:rPr>
                <w:rFonts w:ascii="Times New Roman" w:hAnsi="Times New Roman"/>
                <w:sz w:val="21"/>
                <w:szCs w:val="21"/>
                <w:vertAlign w:val="subscript"/>
              </w:rPr>
              <w:t>非正常</w:t>
            </w:r>
            <w:r>
              <w:rPr>
                <w:rFonts w:ascii="Times New Roman" w:hAnsi="Times New Roman"/>
                <w:sz w:val="21"/>
                <w:szCs w:val="21"/>
              </w:rPr>
              <w:t>占标率&gt;100%□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5" w:hRule="atLeast"/>
        </w:trPr>
        <w:tc>
          <w:tcPr>
            <w:tcW w:w="227" w:type="pct"/>
            <w:vMerge w:val="continue"/>
            <w:vAlign w:val="center"/>
          </w:tcPr>
          <w:p>
            <w:pPr>
              <w:spacing w:line="240" w:lineRule="auto"/>
              <w:ind w:firstLine="0" w:firstLineChars="0"/>
              <w:jc w:val="center"/>
              <w:rPr>
                <w:sz w:val="21"/>
                <w:szCs w:val="21"/>
              </w:rPr>
            </w:pPr>
          </w:p>
        </w:tc>
        <w:tc>
          <w:tcPr>
            <w:tcW w:w="539" w:type="pct"/>
            <w:vMerge w:val="continue"/>
            <w:vAlign w:val="center"/>
          </w:tcPr>
          <w:p>
            <w:pPr>
              <w:spacing w:line="240" w:lineRule="auto"/>
              <w:ind w:firstLine="0" w:firstLineChars="0"/>
              <w:jc w:val="center"/>
              <w:rPr>
                <w:sz w:val="21"/>
                <w:szCs w:val="21"/>
              </w:rPr>
            </w:pP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（）h</w:t>
            </w:r>
          </w:p>
        </w:tc>
        <w:tc>
          <w:tcPr>
            <w:tcW w:w="2117" w:type="pct"/>
            <w:gridSpan w:val="4"/>
            <w:vMerge w:val="continue"/>
            <w:vAlign w:val="center"/>
          </w:tcPr>
          <w:p>
            <w:pPr>
              <w:spacing w:line="240" w:lineRule="auto"/>
              <w:ind w:firstLine="0" w:firstLineChars="0"/>
              <w:jc w:val="center"/>
              <w:rPr>
                <w:sz w:val="21"/>
                <w:szCs w:val="21"/>
              </w:rPr>
            </w:pPr>
          </w:p>
        </w:tc>
        <w:tc>
          <w:tcPr>
            <w:tcW w:w="851" w:type="pct"/>
            <w:gridSpan w:val="2"/>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8"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保证率日平均浓度和年平均浓度叠加值</w:t>
            </w:r>
          </w:p>
        </w:tc>
        <w:tc>
          <w:tcPr>
            <w:tcW w:w="2829" w:type="pct"/>
            <w:gridSpan w:val="6"/>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C叠加达标□</w:t>
            </w: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C叠加不达标□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2"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区域环境质量的整体变化情况</w:t>
            </w:r>
          </w:p>
        </w:tc>
        <w:tc>
          <w:tcPr>
            <w:tcW w:w="2829" w:type="pct"/>
            <w:gridSpan w:val="6"/>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k≤-20%□</w:t>
            </w:r>
          </w:p>
        </w:tc>
        <w:tc>
          <w:tcPr>
            <w:tcW w:w="1403"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k&gt;-20%□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2" w:hRule="atLeast"/>
        </w:trPr>
        <w:tc>
          <w:tcPr>
            <w:tcW w:w="227"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环境监测计划</w:t>
            </w:r>
          </w:p>
        </w:tc>
        <w:tc>
          <w:tcPr>
            <w:tcW w:w="539"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污染源监测</w:t>
            </w:r>
          </w:p>
        </w:tc>
        <w:tc>
          <w:tcPr>
            <w:tcW w:w="1264" w:type="pct"/>
            <w:gridSpan w:val="3"/>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pacing w:val="-19"/>
                <w:sz w:val="21"/>
                <w:szCs w:val="21"/>
              </w:rPr>
              <w:t>监测因子：</w:t>
            </w:r>
            <w:r>
              <w:rPr>
                <w:rFonts w:ascii="Times New Roman" w:hAnsi="Times New Roman"/>
                <w:spacing w:val="-1"/>
                <w:sz w:val="21"/>
                <w:szCs w:val="21"/>
              </w:rPr>
              <w:t>（</w:t>
            </w:r>
            <w:r>
              <w:rPr>
                <w:rFonts w:hint="eastAsia" w:ascii="Times New Roman" w:hAnsi="Times New Roman"/>
                <w:sz w:val="21"/>
                <w:szCs w:val="21"/>
                <w:lang w:val="en-US"/>
              </w:rPr>
              <w:t>颗粒物、NMHC、硫化氢、氨</w:t>
            </w:r>
            <w:r>
              <w:rPr>
                <w:rFonts w:ascii="Times New Roman" w:hAnsi="Times New Roman"/>
                <w:sz w:val="21"/>
                <w:szCs w:val="21"/>
              </w:rPr>
              <w:t>）</w:t>
            </w:r>
          </w:p>
        </w:tc>
        <w:tc>
          <w:tcPr>
            <w:tcW w:w="2117"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有组织废气监测□</w:t>
            </w:r>
          </w:p>
        </w:tc>
        <w:tc>
          <w:tcPr>
            <w:tcW w:w="848" w:type="pct"/>
            <w:gridSpan w:val="2"/>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无监测□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7" w:hRule="atLeast"/>
        </w:trPr>
        <w:tc>
          <w:tcPr>
            <w:tcW w:w="227" w:type="pct"/>
            <w:vMerge w:val="continue"/>
            <w:vAlign w:val="center"/>
          </w:tcPr>
          <w:p>
            <w:pPr>
              <w:spacing w:line="240" w:lineRule="auto"/>
              <w:ind w:firstLine="0" w:firstLineChars="0"/>
              <w:jc w:val="center"/>
              <w:rPr>
                <w:sz w:val="21"/>
                <w:szCs w:val="21"/>
              </w:rPr>
            </w:pPr>
          </w:p>
        </w:tc>
        <w:tc>
          <w:tcPr>
            <w:tcW w:w="539" w:type="pct"/>
            <w:vMerge w:val="continue"/>
            <w:vAlign w:val="center"/>
          </w:tcPr>
          <w:p>
            <w:pPr>
              <w:spacing w:line="240" w:lineRule="auto"/>
              <w:ind w:firstLine="0" w:firstLineChars="0"/>
              <w:jc w:val="center"/>
              <w:rPr>
                <w:sz w:val="21"/>
                <w:szCs w:val="21"/>
              </w:rPr>
            </w:pPr>
          </w:p>
        </w:tc>
        <w:tc>
          <w:tcPr>
            <w:tcW w:w="1264" w:type="pct"/>
            <w:gridSpan w:val="3"/>
            <w:vMerge w:val="continue"/>
            <w:vAlign w:val="center"/>
          </w:tcPr>
          <w:p>
            <w:pPr>
              <w:spacing w:line="240" w:lineRule="auto"/>
              <w:ind w:firstLine="0" w:firstLineChars="0"/>
              <w:jc w:val="center"/>
              <w:rPr>
                <w:sz w:val="21"/>
                <w:szCs w:val="21"/>
              </w:rPr>
            </w:pPr>
          </w:p>
        </w:tc>
        <w:tc>
          <w:tcPr>
            <w:tcW w:w="2117"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无组织废气监测□</w:t>
            </w:r>
          </w:p>
        </w:tc>
        <w:tc>
          <w:tcPr>
            <w:tcW w:w="848" w:type="pct"/>
            <w:gridSpan w:val="2"/>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环境质量监测</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pacing w:val="-19"/>
                <w:sz w:val="21"/>
                <w:szCs w:val="21"/>
              </w:rPr>
              <w:t>监测因子：</w:t>
            </w:r>
            <w:r>
              <w:rPr>
                <w:rFonts w:ascii="Times New Roman" w:hAnsi="Times New Roman"/>
                <w:spacing w:val="-1"/>
                <w:sz w:val="21"/>
                <w:szCs w:val="21"/>
              </w:rPr>
              <w:t>（</w:t>
            </w:r>
            <w:r>
              <w:rPr>
                <w:rFonts w:hint="eastAsia" w:ascii="Times New Roman" w:hAnsi="Times New Roman"/>
                <w:sz w:val="21"/>
                <w:szCs w:val="21"/>
                <w:lang w:val="en-US"/>
              </w:rPr>
              <w:t>颗粒物、NMHC、硫化氢、氨</w:t>
            </w:r>
            <w:r>
              <w:rPr>
                <w:rFonts w:ascii="Times New Roman" w:hAnsi="Times New Roman"/>
                <w:sz w:val="21"/>
                <w:szCs w:val="21"/>
              </w:rPr>
              <w:t>）</w:t>
            </w:r>
          </w:p>
        </w:tc>
        <w:tc>
          <w:tcPr>
            <w:tcW w:w="2117" w:type="pct"/>
            <w:gridSpan w:val="4"/>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监测点位数（</w:t>
            </w:r>
            <w:r>
              <w:rPr>
                <w:rFonts w:hint="eastAsia" w:ascii="Times New Roman" w:hAnsi="Times New Roman"/>
                <w:sz w:val="21"/>
                <w:szCs w:val="21"/>
                <w:lang w:val="en-US"/>
              </w:rPr>
              <w:t>3</w:t>
            </w:r>
            <w:r>
              <w:rPr>
                <w:rFonts w:ascii="Times New Roman" w:hAnsi="Times New Roman"/>
                <w:sz w:val="21"/>
                <w:szCs w:val="21"/>
              </w:rPr>
              <w:t>）</w:t>
            </w:r>
          </w:p>
        </w:tc>
        <w:tc>
          <w:tcPr>
            <w:tcW w:w="848"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无监测□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 w:hRule="atLeast"/>
        </w:trPr>
        <w:tc>
          <w:tcPr>
            <w:tcW w:w="227" w:type="pct"/>
            <w:vMerge w:val="restar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评价结论</w:t>
            </w: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环境影响</w:t>
            </w:r>
          </w:p>
        </w:tc>
        <w:tc>
          <w:tcPr>
            <w:tcW w:w="4230" w:type="pct"/>
            <w:gridSpan w:val="9"/>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可以接受□</w:t>
            </w:r>
            <w:r>
              <w:rPr>
                <w:rFonts w:hint="eastAsia" w:ascii="Times New Roman" w:hAnsi="Times New Roman"/>
                <w:sz w:val="21"/>
                <w:szCs w:val="21"/>
                <w:lang w:val="en-US"/>
              </w:rPr>
              <w:t xml:space="preserve">    </w:t>
            </w:r>
            <w:r>
              <w:rPr>
                <w:rFonts w:ascii="Times New Roman" w:hAnsi="Times New Roman"/>
                <w:sz w:val="21"/>
                <w:szCs w:val="21"/>
              </w:rPr>
              <w:t>不可以接受□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4"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大气环境防护距离</w:t>
            </w:r>
          </w:p>
        </w:tc>
        <w:tc>
          <w:tcPr>
            <w:tcW w:w="4230" w:type="pct"/>
            <w:gridSpan w:val="9"/>
            <w:vAlign w:val="center"/>
          </w:tcPr>
          <w:p>
            <w:pPr>
              <w:pStyle w:val="39"/>
              <w:tabs>
                <w:tab w:val="left" w:pos="649"/>
              </w:tabs>
              <w:spacing w:line="240" w:lineRule="auto"/>
              <w:ind w:firstLine="0" w:firstLineChars="0"/>
              <w:rPr>
                <w:rFonts w:ascii="Times New Roman" w:hAnsi="Times New Roman"/>
                <w:sz w:val="21"/>
                <w:szCs w:val="21"/>
              </w:rPr>
            </w:pPr>
            <w:r>
              <w:rPr>
                <w:rFonts w:ascii="Times New Roman" w:hAnsi="Times New Roman"/>
                <w:sz w:val="21"/>
                <w:szCs w:val="21"/>
              </w:rPr>
              <w:t>距（</w:t>
            </w:r>
            <w:r>
              <w:rPr>
                <w:rFonts w:hint="eastAsia" w:ascii="Times New Roman" w:hAnsi="Times New Roman"/>
                <w:sz w:val="21"/>
                <w:szCs w:val="21"/>
              </w:rPr>
              <w:t>）</w:t>
            </w:r>
            <w:r>
              <w:rPr>
                <w:rFonts w:ascii="Times New Roman" w:hAnsi="Times New Roman"/>
                <w:sz w:val="21"/>
                <w:szCs w:val="21"/>
              </w:rPr>
              <w:t>厂界最远（）m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trPr>
        <w:tc>
          <w:tcPr>
            <w:tcW w:w="227" w:type="pct"/>
            <w:vMerge w:val="continue"/>
            <w:vAlign w:val="center"/>
          </w:tcPr>
          <w:p>
            <w:pPr>
              <w:spacing w:line="240" w:lineRule="auto"/>
              <w:ind w:firstLine="0" w:firstLineChars="0"/>
              <w:jc w:val="center"/>
              <w:rPr>
                <w:sz w:val="21"/>
                <w:szCs w:val="21"/>
              </w:rPr>
            </w:pPr>
          </w:p>
        </w:tc>
        <w:tc>
          <w:tcPr>
            <w:tcW w:w="539" w:type="pct"/>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污染源年排放量</w:t>
            </w:r>
          </w:p>
        </w:tc>
        <w:tc>
          <w:tcPr>
            <w:tcW w:w="1264" w:type="pct"/>
            <w:gridSpan w:val="3"/>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SO</w:t>
            </w:r>
            <w:r>
              <w:rPr>
                <w:rFonts w:ascii="Times New Roman" w:hAnsi="Times New Roman"/>
                <w:sz w:val="21"/>
                <w:szCs w:val="21"/>
                <w:vertAlign w:val="subscript"/>
              </w:rPr>
              <w:t>2</w:t>
            </w:r>
            <w:r>
              <w:rPr>
                <w:rFonts w:ascii="Times New Roman" w:hAnsi="Times New Roman"/>
                <w:sz w:val="21"/>
                <w:szCs w:val="21"/>
              </w:rPr>
              <w:t>:</w:t>
            </w:r>
            <w:r>
              <w:rPr>
                <w:rFonts w:hint="eastAsia" w:ascii="Times New Roman" w:hAnsi="Times New Roman"/>
                <w:sz w:val="21"/>
                <w:szCs w:val="21"/>
              </w:rPr>
              <w:t>（</w:t>
            </w:r>
            <w:r>
              <w:rPr>
                <w:rFonts w:hint="eastAsia" w:ascii="Times New Roman" w:hAnsi="Times New Roman"/>
                <w:sz w:val="21"/>
                <w:szCs w:val="21"/>
                <w:lang w:val="en-US"/>
              </w:rPr>
              <w:t>0</w:t>
            </w:r>
            <w:r>
              <w:rPr>
                <w:rFonts w:hint="eastAsia" w:ascii="Times New Roman" w:hAnsi="Times New Roman"/>
                <w:sz w:val="21"/>
                <w:szCs w:val="21"/>
              </w:rPr>
              <w:t>）</w:t>
            </w:r>
            <w:r>
              <w:rPr>
                <w:rFonts w:ascii="Times New Roman" w:hAnsi="Times New Roman"/>
                <w:sz w:val="21"/>
                <w:szCs w:val="21"/>
              </w:rPr>
              <w:t>t/a</w:t>
            </w:r>
          </w:p>
        </w:tc>
        <w:tc>
          <w:tcPr>
            <w:tcW w:w="1057"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NO</w:t>
            </w:r>
            <w:r>
              <w:rPr>
                <w:rFonts w:ascii="Times New Roman" w:hAnsi="Times New Roman"/>
                <w:sz w:val="21"/>
                <w:szCs w:val="21"/>
                <w:vertAlign w:val="subscript"/>
              </w:rPr>
              <w:t>x</w:t>
            </w:r>
            <w:r>
              <w:rPr>
                <w:rFonts w:ascii="Times New Roman" w:hAnsi="Times New Roman"/>
                <w:sz w:val="21"/>
                <w:szCs w:val="21"/>
              </w:rPr>
              <w:t>:</w:t>
            </w:r>
            <w:r>
              <w:rPr>
                <w:rFonts w:hint="eastAsia" w:ascii="Times New Roman" w:hAnsi="Times New Roman"/>
                <w:sz w:val="21"/>
                <w:szCs w:val="21"/>
              </w:rPr>
              <w:t>（</w:t>
            </w:r>
            <w:r>
              <w:rPr>
                <w:rFonts w:hint="eastAsia" w:ascii="Times New Roman" w:hAnsi="Times New Roman"/>
                <w:sz w:val="21"/>
                <w:szCs w:val="21"/>
                <w:lang w:val="en-US"/>
              </w:rPr>
              <w:t>0</w:t>
            </w:r>
            <w:r>
              <w:rPr>
                <w:rFonts w:hint="eastAsia" w:ascii="Times New Roman" w:hAnsi="Times New Roman"/>
                <w:sz w:val="21"/>
                <w:szCs w:val="21"/>
              </w:rPr>
              <w:t>）</w:t>
            </w:r>
            <w:r>
              <w:rPr>
                <w:rFonts w:ascii="Times New Roman" w:hAnsi="Times New Roman"/>
                <w:sz w:val="21"/>
                <w:szCs w:val="21"/>
              </w:rPr>
              <w:t>t/a</w:t>
            </w:r>
          </w:p>
        </w:tc>
        <w:tc>
          <w:tcPr>
            <w:tcW w:w="1059"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颗粒物</w:t>
            </w:r>
            <w:r>
              <w:rPr>
                <w:rFonts w:hint="eastAsia" w:ascii="Times New Roman" w:hAnsi="Times New Roman"/>
                <w:sz w:val="21"/>
                <w:szCs w:val="21"/>
              </w:rPr>
              <w:t>：（</w:t>
            </w:r>
            <w:r>
              <w:rPr>
                <w:rFonts w:hint="eastAsia" w:ascii="Times New Roman" w:hAnsi="Times New Roman"/>
                <w:sz w:val="21"/>
                <w:szCs w:val="21"/>
                <w:lang w:val="en-US" w:eastAsia="zh-CN"/>
              </w:rPr>
              <w:t>0.078</w:t>
            </w:r>
            <w:r>
              <w:rPr>
                <w:rFonts w:hint="eastAsia" w:ascii="Times New Roman" w:hAnsi="Times New Roman"/>
                <w:sz w:val="21"/>
                <w:szCs w:val="21"/>
              </w:rPr>
              <w:t>）</w:t>
            </w:r>
            <w:r>
              <w:rPr>
                <w:rFonts w:ascii="Times New Roman" w:hAnsi="Times New Roman"/>
                <w:sz w:val="21"/>
                <w:szCs w:val="21"/>
              </w:rPr>
              <w:t>t/a</w:t>
            </w:r>
          </w:p>
        </w:tc>
        <w:tc>
          <w:tcPr>
            <w:tcW w:w="848" w:type="pct"/>
            <w:gridSpan w:val="2"/>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VOCs：（</w:t>
            </w:r>
            <w:r>
              <w:rPr>
                <w:rFonts w:hint="eastAsia" w:ascii="Times New Roman" w:hAnsi="Times New Roman"/>
                <w:sz w:val="21"/>
                <w:szCs w:val="21"/>
                <w:lang w:val="en-US" w:eastAsia="zh-CN"/>
              </w:rPr>
              <w:t>2.4692</w:t>
            </w:r>
            <w:r>
              <w:rPr>
                <w:rFonts w:ascii="Times New Roman" w:hAnsi="Times New Roman"/>
                <w:sz w:val="21"/>
                <w:szCs w:val="21"/>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 w:hRule="atLeast"/>
        </w:trPr>
        <w:tc>
          <w:tcPr>
            <w:tcW w:w="4997" w:type="pct"/>
            <w:gridSpan w:val="11"/>
            <w:vAlign w:val="center"/>
          </w:tcPr>
          <w:p>
            <w:pPr>
              <w:pStyle w:val="39"/>
              <w:spacing w:line="240" w:lineRule="auto"/>
              <w:ind w:firstLine="0" w:firstLineChars="0"/>
              <w:rPr>
                <w:rFonts w:ascii="Times New Roman" w:hAnsi="Times New Roman"/>
                <w:sz w:val="21"/>
                <w:szCs w:val="21"/>
              </w:rPr>
            </w:pPr>
            <w:r>
              <w:rPr>
                <w:rFonts w:ascii="Times New Roman" w:hAnsi="Times New Roman"/>
                <w:sz w:val="21"/>
                <w:szCs w:val="21"/>
              </w:rPr>
              <w:t>注：</w:t>
            </w:r>
            <w:r>
              <w:rPr>
                <w:rFonts w:hint="eastAsia" w:ascii="Times New Roman" w:hAnsi="Times New Roman"/>
                <w:sz w:val="21"/>
                <w:szCs w:val="21"/>
                <w:lang w:eastAsia="zh-CN"/>
              </w:rPr>
              <w:t>“</w:t>
            </w:r>
            <w:r>
              <w:rPr>
                <w:rFonts w:ascii="Times New Roman" w:hAnsi="Times New Roman"/>
                <w:sz w:val="21"/>
                <w:szCs w:val="21"/>
              </w:rPr>
              <w:t>□</w:t>
            </w:r>
            <w:r>
              <w:rPr>
                <w:rFonts w:hint="eastAsia" w:ascii="Times New Roman" w:hAnsi="Times New Roman"/>
                <w:sz w:val="21"/>
                <w:szCs w:val="21"/>
                <w:lang w:eastAsia="zh-CN"/>
              </w:rPr>
              <w:t>”</w:t>
            </w:r>
            <w:r>
              <w:rPr>
                <w:rFonts w:ascii="Times New Roman" w:hAnsi="Times New Roman"/>
                <w:sz w:val="21"/>
                <w:szCs w:val="21"/>
              </w:rPr>
              <w:t>，填</w:t>
            </w:r>
            <w:r>
              <w:rPr>
                <w:rFonts w:hint="eastAsia" w:ascii="Times New Roman" w:hAnsi="Times New Roman"/>
                <w:sz w:val="21"/>
                <w:szCs w:val="21"/>
                <w:lang w:eastAsia="zh-CN"/>
              </w:rPr>
              <w:t>“</w:t>
            </w:r>
            <w:r>
              <w:rPr>
                <w:rFonts w:ascii="Times New Roman" w:hAnsi="Times New Roman"/>
                <w:sz w:val="21"/>
                <w:szCs w:val="21"/>
              </w:rPr>
              <w:t>√</w:t>
            </w:r>
            <w:r>
              <w:rPr>
                <w:rFonts w:hint="eastAsia" w:ascii="Times New Roman" w:hAnsi="Times New Roman"/>
                <w:sz w:val="21"/>
                <w:szCs w:val="21"/>
                <w:lang w:eastAsia="zh-CN"/>
              </w:rPr>
              <w:t>”</w:t>
            </w:r>
            <w:r>
              <w:rPr>
                <w:rFonts w:ascii="Times New Roman" w:hAnsi="Times New Roman"/>
                <w:sz w:val="21"/>
                <w:szCs w:val="21"/>
              </w:rPr>
              <w:t>；</w:t>
            </w:r>
            <w:r>
              <w:rPr>
                <w:rFonts w:hint="eastAsia" w:ascii="Times New Roman" w:hAnsi="Times New Roman"/>
                <w:sz w:val="21"/>
                <w:szCs w:val="21"/>
                <w:lang w:eastAsia="zh-CN"/>
              </w:rPr>
              <w:t>“</w:t>
            </w:r>
            <w:r>
              <w:rPr>
                <w:rFonts w:ascii="Times New Roman" w:hAnsi="Times New Roman"/>
                <w:sz w:val="21"/>
                <w:szCs w:val="21"/>
              </w:rPr>
              <w:t>（）</w:t>
            </w:r>
            <w:r>
              <w:rPr>
                <w:rFonts w:hint="eastAsia" w:ascii="Times New Roman" w:hAnsi="Times New Roman"/>
                <w:sz w:val="21"/>
                <w:szCs w:val="21"/>
                <w:lang w:eastAsia="zh-CN"/>
              </w:rPr>
              <w:t>”</w:t>
            </w:r>
            <w:r>
              <w:rPr>
                <w:rFonts w:ascii="Times New Roman" w:hAnsi="Times New Roman"/>
                <w:sz w:val="21"/>
                <w:szCs w:val="21"/>
              </w:rPr>
              <w:t>为内容填写项</w:t>
            </w:r>
          </w:p>
        </w:tc>
      </w:tr>
    </w:tbl>
    <w:p>
      <w:pPr>
        <w:pStyle w:val="6"/>
        <w:ind w:firstLine="0" w:firstLineChars="0"/>
      </w:pPr>
      <w:bookmarkStart w:id="153" w:name="_Toc31021"/>
      <w:bookmarkStart w:id="154" w:name="_Toc28802"/>
      <w:bookmarkStart w:id="155" w:name="_Toc26751"/>
      <w:bookmarkStart w:id="156" w:name="_Toc8188"/>
      <w:r>
        <w:rPr>
          <w:rFonts w:hint="eastAsia"/>
          <w:lang w:val="en-US"/>
        </w:rPr>
        <w:t xml:space="preserve">6.3 </w:t>
      </w:r>
      <w:r>
        <w:rPr>
          <w:lang w:val="en-US"/>
        </w:rPr>
        <w:t>地表水环境影响评价</w:t>
      </w:r>
      <w:bookmarkEnd w:id="153"/>
      <w:bookmarkEnd w:id="154"/>
      <w:bookmarkEnd w:id="155"/>
      <w:bookmarkEnd w:id="156"/>
    </w:p>
    <w:p>
      <w:pPr>
        <w:ind w:firstLine="480"/>
      </w:pPr>
      <w:r>
        <w:rPr>
          <w:rFonts w:hint="eastAsia"/>
        </w:rPr>
        <w:t>通过工程分析，本项目污水经过厂内污水处理站处理达标后经管网送至平顶山第三污水处理厂作进一步处理，污水处理厂尾水经关庙沟流入灰河，结合HJ2.3-2018可以判断本项目地表水环境影响属于水污染影响。</w:t>
      </w:r>
    </w:p>
    <w:p>
      <w:pPr>
        <w:pStyle w:val="7"/>
        <w:ind w:firstLine="562"/>
      </w:pPr>
      <w:r>
        <w:rPr>
          <w:rFonts w:hint="eastAsia"/>
        </w:rPr>
        <w:t>6.3.1 评价等级</w:t>
      </w:r>
    </w:p>
    <w:p>
      <w:pPr>
        <w:ind w:firstLine="480"/>
      </w:pPr>
      <w:r>
        <w:rPr>
          <w:rFonts w:hint="eastAsia"/>
        </w:rPr>
        <w:t>根据《环境影响评价技术导则--地表水环境》（HJ2.3—2018），建设项目地表水环境影响评价工作等级划分原则见表6.3-1。</w:t>
      </w:r>
    </w:p>
    <w:p>
      <w:pPr>
        <w:ind w:firstLine="0" w:firstLineChars="0"/>
        <w:jc w:val="center"/>
        <w:rPr>
          <w:b/>
          <w:bCs/>
        </w:rPr>
      </w:pPr>
      <w:r>
        <w:rPr>
          <w:rFonts w:hint="eastAsia"/>
          <w:b/>
          <w:bCs/>
        </w:rPr>
        <w:t>表6.3-1  建设项目地表水环境影响评价工作等级划分依据</w:t>
      </w:r>
    </w:p>
    <w:tbl>
      <w:tblPr>
        <w:tblStyle w:val="51"/>
        <w:tblW w:w="4999"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508"/>
        <w:gridCol w:w="1597"/>
        <w:gridCol w:w="597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31" w:type="pct"/>
            <w:vMerge w:val="restart"/>
            <w:tcBorders>
              <w:bottom w:val="nil"/>
            </w:tcBorders>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评价等级</w:t>
            </w:r>
          </w:p>
        </w:tc>
        <w:tc>
          <w:tcPr>
            <w:tcW w:w="4168" w:type="pct"/>
            <w:gridSpan w:val="2"/>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判定依据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31" w:type="pct"/>
            <w:vMerge w:val="continue"/>
            <w:tcBorders>
              <w:top w:val="nil"/>
            </w:tcBorders>
            <w:vAlign w:val="center"/>
          </w:tcPr>
          <w:p>
            <w:pPr>
              <w:spacing w:line="360" w:lineRule="exact"/>
              <w:ind w:firstLine="0" w:firstLineChars="0"/>
              <w:jc w:val="center"/>
              <w:rPr>
                <w:rFonts w:ascii="宋体"/>
                <w:kern w:val="21"/>
                <w:sz w:val="21"/>
                <w:szCs w:val="21"/>
              </w:rPr>
            </w:pPr>
          </w:p>
        </w:tc>
        <w:tc>
          <w:tcPr>
            <w:tcW w:w="880" w:type="pct"/>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排放方式</w:t>
            </w:r>
          </w:p>
        </w:tc>
        <w:tc>
          <w:tcPr>
            <w:tcW w:w="3287" w:type="pct"/>
          </w:tcPr>
          <w:p>
            <w:pPr>
              <w:spacing w:line="360" w:lineRule="exact"/>
              <w:ind w:firstLine="0" w:firstLineChars="0"/>
              <w:rPr>
                <w:rFonts w:ascii="宋体" w:hAnsi="宋体" w:cs="宋体"/>
                <w:kern w:val="21"/>
                <w:sz w:val="21"/>
                <w:szCs w:val="21"/>
              </w:rPr>
            </w:pPr>
            <w:r>
              <w:rPr>
                <w:rFonts w:ascii="宋体" w:hAnsi="宋体" w:cs="宋体"/>
                <w:kern w:val="21"/>
                <w:sz w:val="21"/>
                <w:szCs w:val="21"/>
              </w:rPr>
              <w:t>废水排放量</w:t>
            </w:r>
            <w:r>
              <w:rPr>
                <w:rFonts w:eastAsia="Times New Roman" w:cs="Times New Roman"/>
                <w:kern w:val="21"/>
                <w:sz w:val="21"/>
                <w:szCs w:val="21"/>
              </w:rPr>
              <w:t>Q/</w:t>
            </w:r>
            <w:r>
              <w:rPr>
                <w:rFonts w:ascii="宋体" w:hAnsi="宋体" w:cs="宋体"/>
                <w:kern w:val="21"/>
                <w:sz w:val="21"/>
                <w:szCs w:val="21"/>
              </w:rPr>
              <w:t>（</w:t>
            </w:r>
            <w:r>
              <w:rPr>
                <w:rFonts w:eastAsia="Times New Roman" w:cs="Times New Roman"/>
                <w:kern w:val="21"/>
                <w:sz w:val="21"/>
                <w:szCs w:val="21"/>
              </w:rPr>
              <w:t>m</w:t>
            </w:r>
            <w:r>
              <w:rPr>
                <w:rFonts w:eastAsia="Times New Roman" w:cs="Times New Roman"/>
                <w:kern w:val="21"/>
                <w:sz w:val="21"/>
                <w:szCs w:val="21"/>
                <w:vertAlign w:val="superscript"/>
              </w:rPr>
              <w:t>3</w:t>
            </w:r>
            <w:r>
              <w:rPr>
                <w:rFonts w:eastAsia="Times New Roman" w:cs="Times New Roman"/>
                <w:kern w:val="21"/>
                <w:sz w:val="21"/>
                <w:szCs w:val="21"/>
              </w:rPr>
              <w:t>/d</w:t>
            </w:r>
            <w:r>
              <w:rPr>
                <w:rFonts w:ascii="宋体" w:hAnsi="宋体" w:cs="宋体"/>
                <w:kern w:val="21"/>
                <w:sz w:val="21"/>
                <w:szCs w:val="21"/>
              </w:rPr>
              <w:t>）；水污染物当量数</w:t>
            </w:r>
            <w:r>
              <w:rPr>
                <w:rFonts w:eastAsia="Times New Roman" w:cs="Times New Roman"/>
                <w:kern w:val="21"/>
                <w:sz w:val="21"/>
                <w:szCs w:val="21"/>
              </w:rPr>
              <w:t>W/</w:t>
            </w:r>
            <w:r>
              <w:rPr>
                <w:rFonts w:ascii="宋体" w:hAnsi="宋体" w:cs="宋体"/>
                <w:kern w:val="21"/>
                <w:sz w:val="21"/>
                <w:szCs w:val="21"/>
              </w:rPr>
              <w:t>（无量纲）</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31" w:type="pct"/>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一级</w:t>
            </w:r>
          </w:p>
        </w:tc>
        <w:tc>
          <w:tcPr>
            <w:tcW w:w="880" w:type="pct"/>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直接排放</w:t>
            </w:r>
          </w:p>
        </w:tc>
        <w:tc>
          <w:tcPr>
            <w:tcW w:w="3287" w:type="pct"/>
          </w:tcPr>
          <w:p>
            <w:pPr>
              <w:spacing w:line="360" w:lineRule="exact"/>
              <w:ind w:firstLine="0" w:firstLineChars="0"/>
              <w:rPr>
                <w:rFonts w:eastAsia="Times New Roman" w:cs="Times New Roman"/>
                <w:kern w:val="21"/>
                <w:sz w:val="21"/>
                <w:szCs w:val="21"/>
              </w:rPr>
            </w:pPr>
            <w:r>
              <w:rPr>
                <w:rFonts w:eastAsia="Times New Roman" w:cs="Times New Roman"/>
                <w:kern w:val="21"/>
                <w:sz w:val="21"/>
                <w:szCs w:val="21"/>
              </w:rPr>
              <w:t>Q≥20000</w:t>
            </w:r>
            <w:r>
              <w:rPr>
                <w:rFonts w:ascii="宋体" w:hAnsi="宋体" w:cs="宋体"/>
                <w:kern w:val="21"/>
                <w:sz w:val="21"/>
                <w:szCs w:val="21"/>
              </w:rPr>
              <w:t>或</w:t>
            </w:r>
            <w:r>
              <w:rPr>
                <w:rFonts w:eastAsia="Times New Roman" w:cs="Times New Roman"/>
                <w:kern w:val="21"/>
                <w:sz w:val="21"/>
                <w:szCs w:val="21"/>
              </w:rPr>
              <w:t>W≥600000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31" w:type="pct"/>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二级</w:t>
            </w:r>
          </w:p>
        </w:tc>
        <w:tc>
          <w:tcPr>
            <w:tcW w:w="880" w:type="pct"/>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直接排放</w:t>
            </w:r>
          </w:p>
        </w:tc>
        <w:tc>
          <w:tcPr>
            <w:tcW w:w="3287" w:type="pct"/>
          </w:tcPr>
          <w:p>
            <w:pPr>
              <w:spacing w:line="360" w:lineRule="exact"/>
              <w:ind w:firstLine="0" w:firstLineChars="0"/>
              <w:rPr>
                <w:rFonts w:ascii="宋体" w:hAnsi="宋体" w:cs="宋体"/>
                <w:kern w:val="21"/>
                <w:sz w:val="21"/>
                <w:szCs w:val="21"/>
              </w:rPr>
            </w:pPr>
            <w:r>
              <w:rPr>
                <w:rFonts w:ascii="宋体" w:hAnsi="宋体" w:cs="宋体"/>
                <w:kern w:val="21"/>
                <w:sz w:val="21"/>
                <w:szCs w:val="21"/>
              </w:rPr>
              <w:t>其他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31" w:type="pct"/>
            <w:vAlign w:val="center"/>
          </w:tcPr>
          <w:p>
            <w:pPr>
              <w:spacing w:line="360" w:lineRule="exact"/>
              <w:ind w:firstLine="0" w:firstLineChars="0"/>
              <w:jc w:val="center"/>
              <w:rPr>
                <w:rFonts w:eastAsia="Times New Roman" w:cs="Times New Roman"/>
                <w:kern w:val="21"/>
                <w:sz w:val="21"/>
                <w:szCs w:val="21"/>
              </w:rPr>
            </w:pPr>
            <w:r>
              <w:rPr>
                <w:rFonts w:ascii="宋体" w:hAnsi="宋体" w:cs="宋体"/>
                <w:kern w:val="21"/>
                <w:sz w:val="21"/>
                <w:szCs w:val="21"/>
              </w:rPr>
              <w:t>三级</w:t>
            </w:r>
            <w:r>
              <w:rPr>
                <w:rFonts w:eastAsia="Times New Roman" w:cs="Times New Roman"/>
                <w:kern w:val="21"/>
                <w:sz w:val="21"/>
                <w:szCs w:val="21"/>
              </w:rPr>
              <w:t>A</w:t>
            </w:r>
          </w:p>
        </w:tc>
        <w:tc>
          <w:tcPr>
            <w:tcW w:w="880" w:type="pct"/>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直接排放</w:t>
            </w:r>
          </w:p>
        </w:tc>
        <w:tc>
          <w:tcPr>
            <w:tcW w:w="3287" w:type="pct"/>
          </w:tcPr>
          <w:p>
            <w:pPr>
              <w:spacing w:line="360" w:lineRule="exact"/>
              <w:ind w:firstLine="0" w:firstLineChars="0"/>
              <w:rPr>
                <w:rFonts w:eastAsia="Times New Roman" w:cs="Times New Roman"/>
                <w:kern w:val="21"/>
                <w:sz w:val="21"/>
                <w:szCs w:val="21"/>
              </w:rPr>
            </w:pPr>
            <w:r>
              <w:rPr>
                <w:rFonts w:eastAsia="Times New Roman" w:cs="Times New Roman"/>
                <w:kern w:val="21"/>
                <w:sz w:val="21"/>
                <w:szCs w:val="21"/>
              </w:rPr>
              <w:t>Q</w:t>
            </w:r>
            <w:r>
              <w:rPr>
                <w:rFonts w:ascii="宋体" w:hAnsi="宋体" w:cs="宋体"/>
                <w:kern w:val="21"/>
                <w:sz w:val="21"/>
                <w:szCs w:val="21"/>
              </w:rPr>
              <w:t>＜</w:t>
            </w:r>
            <w:r>
              <w:rPr>
                <w:rFonts w:eastAsia="Times New Roman" w:cs="Times New Roman"/>
                <w:kern w:val="21"/>
                <w:sz w:val="21"/>
                <w:szCs w:val="21"/>
              </w:rPr>
              <w:t>200</w:t>
            </w:r>
            <w:r>
              <w:rPr>
                <w:rFonts w:ascii="宋体" w:hAnsi="宋体" w:cs="宋体"/>
                <w:kern w:val="21"/>
                <w:sz w:val="21"/>
                <w:szCs w:val="21"/>
              </w:rPr>
              <w:t>且</w:t>
            </w:r>
            <w:r>
              <w:rPr>
                <w:rFonts w:eastAsia="Times New Roman" w:cs="Times New Roman"/>
                <w:kern w:val="21"/>
                <w:sz w:val="21"/>
                <w:szCs w:val="21"/>
              </w:rPr>
              <w:t>W</w:t>
            </w:r>
            <w:r>
              <w:rPr>
                <w:rFonts w:ascii="宋体" w:hAnsi="宋体" w:cs="宋体"/>
                <w:kern w:val="21"/>
                <w:sz w:val="21"/>
                <w:szCs w:val="21"/>
              </w:rPr>
              <w:t>＜</w:t>
            </w:r>
            <w:r>
              <w:rPr>
                <w:rFonts w:eastAsia="Times New Roman" w:cs="Times New Roman"/>
                <w:kern w:val="21"/>
                <w:sz w:val="21"/>
                <w:szCs w:val="21"/>
              </w:rPr>
              <w:t>6000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31" w:type="pct"/>
            <w:vAlign w:val="center"/>
          </w:tcPr>
          <w:p>
            <w:pPr>
              <w:spacing w:line="360" w:lineRule="exact"/>
              <w:ind w:firstLine="0" w:firstLineChars="0"/>
              <w:jc w:val="center"/>
              <w:rPr>
                <w:rFonts w:eastAsia="Times New Roman" w:cs="Times New Roman"/>
                <w:kern w:val="21"/>
                <w:sz w:val="21"/>
                <w:szCs w:val="21"/>
              </w:rPr>
            </w:pPr>
            <w:r>
              <w:rPr>
                <w:rFonts w:ascii="宋体" w:hAnsi="宋体" w:cs="宋体"/>
                <w:kern w:val="21"/>
                <w:sz w:val="21"/>
                <w:szCs w:val="21"/>
              </w:rPr>
              <w:t>三级</w:t>
            </w:r>
            <w:r>
              <w:rPr>
                <w:rFonts w:eastAsia="Times New Roman" w:cs="Times New Roman"/>
                <w:kern w:val="21"/>
                <w:sz w:val="21"/>
                <w:szCs w:val="21"/>
              </w:rPr>
              <w:t>B</w:t>
            </w:r>
          </w:p>
        </w:tc>
        <w:tc>
          <w:tcPr>
            <w:tcW w:w="880" w:type="pct"/>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间接排放</w:t>
            </w:r>
          </w:p>
        </w:tc>
        <w:tc>
          <w:tcPr>
            <w:tcW w:w="3287" w:type="pct"/>
          </w:tcPr>
          <w:p>
            <w:pPr>
              <w:spacing w:line="360" w:lineRule="exact"/>
              <w:ind w:firstLine="0" w:firstLineChars="0"/>
              <w:rPr>
                <w:rFonts w:eastAsia="Times New Roman" w:cs="Times New Roman"/>
                <w:kern w:val="21"/>
                <w:sz w:val="21"/>
                <w:szCs w:val="21"/>
              </w:rPr>
            </w:pPr>
            <w:r>
              <w:rPr>
                <w:rFonts w:eastAsia="Times New Roman" w:cs="Times New Roman"/>
                <w:kern w:val="21"/>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000" w:type="pct"/>
            <w:gridSpan w:val="3"/>
          </w:tcPr>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1</w:t>
            </w:r>
            <w:r>
              <w:rPr>
                <w:rFonts w:ascii="宋体" w:hAnsi="宋体" w:cs="宋体"/>
                <w:kern w:val="21"/>
                <w:sz w:val="21"/>
                <w:szCs w:val="21"/>
              </w:rPr>
              <w:t>：水污染物当量数等于该污染物的年排放量除以该污染物的污染当量值（见附录</w:t>
            </w:r>
            <w:r>
              <w:rPr>
                <w:rFonts w:eastAsia="Times New Roman" w:cs="Times New Roman"/>
                <w:kern w:val="21"/>
                <w:sz w:val="21"/>
                <w:szCs w:val="21"/>
              </w:rPr>
              <w:t>A</w:t>
            </w:r>
            <w:r>
              <w:rPr>
                <w:rFonts w:ascii="宋体" w:hAnsi="宋体" w:cs="宋体"/>
                <w:kern w:val="21"/>
                <w:sz w:val="21"/>
                <w:szCs w:val="21"/>
              </w:rPr>
              <w:t>），计算排放污染物的污染物当量数，应区分第一类水污染物和其他类水污染物，统计第一类污染物当量数总和，然后与其他类污染物按照污染物当量数从大到小排序，取最大当量数作为建设项目评价等级确定的依据。</w:t>
            </w:r>
          </w:p>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2</w:t>
            </w:r>
            <w:r>
              <w:rPr>
                <w:rFonts w:ascii="宋体" w:hAnsi="宋体" w:cs="宋体"/>
                <w:kern w:val="21"/>
                <w:sz w:val="21"/>
                <w:szCs w:val="21"/>
              </w:rPr>
              <w:t>：废水排放量按行业排放标准中规定的废水种类统计，没有相关行业排放标准要求的通过工程分析合理确定，应统计含热量大的冷却水的排放量，可不统计间接冷却水、循环水以及其他含污染物极少的清净下水的排放量。</w:t>
            </w:r>
          </w:p>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3</w:t>
            </w:r>
            <w:r>
              <w:rPr>
                <w:rFonts w:ascii="宋体" w:hAnsi="宋体" w:cs="宋体"/>
                <w:kern w:val="21"/>
                <w:sz w:val="21"/>
                <w:szCs w:val="21"/>
              </w:rPr>
              <w:t>：厂区存在堆积物（露天堆放的原料、燃料、废渣等以及垃圾堆放场）、降尘污染的，应将初期雨污水纳入废水排放量，相应的主要污染物纳入水污染当量计算。</w:t>
            </w:r>
          </w:p>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4</w:t>
            </w:r>
            <w:r>
              <w:rPr>
                <w:rFonts w:ascii="宋体" w:hAnsi="宋体" w:cs="宋体"/>
                <w:kern w:val="21"/>
                <w:sz w:val="21"/>
                <w:szCs w:val="21"/>
              </w:rPr>
              <w:t>：建设项目直接排放第一类污染物的，其评价等级为一级；建设项目直接排放的污染物为受纳水体超标因子的，评价等级不低于二级。</w:t>
            </w:r>
          </w:p>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5</w:t>
            </w:r>
            <w:r>
              <w:rPr>
                <w:rFonts w:ascii="宋体" w:hAnsi="宋体" w:cs="宋体"/>
                <w:kern w:val="21"/>
                <w:sz w:val="21"/>
                <w:szCs w:val="21"/>
              </w:rPr>
              <w:t>：直接排放受纳水体影响范围设计饮用水水源保护区、饮用水取水口、重点保护与珍稀水生生物的栖息地、重要水生生物的自然产卵场等保护目标时，评级等级不低于二级。</w:t>
            </w:r>
          </w:p>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6</w:t>
            </w:r>
            <w:r>
              <w:rPr>
                <w:rFonts w:ascii="宋体" w:hAnsi="宋体" w:cs="宋体"/>
                <w:kern w:val="21"/>
                <w:sz w:val="21"/>
                <w:szCs w:val="21"/>
              </w:rPr>
              <w:t>：建设项目向河流、湖库排放温排水引起受纳水体水温变化超过水环境质量标准要求的，且评价范围有水温敏感目标时，评级等级为一级。</w:t>
            </w:r>
          </w:p>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7</w:t>
            </w:r>
            <w:r>
              <w:rPr>
                <w:rFonts w:ascii="宋体" w:hAnsi="宋体" w:cs="宋体"/>
                <w:kern w:val="21"/>
                <w:sz w:val="21"/>
                <w:szCs w:val="21"/>
              </w:rPr>
              <w:t>：建设项目利用海水作为调节温度介质，排水量</w:t>
            </w:r>
            <w:r>
              <w:rPr>
                <w:rFonts w:eastAsia="Times New Roman" w:cs="Times New Roman"/>
                <w:kern w:val="21"/>
                <w:sz w:val="21"/>
                <w:szCs w:val="21"/>
              </w:rPr>
              <w:t>≥500</w:t>
            </w:r>
            <w:r>
              <w:rPr>
                <w:rFonts w:ascii="宋体" w:hAnsi="宋体" w:cs="宋体"/>
                <w:kern w:val="21"/>
                <w:sz w:val="21"/>
                <w:szCs w:val="21"/>
              </w:rPr>
              <w:t>万</w:t>
            </w:r>
            <w:r>
              <w:rPr>
                <w:rFonts w:eastAsia="Times New Roman" w:cs="Times New Roman"/>
                <w:kern w:val="21"/>
                <w:sz w:val="21"/>
                <w:szCs w:val="21"/>
              </w:rPr>
              <w:t>m</w:t>
            </w:r>
            <w:r>
              <w:rPr>
                <w:rFonts w:eastAsia="Times New Roman" w:cs="Times New Roman"/>
                <w:kern w:val="21"/>
                <w:sz w:val="21"/>
                <w:szCs w:val="21"/>
                <w:vertAlign w:val="superscript"/>
              </w:rPr>
              <w:t>3</w:t>
            </w:r>
            <w:r>
              <w:rPr>
                <w:rFonts w:eastAsia="Times New Roman" w:cs="Times New Roman"/>
                <w:kern w:val="21"/>
                <w:sz w:val="21"/>
                <w:szCs w:val="21"/>
              </w:rPr>
              <w:t>/d</w:t>
            </w:r>
            <w:r>
              <w:rPr>
                <w:rFonts w:ascii="宋体" w:hAnsi="宋体" w:cs="宋体"/>
                <w:kern w:val="21"/>
                <w:sz w:val="21"/>
                <w:szCs w:val="21"/>
              </w:rPr>
              <w:t>，评价等级为一级；排水量＜</w:t>
            </w:r>
            <w:r>
              <w:rPr>
                <w:rFonts w:eastAsia="Times New Roman" w:cs="Times New Roman"/>
                <w:kern w:val="21"/>
                <w:sz w:val="21"/>
                <w:szCs w:val="21"/>
              </w:rPr>
              <w:t>500</w:t>
            </w:r>
            <w:r>
              <w:rPr>
                <w:rFonts w:ascii="宋体" w:hAnsi="宋体" w:cs="宋体"/>
                <w:kern w:val="21"/>
                <w:sz w:val="21"/>
                <w:szCs w:val="21"/>
              </w:rPr>
              <w:t>万</w:t>
            </w:r>
            <w:r>
              <w:rPr>
                <w:rFonts w:eastAsia="Times New Roman" w:cs="Times New Roman"/>
                <w:kern w:val="21"/>
                <w:sz w:val="21"/>
                <w:szCs w:val="21"/>
              </w:rPr>
              <w:t>m</w:t>
            </w:r>
            <w:r>
              <w:rPr>
                <w:rFonts w:eastAsia="Times New Roman" w:cs="Times New Roman"/>
                <w:kern w:val="21"/>
                <w:sz w:val="21"/>
                <w:szCs w:val="21"/>
                <w:vertAlign w:val="superscript"/>
              </w:rPr>
              <w:t>3</w:t>
            </w:r>
            <w:r>
              <w:rPr>
                <w:rFonts w:eastAsia="Times New Roman" w:cs="Times New Roman"/>
                <w:kern w:val="21"/>
                <w:sz w:val="21"/>
                <w:szCs w:val="21"/>
              </w:rPr>
              <w:t>/d</w:t>
            </w:r>
            <w:r>
              <w:rPr>
                <w:rFonts w:ascii="宋体" w:hAnsi="宋体" w:cs="宋体"/>
                <w:kern w:val="21"/>
                <w:sz w:val="21"/>
                <w:szCs w:val="21"/>
              </w:rPr>
              <w:t>，评价等级为二级。</w:t>
            </w:r>
          </w:p>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8</w:t>
            </w:r>
            <w:r>
              <w:rPr>
                <w:rFonts w:ascii="宋体" w:hAnsi="宋体" w:cs="宋体"/>
                <w:kern w:val="21"/>
                <w:sz w:val="21"/>
                <w:szCs w:val="21"/>
              </w:rPr>
              <w:t>：仅涉及清净下水排放的，如其排放水质满足受纳水体水环境质量标准要求的，评价等级为三级</w:t>
            </w:r>
            <w:r>
              <w:rPr>
                <w:rFonts w:eastAsia="Times New Roman" w:cs="Times New Roman"/>
                <w:kern w:val="21"/>
                <w:sz w:val="21"/>
                <w:szCs w:val="21"/>
              </w:rPr>
              <w:t>A</w:t>
            </w:r>
            <w:r>
              <w:rPr>
                <w:rFonts w:ascii="宋体" w:hAnsi="宋体" w:cs="宋体"/>
                <w:kern w:val="21"/>
                <w:sz w:val="21"/>
                <w:szCs w:val="21"/>
              </w:rPr>
              <w:t>。</w:t>
            </w:r>
          </w:p>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9</w:t>
            </w:r>
            <w:r>
              <w:rPr>
                <w:rFonts w:ascii="宋体" w:hAnsi="宋体" w:cs="宋体"/>
                <w:kern w:val="21"/>
                <w:sz w:val="21"/>
                <w:szCs w:val="21"/>
              </w:rPr>
              <w:t>：依托现有排放口，且对外环境未新增排放污染物的直接排放建设项目，评价等级参照间接排放，定为三级</w:t>
            </w:r>
            <w:r>
              <w:rPr>
                <w:rFonts w:eastAsia="Times New Roman" w:cs="Times New Roman"/>
                <w:kern w:val="21"/>
                <w:sz w:val="21"/>
                <w:szCs w:val="21"/>
              </w:rPr>
              <w:t>B</w:t>
            </w:r>
            <w:r>
              <w:rPr>
                <w:rFonts w:ascii="宋体" w:hAnsi="宋体" w:cs="宋体"/>
                <w:kern w:val="21"/>
                <w:sz w:val="21"/>
                <w:szCs w:val="21"/>
              </w:rPr>
              <w:t>。</w:t>
            </w:r>
          </w:p>
          <w:p>
            <w:pPr>
              <w:spacing w:line="360" w:lineRule="exact"/>
              <w:ind w:firstLine="0" w:firstLineChars="0"/>
              <w:rPr>
                <w:rFonts w:ascii="宋体" w:hAnsi="宋体" w:cs="宋体"/>
                <w:kern w:val="21"/>
                <w:sz w:val="21"/>
                <w:szCs w:val="21"/>
              </w:rPr>
            </w:pPr>
            <w:r>
              <w:rPr>
                <w:rFonts w:ascii="宋体" w:hAnsi="宋体" w:cs="宋体"/>
                <w:kern w:val="21"/>
                <w:sz w:val="21"/>
                <w:szCs w:val="21"/>
              </w:rPr>
              <w:t>注</w:t>
            </w:r>
            <w:r>
              <w:rPr>
                <w:rFonts w:eastAsia="Times New Roman" w:cs="Times New Roman"/>
                <w:kern w:val="21"/>
                <w:sz w:val="21"/>
                <w:szCs w:val="21"/>
              </w:rPr>
              <w:t>10</w:t>
            </w:r>
            <w:r>
              <w:rPr>
                <w:rFonts w:ascii="宋体" w:hAnsi="宋体" w:cs="宋体"/>
                <w:kern w:val="21"/>
                <w:sz w:val="21"/>
                <w:szCs w:val="21"/>
              </w:rPr>
              <w:t>：建设项目生产工艺中有废水产生，但作为回水利用，不排放的外环境的，按三级</w:t>
            </w:r>
            <w:r>
              <w:rPr>
                <w:rFonts w:eastAsia="Times New Roman" w:cs="Times New Roman"/>
                <w:kern w:val="21"/>
                <w:sz w:val="21"/>
                <w:szCs w:val="21"/>
              </w:rPr>
              <w:t>B</w:t>
            </w:r>
            <w:r>
              <w:rPr>
                <w:rFonts w:ascii="宋体" w:hAnsi="宋体" w:cs="宋体"/>
                <w:kern w:val="21"/>
                <w:sz w:val="21"/>
                <w:szCs w:val="21"/>
              </w:rPr>
              <w:t>评价。</w:t>
            </w:r>
          </w:p>
        </w:tc>
      </w:tr>
    </w:tbl>
    <w:p>
      <w:pPr>
        <w:ind w:firstLine="460"/>
        <w:rPr>
          <w:rFonts w:cs="Times New Roman"/>
        </w:rPr>
      </w:pPr>
      <w:r>
        <w:rPr>
          <w:rFonts w:ascii="宋体" w:hAnsi="宋体" w:cs="宋体"/>
          <w:spacing w:val="-5"/>
        </w:rPr>
        <w:t>本项目产生的废水主要为生产废水、生活污水</w:t>
      </w:r>
      <w:r>
        <w:rPr>
          <w:rFonts w:ascii="宋体" w:hAnsi="宋体" w:cs="宋体"/>
          <w:spacing w:val="2"/>
        </w:rPr>
        <w:t>一同经污水站处理后经园区已建污水管网排入平顶山第三污水处理厂进一步处理，属于间接排放。</w:t>
      </w:r>
    </w:p>
    <w:p>
      <w:pPr>
        <w:ind w:firstLine="480"/>
        <w:rPr>
          <w:color w:val="000000" w:themeColor="text1"/>
          <w14:textFill>
            <w14:solidFill>
              <w14:schemeClr w14:val="tx1"/>
            </w14:solidFill>
          </w14:textFill>
        </w:rPr>
      </w:pPr>
      <w:r>
        <w:rPr>
          <w:rFonts w:cs="Times New Roman"/>
        </w:rPr>
        <w:t>根据《环境影响评价技术导则地表水环境》（HJ2.3-2018），拟建项目地表水环境影响评价等级为三级B，可不考虑评价时期，可不开展区域污染源调查，水污染型三级B评价可不进行水环境影响预测。</w:t>
      </w:r>
      <w:r>
        <w:rPr>
          <w:rFonts w:hint="eastAsia"/>
        </w:rPr>
        <w:t>因此本项目不进行地表水环境影响评价，仅对项目采取的水污染防治措施可行性等进行评价</w:t>
      </w:r>
      <w:r>
        <w:rPr>
          <w:rFonts w:hint="eastAsia"/>
          <w:color w:val="000000" w:themeColor="text1"/>
          <w14:textFill>
            <w14:solidFill>
              <w14:schemeClr w14:val="tx1"/>
            </w14:solidFill>
          </w14:textFill>
        </w:rPr>
        <w:t>，具体见</w:t>
      </w:r>
      <w:r>
        <w:rPr>
          <w:color w:val="000000" w:themeColor="text1"/>
          <w14:textFill>
            <w14:solidFill>
              <w14:schemeClr w14:val="tx1"/>
            </w14:solidFill>
          </w14:textFill>
        </w:rPr>
        <w:t>7.2.2</w:t>
      </w:r>
      <w:r>
        <w:rPr>
          <w:rFonts w:hint="eastAsia"/>
          <w:color w:val="000000" w:themeColor="text1"/>
          <w14:textFill>
            <w14:solidFill>
              <w14:schemeClr w14:val="tx1"/>
            </w14:solidFill>
          </w14:textFill>
        </w:rPr>
        <w:t>节。</w:t>
      </w:r>
    </w:p>
    <w:p>
      <w:pPr>
        <w:pStyle w:val="7"/>
        <w:ind w:firstLine="562"/>
      </w:pPr>
      <w:r>
        <w:rPr>
          <w:rFonts w:hint="eastAsia"/>
        </w:rPr>
        <w:t>6.3.2 地表水环境影响评价</w:t>
      </w:r>
    </w:p>
    <w:p>
      <w:pPr>
        <w:ind w:firstLine="460"/>
        <w:rPr>
          <w:rFonts w:cs="Times New Roman"/>
          <w:spacing w:val="-5"/>
        </w:rPr>
      </w:pPr>
      <w:r>
        <w:rPr>
          <w:rFonts w:cs="Times New Roman"/>
          <w:spacing w:val="-5"/>
        </w:rPr>
        <w:t>针对本项目废水特点，废水处理站拟采用</w:t>
      </w:r>
      <w:r>
        <w:rPr>
          <w:rFonts w:hint="eastAsia" w:cs="Times New Roman"/>
          <w:spacing w:val="-5"/>
          <w:lang w:eastAsia="zh-CN"/>
        </w:rPr>
        <w:t>“</w:t>
      </w:r>
      <w:r>
        <w:rPr>
          <w:rFonts w:hint="eastAsia"/>
          <w:lang w:eastAsia="zh-CN"/>
        </w:rPr>
        <w:t>预曝气调节池+厌氧反应器+水解酸化池+沉淀池</w:t>
      </w:r>
      <w:r>
        <w:rPr>
          <w:rFonts w:hint="eastAsia" w:cs="Times New Roman"/>
          <w:spacing w:val="-5"/>
          <w:lang w:eastAsia="zh-CN"/>
        </w:rPr>
        <w:t>”</w:t>
      </w:r>
      <w:r>
        <w:rPr>
          <w:rFonts w:cs="Times New Roman"/>
          <w:spacing w:val="-5"/>
        </w:rPr>
        <w:t>处理工艺，经处理后通过厂区废水总排放口排入集聚区污水处理厂集中处理。</w:t>
      </w:r>
    </w:p>
    <w:p>
      <w:pPr>
        <w:pStyle w:val="5"/>
        <w:ind w:firstLine="964"/>
        <w:rPr>
          <w:rFonts w:hint="default"/>
          <w:color w:val="000000" w:themeColor="text1"/>
          <w14:textFill>
            <w14:solidFill>
              <w14:schemeClr w14:val="tx1"/>
            </w14:solidFill>
          </w14:textFill>
        </w:rPr>
        <w:sectPr>
          <w:pgSz w:w="11906" w:h="16838"/>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pPr>
    </w:p>
    <w:p>
      <w:pPr>
        <w:ind w:firstLine="0" w:firstLineChars="0"/>
        <w:jc w:val="center"/>
        <w:rPr>
          <w:b/>
          <w:bCs/>
        </w:rPr>
      </w:pPr>
      <w:r>
        <w:rPr>
          <w:rFonts w:hint="eastAsia"/>
          <w:b/>
          <w:bCs/>
        </w:rPr>
        <w:t>表6.3-2  废水排放情况一览表</w:t>
      </w:r>
    </w:p>
    <w:tbl>
      <w:tblPr>
        <w:tblStyle w:val="51"/>
        <w:tblW w:w="5006"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297"/>
        <w:gridCol w:w="1231"/>
        <w:gridCol w:w="1406"/>
        <w:gridCol w:w="1260"/>
        <w:gridCol w:w="1650"/>
        <w:gridCol w:w="1465"/>
        <w:gridCol w:w="1159"/>
        <w:gridCol w:w="1190"/>
        <w:gridCol w:w="1179"/>
        <w:gridCol w:w="119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58" w:type="pct"/>
            <w:gridSpan w:val="2"/>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项目</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水量</w:t>
            </w:r>
          </w:p>
        </w:tc>
        <w:tc>
          <w:tcPr>
            <w:tcW w:w="44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COD</w:t>
            </w:r>
          </w:p>
        </w:tc>
        <w:tc>
          <w:tcPr>
            <w:tcW w:w="58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BOD</w:t>
            </w:r>
            <w:r>
              <w:rPr>
                <w:rFonts w:eastAsia="Times New Roman" w:cs="Times New Roman"/>
                <w:sz w:val="21"/>
                <w:szCs w:val="21"/>
                <w:vertAlign w:val="subscript"/>
              </w:rPr>
              <w:t>5</w:t>
            </w:r>
          </w:p>
        </w:tc>
        <w:tc>
          <w:tcPr>
            <w:tcW w:w="522"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SS</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氨氮</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动植物油</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Times New Roman" w:cs="Times New Roman"/>
                <w:sz w:val="21"/>
                <w:szCs w:val="21"/>
                <w:lang w:val="en-US" w:eastAsia="zh-CN"/>
              </w:rPr>
            </w:pPr>
            <w:r>
              <w:rPr>
                <w:rFonts w:hint="eastAsia" w:eastAsia="Times New Roman" w:cs="Times New Roman"/>
                <w:sz w:val="21"/>
                <w:szCs w:val="21"/>
                <w:lang w:val="en-US" w:eastAsia="zh-CN"/>
              </w:rPr>
              <w:t>TN</w:t>
            </w:r>
          </w:p>
        </w:tc>
        <w:tc>
          <w:tcPr>
            <w:tcW w:w="42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Times New Roman" w:cs="Times New Roman"/>
                <w:sz w:val="21"/>
                <w:szCs w:val="21"/>
                <w:lang w:val="en-US" w:eastAsia="zh-CN"/>
              </w:rPr>
            </w:pPr>
            <w:r>
              <w:rPr>
                <w:rFonts w:hint="eastAsia" w:eastAsia="Times New Roman" w:cs="Times New Roman"/>
                <w:sz w:val="21"/>
                <w:szCs w:val="21"/>
                <w:lang w:val="en-US" w:eastAsia="zh-CN"/>
              </w:rPr>
              <w:t>TP</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58" w:type="pct"/>
            <w:gridSpan w:val="2"/>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cs="Times New Roman"/>
                <w:sz w:val="21"/>
                <w:szCs w:val="21"/>
              </w:rPr>
              <w:t>m</w:t>
            </w:r>
            <w:r>
              <w:rPr>
                <w:rFonts w:hint="eastAsia" w:cs="Times New Roman"/>
                <w:sz w:val="21"/>
                <w:szCs w:val="21"/>
                <w:vertAlign w:val="superscript"/>
              </w:rPr>
              <w:t>3</w:t>
            </w:r>
            <w:r>
              <w:rPr>
                <w:rFonts w:eastAsia="Times New Roman" w:cs="Times New Roman"/>
                <w:sz w:val="21"/>
                <w:szCs w:val="21"/>
              </w:rPr>
              <w:t>/a</w:t>
            </w:r>
          </w:p>
        </w:tc>
        <w:tc>
          <w:tcPr>
            <w:tcW w:w="44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58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522"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42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生活污水（</w:t>
            </w:r>
            <w:r>
              <w:rPr>
                <w:rFonts w:hint="eastAsia" w:ascii="宋体" w:hAnsi="宋体" w:cs="宋体"/>
                <w:sz w:val="21"/>
                <w:szCs w:val="21"/>
              </w:rPr>
              <w:t>隔油化粪池预处理</w:t>
            </w:r>
            <w:r>
              <w:rPr>
                <w:rFonts w:ascii="宋体" w:hAnsi="宋体" w:cs="宋体"/>
                <w:sz w:val="21"/>
                <w:szCs w:val="21"/>
              </w:rPr>
              <w:t>）</w:t>
            </w:r>
          </w:p>
        </w:tc>
        <w:tc>
          <w:tcPr>
            <w:tcW w:w="438"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1"/>
                <w:szCs w:val="21"/>
                <w:lang w:eastAsia="zh-CN"/>
              </w:rPr>
            </w:pPr>
            <w:r>
              <w:rPr>
                <w:rFonts w:hint="eastAsia" w:ascii="宋体" w:hAnsi="宋体" w:cs="宋体"/>
                <w:sz w:val="21"/>
                <w:szCs w:val="21"/>
                <w:lang w:eastAsia="zh-CN"/>
              </w:rPr>
              <w:t>预处理进口</w:t>
            </w:r>
          </w:p>
        </w:tc>
        <w:tc>
          <w:tcPr>
            <w:tcW w:w="501"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cs="Times New Roman"/>
                <w:sz w:val="21"/>
                <w:szCs w:val="21"/>
              </w:rPr>
              <w:t>2400</w:t>
            </w:r>
          </w:p>
        </w:tc>
        <w:tc>
          <w:tcPr>
            <w:tcW w:w="449"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sz w:val="21"/>
                <w:szCs w:val="21"/>
                <w:lang w:val="en-US" w:eastAsia="zh-CN"/>
              </w:rPr>
              <w:t>300</w:t>
            </w:r>
          </w:p>
        </w:tc>
        <w:tc>
          <w:tcPr>
            <w:tcW w:w="588"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sz w:val="21"/>
                <w:szCs w:val="21"/>
                <w:lang w:val="en-US" w:eastAsia="zh-CN"/>
              </w:rPr>
              <w:t>80</w:t>
            </w:r>
          </w:p>
        </w:tc>
        <w:tc>
          <w:tcPr>
            <w:tcW w:w="522"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sz w:val="21"/>
                <w:szCs w:val="21"/>
                <w:lang w:val="en-US" w:eastAsia="zh-CN"/>
              </w:rPr>
              <w:t>200</w:t>
            </w:r>
          </w:p>
        </w:tc>
        <w:tc>
          <w:tcPr>
            <w:tcW w:w="413"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sz w:val="21"/>
                <w:szCs w:val="21"/>
                <w:lang w:val="en-US" w:eastAsia="zh-CN"/>
              </w:rPr>
              <w:t>30</w:t>
            </w:r>
          </w:p>
        </w:tc>
        <w:tc>
          <w:tcPr>
            <w:tcW w:w="424"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sz w:val="21"/>
                <w:szCs w:val="21"/>
                <w:lang w:val="en-US" w:eastAsia="zh-CN"/>
              </w:rPr>
              <w:t>100</w:t>
            </w:r>
          </w:p>
        </w:tc>
        <w:tc>
          <w:tcPr>
            <w:tcW w:w="420"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Times New Roman" w:cs="Times New Roman"/>
                <w:sz w:val="21"/>
                <w:szCs w:val="21"/>
              </w:rPr>
            </w:pPr>
            <w:r>
              <w:rPr>
                <w:rFonts w:hint="eastAsia"/>
                <w:sz w:val="21"/>
                <w:szCs w:val="21"/>
                <w:lang w:val="en-US" w:eastAsia="zh-CN"/>
              </w:rPr>
              <w:t>/</w:t>
            </w:r>
          </w:p>
        </w:tc>
        <w:tc>
          <w:tcPr>
            <w:tcW w:w="423"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Times New Roman" w:cs="Times New Roman"/>
                <w:sz w:val="21"/>
                <w:szCs w:val="21"/>
              </w:rPr>
            </w:pPr>
            <w:r>
              <w:rPr>
                <w:rFonts w:hint="eastAsia"/>
                <w:sz w:val="21"/>
                <w:szCs w:val="21"/>
                <w:lang w:val="en-US" w:eastAsia="zh-CN"/>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continue"/>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c>
          <w:tcPr>
            <w:tcW w:w="43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1"/>
                <w:szCs w:val="21"/>
                <w:lang w:eastAsia="zh-CN"/>
              </w:rPr>
            </w:pPr>
            <w:r>
              <w:rPr>
                <w:rFonts w:hint="eastAsia" w:ascii="宋体" w:hAnsi="宋体" w:cs="宋体"/>
                <w:sz w:val="21"/>
                <w:szCs w:val="21"/>
                <w:lang w:eastAsia="zh-CN"/>
              </w:rPr>
              <w:t>预处理出口</w:t>
            </w:r>
          </w:p>
        </w:tc>
        <w:tc>
          <w:tcPr>
            <w:tcW w:w="501"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cs="Times New Roman"/>
                <w:sz w:val="21"/>
                <w:szCs w:val="21"/>
                <w:lang w:val="en-US" w:eastAsia="zh-CN"/>
              </w:rPr>
              <w:t>2400</w:t>
            </w:r>
          </w:p>
        </w:tc>
        <w:tc>
          <w:tcPr>
            <w:tcW w:w="449"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240</w:t>
            </w:r>
          </w:p>
        </w:tc>
        <w:tc>
          <w:tcPr>
            <w:tcW w:w="58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72</w:t>
            </w:r>
          </w:p>
        </w:tc>
        <w:tc>
          <w:tcPr>
            <w:tcW w:w="522"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140</w:t>
            </w:r>
          </w:p>
        </w:tc>
        <w:tc>
          <w:tcPr>
            <w:tcW w:w="413"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28</w:t>
            </w:r>
          </w:p>
        </w:tc>
        <w:tc>
          <w:tcPr>
            <w:tcW w:w="424"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cs="Times New Roman"/>
                <w:sz w:val="21"/>
                <w:szCs w:val="21"/>
                <w:lang w:val="en-US" w:eastAsia="zh-CN"/>
              </w:rPr>
              <w:t>40</w:t>
            </w:r>
          </w:p>
        </w:tc>
        <w:tc>
          <w:tcPr>
            <w:tcW w:w="420"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val="en-US" w:eastAsia="zh-CN"/>
              </w:rPr>
            </w:pPr>
            <w:r>
              <w:rPr>
                <w:rFonts w:hint="eastAsia" w:eastAsia="宋体" w:cs="Times New Roman"/>
                <w:sz w:val="21"/>
                <w:szCs w:val="21"/>
                <w:lang w:val="en-US" w:eastAsia="zh-CN"/>
              </w:rPr>
              <w:t>/</w:t>
            </w:r>
          </w:p>
        </w:tc>
        <w:tc>
          <w:tcPr>
            <w:tcW w:w="423"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Times New Roman" w:cs="Times New Roman"/>
                <w:sz w:val="21"/>
                <w:szCs w:val="21"/>
              </w:rPr>
            </w:pPr>
            <w:r>
              <w:rPr>
                <w:rFonts w:hint="eastAsia"/>
                <w:sz w:val="21"/>
                <w:szCs w:val="21"/>
                <w:lang w:val="en-US" w:eastAsia="zh-CN"/>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生产废水</w:t>
            </w:r>
          </w:p>
        </w:tc>
        <w:tc>
          <w:tcPr>
            <w:tcW w:w="438"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sz w:val="21"/>
                <w:szCs w:val="21"/>
                <w:lang w:eastAsia="zh-CN"/>
              </w:rPr>
            </w:pPr>
            <w:r>
              <w:rPr>
                <w:rFonts w:ascii="宋体" w:hAnsi="宋体" w:cs="宋体"/>
                <w:sz w:val="21"/>
                <w:szCs w:val="21"/>
              </w:rPr>
              <w:t>产生情况</w:t>
            </w:r>
          </w:p>
        </w:tc>
        <w:tc>
          <w:tcPr>
            <w:tcW w:w="501"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cs="Times New Roman"/>
                <w:sz w:val="21"/>
                <w:szCs w:val="21"/>
              </w:rPr>
            </w:pPr>
            <w:r>
              <w:rPr>
                <w:rFonts w:hint="eastAsia" w:cs="Times New Roman"/>
                <w:sz w:val="21"/>
                <w:szCs w:val="21"/>
              </w:rPr>
              <w:t>9510.0508</w:t>
            </w:r>
          </w:p>
        </w:tc>
        <w:tc>
          <w:tcPr>
            <w:tcW w:w="449"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277.51</w:t>
            </w:r>
          </w:p>
        </w:tc>
        <w:tc>
          <w:tcPr>
            <w:tcW w:w="588"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121.74</w:t>
            </w:r>
          </w:p>
        </w:tc>
        <w:tc>
          <w:tcPr>
            <w:tcW w:w="522"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rPr>
            </w:pPr>
            <w:r>
              <w:rPr>
                <w:rFonts w:hint="eastAsia"/>
                <w:sz w:val="21"/>
                <w:szCs w:val="21"/>
                <w:lang w:val="en-US" w:eastAsia="zh-CN"/>
              </w:rPr>
              <w:t>215.48</w:t>
            </w:r>
          </w:p>
        </w:tc>
        <w:tc>
          <w:tcPr>
            <w:tcW w:w="413"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28.05</w:t>
            </w:r>
          </w:p>
        </w:tc>
        <w:tc>
          <w:tcPr>
            <w:tcW w:w="424"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val="en-US" w:eastAsia="zh-CN"/>
              </w:rPr>
            </w:pPr>
            <w:r>
              <w:rPr>
                <w:rFonts w:hint="eastAsia" w:cs="Times New Roman"/>
                <w:sz w:val="21"/>
                <w:szCs w:val="21"/>
                <w:lang w:val="en-US" w:eastAsia="zh-CN"/>
              </w:rPr>
              <w:t>/</w:t>
            </w:r>
          </w:p>
        </w:tc>
        <w:tc>
          <w:tcPr>
            <w:tcW w:w="420"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24.05</w:t>
            </w:r>
          </w:p>
        </w:tc>
        <w:tc>
          <w:tcPr>
            <w:tcW w:w="423"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val="en-US" w:eastAsia="zh-CN"/>
              </w:rPr>
            </w:pPr>
            <w:r>
              <w:rPr>
                <w:rFonts w:hint="eastAsia" w:eastAsia="宋体" w:cs="Times New Roman"/>
                <w:sz w:val="21"/>
                <w:szCs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58"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进入污水站混合废水</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cs="Times New Roman"/>
                <w:sz w:val="21"/>
                <w:szCs w:val="21"/>
                <w:lang w:val="en-US" w:eastAsia="zh-CN"/>
              </w:rPr>
              <w:t>11910.0508</w:t>
            </w:r>
          </w:p>
        </w:tc>
        <w:tc>
          <w:tcPr>
            <w:tcW w:w="449"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264.21</w:t>
            </w:r>
          </w:p>
        </w:tc>
        <w:tc>
          <w:tcPr>
            <w:tcW w:w="588"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104.11</w:t>
            </w:r>
          </w:p>
        </w:tc>
        <w:tc>
          <w:tcPr>
            <w:tcW w:w="522"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188.72</w:t>
            </w:r>
          </w:p>
        </w:tc>
        <w:tc>
          <w:tcPr>
            <w:tcW w:w="41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28.03</w:t>
            </w:r>
          </w:p>
        </w:tc>
        <w:tc>
          <w:tcPr>
            <w:tcW w:w="424"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14.18</w:t>
            </w:r>
          </w:p>
        </w:tc>
        <w:tc>
          <w:tcPr>
            <w:tcW w:w="420"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15.53</w:t>
            </w:r>
          </w:p>
        </w:tc>
        <w:tc>
          <w:tcPr>
            <w:tcW w:w="42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10.63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曝气</w:t>
            </w:r>
            <w:r>
              <w:rPr>
                <w:rFonts w:ascii="宋体" w:hAnsi="宋体" w:cs="宋体"/>
                <w:sz w:val="21"/>
                <w:szCs w:val="21"/>
              </w:rPr>
              <w:t>调节</w:t>
            </w:r>
            <w:r>
              <w:rPr>
                <w:rFonts w:eastAsia="Times New Roman" w:cs="Times New Roman"/>
                <w:sz w:val="21"/>
                <w:szCs w:val="21"/>
              </w:rPr>
              <w:t>+</w:t>
            </w:r>
            <w:r>
              <w:rPr>
                <w:rFonts w:ascii="宋体" w:hAnsi="宋体" w:cs="宋体"/>
                <w:sz w:val="21"/>
                <w:szCs w:val="21"/>
              </w:rPr>
              <w:t>沉淀</w:t>
            </w:r>
          </w:p>
        </w:tc>
        <w:tc>
          <w:tcPr>
            <w:tcW w:w="43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处理效率</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4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eastAsia="宋体" w:cs="Times New Roman"/>
                <w:sz w:val="21"/>
                <w:szCs w:val="21"/>
                <w:lang w:val="en-US" w:eastAsia="zh-CN"/>
              </w:rPr>
              <w:t>30</w:t>
            </w:r>
            <w:r>
              <w:rPr>
                <w:rFonts w:eastAsia="Times New Roman" w:cs="Times New Roman"/>
                <w:sz w:val="21"/>
                <w:szCs w:val="21"/>
              </w:rPr>
              <w:t>%</w:t>
            </w:r>
          </w:p>
        </w:tc>
        <w:tc>
          <w:tcPr>
            <w:tcW w:w="58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eastAsia="宋体" w:cs="Times New Roman"/>
                <w:sz w:val="21"/>
                <w:szCs w:val="21"/>
                <w:lang w:val="en-US" w:eastAsia="zh-CN"/>
              </w:rPr>
              <w:t>10</w:t>
            </w:r>
            <w:r>
              <w:rPr>
                <w:rFonts w:eastAsia="Times New Roman" w:cs="Times New Roman"/>
                <w:sz w:val="21"/>
                <w:szCs w:val="21"/>
              </w:rPr>
              <w:t>%</w:t>
            </w:r>
          </w:p>
        </w:tc>
        <w:tc>
          <w:tcPr>
            <w:tcW w:w="522"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eastAsia="宋体" w:cs="Times New Roman"/>
                <w:sz w:val="21"/>
                <w:szCs w:val="21"/>
                <w:lang w:val="en-US" w:eastAsia="zh-CN"/>
              </w:rPr>
              <w:t>7</w:t>
            </w:r>
            <w:r>
              <w:rPr>
                <w:rFonts w:eastAsia="Times New Roman" w:cs="Times New Roman"/>
                <w:sz w:val="21"/>
                <w:szCs w:val="21"/>
              </w:rPr>
              <w:t>0%</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2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43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出水</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11910.0508</w:t>
            </w:r>
          </w:p>
        </w:tc>
        <w:tc>
          <w:tcPr>
            <w:tcW w:w="449"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184.95</w:t>
            </w:r>
          </w:p>
        </w:tc>
        <w:tc>
          <w:tcPr>
            <w:tcW w:w="588"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93.70</w:t>
            </w:r>
          </w:p>
        </w:tc>
        <w:tc>
          <w:tcPr>
            <w:tcW w:w="522"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56.62</w:t>
            </w:r>
          </w:p>
        </w:tc>
        <w:tc>
          <w:tcPr>
            <w:tcW w:w="41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28.03</w:t>
            </w:r>
          </w:p>
        </w:tc>
        <w:tc>
          <w:tcPr>
            <w:tcW w:w="424"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14.18</w:t>
            </w:r>
          </w:p>
        </w:tc>
        <w:tc>
          <w:tcPr>
            <w:tcW w:w="420"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15.53</w:t>
            </w:r>
          </w:p>
        </w:tc>
        <w:tc>
          <w:tcPr>
            <w:tcW w:w="42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10.63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sz w:val="21"/>
                <w:szCs w:val="21"/>
              </w:rPr>
            </w:pPr>
            <w:r>
              <w:rPr>
                <w:rFonts w:hint="eastAsia" w:cs="Times New Roman"/>
                <w:sz w:val="21"/>
                <w:szCs w:val="21"/>
              </w:rPr>
              <w:t>厌氧反应器</w:t>
            </w:r>
          </w:p>
        </w:tc>
        <w:tc>
          <w:tcPr>
            <w:tcW w:w="43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处理效率</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4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70%</w:t>
            </w:r>
          </w:p>
        </w:tc>
        <w:tc>
          <w:tcPr>
            <w:tcW w:w="58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85%</w:t>
            </w:r>
          </w:p>
        </w:tc>
        <w:tc>
          <w:tcPr>
            <w:tcW w:w="522"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50%</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30%</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10%</w:t>
            </w:r>
          </w:p>
        </w:tc>
        <w:tc>
          <w:tcPr>
            <w:tcW w:w="42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43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出水</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11910.0508</w:t>
            </w:r>
          </w:p>
        </w:tc>
        <w:tc>
          <w:tcPr>
            <w:tcW w:w="449"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55.48</w:t>
            </w:r>
          </w:p>
        </w:tc>
        <w:tc>
          <w:tcPr>
            <w:tcW w:w="588"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14.05</w:t>
            </w:r>
          </w:p>
        </w:tc>
        <w:tc>
          <w:tcPr>
            <w:tcW w:w="522"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28.31</w:t>
            </w:r>
          </w:p>
        </w:tc>
        <w:tc>
          <w:tcPr>
            <w:tcW w:w="41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28.03</w:t>
            </w:r>
          </w:p>
        </w:tc>
        <w:tc>
          <w:tcPr>
            <w:tcW w:w="424"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9.93</w:t>
            </w:r>
          </w:p>
        </w:tc>
        <w:tc>
          <w:tcPr>
            <w:tcW w:w="420"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13.97</w:t>
            </w:r>
          </w:p>
        </w:tc>
        <w:tc>
          <w:tcPr>
            <w:tcW w:w="42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7.44</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cs="Times New Roman"/>
                <w:sz w:val="21"/>
                <w:szCs w:val="21"/>
              </w:rPr>
              <w:t>水解酸化</w:t>
            </w:r>
          </w:p>
        </w:tc>
        <w:tc>
          <w:tcPr>
            <w:tcW w:w="43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处理效率</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4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w:t>
            </w:r>
          </w:p>
        </w:tc>
        <w:tc>
          <w:tcPr>
            <w:tcW w:w="58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w:t>
            </w:r>
          </w:p>
        </w:tc>
        <w:tc>
          <w:tcPr>
            <w:tcW w:w="522"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70%</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50%</w:t>
            </w:r>
          </w:p>
        </w:tc>
        <w:tc>
          <w:tcPr>
            <w:tcW w:w="42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60%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continue"/>
            <w:tcBorders>
              <w:top w:val="nil"/>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438"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出水</w:t>
            </w:r>
          </w:p>
        </w:tc>
        <w:tc>
          <w:tcPr>
            <w:tcW w:w="501"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11910.0508</w:t>
            </w:r>
          </w:p>
        </w:tc>
        <w:tc>
          <w:tcPr>
            <w:tcW w:w="449"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49.94</w:t>
            </w:r>
          </w:p>
        </w:tc>
        <w:tc>
          <w:tcPr>
            <w:tcW w:w="588"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12.65</w:t>
            </w:r>
          </w:p>
        </w:tc>
        <w:tc>
          <w:tcPr>
            <w:tcW w:w="522"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25.48</w:t>
            </w:r>
          </w:p>
        </w:tc>
        <w:tc>
          <w:tcPr>
            <w:tcW w:w="413"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8.41</w:t>
            </w:r>
          </w:p>
        </w:tc>
        <w:tc>
          <w:tcPr>
            <w:tcW w:w="424"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9.93</w:t>
            </w:r>
          </w:p>
        </w:tc>
        <w:tc>
          <w:tcPr>
            <w:tcW w:w="420"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6.99</w:t>
            </w:r>
          </w:p>
        </w:tc>
        <w:tc>
          <w:tcPr>
            <w:tcW w:w="423"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2.98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restar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eastAsia="宋体"/>
                <w:sz w:val="21"/>
                <w:szCs w:val="21"/>
                <w:lang w:eastAsia="zh-CN"/>
              </w:rPr>
            </w:pPr>
            <w:r>
              <w:rPr>
                <w:rFonts w:hint="eastAsia" w:ascii="宋体"/>
                <w:sz w:val="21"/>
                <w:szCs w:val="21"/>
                <w:lang w:eastAsia="zh-CN"/>
              </w:rPr>
              <w:t>沉淀池</w:t>
            </w:r>
          </w:p>
        </w:tc>
        <w:tc>
          <w:tcPr>
            <w:tcW w:w="43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处理效率</w:t>
            </w:r>
          </w:p>
        </w:tc>
        <w:tc>
          <w:tcPr>
            <w:tcW w:w="501"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49"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58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522"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10%</w:t>
            </w:r>
          </w:p>
        </w:tc>
        <w:tc>
          <w:tcPr>
            <w:tcW w:w="413"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24"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20"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w:t>
            </w:r>
          </w:p>
        </w:tc>
        <w:tc>
          <w:tcPr>
            <w:tcW w:w="423"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continue"/>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43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出水</w:t>
            </w:r>
          </w:p>
        </w:tc>
        <w:tc>
          <w:tcPr>
            <w:tcW w:w="501"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11910.0508</w:t>
            </w:r>
          </w:p>
        </w:tc>
        <w:tc>
          <w:tcPr>
            <w:tcW w:w="449"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49.94</w:t>
            </w:r>
          </w:p>
        </w:tc>
        <w:tc>
          <w:tcPr>
            <w:tcW w:w="588"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12.65</w:t>
            </w:r>
          </w:p>
        </w:tc>
        <w:tc>
          <w:tcPr>
            <w:tcW w:w="522"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22.93</w:t>
            </w:r>
          </w:p>
        </w:tc>
        <w:tc>
          <w:tcPr>
            <w:tcW w:w="413"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8.41</w:t>
            </w:r>
          </w:p>
        </w:tc>
        <w:tc>
          <w:tcPr>
            <w:tcW w:w="424"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9.93</w:t>
            </w:r>
          </w:p>
        </w:tc>
        <w:tc>
          <w:tcPr>
            <w:tcW w:w="420"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6.99</w:t>
            </w:r>
          </w:p>
        </w:tc>
        <w:tc>
          <w:tcPr>
            <w:tcW w:w="423"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2.98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restar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总排口混合废水</w:t>
            </w:r>
          </w:p>
        </w:tc>
        <w:tc>
          <w:tcPr>
            <w:tcW w:w="438"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浓度</w:t>
            </w:r>
          </w:p>
        </w:tc>
        <w:tc>
          <w:tcPr>
            <w:tcW w:w="501"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eastAsia="zh-CN"/>
              </w:rPr>
            </w:pPr>
            <w:r>
              <w:rPr>
                <w:rFonts w:hint="eastAsia" w:cs="Times New Roman"/>
                <w:sz w:val="21"/>
                <w:szCs w:val="21"/>
                <w:lang w:val="en-US" w:eastAsia="zh-CN"/>
              </w:rPr>
              <w:t>/</w:t>
            </w:r>
          </w:p>
        </w:tc>
        <w:tc>
          <w:tcPr>
            <w:tcW w:w="449"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53.48</w:t>
            </w:r>
          </w:p>
        </w:tc>
        <w:tc>
          <w:tcPr>
            <w:tcW w:w="588"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7.56</w:t>
            </w:r>
          </w:p>
        </w:tc>
        <w:tc>
          <w:tcPr>
            <w:tcW w:w="522"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38.37</w:t>
            </w:r>
          </w:p>
        </w:tc>
        <w:tc>
          <w:tcPr>
            <w:tcW w:w="413"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5.04</w:t>
            </w:r>
          </w:p>
        </w:tc>
        <w:tc>
          <w:tcPr>
            <w:tcW w:w="424"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5.88</w:t>
            </w:r>
          </w:p>
        </w:tc>
        <w:tc>
          <w:tcPr>
            <w:tcW w:w="420"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4.20</w:t>
            </w:r>
          </w:p>
        </w:tc>
        <w:tc>
          <w:tcPr>
            <w:tcW w:w="423"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1.68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819" w:type="pct"/>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43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排放量（</w:t>
            </w:r>
            <w:r>
              <w:rPr>
                <w:rFonts w:eastAsia="Times New Roman" w:cs="Times New Roman"/>
                <w:sz w:val="21"/>
                <w:szCs w:val="21"/>
              </w:rPr>
              <w:t>t/a</w:t>
            </w:r>
            <w:r>
              <w:rPr>
                <w:rFonts w:ascii="宋体" w:hAnsi="宋体" w:cs="宋体"/>
                <w:sz w:val="21"/>
                <w:szCs w:val="21"/>
              </w:rPr>
              <w:t>）</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default" w:eastAsia="Times New Roman" w:cs="Times New Roman"/>
                <w:sz w:val="21"/>
                <w:szCs w:val="21"/>
              </w:rPr>
              <w:t>11910.0508</w:t>
            </w:r>
          </w:p>
        </w:tc>
        <w:tc>
          <w:tcPr>
            <w:tcW w:w="449"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0.637</w:t>
            </w:r>
          </w:p>
        </w:tc>
        <w:tc>
          <w:tcPr>
            <w:tcW w:w="588"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0.09</w:t>
            </w:r>
          </w:p>
        </w:tc>
        <w:tc>
          <w:tcPr>
            <w:tcW w:w="522"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0.457</w:t>
            </w:r>
          </w:p>
        </w:tc>
        <w:tc>
          <w:tcPr>
            <w:tcW w:w="41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0.06</w:t>
            </w:r>
          </w:p>
        </w:tc>
        <w:tc>
          <w:tcPr>
            <w:tcW w:w="424"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0.07</w:t>
            </w:r>
          </w:p>
        </w:tc>
        <w:tc>
          <w:tcPr>
            <w:tcW w:w="420"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0.05</w:t>
            </w:r>
          </w:p>
        </w:tc>
        <w:tc>
          <w:tcPr>
            <w:tcW w:w="42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258"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《化工行业水污染物间接排放标准》</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w:t>
            </w:r>
            <w:r>
              <w:rPr>
                <w:rFonts w:eastAsia="Times New Roman" w:cs="Times New Roman"/>
                <w:sz w:val="21"/>
                <w:szCs w:val="21"/>
              </w:rPr>
              <w:t>DB41/1135-2016</w:t>
            </w:r>
            <w:r>
              <w:rPr>
                <w:rFonts w:ascii="宋体" w:hAnsi="宋体" w:cs="宋体"/>
                <w:sz w:val="21"/>
                <w:szCs w:val="21"/>
              </w:rPr>
              <w:t>）</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4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300</w:t>
            </w:r>
          </w:p>
        </w:tc>
        <w:tc>
          <w:tcPr>
            <w:tcW w:w="58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150</w:t>
            </w:r>
          </w:p>
        </w:tc>
        <w:tc>
          <w:tcPr>
            <w:tcW w:w="522"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150</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30</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100</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50</w:t>
            </w:r>
          </w:p>
        </w:tc>
        <w:tc>
          <w:tcPr>
            <w:tcW w:w="42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val="en-US" w:eastAsia="zh-CN"/>
              </w:rPr>
            </w:pPr>
            <w:r>
              <w:rPr>
                <w:rFonts w:hint="eastAsia" w:eastAsia="宋体" w:cs="Times New Roman"/>
                <w:sz w:val="21"/>
                <w:szCs w:val="21"/>
                <w:lang w:val="en-US" w:eastAsia="zh-CN"/>
              </w:rPr>
              <w:t>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258"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《合成树脂工业污染物排放标准》</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w:t>
            </w:r>
            <w:r>
              <w:rPr>
                <w:rFonts w:eastAsia="Times New Roman" w:cs="Times New Roman"/>
                <w:sz w:val="21"/>
                <w:szCs w:val="21"/>
              </w:rPr>
              <w:t>GB31572-2015</w:t>
            </w:r>
            <w:r>
              <w:rPr>
                <w:rFonts w:ascii="宋体" w:hAnsi="宋体" w:cs="宋体"/>
                <w:sz w:val="21"/>
                <w:szCs w:val="21"/>
              </w:rPr>
              <w:t>）</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eastAsia="Times New Roman" w:cs="Times New Roman"/>
                <w:sz w:val="21"/>
                <w:szCs w:val="21"/>
              </w:rPr>
              <w:t>4.0m</w:t>
            </w:r>
            <w:r>
              <w:rPr>
                <w:rFonts w:eastAsia="Times New Roman" w:cs="Times New Roman"/>
                <w:sz w:val="21"/>
                <w:szCs w:val="21"/>
                <w:vertAlign w:val="superscript"/>
              </w:rPr>
              <w:t>3</w:t>
            </w:r>
            <w:r>
              <w:rPr>
                <w:rFonts w:eastAsia="Times New Roman" w:cs="Times New Roman"/>
                <w:sz w:val="21"/>
                <w:szCs w:val="21"/>
              </w:rPr>
              <w:t>/t</w:t>
            </w:r>
            <w:r>
              <w:rPr>
                <w:rFonts w:ascii="宋体" w:hAnsi="宋体" w:cs="宋体"/>
                <w:sz w:val="21"/>
                <w:szCs w:val="21"/>
              </w:rPr>
              <w:t>产品</w:t>
            </w:r>
          </w:p>
        </w:tc>
        <w:tc>
          <w:tcPr>
            <w:tcW w:w="3240" w:type="pct"/>
            <w:gridSpan w:val="7"/>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ascii="宋体" w:hAnsi="宋体" w:cs="宋体"/>
                <w:sz w:val="21"/>
                <w:szCs w:val="21"/>
              </w:rPr>
              <w:t>间接排放无要求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58"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平顶山第三污水处理厂收水标准</w:t>
            </w:r>
          </w:p>
        </w:tc>
        <w:tc>
          <w:tcPr>
            <w:tcW w:w="50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4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400</w:t>
            </w:r>
          </w:p>
        </w:tc>
        <w:tc>
          <w:tcPr>
            <w:tcW w:w="58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150</w:t>
            </w:r>
          </w:p>
        </w:tc>
        <w:tc>
          <w:tcPr>
            <w:tcW w:w="522"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300</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35</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100</w:t>
            </w:r>
          </w:p>
        </w:tc>
        <w:tc>
          <w:tcPr>
            <w:tcW w:w="420"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50</w:t>
            </w:r>
          </w:p>
        </w:tc>
        <w:tc>
          <w:tcPr>
            <w:tcW w:w="42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7</w:t>
            </w:r>
          </w:p>
        </w:tc>
      </w:tr>
    </w:tbl>
    <w:p>
      <w:pPr>
        <w:ind w:firstLine="480"/>
        <w:sectPr>
          <w:pgSz w:w="16838" w:h="11906" w:orient="landscape"/>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pPr>
    </w:p>
    <w:p>
      <w:pPr>
        <w:ind w:firstLine="480"/>
      </w:pPr>
      <w:r>
        <w:rPr>
          <w:rFonts w:hint="eastAsia"/>
        </w:rPr>
        <w:t>本次工程建成后厂区总排口水质COD</w:t>
      </w:r>
      <w:r>
        <w:rPr>
          <w:rFonts w:hint="eastAsia"/>
          <w:lang w:val="en-US" w:eastAsia="zh-CN"/>
        </w:rPr>
        <w:t>53.48</w:t>
      </w:r>
      <w:r>
        <w:rPr>
          <w:rFonts w:hint="eastAsia"/>
        </w:rPr>
        <w:t>mg/L、BOD</w:t>
      </w:r>
      <w:r>
        <w:rPr>
          <w:rFonts w:hint="eastAsia"/>
          <w:vertAlign w:val="subscript"/>
        </w:rPr>
        <w:t>5</w:t>
      </w:r>
      <w:r>
        <w:rPr>
          <w:rFonts w:hint="eastAsia"/>
          <w:vertAlign w:val="baseline"/>
          <w:lang w:val="en-US" w:eastAsia="zh-CN"/>
        </w:rPr>
        <w:t>7.56</w:t>
      </w:r>
      <w:r>
        <w:rPr>
          <w:rFonts w:hint="eastAsia"/>
        </w:rPr>
        <w:t>mg/L、SS</w:t>
      </w:r>
      <w:r>
        <w:rPr>
          <w:rFonts w:hint="eastAsia"/>
          <w:lang w:val="en-US" w:eastAsia="zh-CN"/>
        </w:rPr>
        <w:t>38.37</w:t>
      </w:r>
      <w:r>
        <w:rPr>
          <w:rFonts w:hint="eastAsia"/>
        </w:rPr>
        <w:t>mg/L、NH</w:t>
      </w:r>
      <w:r>
        <w:rPr>
          <w:rFonts w:hint="eastAsia"/>
          <w:vertAlign w:val="subscript"/>
        </w:rPr>
        <w:t>3</w:t>
      </w:r>
      <w:r>
        <w:rPr>
          <w:rFonts w:hint="eastAsia"/>
        </w:rPr>
        <w:t>-N</w:t>
      </w:r>
      <w:r>
        <w:rPr>
          <w:rFonts w:hint="eastAsia"/>
          <w:lang w:val="en-US" w:eastAsia="zh-CN"/>
        </w:rPr>
        <w:t>5.04</w:t>
      </w:r>
      <w:r>
        <w:rPr>
          <w:rFonts w:hint="eastAsia"/>
        </w:rPr>
        <w:t>mg/L、动植物油</w:t>
      </w:r>
      <w:r>
        <w:rPr>
          <w:rFonts w:hint="eastAsia"/>
          <w:lang w:val="en-US" w:eastAsia="zh-CN"/>
        </w:rPr>
        <w:t>5.88</w:t>
      </w:r>
      <w:r>
        <w:rPr>
          <w:rFonts w:hint="eastAsia"/>
        </w:rPr>
        <w:t>mg/L</w:t>
      </w:r>
      <w:r>
        <w:rPr>
          <w:rFonts w:hint="eastAsia"/>
          <w:lang w:eastAsia="zh-CN"/>
        </w:rPr>
        <w:t>、</w:t>
      </w:r>
      <w:r>
        <w:rPr>
          <w:rFonts w:hint="eastAsia"/>
          <w:lang w:val="en-US" w:eastAsia="zh-CN"/>
        </w:rPr>
        <w:t>TN4.20</w:t>
      </w:r>
      <w:r>
        <w:rPr>
          <w:rFonts w:hint="eastAsia"/>
        </w:rPr>
        <w:t>mg/L</w:t>
      </w:r>
      <w:r>
        <w:rPr>
          <w:rFonts w:hint="eastAsia"/>
          <w:lang w:val="en-US" w:eastAsia="zh-CN"/>
        </w:rPr>
        <w:t>、TP1.68</w:t>
      </w:r>
      <w:r>
        <w:rPr>
          <w:rFonts w:hint="eastAsia"/>
        </w:rPr>
        <w:t>mg/L，污水排放满足《化工行业水污染物间接排放标准》（DB41/1135-2016）、《合成树脂工业污染物排放标准》（GB31572-2015）以及平顶山第三污水处理厂收水标准。</w:t>
      </w:r>
    </w:p>
    <w:p>
      <w:pPr>
        <w:pStyle w:val="7"/>
        <w:ind w:firstLine="562"/>
      </w:pPr>
      <w:r>
        <w:rPr>
          <w:rFonts w:hint="eastAsia"/>
        </w:rPr>
        <w:t>6.3.3 废水依托平顶山第三污水处理厂进一步处理可行性评价</w:t>
      </w:r>
    </w:p>
    <w:p>
      <w:pPr>
        <w:ind w:firstLine="480"/>
        <w:rPr>
          <w:rFonts w:cs="Times New Roman"/>
        </w:rPr>
      </w:pPr>
      <w:r>
        <w:rPr>
          <w:rFonts w:cs="Times New Roman"/>
        </w:rPr>
        <w:t>（</w:t>
      </w:r>
      <w:r>
        <w:rPr>
          <w:rFonts w:eastAsia="Times New Roman" w:cs="Times New Roman"/>
        </w:rPr>
        <w:t>1</w:t>
      </w:r>
      <w:r>
        <w:rPr>
          <w:rFonts w:cs="Times New Roman"/>
        </w:rPr>
        <w:t>）平顶山第三污水处理厂运营情况</w:t>
      </w:r>
    </w:p>
    <w:p>
      <w:pPr>
        <w:ind w:firstLine="480"/>
        <w:rPr>
          <w:rFonts w:cs="Times New Roman"/>
        </w:rPr>
      </w:pPr>
      <w:r>
        <w:rPr>
          <w:rFonts w:cs="Times New Roman"/>
        </w:rPr>
        <w:t>平顶山第三污水处理厂位于平顶山尼龙新材料产业集聚区，位于沙河六路以南，竹园四路以东，竹园五路以西。截至</w:t>
      </w:r>
      <w:r>
        <w:rPr>
          <w:rFonts w:eastAsia="Times New Roman" w:cs="Times New Roman"/>
        </w:rPr>
        <w:t>2017</w:t>
      </w:r>
      <w:r>
        <w:rPr>
          <w:rFonts w:cs="Times New Roman"/>
        </w:rPr>
        <w:t>年，平顶山第三污水处理厂规模为</w:t>
      </w:r>
      <w:r>
        <w:rPr>
          <w:rFonts w:eastAsia="Times New Roman" w:cs="Times New Roman"/>
        </w:rPr>
        <w:t>3.0</w:t>
      </w:r>
      <w:r>
        <w:rPr>
          <w:rFonts w:cs="Times New Roman"/>
        </w:rPr>
        <w:t>万</w:t>
      </w:r>
      <w:r>
        <w:rPr>
          <w:rFonts w:eastAsia="Times New Roman" w:cs="Times New Roman"/>
        </w:rPr>
        <w:t>m</w:t>
      </w:r>
      <w:r>
        <w:rPr>
          <w:rFonts w:eastAsia="Times New Roman" w:cs="Times New Roman"/>
          <w:vertAlign w:val="superscript"/>
        </w:rPr>
        <w:t>3</w:t>
      </w:r>
      <w:r>
        <w:rPr>
          <w:rFonts w:eastAsia="Times New Roman" w:cs="Times New Roman"/>
        </w:rPr>
        <w:t>/d</w:t>
      </w:r>
      <w:r>
        <w:rPr>
          <w:rFonts w:cs="Times New Roman"/>
        </w:rPr>
        <w:t>，采用的处理工艺为预处理</w:t>
      </w:r>
      <w:r>
        <w:rPr>
          <w:rFonts w:eastAsia="Times New Roman" w:cs="Times New Roman"/>
        </w:rPr>
        <w:t>+</w:t>
      </w:r>
      <w:r>
        <w:rPr>
          <w:rFonts w:cs="Times New Roman"/>
        </w:rPr>
        <w:t>改良型</w:t>
      </w:r>
      <w:r>
        <w:rPr>
          <w:rFonts w:eastAsia="Times New Roman" w:cs="Times New Roman"/>
        </w:rPr>
        <w:t>Carrousel</w:t>
      </w:r>
      <w:r>
        <w:rPr>
          <w:rFonts w:cs="Times New Roman"/>
        </w:rPr>
        <w:t>氧化沟</w:t>
      </w:r>
      <w:r>
        <w:rPr>
          <w:rFonts w:eastAsia="Times New Roman" w:cs="Times New Roman"/>
        </w:rPr>
        <w:t>+</w:t>
      </w:r>
      <w:r>
        <w:rPr>
          <w:rFonts w:cs="Times New Roman"/>
        </w:rPr>
        <w:t>深度处理。该污水处理厂一期设计处理规模</w:t>
      </w:r>
      <w:r>
        <w:rPr>
          <w:rFonts w:eastAsia="Times New Roman" w:cs="Times New Roman"/>
        </w:rPr>
        <w:t>3.0</w:t>
      </w:r>
      <w:r>
        <w:rPr>
          <w:rFonts w:cs="Times New Roman"/>
        </w:rPr>
        <w:t>万</w:t>
      </w:r>
      <w:r>
        <w:rPr>
          <w:rFonts w:eastAsia="Times New Roman" w:cs="Times New Roman"/>
        </w:rPr>
        <w:t>m</w:t>
      </w:r>
      <w:r>
        <w:rPr>
          <w:rFonts w:eastAsia="Times New Roman" w:cs="Times New Roman"/>
          <w:vertAlign w:val="superscript"/>
        </w:rPr>
        <w:t>3</w:t>
      </w:r>
      <w:r>
        <w:rPr>
          <w:rFonts w:eastAsia="Times New Roman" w:cs="Times New Roman"/>
        </w:rPr>
        <w:t>/d</w:t>
      </w:r>
      <w:r>
        <w:rPr>
          <w:rFonts w:cs="Times New Roman"/>
        </w:rPr>
        <w:t>，现状接纳废水量为</w:t>
      </w:r>
      <w:r>
        <w:rPr>
          <w:rFonts w:eastAsia="Times New Roman" w:cs="Times New Roman"/>
        </w:rPr>
        <w:t>1.2</w:t>
      </w:r>
      <w:r>
        <w:rPr>
          <w:rFonts w:cs="Times New Roman"/>
        </w:rPr>
        <w:t>万</w:t>
      </w:r>
      <w:r>
        <w:rPr>
          <w:rFonts w:eastAsia="Times New Roman" w:cs="Times New Roman"/>
        </w:rPr>
        <w:t>m</w:t>
      </w:r>
      <w:r>
        <w:rPr>
          <w:rFonts w:eastAsia="Times New Roman" w:cs="Times New Roman"/>
          <w:vertAlign w:val="superscript"/>
        </w:rPr>
        <w:t>3</w:t>
      </w:r>
      <w:r>
        <w:rPr>
          <w:rFonts w:eastAsia="Times New Roman" w:cs="Times New Roman"/>
        </w:rPr>
        <w:t>/</w:t>
      </w:r>
      <w:r>
        <w:rPr>
          <w:rFonts w:cs="Times New Roman"/>
        </w:rPr>
        <w:t>天，服务范围为竹园五路以西的平顶山尼龙新材料产业集聚区范围，面积为</w:t>
      </w:r>
      <w:r>
        <w:rPr>
          <w:rFonts w:eastAsia="Times New Roman" w:cs="Times New Roman"/>
        </w:rPr>
        <w:t>8.01km</w:t>
      </w:r>
      <w:r>
        <w:rPr>
          <w:rFonts w:eastAsia="Times New Roman" w:cs="Times New Roman"/>
          <w:vertAlign w:val="superscript"/>
        </w:rPr>
        <w:t>2</w:t>
      </w:r>
      <w:r>
        <w:rPr>
          <w:rFonts w:cs="Times New Roman"/>
        </w:rPr>
        <w:t>。采用</w:t>
      </w:r>
      <w:r>
        <w:rPr>
          <w:rFonts w:hint="eastAsia" w:cs="Times New Roman"/>
          <w:lang w:eastAsia="zh-CN"/>
        </w:rPr>
        <w:t>“</w:t>
      </w:r>
      <w:r>
        <w:rPr>
          <w:rFonts w:cs="Times New Roman"/>
        </w:rPr>
        <w:t>水解酸化</w:t>
      </w:r>
      <w:r>
        <w:rPr>
          <w:rFonts w:eastAsia="Times New Roman" w:cs="Times New Roman"/>
        </w:rPr>
        <w:t>+</w:t>
      </w:r>
      <w:r>
        <w:rPr>
          <w:rFonts w:cs="Times New Roman"/>
        </w:rPr>
        <w:t>选择厌氧</w:t>
      </w:r>
      <w:r>
        <w:rPr>
          <w:rFonts w:eastAsia="Times New Roman" w:cs="Times New Roman"/>
        </w:rPr>
        <w:t>+</w:t>
      </w:r>
      <w:r>
        <w:rPr>
          <w:rFonts w:cs="Times New Roman"/>
        </w:rPr>
        <w:t>改良型卡鲁赛尔氧化沟</w:t>
      </w:r>
      <w:r>
        <w:rPr>
          <w:rFonts w:eastAsia="Times New Roman" w:cs="Times New Roman"/>
        </w:rPr>
        <w:t>+</w:t>
      </w:r>
      <w:r>
        <w:rPr>
          <w:rFonts w:cs="Times New Roman"/>
        </w:rPr>
        <w:t>深度处理</w:t>
      </w:r>
      <w:r>
        <w:rPr>
          <w:rFonts w:eastAsia="Times New Roman" w:cs="Times New Roman"/>
        </w:rPr>
        <w:t>+</w:t>
      </w:r>
      <w:r>
        <w:rPr>
          <w:rFonts w:cs="Times New Roman"/>
        </w:rPr>
        <w:t>二氧化氯消毒</w:t>
      </w:r>
      <w:r>
        <w:rPr>
          <w:rFonts w:hint="eastAsia" w:cs="Times New Roman"/>
          <w:lang w:eastAsia="zh-CN"/>
        </w:rPr>
        <w:t>”</w:t>
      </w:r>
      <w:r>
        <w:rPr>
          <w:rFonts w:cs="Times New Roman"/>
        </w:rPr>
        <w:t>工艺，其中深度处理工艺采用</w:t>
      </w:r>
      <w:r>
        <w:rPr>
          <w:rFonts w:hint="eastAsia" w:cs="Times New Roman"/>
          <w:lang w:eastAsia="zh-CN"/>
        </w:rPr>
        <w:t>“</w:t>
      </w:r>
      <w:r>
        <w:rPr>
          <w:rFonts w:cs="Times New Roman"/>
        </w:rPr>
        <w:t>絮凝沉淀</w:t>
      </w:r>
      <w:r>
        <w:rPr>
          <w:rFonts w:eastAsia="Times New Roman" w:cs="Times New Roman"/>
        </w:rPr>
        <w:t>+</w:t>
      </w:r>
      <w:r>
        <w:rPr>
          <w:rFonts w:cs="Times New Roman"/>
        </w:rPr>
        <w:t>臭氧</w:t>
      </w:r>
      <w:r>
        <w:rPr>
          <w:rFonts w:eastAsia="Times New Roman" w:cs="Times New Roman"/>
        </w:rPr>
        <w:t>/</w:t>
      </w:r>
      <w:r>
        <w:rPr>
          <w:rFonts w:cs="Times New Roman"/>
        </w:rPr>
        <w:t>二氧化氯</w:t>
      </w:r>
      <w:r>
        <w:rPr>
          <w:rFonts w:hint="eastAsia" w:cs="Times New Roman"/>
          <w:lang w:eastAsia="zh-CN"/>
        </w:rPr>
        <w:t>”</w:t>
      </w:r>
      <w:r>
        <w:rPr>
          <w:rFonts w:cs="Times New Roman"/>
        </w:rPr>
        <w:t>的工艺处理。</w:t>
      </w:r>
      <w:r>
        <w:rPr>
          <w:rFonts w:eastAsia="Times New Roman" w:cs="Times New Roman"/>
        </w:rPr>
        <w:t>2016</w:t>
      </w:r>
      <w:r>
        <w:rPr>
          <w:rFonts w:cs="Times New Roman"/>
        </w:rPr>
        <w:t>年</w:t>
      </w:r>
      <w:r>
        <w:rPr>
          <w:rFonts w:eastAsia="Times New Roman" w:cs="Times New Roman"/>
        </w:rPr>
        <w:t>11</w:t>
      </w:r>
      <w:r>
        <w:rPr>
          <w:rFonts w:cs="Times New Roman"/>
        </w:rPr>
        <w:t>月经平顶山市环境监测中心站对该项目进行环保竣工验收监测，尾水排放符合《城镇污水处理厂污染物排放标准》（</w:t>
      </w:r>
      <w:r>
        <w:rPr>
          <w:rFonts w:eastAsia="Times New Roman" w:cs="Times New Roman"/>
        </w:rPr>
        <w:t>GB18918-2002</w:t>
      </w:r>
      <w:r>
        <w:rPr>
          <w:rFonts w:cs="Times New Roman"/>
        </w:rPr>
        <w:t>）表</w:t>
      </w:r>
      <w:r>
        <w:rPr>
          <w:rFonts w:eastAsia="Times New Roman" w:cs="Times New Roman"/>
        </w:rPr>
        <w:t>1</w:t>
      </w:r>
      <w:r>
        <w:rPr>
          <w:rFonts w:cs="Times New Roman"/>
        </w:rPr>
        <w:t>中一级</w:t>
      </w:r>
      <w:r>
        <w:rPr>
          <w:rFonts w:eastAsia="Times New Roman" w:cs="Times New Roman"/>
        </w:rPr>
        <w:t>A</w:t>
      </w:r>
      <w:r>
        <w:rPr>
          <w:rFonts w:cs="Times New Roman"/>
        </w:rPr>
        <w:t>标准，排入关庙沟，经灰河排入沙河。根据调查，目前该污水处理厂稳定正常运行，污水管网已经铺设至项目厂址处。</w:t>
      </w:r>
    </w:p>
    <w:p>
      <w:pPr>
        <w:ind w:firstLine="480"/>
        <w:rPr>
          <w:rFonts w:cs="Times New Roman"/>
        </w:rPr>
      </w:pPr>
      <w:r>
        <w:rPr>
          <w:rFonts w:cs="Times New Roman"/>
        </w:rPr>
        <w:t>平顶山第三污水处理厂扩建提标工程于</w:t>
      </w:r>
      <w:r>
        <w:rPr>
          <w:rFonts w:eastAsia="Times New Roman" w:cs="Times New Roman"/>
        </w:rPr>
        <w:t>2020</w:t>
      </w:r>
      <w:r>
        <w:rPr>
          <w:rFonts w:cs="Times New Roman"/>
        </w:rPr>
        <w:t>年底开工建设，设计水处理规模为</w:t>
      </w:r>
      <w:r>
        <w:rPr>
          <w:rFonts w:eastAsia="Times New Roman" w:cs="Times New Roman"/>
        </w:rPr>
        <w:t>5</w:t>
      </w:r>
      <w:r>
        <w:rPr>
          <w:rFonts w:cs="Times New Roman"/>
        </w:rPr>
        <w:t>万</w:t>
      </w:r>
      <w:r>
        <w:rPr>
          <w:rFonts w:eastAsia="Times New Roman" w:cs="Times New Roman"/>
        </w:rPr>
        <w:t>m</w:t>
      </w:r>
      <w:r>
        <w:rPr>
          <w:rFonts w:eastAsia="Times New Roman" w:cs="Times New Roman"/>
          <w:vertAlign w:val="superscript"/>
        </w:rPr>
        <w:t>3</w:t>
      </w:r>
      <w:r>
        <w:rPr>
          <w:rFonts w:eastAsia="Times New Roman" w:cs="Times New Roman"/>
        </w:rPr>
        <w:t>/d</w:t>
      </w:r>
      <w:r>
        <w:rPr>
          <w:rFonts w:cs="Times New Roman"/>
        </w:rPr>
        <w:t>，建设期为</w:t>
      </w:r>
      <w:r>
        <w:rPr>
          <w:rFonts w:eastAsia="Times New Roman" w:cs="Times New Roman"/>
        </w:rPr>
        <w:t>24</w:t>
      </w:r>
      <w:r>
        <w:rPr>
          <w:rFonts w:cs="Times New Roman"/>
        </w:rPr>
        <w:t>个月，预计</w:t>
      </w:r>
      <w:r>
        <w:rPr>
          <w:rFonts w:eastAsia="Times New Roman" w:cs="Times New Roman"/>
        </w:rPr>
        <w:t>2022</w:t>
      </w:r>
      <w:r>
        <w:rPr>
          <w:rFonts w:cs="Times New Roman"/>
        </w:rPr>
        <w:t>年底建成投产。根据当地环境管理要求，平顶山第三</w:t>
      </w:r>
      <w:r>
        <w:rPr>
          <w:rFonts w:hint="eastAsia" w:cs="Times New Roman"/>
        </w:rPr>
        <w:t>污水处理厂</w:t>
      </w:r>
      <w:r>
        <w:rPr>
          <w:rFonts w:cs="Times New Roman"/>
        </w:rPr>
        <w:t>提标改造后出水可以达到《地表水环境质量标准》（</w:t>
      </w:r>
      <w:r>
        <w:rPr>
          <w:rFonts w:eastAsia="Times New Roman" w:cs="Times New Roman"/>
        </w:rPr>
        <w:t>GB3838-2002</w:t>
      </w:r>
      <w:r>
        <w:rPr>
          <w:rFonts w:cs="Times New Roman"/>
        </w:rPr>
        <w:t>）</w:t>
      </w:r>
      <w:r>
        <w:rPr>
          <w:rFonts w:eastAsia="Times New Roman" w:cs="Times New Roman"/>
        </w:rPr>
        <w:t>Ⅲ</w:t>
      </w:r>
      <w:r>
        <w:rPr>
          <w:rFonts w:cs="Times New Roman"/>
        </w:rPr>
        <w:t>类标准要求。本项目建设期为</w:t>
      </w:r>
      <w:r>
        <w:rPr>
          <w:rFonts w:eastAsia="Times New Roman" w:cs="Times New Roman"/>
        </w:rPr>
        <w:t>16</w:t>
      </w:r>
      <w:r>
        <w:rPr>
          <w:rFonts w:cs="Times New Roman"/>
        </w:rPr>
        <w:t>个月，预计</w:t>
      </w:r>
      <w:r>
        <w:rPr>
          <w:rFonts w:eastAsia="Times New Roman" w:cs="Times New Roman"/>
        </w:rPr>
        <w:t>2023</w:t>
      </w:r>
      <w:r>
        <w:rPr>
          <w:rFonts w:cs="Times New Roman"/>
        </w:rPr>
        <w:t>年</w:t>
      </w:r>
      <w:r>
        <w:rPr>
          <w:rFonts w:eastAsia="Times New Roman" w:cs="Times New Roman"/>
        </w:rPr>
        <w:t>4</w:t>
      </w:r>
      <w:r>
        <w:rPr>
          <w:rFonts w:cs="Times New Roman"/>
        </w:rPr>
        <w:t>月建成投产，投产时平顶山第三污水处理厂二期已投入运行。</w:t>
      </w:r>
    </w:p>
    <w:p>
      <w:pPr>
        <w:ind w:firstLine="480"/>
        <w:rPr>
          <w:rFonts w:cs="Times New Roman"/>
        </w:rPr>
      </w:pPr>
      <w:r>
        <w:rPr>
          <w:rFonts w:cs="Times New Roman"/>
        </w:rPr>
        <w:t>平顶山第三污水处理厂设计进出水水质指标见表</w:t>
      </w:r>
      <w:r>
        <w:rPr>
          <w:rFonts w:hint="eastAsia" w:cs="Times New Roman"/>
        </w:rPr>
        <w:t>6.3</w:t>
      </w:r>
      <w:r>
        <w:rPr>
          <w:rFonts w:eastAsia="Times New Roman" w:cs="Times New Roman"/>
        </w:rPr>
        <w:t>-3</w:t>
      </w:r>
      <w:r>
        <w:rPr>
          <w:rFonts w:cs="Times New Roman"/>
        </w:rPr>
        <w:t>。</w:t>
      </w:r>
    </w:p>
    <w:p>
      <w:pPr>
        <w:ind w:firstLine="0" w:firstLineChars="0"/>
        <w:jc w:val="center"/>
        <w:rPr>
          <w:b/>
          <w:bCs/>
        </w:rPr>
      </w:pPr>
      <w:r>
        <w:rPr>
          <w:rFonts w:hint="eastAsia"/>
          <w:b/>
          <w:bCs/>
        </w:rPr>
        <w:t>表6.3-3  平顶山第三污水处理厂设计进出水水质指标    单位：mg/L</w:t>
      </w:r>
    </w:p>
    <w:tbl>
      <w:tblPr>
        <w:tblStyle w:val="51"/>
        <w:tblW w:w="5055"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3134"/>
        <w:gridCol w:w="1436"/>
        <w:gridCol w:w="1444"/>
        <w:gridCol w:w="1199"/>
        <w:gridCol w:w="1291"/>
        <w:gridCol w:w="6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706" w:type="pct"/>
            <w:vAlign w:val="center"/>
          </w:tcPr>
          <w:p>
            <w:pPr>
              <w:spacing w:line="360" w:lineRule="exact"/>
              <w:ind w:firstLine="0" w:firstLineChars="0"/>
              <w:jc w:val="center"/>
              <w:rPr>
                <w:rFonts w:ascii="宋体" w:hAnsi="宋体" w:cs="宋体"/>
                <w:w w:val="100"/>
                <w:kern w:val="21"/>
                <w:sz w:val="21"/>
                <w:szCs w:val="21"/>
              </w:rPr>
            </w:pPr>
            <w:r>
              <w:rPr>
                <w:rFonts w:ascii="宋体" w:hAnsi="宋体" w:cs="宋体"/>
                <w:w w:val="100"/>
                <w:kern w:val="21"/>
                <w:sz w:val="21"/>
                <w:szCs w:val="21"/>
              </w:rPr>
              <w:t>项目</w:t>
            </w:r>
          </w:p>
        </w:tc>
        <w:tc>
          <w:tcPr>
            <w:tcW w:w="782" w:type="pct"/>
            <w:vAlign w:val="center"/>
          </w:tcPr>
          <w:p>
            <w:pPr>
              <w:spacing w:line="360" w:lineRule="exact"/>
              <w:ind w:firstLine="0" w:firstLineChars="0"/>
              <w:jc w:val="center"/>
              <w:rPr>
                <w:rFonts w:ascii="宋体" w:hAnsi="宋体" w:cs="宋体"/>
                <w:w w:val="100"/>
                <w:kern w:val="21"/>
                <w:sz w:val="21"/>
                <w:szCs w:val="21"/>
              </w:rPr>
            </w:pPr>
            <w:r>
              <w:rPr>
                <w:rFonts w:eastAsia="Times New Roman" w:cs="Times New Roman"/>
                <w:w w:val="100"/>
                <w:kern w:val="21"/>
                <w:sz w:val="21"/>
                <w:szCs w:val="21"/>
              </w:rPr>
              <w:t>COD</w:t>
            </w:r>
            <w:r>
              <w:rPr>
                <w:rFonts w:ascii="宋体" w:hAnsi="宋体" w:cs="宋体"/>
                <w:w w:val="100"/>
                <w:kern w:val="21"/>
                <w:sz w:val="21"/>
                <w:szCs w:val="21"/>
              </w:rPr>
              <w:t>（</w:t>
            </w:r>
            <w:r>
              <w:rPr>
                <w:rFonts w:eastAsia="Times New Roman" w:cs="Times New Roman"/>
                <w:w w:val="100"/>
                <w:kern w:val="21"/>
                <w:sz w:val="21"/>
                <w:szCs w:val="21"/>
              </w:rPr>
              <w:t>mg/L</w:t>
            </w:r>
            <w:r>
              <w:rPr>
                <w:rFonts w:ascii="宋体" w:hAnsi="宋体" w:cs="宋体"/>
                <w:w w:val="100"/>
                <w:kern w:val="21"/>
                <w:sz w:val="21"/>
                <w:szCs w:val="21"/>
              </w:rPr>
              <w:t>）</w:t>
            </w:r>
          </w:p>
        </w:tc>
        <w:tc>
          <w:tcPr>
            <w:tcW w:w="786" w:type="pct"/>
            <w:vAlign w:val="center"/>
          </w:tcPr>
          <w:p>
            <w:pPr>
              <w:spacing w:line="360" w:lineRule="exact"/>
              <w:ind w:firstLine="0" w:firstLineChars="0"/>
              <w:jc w:val="center"/>
              <w:rPr>
                <w:rFonts w:ascii="宋体" w:hAnsi="宋体" w:cs="宋体"/>
                <w:w w:val="100"/>
                <w:kern w:val="21"/>
                <w:sz w:val="21"/>
                <w:szCs w:val="21"/>
              </w:rPr>
            </w:pPr>
            <w:r>
              <w:rPr>
                <w:rFonts w:eastAsia="Times New Roman" w:cs="Times New Roman"/>
                <w:w w:val="100"/>
                <w:kern w:val="21"/>
                <w:sz w:val="21"/>
                <w:szCs w:val="21"/>
              </w:rPr>
              <w:t>BOD</w:t>
            </w:r>
            <w:r>
              <w:rPr>
                <w:rFonts w:eastAsia="Times New Roman" w:cs="Times New Roman"/>
                <w:w w:val="100"/>
                <w:kern w:val="21"/>
                <w:sz w:val="21"/>
                <w:szCs w:val="21"/>
                <w:vertAlign w:val="subscript"/>
              </w:rPr>
              <w:t>5</w:t>
            </w:r>
            <w:r>
              <w:rPr>
                <w:rFonts w:ascii="宋体" w:hAnsi="宋体" w:cs="宋体"/>
                <w:w w:val="100"/>
                <w:kern w:val="21"/>
                <w:sz w:val="21"/>
                <w:szCs w:val="21"/>
              </w:rPr>
              <w:t>（</w:t>
            </w:r>
            <w:r>
              <w:rPr>
                <w:rFonts w:eastAsia="Times New Roman" w:cs="Times New Roman"/>
                <w:w w:val="100"/>
                <w:kern w:val="21"/>
                <w:sz w:val="21"/>
                <w:szCs w:val="21"/>
              </w:rPr>
              <w:t>mg/L</w:t>
            </w:r>
            <w:r>
              <w:rPr>
                <w:rFonts w:ascii="宋体" w:hAnsi="宋体" w:cs="宋体"/>
                <w:w w:val="100"/>
                <w:kern w:val="21"/>
                <w:sz w:val="21"/>
                <w:szCs w:val="21"/>
              </w:rPr>
              <w:t>）</w:t>
            </w:r>
          </w:p>
        </w:tc>
        <w:tc>
          <w:tcPr>
            <w:tcW w:w="653" w:type="pct"/>
            <w:vAlign w:val="center"/>
          </w:tcPr>
          <w:p>
            <w:pPr>
              <w:spacing w:line="360" w:lineRule="exact"/>
              <w:ind w:firstLine="0" w:firstLineChars="0"/>
              <w:jc w:val="center"/>
              <w:rPr>
                <w:rFonts w:ascii="宋体" w:hAnsi="宋体" w:cs="宋体"/>
                <w:w w:val="100"/>
                <w:kern w:val="21"/>
                <w:sz w:val="21"/>
                <w:szCs w:val="21"/>
              </w:rPr>
            </w:pPr>
            <w:r>
              <w:rPr>
                <w:rFonts w:eastAsia="Times New Roman" w:cs="Times New Roman"/>
                <w:w w:val="100"/>
                <w:kern w:val="21"/>
                <w:sz w:val="21"/>
                <w:szCs w:val="21"/>
              </w:rPr>
              <w:t>SS</w:t>
            </w:r>
            <w:r>
              <w:rPr>
                <w:rFonts w:ascii="宋体" w:hAnsi="宋体" w:cs="宋体"/>
                <w:w w:val="100"/>
                <w:kern w:val="21"/>
                <w:sz w:val="21"/>
                <w:szCs w:val="21"/>
              </w:rPr>
              <w:t>（</w:t>
            </w:r>
            <w:r>
              <w:rPr>
                <w:rFonts w:eastAsia="Times New Roman" w:cs="Times New Roman"/>
                <w:w w:val="100"/>
                <w:kern w:val="21"/>
                <w:sz w:val="21"/>
                <w:szCs w:val="21"/>
              </w:rPr>
              <w:t>mg/L</w:t>
            </w:r>
            <w:r>
              <w:rPr>
                <w:rFonts w:ascii="宋体" w:hAnsi="宋体" w:cs="宋体"/>
                <w:w w:val="100"/>
                <w:kern w:val="21"/>
                <w:sz w:val="21"/>
                <w:szCs w:val="21"/>
              </w:rPr>
              <w:t>）</w:t>
            </w:r>
          </w:p>
        </w:tc>
        <w:tc>
          <w:tcPr>
            <w:tcW w:w="703" w:type="pct"/>
            <w:vAlign w:val="center"/>
          </w:tcPr>
          <w:p>
            <w:pPr>
              <w:spacing w:line="360" w:lineRule="exact"/>
              <w:ind w:firstLine="0" w:firstLineChars="0"/>
              <w:jc w:val="center"/>
              <w:rPr>
                <w:rFonts w:ascii="宋体" w:hAnsi="宋体" w:cs="宋体"/>
                <w:w w:val="100"/>
                <w:kern w:val="21"/>
                <w:sz w:val="21"/>
                <w:szCs w:val="21"/>
              </w:rPr>
            </w:pPr>
            <w:r>
              <w:rPr>
                <w:rFonts w:ascii="宋体" w:hAnsi="宋体" w:cs="宋体"/>
                <w:w w:val="100"/>
                <w:kern w:val="21"/>
                <w:sz w:val="21"/>
                <w:szCs w:val="21"/>
              </w:rPr>
              <w:t>氨氮（</w:t>
            </w:r>
            <w:r>
              <w:rPr>
                <w:rFonts w:eastAsia="Times New Roman" w:cs="Times New Roman"/>
                <w:w w:val="100"/>
                <w:kern w:val="21"/>
                <w:sz w:val="21"/>
                <w:szCs w:val="21"/>
              </w:rPr>
              <w:t>mg/L</w:t>
            </w:r>
            <w:r>
              <w:rPr>
                <w:rFonts w:ascii="宋体" w:hAnsi="宋体" w:cs="宋体"/>
                <w:w w:val="100"/>
                <w:kern w:val="21"/>
                <w:sz w:val="21"/>
                <w:szCs w:val="21"/>
              </w:rPr>
              <w:t>）</w:t>
            </w:r>
          </w:p>
        </w:tc>
        <w:tc>
          <w:tcPr>
            <w:tcW w:w="367" w:type="pct"/>
            <w:vAlign w:val="center"/>
          </w:tcPr>
          <w:p>
            <w:pPr>
              <w:spacing w:line="360" w:lineRule="exact"/>
              <w:ind w:firstLine="0" w:firstLineChars="0"/>
              <w:jc w:val="center"/>
              <w:rPr>
                <w:rFonts w:ascii="宋体" w:hAnsi="宋体" w:cs="宋体"/>
                <w:w w:val="100"/>
                <w:kern w:val="21"/>
                <w:sz w:val="21"/>
                <w:szCs w:val="21"/>
              </w:rPr>
            </w:pPr>
            <w:r>
              <w:rPr>
                <w:rFonts w:ascii="宋体" w:hAnsi="宋体" w:cs="宋体"/>
                <w:w w:val="100"/>
                <w:kern w:val="21"/>
                <w:sz w:val="21"/>
                <w:szCs w:val="21"/>
              </w:rPr>
              <w:t>总氮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706" w:type="pct"/>
            <w:vAlign w:val="center"/>
          </w:tcPr>
          <w:p>
            <w:pPr>
              <w:spacing w:line="360" w:lineRule="exact"/>
              <w:ind w:firstLine="0" w:firstLineChars="0"/>
              <w:jc w:val="center"/>
              <w:rPr>
                <w:rFonts w:ascii="宋体" w:hAnsi="宋体" w:cs="宋体"/>
                <w:w w:val="100"/>
                <w:kern w:val="21"/>
                <w:sz w:val="21"/>
                <w:szCs w:val="21"/>
              </w:rPr>
            </w:pPr>
            <w:r>
              <w:rPr>
                <w:rFonts w:ascii="宋体" w:hAnsi="宋体" w:cs="宋体"/>
                <w:w w:val="100"/>
                <w:kern w:val="21"/>
                <w:sz w:val="21"/>
                <w:szCs w:val="21"/>
              </w:rPr>
              <w:t>进水标准</w:t>
            </w:r>
          </w:p>
        </w:tc>
        <w:tc>
          <w:tcPr>
            <w:tcW w:w="782" w:type="pct"/>
            <w:vAlign w:val="center"/>
          </w:tcPr>
          <w:p>
            <w:pPr>
              <w:spacing w:line="360" w:lineRule="exact"/>
              <w:ind w:firstLine="0" w:firstLineChars="0"/>
              <w:jc w:val="center"/>
              <w:rPr>
                <w:rFonts w:eastAsia="Times New Roman" w:cs="Times New Roman"/>
                <w:w w:val="100"/>
                <w:kern w:val="21"/>
                <w:sz w:val="21"/>
                <w:szCs w:val="21"/>
              </w:rPr>
            </w:pPr>
            <w:r>
              <w:rPr>
                <w:rFonts w:eastAsia="Times New Roman" w:cs="Times New Roman"/>
                <w:w w:val="100"/>
                <w:kern w:val="21"/>
                <w:sz w:val="21"/>
                <w:szCs w:val="21"/>
              </w:rPr>
              <w:t>400</w:t>
            </w:r>
          </w:p>
        </w:tc>
        <w:tc>
          <w:tcPr>
            <w:tcW w:w="786" w:type="pct"/>
            <w:vAlign w:val="center"/>
          </w:tcPr>
          <w:p>
            <w:pPr>
              <w:spacing w:line="360" w:lineRule="exact"/>
              <w:ind w:firstLine="0" w:firstLineChars="0"/>
              <w:jc w:val="center"/>
              <w:rPr>
                <w:rFonts w:eastAsia="Times New Roman" w:cs="Times New Roman"/>
                <w:w w:val="100"/>
                <w:kern w:val="21"/>
                <w:sz w:val="21"/>
                <w:szCs w:val="21"/>
              </w:rPr>
            </w:pPr>
            <w:r>
              <w:rPr>
                <w:rFonts w:eastAsia="Times New Roman" w:cs="Times New Roman"/>
                <w:w w:val="100"/>
                <w:kern w:val="21"/>
                <w:sz w:val="21"/>
                <w:szCs w:val="21"/>
              </w:rPr>
              <w:t>150</w:t>
            </w:r>
          </w:p>
        </w:tc>
        <w:tc>
          <w:tcPr>
            <w:tcW w:w="653" w:type="pct"/>
            <w:vAlign w:val="center"/>
          </w:tcPr>
          <w:p>
            <w:pPr>
              <w:spacing w:line="360" w:lineRule="exact"/>
              <w:ind w:firstLine="0" w:firstLineChars="0"/>
              <w:jc w:val="center"/>
              <w:rPr>
                <w:rFonts w:eastAsia="Times New Roman" w:cs="Times New Roman"/>
                <w:w w:val="100"/>
                <w:kern w:val="21"/>
                <w:sz w:val="21"/>
                <w:szCs w:val="21"/>
              </w:rPr>
            </w:pPr>
            <w:r>
              <w:rPr>
                <w:rFonts w:eastAsia="Times New Roman" w:cs="Times New Roman"/>
                <w:w w:val="100"/>
                <w:kern w:val="21"/>
                <w:sz w:val="21"/>
                <w:szCs w:val="21"/>
              </w:rPr>
              <w:t>300</w:t>
            </w:r>
          </w:p>
        </w:tc>
        <w:tc>
          <w:tcPr>
            <w:tcW w:w="703" w:type="pct"/>
            <w:vAlign w:val="center"/>
          </w:tcPr>
          <w:p>
            <w:pPr>
              <w:spacing w:line="360" w:lineRule="exact"/>
              <w:ind w:firstLine="0" w:firstLineChars="0"/>
              <w:jc w:val="center"/>
              <w:rPr>
                <w:rFonts w:eastAsia="Times New Roman" w:cs="Times New Roman"/>
                <w:w w:val="100"/>
                <w:kern w:val="21"/>
                <w:sz w:val="21"/>
                <w:szCs w:val="21"/>
              </w:rPr>
            </w:pPr>
            <w:r>
              <w:rPr>
                <w:rFonts w:eastAsia="Times New Roman" w:cs="Times New Roman"/>
                <w:w w:val="100"/>
                <w:kern w:val="21"/>
                <w:sz w:val="21"/>
                <w:szCs w:val="21"/>
              </w:rPr>
              <w:t>35</w:t>
            </w:r>
          </w:p>
        </w:tc>
        <w:tc>
          <w:tcPr>
            <w:tcW w:w="367" w:type="pct"/>
            <w:vAlign w:val="center"/>
          </w:tcPr>
          <w:p>
            <w:pPr>
              <w:spacing w:line="360" w:lineRule="exact"/>
              <w:ind w:firstLine="0" w:firstLineChars="0"/>
              <w:jc w:val="center"/>
              <w:rPr>
                <w:rFonts w:eastAsia="Times New Roman" w:cs="Times New Roman"/>
                <w:w w:val="100"/>
                <w:kern w:val="21"/>
                <w:sz w:val="21"/>
                <w:szCs w:val="21"/>
              </w:rPr>
            </w:pPr>
            <w:r>
              <w:rPr>
                <w:rFonts w:eastAsia="Times New Roman" w:cs="Times New Roman"/>
                <w:w w:val="100"/>
                <w:kern w:val="21"/>
                <w:sz w:val="21"/>
                <w:szCs w:val="21"/>
              </w:rPr>
              <w:t>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706" w:type="pct"/>
            <w:vAlign w:val="center"/>
          </w:tcPr>
          <w:p>
            <w:pPr>
              <w:spacing w:line="360" w:lineRule="exact"/>
              <w:ind w:firstLine="0" w:firstLineChars="0"/>
              <w:jc w:val="center"/>
              <w:rPr>
                <w:rFonts w:ascii="宋体" w:hAnsi="宋体" w:cs="宋体"/>
                <w:w w:val="100"/>
                <w:kern w:val="21"/>
                <w:sz w:val="21"/>
                <w:szCs w:val="21"/>
              </w:rPr>
            </w:pPr>
            <w:r>
              <w:rPr>
                <w:rFonts w:cs="Times New Roman"/>
                <w:w w:val="100"/>
                <w:kern w:val="21"/>
                <w:sz w:val="21"/>
                <w:szCs w:val="21"/>
              </w:rPr>
              <w:t>出水满足《城镇污水处理厂污染物排放标准》一级A排放标准</w:t>
            </w:r>
          </w:p>
        </w:tc>
        <w:tc>
          <w:tcPr>
            <w:tcW w:w="782" w:type="pct"/>
            <w:vAlign w:val="center"/>
          </w:tcPr>
          <w:p>
            <w:pPr>
              <w:spacing w:line="360" w:lineRule="exact"/>
              <w:ind w:firstLine="0" w:firstLineChars="0"/>
              <w:jc w:val="center"/>
              <w:rPr>
                <w:rFonts w:eastAsia="Times New Roman" w:cs="Times New Roman"/>
                <w:w w:val="100"/>
                <w:kern w:val="21"/>
                <w:sz w:val="21"/>
                <w:szCs w:val="21"/>
              </w:rPr>
            </w:pPr>
            <w:r>
              <w:rPr>
                <w:rFonts w:eastAsia="Times New Roman" w:cs="Times New Roman"/>
                <w:w w:val="100"/>
                <w:kern w:val="21"/>
                <w:sz w:val="21"/>
                <w:szCs w:val="21"/>
              </w:rPr>
              <w:t>50</w:t>
            </w:r>
          </w:p>
        </w:tc>
        <w:tc>
          <w:tcPr>
            <w:tcW w:w="786" w:type="pct"/>
            <w:vAlign w:val="center"/>
          </w:tcPr>
          <w:p>
            <w:pPr>
              <w:spacing w:line="360" w:lineRule="exact"/>
              <w:ind w:firstLine="0" w:firstLineChars="0"/>
              <w:jc w:val="center"/>
              <w:rPr>
                <w:rFonts w:eastAsia="Times New Roman" w:cs="Times New Roman"/>
                <w:w w:val="100"/>
                <w:kern w:val="21"/>
                <w:sz w:val="21"/>
                <w:szCs w:val="21"/>
              </w:rPr>
            </w:pPr>
            <w:r>
              <w:rPr>
                <w:rFonts w:eastAsia="Times New Roman" w:cs="Times New Roman"/>
                <w:w w:val="100"/>
                <w:kern w:val="21"/>
                <w:sz w:val="21"/>
                <w:szCs w:val="21"/>
              </w:rPr>
              <w:t>10</w:t>
            </w:r>
          </w:p>
        </w:tc>
        <w:tc>
          <w:tcPr>
            <w:tcW w:w="653" w:type="pct"/>
            <w:vAlign w:val="center"/>
          </w:tcPr>
          <w:p>
            <w:pPr>
              <w:spacing w:line="360" w:lineRule="exact"/>
              <w:ind w:firstLine="0" w:firstLineChars="0"/>
              <w:jc w:val="center"/>
              <w:rPr>
                <w:rFonts w:eastAsia="Times New Roman" w:cs="Times New Roman"/>
                <w:w w:val="100"/>
                <w:kern w:val="21"/>
                <w:sz w:val="21"/>
                <w:szCs w:val="21"/>
              </w:rPr>
            </w:pPr>
            <w:r>
              <w:rPr>
                <w:rFonts w:eastAsia="Times New Roman" w:cs="Times New Roman"/>
                <w:w w:val="100"/>
                <w:kern w:val="21"/>
                <w:sz w:val="21"/>
                <w:szCs w:val="21"/>
              </w:rPr>
              <w:t>10</w:t>
            </w:r>
          </w:p>
        </w:tc>
        <w:tc>
          <w:tcPr>
            <w:tcW w:w="703" w:type="pct"/>
            <w:vAlign w:val="center"/>
          </w:tcPr>
          <w:p>
            <w:pPr>
              <w:spacing w:line="360" w:lineRule="exact"/>
              <w:ind w:firstLine="0" w:firstLineChars="0"/>
              <w:jc w:val="center"/>
              <w:rPr>
                <w:rFonts w:ascii="宋体" w:hAnsi="宋体" w:cs="宋体"/>
                <w:w w:val="100"/>
                <w:kern w:val="21"/>
                <w:sz w:val="21"/>
                <w:szCs w:val="21"/>
              </w:rPr>
            </w:pPr>
            <w:r>
              <w:rPr>
                <w:rFonts w:eastAsia="Times New Roman" w:cs="Times New Roman"/>
                <w:w w:val="100"/>
                <w:kern w:val="21"/>
                <w:sz w:val="21"/>
                <w:szCs w:val="21"/>
              </w:rPr>
              <w:t>5</w:t>
            </w:r>
            <w:r>
              <w:rPr>
                <w:rFonts w:ascii="宋体" w:hAnsi="宋体" w:cs="宋体"/>
                <w:w w:val="100"/>
                <w:kern w:val="21"/>
                <w:sz w:val="21"/>
                <w:szCs w:val="21"/>
              </w:rPr>
              <w:t>（</w:t>
            </w:r>
            <w:r>
              <w:rPr>
                <w:rFonts w:eastAsia="Times New Roman" w:cs="Times New Roman"/>
                <w:w w:val="100"/>
                <w:kern w:val="21"/>
                <w:sz w:val="21"/>
                <w:szCs w:val="21"/>
              </w:rPr>
              <w:t>8</w:t>
            </w:r>
            <w:r>
              <w:rPr>
                <w:rFonts w:ascii="宋体" w:hAnsi="宋体" w:cs="宋体"/>
                <w:w w:val="100"/>
                <w:kern w:val="21"/>
                <w:sz w:val="21"/>
                <w:szCs w:val="21"/>
              </w:rPr>
              <w:t>）</w:t>
            </w:r>
          </w:p>
        </w:tc>
        <w:tc>
          <w:tcPr>
            <w:tcW w:w="367" w:type="pct"/>
            <w:vAlign w:val="center"/>
          </w:tcPr>
          <w:p>
            <w:pPr>
              <w:spacing w:line="360" w:lineRule="exact"/>
              <w:ind w:firstLine="0" w:firstLineChars="0"/>
              <w:jc w:val="center"/>
              <w:rPr>
                <w:rFonts w:eastAsia="Times New Roman" w:cs="Times New Roman"/>
                <w:w w:val="100"/>
                <w:kern w:val="21"/>
                <w:sz w:val="21"/>
                <w:szCs w:val="21"/>
              </w:rPr>
            </w:pPr>
            <w:r>
              <w:rPr>
                <w:rFonts w:eastAsia="Times New Roman" w:cs="Times New Roman"/>
                <w:w w:val="100"/>
                <w:kern w:val="21"/>
                <w:sz w:val="21"/>
                <w:szCs w:val="21"/>
              </w:rPr>
              <w:t>15</w:t>
            </w:r>
          </w:p>
        </w:tc>
      </w:tr>
    </w:tbl>
    <w:p>
      <w:pPr>
        <w:ind w:firstLine="480"/>
        <w:rPr>
          <w:rFonts w:cs="Times New Roman"/>
        </w:rPr>
      </w:pPr>
      <w:r>
        <w:rPr>
          <w:rFonts w:cs="Times New Roman"/>
        </w:rPr>
        <w:t>（2）项目废水进入平顶山第三污水处理厂可行性分析</w:t>
      </w:r>
    </w:p>
    <w:p>
      <w:pPr>
        <w:ind w:firstLine="480"/>
        <w:rPr>
          <w:rFonts w:cs="Times New Roman"/>
        </w:rPr>
      </w:pPr>
      <w:r>
        <w:rPr>
          <w:rFonts w:cs="Times New Roman"/>
        </w:rPr>
        <w:t>本项目处于平顶山第三污水处理厂收水范围内，目前该污水处理厂正常运行，本项目厂址周边的污水管网也已建成。本项目全厂外排废水水量</w:t>
      </w:r>
      <w:r>
        <w:rPr>
          <w:rFonts w:hint="eastAsia" w:cs="Times New Roman"/>
          <w:lang w:eastAsia="zh-CN"/>
        </w:rPr>
        <w:t>39.70</w:t>
      </w:r>
      <w:r>
        <w:rPr>
          <w:rFonts w:cs="Times New Roman"/>
        </w:rPr>
        <w:t>m</w:t>
      </w:r>
      <w:r>
        <w:rPr>
          <w:rFonts w:cs="Times New Roman"/>
          <w:vertAlign w:val="superscript"/>
        </w:rPr>
        <w:t>3</w:t>
      </w:r>
      <w:r>
        <w:rPr>
          <w:rFonts w:cs="Times New Roman"/>
        </w:rPr>
        <w:t>/d，污水处理厂现状接纳废水量为1.2万吨/天，在建的尼龙化工产业配套氢氨项目废水排放量2664m</w:t>
      </w:r>
      <w:r>
        <w:rPr>
          <w:rFonts w:cs="Times New Roman"/>
          <w:vertAlign w:val="superscript"/>
        </w:rPr>
        <w:t>3</w:t>
      </w:r>
      <w:r>
        <w:rPr>
          <w:rFonts w:cs="Times New Roman"/>
        </w:rPr>
        <w:t>/d，污水处理厂剩余处理量约为1.5万吨/天，本项目全厂外排废水水量占剩余处理能力的</w:t>
      </w:r>
      <w:r>
        <w:rPr>
          <w:rFonts w:hint="eastAsia" w:cs="Times New Roman"/>
          <w:lang w:val="en-US" w:eastAsia="zh-CN"/>
        </w:rPr>
        <w:t>0.26</w:t>
      </w:r>
      <w:r>
        <w:rPr>
          <w:rFonts w:cs="Times New Roman"/>
        </w:rPr>
        <w:t>%。从该污水处理厂服务功能及工程废水量上分析，接纳本项目污水可行。</w:t>
      </w:r>
    </w:p>
    <w:p>
      <w:pPr>
        <w:ind w:firstLine="480"/>
      </w:pPr>
      <w:r>
        <w:rPr>
          <w:rFonts w:hint="eastAsia"/>
        </w:rPr>
        <w:t>本次工程建成后厂区总排口水质COD</w:t>
      </w:r>
      <w:r>
        <w:rPr>
          <w:rFonts w:hint="eastAsia"/>
          <w:lang w:val="en-US" w:eastAsia="zh-CN"/>
        </w:rPr>
        <w:t>53.48</w:t>
      </w:r>
      <w:r>
        <w:rPr>
          <w:rFonts w:hint="eastAsia"/>
        </w:rPr>
        <w:t>mg/L、BOD</w:t>
      </w:r>
      <w:r>
        <w:rPr>
          <w:rFonts w:hint="eastAsia"/>
          <w:vertAlign w:val="subscript"/>
        </w:rPr>
        <w:t>5</w:t>
      </w:r>
      <w:r>
        <w:rPr>
          <w:rFonts w:hint="eastAsia"/>
          <w:vertAlign w:val="baseline"/>
          <w:lang w:val="en-US" w:eastAsia="zh-CN"/>
        </w:rPr>
        <w:t>7.56</w:t>
      </w:r>
      <w:r>
        <w:rPr>
          <w:rFonts w:hint="eastAsia"/>
        </w:rPr>
        <w:t>mg/L、SS</w:t>
      </w:r>
      <w:r>
        <w:rPr>
          <w:rFonts w:hint="eastAsia"/>
          <w:lang w:val="en-US" w:eastAsia="zh-CN"/>
        </w:rPr>
        <w:t>38.37</w:t>
      </w:r>
      <w:r>
        <w:rPr>
          <w:rFonts w:hint="eastAsia"/>
        </w:rPr>
        <w:t>mg/L、NH</w:t>
      </w:r>
      <w:r>
        <w:rPr>
          <w:rFonts w:hint="eastAsia"/>
          <w:vertAlign w:val="subscript"/>
        </w:rPr>
        <w:t>3</w:t>
      </w:r>
      <w:r>
        <w:rPr>
          <w:rFonts w:hint="eastAsia"/>
        </w:rPr>
        <w:t>-N</w:t>
      </w:r>
      <w:r>
        <w:rPr>
          <w:rFonts w:hint="eastAsia"/>
          <w:lang w:val="en-US" w:eastAsia="zh-CN"/>
        </w:rPr>
        <w:t>5.04</w:t>
      </w:r>
      <w:r>
        <w:rPr>
          <w:rFonts w:hint="eastAsia"/>
        </w:rPr>
        <w:t>mg/L、动植物油</w:t>
      </w:r>
      <w:r>
        <w:rPr>
          <w:rFonts w:hint="eastAsia"/>
          <w:lang w:val="en-US" w:eastAsia="zh-CN"/>
        </w:rPr>
        <w:t>5.88</w:t>
      </w:r>
      <w:r>
        <w:rPr>
          <w:rFonts w:hint="eastAsia"/>
        </w:rPr>
        <w:t>mg/L</w:t>
      </w:r>
      <w:r>
        <w:rPr>
          <w:rFonts w:hint="eastAsia"/>
          <w:lang w:eastAsia="zh-CN"/>
        </w:rPr>
        <w:t>、</w:t>
      </w:r>
      <w:r>
        <w:rPr>
          <w:rFonts w:hint="eastAsia"/>
          <w:lang w:val="en-US" w:eastAsia="zh-CN"/>
        </w:rPr>
        <w:t>TN4.20</w:t>
      </w:r>
      <w:r>
        <w:rPr>
          <w:rFonts w:hint="eastAsia"/>
        </w:rPr>
        <w:t>mg/L</w:t>
      </w:r>
      <w:r>
        <w:rPr>
          <w:rFonts w:hint="eastAsia"/>
          <w:lang w:val="en-US" w:eastAsia="zh-CN"/>
        </w:rPr>
        <w:t>、TP1.68</w:t>
      </w:r>
      <w:r>
        <w:rPr>
          <w:rFonts w:hint="eastAsia"/>
        </w:rPr>
        <w:t>mg/L，污水排放满足《化工行业水污染物间接排放标准》（DB41/1135-2016）、《合成树脂工业污染物排放标准》（GB31572-2015）以及平顶山第三污水处理厂收水标准。</w:t>
      </w:r>
    </w:p>
    <w:p>
      <w:pPr>
        <w:ind w:firstLine="480"/>
        <w:rPr>
          <w:rFonts w:cs="Times New Roman"/>
        </w:rPr>
      </w:pPr>
      <w:r>
        <w:rPr>
          <w:rFonts w:cs="Times New Roman"/>
        </w:rPr>
        <w:t>综上所述，本工程所选厂址处于平顶山第三污水处理厂收水范围内。本项目废水排放量占污水处理厂剩余处理能力比例为</w:t>
      </w:r>
      <w:r>
        <w:rPr>
          <w:rFonts w:hint="eastAsia" w:cs="Times New Roman"/>
          <w:lang w:val="en-US" w:eastAsia="zh-CN"/>
        </w:rPr>
        <w:t>0.26</w:t>
      </w:r>
      <w:r>
        <w:rPr>
          <w:rFonts w:cs="Times New Roman"/>
        </w:rPr>
        <w:t>%，水质也能够满足该污水处理厂进水设计指标要求，因此不会对该污水处理厂造成冲击，也不会影响其处理效率。因此评价认为，项目废水经市政污水管网入平顶山第三污水处理厂处理是可行的。</w:t>
      </w:r>
    </w:p>
    <w:p>
      <w:pPr>
        <w:pStyle w:val="7"/>
        <w:ind w:firstLine="562"/>
      </w:pPr>
      <w:r>
        <w:rPr>
          <w:rFonts w:hint="eastAsia"/>
        </w:rPr>
        <w:t>6.3.4 废水污染物排放量核算</w:t>
      </w:r>
    </w:p>
    <w:p>
      <w:pPr>
        <w:ind w:firstLine="0" w:firstLineChars="0"/>
        <w:jc w:val="center"/>
        <w:rPr>
          <w:b/>
          <w:bCs/>
        </w:rPr>
      </w:pPr>
      <w:r>
        <w:rPr>
          <w:rFonts w:hint="eastAsia"/>
          <w:b/>
          <w:bCs/>
        </w:rPr>
        <w:t>表6.3-4  废水间接排放口基本情况表</w:t>
      </w:r>
    </w:p>
    <w:tbl>
      <w:tblPr>
        <w:tblStyle w:val="51"/>
        <w:tblW w:w="894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31"/>
        <w:gridCol w:w="774"/>
        <w:gridCol w:w="863"/>
        <w:gridCol w:w="775"/>
        <w:gridCol w:w="1050"/>
        <w:gridCol w:w="750"/>
        <w:gridCol w:w="650"/>
        <w:gridCol w:w="575"/>
        <w:gridCol w:w="650"/>
        <w:gridCol w:w="937"/>
        <w:gridCol w:w="149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431" w:type="dxa"/>
            <w:vMerge w:val="restart"/>
            <w:tcBorders>
              <w:bottom w:val="nil"/>
            </w:tcBorders>
            <w:textDirection w:val="tbRlV"/>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序号</w:t>
            </w:r>
          </w:p>
        </w:tc>
        <w:tc>
          <w:tcPr>
            <w:tcW w:w="774" w:type="dxa"/>
            <w:vMerge w:val="restart"/>
            <w:tcBorders>
              <w:bottom w:val="nil"/>
            </w:tcBorders>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排放口编号</w:t>
            </w:r>
          </w:p>
        </w:tc>
        <w:tc>
          <w:tcPr>
            <w:tcW w:w="1638" w:type="dxa"/>
            <w:gridSpan w:val="2"/>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排放口地理坐标</w:t>
            </w:r>
          </w:p>
        </w:tc>
        <w:tc>
          <w:tcPr>
            <w:tcW w:w="1050" w:type="dxa"/>
            <w:vMerge w:val="restart"/>
            <w:tcBorders>
              <w:bottom w:val="nil"/>
            </w:tcBorders>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废水排放量（万</w:t>
            </w:r>
            <w:r>
              <w:rPr>
                <w:rFonts w:eastAsia="Times New Roman" w:cs="Times New Roman"/>
                <w:kern w:val="21"/>
                <w:sz w:val="21"/>
                <w:szCs w:val="21"/>
              </w:rPr>
              <w:t>t/a</w:t>
            </w:r>
            <w:r>
              <w:rPr>
                <w:rFonts w:ascii="宋体" w:hAnsi="宋体" w:cs="宋体"/>
                <w:kern w:val="21"/>
                <w:sz w:val="21"/>
                <w:szCs w:val="21"/>
              </w:rPr>
              <w:t>）</w:t>
            </w:r>
          </w:p>
        </w:tc>
        <w:tc>
          <w:tcPr>
            <w:tcW w:w="750" w:type="dxa"/>
            <w:vMerge w:val="restart"/>
            <w:tcBorders>
              <w:bottom w:val="nil"/>
            </w:tcBorders>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排放去向</w:t>
            </w:r>
          </w:p>
        </w:tc>
        <w:tc>
          <w:tcPr>
            <w:tcW w:w="650" w:type="dxa"/>
            <w:vMerge w:val="restart"/>
            <w:tcBorders>
              <w:bottom w:val="nil"/>
            </w:tcBorders>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排放规律</w:t>
            </w:r>
          </w:p>
        </w:tc>
        <w:tc>
          <w:tcPr>
            <w:tcW w:w="575" w:type="dxa"/>
            <w:vMerge w:val="restart"/>
            <w:tcBorders>
              <w:bottom w:val="nil"/>
            </w:tcBorders>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间歇排放时段</w:t>
            </w:r>
          </w:p>
        </w:tc>
        <w:tc>
          <w:tcPr>
            <w:tcW w:w="3079" w:type="dxa"/>
            <w:gridSpan w:val="3"/>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受纳污水处理厂信息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431" w:type="dxa"/>
            <w:vMerge w:val="continue"/>
            <w:tcBorders>
              <w:top w:val="nil"/>
            </w:tcBorders>
            <w:textDirection w:val="tbRlV"/>
            <w:vAlign w:val="center"/>
          </w:tcPr>
          <w:p>
            <w:pPr>
              <w:spacing w:line="360" w:lineRule="exact"/>
              <w:ind w:firstLine="0" w:firstLineChars="0"/>
              <w:jc w:val="center"/>
              <w:rPr>
                <w:rFonts w:ascii="宋体"/>
                <w:kern w:val="21"/>
                <w:sz w:val="21"/>
                <w:szCs w:val="21"/>
              </w:rPr>
            </w:pPr>
          </w:p>
        </w:tc>
        <w:tc>
          <w:tcPr>
            <w:tcW w:w="774" w:type="dxa"/>
            <w:vMerge w:val="continue"/>
            <w:tcBorders>
              <w:top w:val="nil"/>
            </w:tcBorders>
            <w:vAlign w:val="center"/>
          </w:tcPr>
          <w:p>
            <w:pPr>
              <w:spacing w:line="360" w:lineRule="exact"/>
              <w:ind w:firstLine="0" w:firstLineChars="0"/>
              <w:jc w:val="center"/>
              <w:rPr>
                <w:rFonts w:ascii="宋体"/>
                <w:kern w:val="21"/>
                <w:sz w:val="21"/>
                <w:szCs w:val="21"/>
              </w:rPr>
            </w:pPr>
          </w:p>
        </w:tc>
        <w:tc>
          <w:tcPr>
            <w:tcW w:w="863"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经度</w:t>
            </w:r>
          </w:p>
        </w:tc>
        <w:tc>
          <w:tcPr>
            <w:tcW w:w="77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纬度</w:t>
            </w:r>
          </w:p>
        </w:tc>
        <w:tc>
          <w:tcPr>
            <w:tcW w:w="1050" w:type="dxa"/>
            <w:vMerge w:val="continue"/>
            <w:tcBorders>
              <w:top w:val="nil"/>
            </w:tcBorders>
            <w:vAlign w:val="center"/>
          </w:tcPr>
          <w:p>
            <w:pPr>
              <w:spacing w:line="360" w:lineRule="exact"/>
              <w:ind w:firstLine="0" w:firstLineChars="0"/>
              <w:jc w:val="center"/>
              <w:rPr>
                <w:rFonts w:ascii="宋体"/>
                <w:kern w:val="21"/>
                <w:sz w:val="21"/>
                <w:szCs w:val="21"/>
              </w:rPr>
            </w:pPr>
          </w:p>
        </w:tc>
        <w:tc>
          <w:tcPr>
            <w:tcW w:w="750" w:type="dxa"/>
            <w:vMerge w:val="continue"/>
            <w:tcBorders>
              <w:top w:val="nil"/>
            </w:tcBorders>
            <w:vAlign w:val="center"/>
          </w:tcPr>
          <w:p>
            <w:pPr>
              <w:spacing w:line="360" w:lineRule="exact"/>
              <w:ind w:firstLine="0" w:firstLineChars="0"/>
              <w:jc w:val="center"/>
              <w:rPr>
                <w:rFonts w:ascii="宋体"/>
                <w:kern w:val="21"/>
                <w:sz w:val="21"/>
                <w:szCs w:val="21"/>
              </w:rPr>
            </w:pPr>
          </w:p>
        </w:tc>
        <w:tc>
          <w:tcPr>
            <w:tcW w:w="650" w:type="dxa"/>
            <w:vMerge w:val="continue"/>
            <w:tcBorders>
              <w:top w:val="nil"/>
            </w:tcBorders>
            <w:textDirection w:val="tbRlV"/>
            <w:vAlign w:val="center"/>
          </w:tcPr>
          <w:p>
            <w:pPr>
              <w:spacing w:line="360" w:lineRule="exact"/>
              <w:ind w:firstLine="0" w:firstLineChars="0"/>
              <w:jc w:val="center"/>
              <w:rPr>
                <w:rFonts w:ascii="宋体"/>
                <w:kern w:val="21"/>
                <w:sz w:val="21"/>
                <w:szCs w:val="21"/>
              </w:rPr>
            </w:pPr>
          </w:p>
        </w:tc>
        <w:tc>
          <w:tcPr>
            <w:tcW w:w="575" w:type="dxa"/>
            <w:vMerge w:val="continue"/>
            <w:tcBorders>
              <w:top w:val="nil"/>
            </w:tcBorders>
            <w:textDirection w:val="tbRlV"/>
            <w:vAlign w:val="center"/>
          </w:tcPr>
          <w:p>
            <w:pPr>
              <w:spacing w:line="360" w:lineRule="exact"/>
              <w:ind w:firstLine="0" w:firstLineChars="0"/>
              <w:jc w:val="center"/>
              <w:rPr>
                <w:rFonts w:ascii="宋体"/>
                <w:kern w:val="21"/>
                <w:sz w:val="21"/>
                <w:szCs w:val="21"/>
              </w:rPr>
            </w:pPr>
          </w:p>
        </w:tc>
        <w:tc>
          <w:tcPr>
            <w:tcW w:w="650"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名称</w:t>
            </w:r>
          </w:p>
        </w:tc>
        <w:tc>
          <w:tcPr>
            <w:tcW w:w="937"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污染物种类</w:t>
            </w:r>
          </w:p>
        </w:tc>
        <w:tc>
          <w:tcPr>
            <w:tcW w:w="1492"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国家或地方污染物排放标准浓度限值（</w:t>
            </w:r>
            <w:r>
              <w:rPr>
                <w:rFonts w:eastAsia="Times New Roman" w:cs="Times New Roman"/>
                <w:kern w:val="21"/>
                <w:sz w:val="21"/>
                <w:szCs w:val="21"/>
              </w:rPr>
              <w:t>mg/L</w:t>
            </w:r>
            <w:r>
              <w:rPr>
                <w:rFonts w:ascii="宋体" w:hAnsi="宋体" w:cs="宋体"/>
                <w:kern w:val="21"/>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431" w:type="dxa"/>
            <w:vMerge w:val="restart"/>
            <w:tcBorders>
              <w:bottom w:val="nil"/>
            </w:tcBorders>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1</w:t>
            </w:r>
          </w:p>
        </w:tc>
        <w:tc>
          <w:tcPr>
            <w:tcW w:w="774" w:type="dxa"/>
            <w:vMerge w:val="restart"/>
            <w:tcBorders>
              <w:bottom w:val="nil"/>
            </w:tcBorders>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DW</w:t>
            </w:r>
            <w:r>
              <w:rPr>
                <w:rFonts w:hint="eastAsia" w:cs="Times New Roman"/>
                <w:kern w:val="21"/>
                <w:sz w:val="21"/>
                <w:szCs w:val="21"/>
              </w:rPr>
              <w:t>00</w:t>
            </w:r>
            <w:r>
              <w:rPr>
                <w:rFonts w:eastAsia="Times New Roman" w:cs="Times New Roman"/>
                <w:kern w:val="21"/>
                <w:sz w:val="21"/>
                <w:szCs w:val="21"/>
              </w:rPr>
              <w:t>1</w:t>
            </w:r>
          </w:p>
        </w:tc>
        <w:tc>
          <w:tcPr>
            <w:tcW w:w="863" w:type="dxa"/>
            <w:vMerge w:val="restart"/>
            <w:tcBorders>
              <w:bottom w:val="nil"/>
            </w:tcBorders>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E113.</w:t>
            </w:r>
            <w:r>
              <w:rPr>
                <w:rFonts w:hint="eastAsia" w:cs="Times New Roman"/>
                <w:kern w:val="21"/>
                <w:sz w:val="21"/>
                <w:szCs w:val="21"/>
              </w:rPr>
              <w:t>264226</w:t>
            </w:r>
          </w:p>
        </w:tc>
        <w:tc>
          <w:tcPr>
            <w:tcW w:w="775" w:type="dxa"/>
            <w:vMerge w:val="restart"/>
            <w:tcBorders>
              <w:bottom w:val="nil"/>
            </w:tcBorders>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N33.</w:t>
            </w:r>
            <w:r>
              <w:rPr>
                <w:rFonts w:hint="eastAsia" w:cs="Times New Roman"/>
                <w:kern w:val="21"/>
                <w:sz w:val="21"/>
                <w:szCs w:val="21"/>
              </w:rPr>
              <w:t>404661</w:t>
            </w:r>
          </w:p>
        </w:tc>
        <w:tc>
          <w:tcPr>
            <w:tcW w:w="1050" w:type="dxa"/>
            <w:vMerge w:val="restart"/>
            <w:tcBorders>
              <w:bottom w:val="nil"/>
            </w:tcBorders>
            <w:vAlign w:val="center"/>
          </w:tcPr>
          <w:p>
            <w:pPr>
              <w:spacing w:line="360" w:lineRule="exact"/>
              <w:ind w:firstLine="0" w:firstLineChars="0"/>
              <w:jc w:val="center"/>
              <w:rPr>
                <w:rFonts w:hint="default" w:eastAsia="宋体" w:cs="Times New Roman"/>
                <w:kern w:val="21"/>
                <w:sz w:val="21"/>
                <w:szCs w:val="21"/>
                <w:lang w:val="en-US" w:eastAsia="zh-CN"/>
              </w:rPr>
            </w:pPr>
            <w:r>
              <w:rPr>
                <w:rFonts w:hint="eastAsia" w:cs="Times New Roman"/>
                <w:kern w:val="21"/>
                <w:sz w:val="21"/>
                <w:szCs w:val="21"/>
                <w:lang w:val="en-US" w:eastAsia="zh-CN"/>
              </w:rPr>
              <w:t>1.191</w:t>
            </w:r>
          </w:p>
        </w:tc>
        <w:tc>
          <w:tcPr>
            <w:tcW w:w="750" w:type="dxa"/>
            <w:vMerge w:val="restart"/>
            <w:tcBorders>
              <w:bottom w:val="nil"/>
            </w:tcBorders>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进入平顶山第三污水处理厂</w:t>
            </w:r>
          </w:p>
        </w:tc>
        <w:tc>
          <w:tcPr>
            <w:tcW w:w="650" w:type="dxa"/>
            <w:vMerge w:val="restart"/>
            <w:tcBorders>
              <w:bottom w:val="nil"/>
            </w:tcBorders>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连续排放流量不稳定</w:t>
            </w:r>
          </w:p>
        </w:tc>
        <w:tc>
          <w:tcPr>
            <w:tcW w:w="575" w:type="dxa"/>
            <w:vMerge w:val="restart"/>
            <w:tcBorders>
              <w:bottom w:val="nil"/>
            </w:tcBorders>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w:t>
            </w:r>
          </w:p>
        </w:tc>
        <w:tc>
          <w:tcPr>
            <w:tcW w:w="650" w:type="dxa"/>
            <w:vMerge w:val="restart"/>
            <w:tcBorders>
              <w:bottom w:val="nil"/>
            </w:tcBorders>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平顶山第三污水处理厂</w:t>
            </w:r>
          </w:p>
        </w:tc>
        <w:tc>
          <w:tcPr>
            <w:tcW w:w="937"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CODcr</w:t>
            </w:r>
          </w:p>
        </w:tc>
        <w:tc>
          <w:tcPr>
            <w:tcW w:w="149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431"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74"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863"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75"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1050"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50"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650" w:type="dxa"/>
            <w:vMerge w:val="continue"/>
            <w:tcBorders>
              <w:top w:val="nil"/>
              <w:bottom w:val="nil"/>
            </w:tcBorders>
            <w:textDirection w:val="tbRlV"/>
            <w:vAlign w:val="center"/>
          </w:tcPr>
          <w:p>
            <w:pPr>
              <w:spacing w:line="360" w:lineRule="exact"/>
              <w:ind w:firstLine="0" w:firstLineChars="0"/>
              <w:jc w:val="center"/>
              <w:rPr>
                <w:rFonts w:ascii="宋体"/>
                <w:kern w:val="21"/>
                <w:sz w:val="21"/>
                <w:szCs w:val="21"/>
              </w:rPr>
            </w:pPr>
          </w:p>
        </w:tc>
        <w:tc>
          <w:tcPr>
            <w:tcW w:w="575"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650" w:type="dxa"/>
            <w:vMerge w:val="continue"/>
            <w:tcBorders>
              <w:top w:val="nil"/>
              <w:bottom w:val="nil"/>
            </w:tcBorders>
            <w:textDirection w:val="tbRlV"/>
            <w:vAlign w:val="center"/>
          </w:tcPr>
          <w:p>
            <w:pPr>
              <w:spacing w:line="360" w:lineRule="exact"/>
              <w:ind w:firstLine="0" w:firstLineChars="0"/>
              <w:jc w:val="center"/>
              <w:rPr>
                <w:rFonts w:ascii="宋体"/>
                <w:kern w:val="21"/>
                <w:sz w:val="21"/>
                <w:szCs w:val="21"/>
              </w:rPr>
            </w:pPr>
          </w:p>
        </w:tc>
        <w:tc>
          <w:tcPr>
            <w:tcW w:w="937"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BOD</w:t>
            </w:r>
            <w:r>
              <w:rPr>
                <w:rFonts w:eastAsia="Times New Roman" w:cs="Times New Roman"/>
                <w:kern w:val="21"/>
                <w:sz w:val="21"/>
                <w:szCs w:val="21"/>
                <w:vertAlign w:val="subscript"/>
              </w:rPr>
              <w:t>5</w:t>
            </w:r>
          </w:p>
        </w:tc>
        <w:tc>
          <w:tcPr>
            <w:tcW w:w="149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4</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431"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74"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863"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75"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1050"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50"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650" w:type="dxa"/>
            <w:vMerge w:val="continue"/>
            <w:tcBorders>
              <w:top w:val="nil"/>
              <w:bottom w:val="nil"/>
            </w:tcBorders>
            <w:textDirection w:val="tbRlV"/>
            <w:vAlign w:val="center"/>
          </w:tcPr>
          <w:p>
            <w:pPr>
              <w:spacing w:line="360" w:lineRule="exact"/>
              <w:ind w:firstLine="0" w:firstLineChars="0"/>
              <w:jc w:val="center"/>
              <w:rPr>
                <w:rFonts w:ascii="宋体"/>
                <w:kern w:val="21"/>
                <w:sz w:val="21"/>
                <w:szCs w:val="21"/>
              </w:rPr>
            </w:pPr>
          </w:p>
        </w:tc>
        <w:tc>
          <w:tcPr>
            <w:tcW w:w="575"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650" w:type="dxa"/>
            <w:vMerge w:val="continue"/>
            <w:tcBorders>
              <w:top w:val="nil"/>
              <w:bottom w:val="nil"/>
            </w:tcBorders>
            <w:textDirection w:val="tbRlV"/>
            <w:vAlign w:val="center"/>
          </w:tcPr>
          <w:p>
            <w:pPr>
              <w:spacing w:line="360" w:lineRule="exact"/>
              <w:ind w:firstLine="0" w:firstLineChars="0"/>
              <w:jc w:val="center"/>
              <w:rPr>
                <w:rFonts w:ascii="宋体"/>
                <w:kern w:val="21"/>
                <w:sz w:val="21"/>
                <w:szCs w:val="21"/>
              </w:rPr>
            </w:pPr>
          </w:p>
        </w:tc>
        <w:tc>
          <w:tcPr>
            <w:tcW w:w="937"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SS</w:t>
            </w:r>
          </w:p>
        </w:tc>
        <w:tc>
          <w:tcPr>
            <w:tcW w:w="149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431"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74"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863"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75"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1050"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50"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650" w:type="dxa"/>
            <w:vMerge w:val="continue"/>
            <w:tcBorders>
              <w:top w:val="nil"/>
              <w:bottom w:val="nil"/>
            </w:tcBorders>
            <w:textDirection w:val="tbRlV"/>
            <w:vAlign w:val="center"/>
          </w:tcPr>
          <w:p>
            <w:pPr>
              <w:spacing w:line="360" w:lineRule="exact"/>
              <w:ind w:firstLine="0" w:firstLineChars="0"/>
              <w:jc w:val="center"/>
              <w:rPr>
                <w:rFonts w:ascii="宋体"/>
                <w:kern w:val="21"/>
                <w:sz w:val="21"/>
                <w:szCs w:val="21"/>
              </w:rPr>
            </w:pPr>
          </w:p>
        </w:tc>
        <w:tc>
          <w:tcPr>
            <w:tcW w:w="575"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650" w:type="dxa"/>
            <w:vMerge w:val="continue"/>
            <w:tcBorders>
              <w:top w:val="nil"/>
              <w:bottom w:val="nil"/>
            </w:tcBorders>
            <w:textDirection w:val="tbRlV"/>
            <w:vAlign w:val="center"/>
          </w:tcPr>
          <w:p>
            <w:pPr>
              <w:spacing w:line="360" w:lineRule="exact"/>
              <w:ind w:firstLine="0" w:firstLineChars="0"/>
              <w:jc w:val="center"/>
              <w:rPr>
                <w:rFonts w:ascii="宋体"/>
                <w:kern w:val="21"/>
                <w:sz w:val="21"/>
                <w:szCs w:val="21"/>
              </w:rPr>
            </w:pPr>
          </w:p>
        </w:tc>
        <w:tc>
          <w:tcPr>
            <w:tcW w:w="937"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NH</w:t>
            </w:r>
            <w:r>
              <w:rPr>
                <w:rFonts w:eastAsia="Times New Roman" w:cs="Times New Roman"/>
                <w:kern w:val="21"/>
                <w:sz w:val="21"/>
                <w:szCs w:val="21"/>
                <w:vertAlign w:val="subscript"/>
              </w:rPr>
              <w:t>3</w:t>
            </w:r>
            <w:r>
              <w:rPr>
                <w:rFonts w:eastAsia="Times New Roman" w:cs="Times New Roman"/>
                <w:kern w:val="21"/>
                <w:sz w:val="21"/>
                <w:szCs w:val="21"/>
              </w:rPr>
              <w:t>-N</w:t>
            </w:r>
          </w:p>
        </w:tc>
        <w:tc>
          <w:tcPr>
            <w:tcW w:w="149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 w:hRule="atLeast"/>
          <w:jc w:val="center"/>
        </w:trPr>
        <w:tc>
          <w:tcPr>
            <w:tcW w:w="431"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74"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863"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75"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1050"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750"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650" w:type="dxa"/>
            <w:vMerge w:val="continue"/>
            <w:tcBorders>
              <w:top w:val="nil"/>
              <w:bottom w:val="nil"/>
            </w:tcBorders>
            <w:textDirection w:val="tbRlV"/>
            <w:vAlign w:val="center"/>
          </w:tcPr>
          <w:p>
            <w:pPr>
              <w:spacing w:line="360" w:lineRule="exact"/>
              <w:ind w:firstLine="0" w:firstLineChars="0"/>
              <w:jc w:val="center"/>
              <w:rPr>
                <w:rFonts w:ascii="宋体"/>
                <w:kern w:val="21"/>
                <w:sz w:val="21"/>
                <w:szCs w:val="21"/>
              </w:rPr>
            </w:pPr>
          </w:p>
        </w:tc>
        <w:tc>
          <w:tcPr>
            <w:tcW w:w="575" w:type="dxa"/>
            <w:vMerge w:val="continue"/>
            <w:tcBorders>
              <w:top w:val="nil"/>
              <w:bottom w:val="nil"/>
            </w:tcBorders>
            <w:vAlign w:val="center"/>
          </w:tcPr>
          <w:p>
            <w:pPr>
              <w:spacing w:line="360" w:lineRule="exact"/>
              <w:ind w:firstLine="0" w:firstLineChars="0"/>
              <w:jc w:val="center"/>
              <w:rPr>
                <w:rFonts w:ascii="宋体"/>
                <w:kern w:val="21"/>
                <w:sz w:val="21"/>
                <w:szCs w:val="21"/>
              </w:rPr>
            </w:pPr>
          </w:p>
        </w:tc>
        <w:tc>
          <w:tcPr>
            <w:tcW w:w="650" w:type="dxa"/>
            <w:vMerge w:val="continue"/>
            <w:tcBorders>
              <w:top w:val="nil"/>
              <w:bottom w:val="nil"/>
            </w:tcBorders>
            <w:textDirection w:val="tbRlV"/>
            <w:vAlign w:val="center"/>
          </w:tcPr>
          <w:p>
            <w:pPr>
              <w:spacing w:line="360" w:lineRule="exact"/>
              <w:ind w:firstLine="0" w:firstLineChars="0"/>
              <w:jc w:val="center"/>
              <w:rPr>
                <w:rFonts w:ascii="宋体"/>
                <w:kern w:val="21"/>
                <w:sz w:val="21"/>
                <w:szCs w:val="21"/>
              </w:rPr>
            </w:pPr>
          </w:p>
        </w:tc>
        <w:tc>
          <w:tcPr>
            <w:tcW w:w="937" w:type="dxa"/>
            <w:tcBorders>
              <w:bottom w:val="single" w:color="auto" w:sz="4" w:space="0"/>
            </w:tcBorders>
            <w:vAlign w:val="center"/>
          </w:tcPr>
          <w:p>
            <w:pPr>
              <w:spacing w:line="360" w:lineRule="exact"/>
              <w:ind w:firstLine="0" w:firstLineChars="0"/>
              <w:jc w:val="center"/>
              <w:rPr>
                <w:rFonts w:ascii="宋体" w:hAnsi="宋体" w:cs="宋体"/>
                <w:kern w:val="21"/>
                <w:sz w:val="21"/>
                <w:szCs w:val="21"/>
              </w:rPr>
            </w:pPr>
            <w:r>
              <w:rPr>
                <w:rFonts w:hint="eastAsia" w:ascii="宋体" w:hAnsi="宋体" w:cs="宋体"/>
                <w:kern w:val="21"/>
                <w:sz w:val="21"/>
                <w:szCs w:val="21"/>
              </w:rPr>
              <w:t>动植物油</w:t>
            </w:r>
          </w:p>
        </w:tc>
        <w:tc>
          <w:tcPr>
            <w:tcW w:w="1492" w:type="dxa"/>
            <w:tcBorders>
              <w:bottom w:val="single" w:color="auto" w:sz="4" w:space="0"/>
            </w:tcBorders>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1</w:t>
            </w:r>
            <w:r>
              <w:rPr>
                <w:rFonts w:hint="eastAsia" w:cs="Times New Roman"/>
                <w:kern w:val="21"/>
                <w:sz w:val="21"/>
                <w:szCs w:val="21"/>
              </w:rPr>
              <w:t>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 w:hRule="atLeast"/>
          <w:jc w:val="center"/>
        </w:trPr>
        <w:tc>
          <w:tcPr>
            <w:tcW w:w="431" w:type="dxa"/>
            <w:vMerge w:val="continue"/>
            <w:vAlign w:val="center"/>
          </w:tcPr>
          <w:p>
            <w:pPr>
              <w:spacing w:line="360" w:lineRule="exact"/>
              <w:ind w:firstLine="0" w:firstLineChars="0"/>
              <w:jc w:val="center"/>
              <w:rPr>
                <w:rFonts w:ascii="宋体"/>
                <w:kern w:val="21"/>
                <w:sz w:val="21"/>
                <w:szCs w:val="21"/>
              </w:rPr>
            </w:pPr>
          </w:p>
        </w:tc>
        <w:tc>
          <w:tcPr>
            <w:tcW w:w="774" w:type="dxa"/>
            <w:vMerge w:val="continue"/>
            <w:vAlign w:val="center"/>
          </w:tcPr>
          <w:p>
            <w:pPr>
              <w:spacing w:line="360" w:lineRule="exact"/>
              <w:ind w:firstLine="0" w:firstLineChars="0"/>
              <w:jc w:val="center"/>
              <w:rPr>
                <w:rFonts w:ascii="宋体"/>
                <w:kern w:val="21"/>
                <w:sz w:val="21"/>
                <w:szCs w:val="21"/>
              </w:rPr>
            </w:pPr>
          </w:p>
        </w:tc>
        <w:tc>
          <w:tcPr>
            <w:tcW w:w="863" w:type="dxa"/>
            <w:vMerge w:val="continue"/>
            <w:vAlign w:val="center"/>
          </w:tcPr>
          <w:p>
            <w:pPr>
              <w:spacing w:line="360" w:lineRule="exact"/>
              <w:ind w:firstLine="0" w:firstLineChars="0"/>
              <w:jc w:val="center"/>
              <w:rPr>
                <w:rFonts w:ascii="宋体"/>
                <w:kern w:val="21"/>
                <w:sz w:val="21"/>
                <w:szCs w:val="21"/>
              </w:rPr>
            </w:pPr>
          </w:p>
        </w:tc>
        <w:tc>
          <w:tcPr>
            <w:tcW w:w="775" w:type="dxa"/>
            <w:vMerge w:val="continue"/>
            <w:vAlign w:val="center"/>
          </w:tcPr>
          <w:p>
            <w:pPr>
              <w:spacing w:line="360" w:lineRule="exact"/>
              <w:ind w:firstLine="0" w:firstLineChars="0"/>
              <w:jc w:val="center"/>
              <w:rPr>
                <w:rFonts w:ascii="宋体"/>
                <w:kern w:val="21"/>
                <w:sz w:val="21"/>
                <w:szCs w:val="21"/>
              </w:rPr>
            </w:pPr>
          </w:p>
        </w:tc>
        <w:tc>
          <w:tcPr>
            <w:tcW w:w="1050" w:type="dxa"/>
            <w:vMerge w:val="continue"/>
            <w:vAlign w:val="center"/>
          </w:tcPr>
          <w:p>
            <w:pPr>
              <w:spacing w:line="360" w:lineRule="exact"/>
              <w:ind w:firstLine="0" w:firstLineChars="0"/>
              <w:jc w:val="center"/>
              <w:rPr>
                <w:rFonts w:ascii="宋体"/>
                <w:kern w:val="21"/>
                <w:sz w:val="21"/>
                <w:szCs w:val="21"/>
              </w:rPr>
            </w:pPr>
          </w:p>
        </w:tc>
        <w:tc>
          <w:tcPr>
            <w:tcW w:w="750" w:type="dxa"/>
            <w:vMerge w:val="continue"/>
            <w:vAlign w:val="center"/>
          </w:tcPr>
          <w:p>
            <w:pPr>
              <w:spacing w:line="360" w:lineRule="exact"/>
              <w:ind w:firstLine="0" w:firstLineChars="0"/>
              <w:jc w:val="center"/>
              <w:rPr>
                <w:rFonts w:ascii="宋体"/>
                <w:kern w:val="21"/>
                <w:sz w:val="21"/>
                <w:szCs w:val="21"/>
              </w:rPr>
            </w:pPr>
          </w:p>
        </w:tc>
        <w:tc>
          <w:tcPr>
            <w:tcW w:w="650" w:type="dxa"/>
            <w:vMerge w:val="continue"/>
            <w:textDirection w:val="tbRlV"/>
            <w:vAlign w:val="center"/>
          </w:tcPr>
          <w:p>
            <w:pPr>
              <w:spacing w:line="360" w:lineRule="exact"/>
              <w:ind w:firstLine="0" w:firstLineChars="0"/>
              <w:jc w:val="center"/>
              <w:rPr>
                <w:rFonts w:ascii="宋体"/>
                <w:kern w:val="21"/>
                <w:sz w:val="21"/>
                <w:szCs w:val="21"/>
              </w:rPr>
            </w:pPr>
          </w:p>
        </w:tc>
        <w:tc>
          <w:tcPr>
            <w:tcW w:w="575" w:type="dxa"/>
            <w:vMerge w:val="continue"/>
            <w:vAlign w:val="center"/>
          </w:tcPr>
          <w:p>
            <w:pPr>
              <w:spacing w:line="360" w:lineRule="exact"/>
              <w:ind w:firstLine="0" w:firstLineChars="0"/>
              <w:jc w:val="center"/>
              <w:rPr>
                <w:rFonts w:ascii="宋体"/>
                <w:kern w:val="21"/>
                <w:sz w:val="21"/>
                <w:szCs w:val="21"/>
              </w:rPr>
            </w:pPr>
          </w:p>
        </w:tc>
        <w:tc>
          <w:tcPr>
            <w:tcW w:w="650" w:type="dxa"/>
            <w:vMerge w:val="continue"/>
            <w:textDirection w:val="tbRlV"/>
            <w:vAlign w:val="center"/>
          </w:tcPr>
          <w:p>
            <w:pPr>
              <w:spacing w:line="360" w:lineRule="exact"/>
              <w:ind w:firstLine="0" w:firstLineChars="0"/>
              <w:jc w:val="center"/>
              <w:rPr>
                <w:rFonts w:ascii="宋体"/>
                <w:kern w:val="21"/>
                <w:sz w:val="21"/>
                <w:szCs w:val="21"/>
              </w:rPr>
            </w:pPr>
          </w:p>
        </w:tc>
        <w:tc>
          <w:tcPr>
            <w:tcW w:w="937" w:type="dxa"/>
            <w:tcBorders>
              <w:top w:val="single" w:color="auto" w:sz="4" w:space="0"/>
              <w:bottom w:val="single" w:color="auto" w:sz="4" w:space="0"/>
            </w:tcBorders>
            <w:vAlign w:val="center"/>
          </w:tcPr>
          <w:p>
            <w:pPr>
              <w:spacing w:line="360" w:lineRule="exact"/>
              <w:ind w:firstLine="0" w:firstLineChars="0"/>
              <w:jc w:val="center"/>
              <w:rPr>
                <w:rFonts w:hint="eastAsia" w:eastAsia="Times New Roman" w:cs="Times New Roman"/>
                <w:kern w:val="21"/>
                <w:sz w:val="21"/>
                <w:szCs w:val="21"/>
              </w:rPr>
            </w:pPr>
            <w:r>
              <w:rPr>
                <w:rFonts w:hint="eastAsia" w:eastAsia="Times New Roman" w:cs="Times New Roman"/>
                <w:kern w:val="21"/>
                <w:sz w:val="21"/>
                <w:szCs w:val="21"/>
                <w:lang w:val="en-US" w:eastAsia="zh-CN"/>
              </w:rPr>
              <w:t>TN</w:t>
            </w:r>
          </w:p>
        </w:tc>
        <w:tc>
          <w:tcPr>
            <w:tcW w:w="1492" w:type="dxa"/>
            <w:tcBorders>
              <w:top w:val="single" w:color="auto" w:sz="4" w:space="0"/>
              <w:bottom w:val="single" w:color="auto" w:sz="4" w:space="0"/>
            </w:tcBorders>
            <w:vAlign w:val="center"/>
          </w:tcPr>
          <w:p>
            <w:pPr>
              <w:spacing w:line="360" w:lineRule="exact"/>
              <w:ind w:firstLine="0" w:firstLineChars="0"/>
              <w:jc w:val="center"/>
              <w:rPr>
                <w:rFonts w:hint="default" w:eastAsia="宋体" w:cs="Times New Roman"/>
                <w:kern w:val="21"/>
                <w:sz w:val="21"/>
                <w:szCs w:val="21"/>
                <w:lang w:val="en-US" w:eastAsia="zh-CN"/>
              </w:rPr>
            </w:pPr>
            <w:r>
              <w:rPr>
                <w:rFonts w:hint="eastAsia" w:eastAsia="宋体" w:cs="Times New Roman"/>
                <w:kern w:val="21"/>
                <w:sz w:val="21"/>
                <w:szCs w:val="21"/>
                <w:lang w:val="en-US" w:eastAsia="zh-CN"/>
              </w:rPr>
              <w:t>15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0" w:hRule="atLeast"/>
          <w:jc w:val="center"/>
        </w:trPr>
        <w:tc>
          <w:tcPr>
            <w:tcW w:w="431" w:type="dxa"/>
            <w:vMerge w:val="continue"/>
            <w:vAlign w:val="center"/>
          </w:tcPr>
          <w:p>
            <w:pPr>
              <w:spacing w:line="360" w:lineRule="exact"/>
              <w:ind w:firstLine="0" w:firstLineChars="0"/>
              <w:jc w:val="center"/>
              <w:rPr>
                <w:rFonts w:ascii="宋体"/>
                <w:kern w:val="21"/>
                <w:sz w:val="21"/>
                <w:szCs w:val="21"/>
              </w:rPr>
            </w:pPr>
          </w:p>
        </w:tc>
        <w:tc>
          <w:tcPr>
            <w:tcW w:w="774" w:type="dxa"/>
            <w:vMerge w:val="continue"/>
            <w:vAlign w:val="center"/>
          </w:tcPr>
          <w:p>
            <w:pPr>
              <w:spacing w:line="360" w:lineRule="exact"/>
              <w:ind w:firstLine="0" w:firstLineChars="0"/>
              <w:jc w:val="center"/>
              <w:rPr>
                <w:rFonts w:ascii="宋体"/>
                <w:kern w:val="21"/>
                <w:sz w:val="21"/>
                <w:szCs w:val="21"/>
              </w:rPr>
            </w:pPr>
          </w:p>
        </w:tc>
        <w:tc>
          <w:tcPr>
            <w:tcW w:w="863" w:type="dxa"/>
            <w:vMerge w:val="continue"/>
            <w:vAlign w:val="center"/>
          </w:tcPr>
          <w:p>
            <w:pPr>
              <w:spacing w:line="360" w:lineRule="exact"/>
              <w:ind w:firstLine="0" w:firstLineChars="0"/>
              <w:jc w:val="center"/>
              <w:rPr>
                <w:rFonts w:ascii="宋体"/>
                <w:kern w:val="21"/>
                <w:sz w:val="21"/>
                <w:szCs w:val="21"/>
              </w:rPr>
            </w:pPr>
          </w:p>
        </w:tc>
        <w:tc>
          <w:tcPr>
            <w:tcW w:w="775" w:type="dxa"/>
            <w:vMerge w:val="continue"/>
            <w:vAlign w:val="center"/>
          </w:tcPr>
          <w:p>
            <w:pPr>
              <w:spacing w:line="360" w:lineRule="exact"/>
              <w:ind w:firstLine="0" w:firstLineChars="0"/>
              <w:jc w:val="center"/>
              <w:rPr>
                <w:rFonts w:ascii="宋体"/>
                <w:kern w:val="21"/>
                <w:sz w:val="21"/>
                <w:szCs w:val="21"/>
              </w:rPr>
            </w:pPr>
          </w:p>
        </w:tc>
        <w:tc>
          <w:tcPr>
            <w:tcW w:w="1050" w:type="dxa"/>
            <w:vMerge w:val="continue"/>
            <w:vAlign w:val="center"/>
          </w:tcPr>
          <w:p>
            <w:pPr>
              <w:spacing w:line="360" w:lineRule="exact"/>
              <w:ind w:firstLine="0" w:firstLineChars="0"/>
              <w:jc w:val="center"/>
              <w:rPr>
                <w:rFonts w:ascii="宋体"/>
                <w:kern w:val="21"/>
                <w:sz w:val="21"/>
                <w:szCs w:val="21"/>
              </w:rPr>
            </w:pPr>
          </w:p>
        </w:tc>
        <w:tc>
          <w:tcPr>
            <w:tcW w:w="750" w:type="dxa"/>
            <w:vMerge w:val="continue"/>
            <w:vAlign w:val="center"/>
          </w:tcPr>
          <w:p>
            <w:pPr>
              <w:spacing w:line="360" w:lineRule="exact"/>
              <w:ind w:firstLine="0" w:firstLineChars="0"/>
              <w:jc w:val="center"/>
              <w:rPr>
                <w:rFonts w:ascii="宋体"/>
                <w:kern w:val="21"/>
                <w:sz w:val="21"/>
                <w:szCs w:val="21"/>
              </w:rPr>
            </w:pPr>
          </w:p>
        </w:tc>
        <w:tc>
          <w:tcPr>
            <w:tcW w:w="650" w:type="dxa"/>
            <w:vMerge w:val="continue"/>
            <w:textDirection w:val="tbRlV"/>
            <w:vAlign w:val="center"/>
          </w:tcPr>
          <w:p>
            <w:pPr>
              <w:spacing w:line="360" w:lineRule="exact"/>
              <w:ind w:firstLine="0" w:firstLineChars="0"/>
              <w:jc w:val="center"/>
              <w:rPr>
                <w:rFonts w:ascii="宋体"/>
                <w:kern w:val="21"/>
                <w:sz w:val="21"/>
                <w:szCs w:val="21"/>
              </w:rPr>
            </w:pPr>
          </w:p>
        </w:tc>
        <w:tc>
          <w:tcPr>
            <w:tcW w:w="575" w:type="dxa"/>
            <w:vMerge w:val="continue"/>
            <w:vAlign w:val="center"/>
          </w:tcPr>
          <w:p>
            <w:pPr>
              <w:spacing w:line="360" w:lineRule="exact"/>
              <w:ind w:firstLine="0" w:firstLineChars="0"/>
              <w:jc w:val="center"/>
              <w:rPr>
                <w:rFonts w:ascii="宋体"/>
                <w:kern w:val="21"/>
                <w:sz w:val="21"/>
                <w:szCs w:val="21"/>
              </w:rPr>
            </w:pPr>
          </w:p>
        </w:tc>
        <w:tc>
          <w:tcPr>
            <w:tcW w:w="650" w:type="dxa"/>
            <w:vMerge w:val="continue"/>
            <w:textDirection w:val="tbRlV"/>
            <w:vAlign w:val="center"/>
          </w:tcPr>
          <w:p>
            <w:pPr>
              <w:spacing w:line="360" w:lineRule="exact"/>
              <w:ind w:firstLine="0" w:firstLineChars="0"/>
              <w:jc w:val="center"/>
              <w:rPr>
                <w:rFonts w:ascii="宋体"/>
                <w:kern w:val="21"/>
                <w:sz w:val="21"/>
                <w:szCs w:val="21"/>
              </w:rPr>
            </w:pPr>
          </w:p>
        </w:tc>
        <w:tc>
          <w:tcPr>
            <w:tcW w:w="937" w:type="dxa"/>
            <w:tcBorders>
              <w:top w:val="single" w:color="auto" w:sz="4" w:space="0"/>
            </w:tcBorders>
            <w:vAlign w:val="center"/>
          </w:tcPr>
          <w:p>
            <w:pPr>
              <w:spacing w:line="360" w:lineRule="exact"/>
              <w:ind w:firstLine="0" w:firstLineChars="0"/>
              <w:jc w:val="center"/>
              <w:rPr>
                <w:rFonts w:hint="eastAsia" w:eastAsia="Times New Roman" w:cs="Times New Roman"/>
                <w:kern w:val="21"/>
                <w:sz w:val="21"/>
                <w:szCs w:val="21"/>
              </w:rPr>
            </w:pPr>
            <w:r>
              <w:rPr>
                <w:rFonts w:hint="eastAsia" w:eastAsia="Times New Roman" w:cs="Times New Roman"/>
                <w:kern w:val="21"/>
                <w:sz w:val="21"/>
                <w:szCs w:val="21"/>
                <w:lang w:val="en-US" w:eastAsia="zh-CN"/>
              </w:rPr>
              <w:t>TP</w:t>
            </w:r>
          </w:p>
        </w:tc>
        <w:tc>
          <w:tcPr>
            <w:tcW w:w="1492" w:type="dxa"/>
            <w:tcBorders>
              <w:top w:val="single" w:color="auto" w:sz="4" w:space="0"/>
            </w:tcBorders>
            <w:vAlign w:val="center"/>
          </w:tcPr>
          <w:p>
            <w:pPr>
              <w:spacing w:line="360" w:lineRule="exact"/>
              <w:ind w:firstLine="0" w:firstLineChars="0"/>
              <w:jc w:val="center"/>
              <w:rPr>
                <w:rFonts w:hint="default" w:eastAsia="宋体" w:cs="Times New Roman"/>
                <w:kern w:val="21"/>
                <w:sz w:val="21"/>
                <w:szCs w:val="21"/>
                <w:lang w:val="en-US" w:eastAsia="zh-CN"/>
              </w:rPr>
            </w:pPr>
            <w:r>
              <w:rPr>
                <w:rFonts w:hint="eastAsia" w:eastAsia="宋体" w:cs="Times New Roman"/>
                <w:kern w:val="21"/>
                <w:sz w:val="21"/>
                <w:szCs w:val="21"/>
                <w:lang w:val="en-US" w:eastAsia="zh-CN"/>
              </w:rPr>
              <w:t>1.5</w:t>
            </w:r>
          </w:p>
        </w:tc>
      </w:tr>
    </w:tbl>
    <w:p>
      <w:pPr>
        <w:ind w:firstLine="0" w:firstLineChars="0"/>
        <w:jc w:val="center"/>
        <w:rPr>
          <w:b/>
          <w:bCs/>
        </w:rPr>
      </w:pPr>
      <w:r>
        <w:rPr>
          <w:rFonts w:hint="eastAsia"/>
          <w:b/>
          <w:bCs/>
        </w:rPr>
        <w:t>表6.3-5  废水污染物排放信息表</w:t>
      </w:r>
    </w:p>
    <w:tbl>
      <w:tblPr>
        <w:tblStyle w:val="51"/>
        <w:tblW w:w="8946" w:type="dxa"/>
        <w:jc w:val="center"/>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Layout w:type="fixed"/>
        <w:tblCellMar>
          <w:top w:w="0" w:type="dxa"/>
          <w:left w:w="0" w:type="dxa"/>
          <w:bottom w:w="0" w:type="dxa"/>
          <w:right w:w="0" w:type="dxa"/>
        </w:tblCellMar>
      </w:tblPr>
      <w:tblGrid>
        <w:gridCol w:w="1179"/>
        <w:gridCol w:w="1338"/>
        <w:gridCol w:w="1712"/>
        <w:gridCol w:w="1732"/>
        <w:gridCol w:w="1490"/>
        <w:gridCol w:w="1495"/>
      </w:tblGrid>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179" w:type="dxa"/>
            <w:vAlign w:val="center"/>
          </w:tcPr>
          <w:p>
            <w:pPr>
              <w:spacing w:line="360" w:lineRule="exact"/>
              <w:ind w:firstLine="0" w:firstLineChars="0"/>
              <w:jc w:val="center"/>
              <w:rPr>
                <w:rFonts w:cs="Times New Roman"/>
                <w:kern w:val="21"/>
                <w:sz w:val="21"/>
                <w:szCs w:val="21"/>
              </w:rPr>
            </w:pPr>
            <w:r>
              <w:rPr>
                <w:rFonts w:cs="Times New Roman"/>
                <w:kern w:val="21"/>
                <w:sz w:val="21"/>
                <w:szCs w:val="21"/>
              </w:rPr>
              <w:t>序号</w:t>
            </w:r>
          </w:p>
        </w:tc>
        <w:tc>
          <w:tcPr>
            <w:tcW w:w="1338" w:type="dxa"/>
            <w:vAlign w:val="center"/>
          </w:tcPr>
          <w:p>
            <w:pPr>
              <w:spacing w:line="360" w:lineRule="exact"/>
              <w:ind w:firstLine="0" w:firstLineChars="0"/>
              <w:jc w:val="center"/>
              <w:rPr>
                <w:rFonts w:cs="Times New Roman"/>
                <w:kern w:val="21"/>
                <w:sz w:val="21"/>
                <w:szCs w:val="21"/>
              </w:rPr>
            </w:pPr>
            <w:r>
              <w:rPr>
                <w:rFonts w:cs="Times New Roman"/>
                <w:kern w:val="21"/>
                <w:sz w:val="21"/>
                <w:szCs w:val="21"/>
              </w:rPr>
              <w:t>排放口编号</w:t>
            </w:r>
          </w:p>
        </w:tc>
        <w:tc>
          <w:tcPr>
            <w:tcW w:w="1712" w:type="dxa"/>
            <w:vAlign w:val="center"/>
          </w:tcPr>
          <w:p>
            <w:pPr>
              <w:spacing w:line="360" w:lineRule="exact"/>
              <w:ind w:firstLine="0" w:firstLineChars="0"/>
              <w:jc w:val="center"/>
              <w:rPr>
                <w:rFonts w:cs="Times New Roman"/>
                <w:kern w:val="21"/>
                <w:sz w:val="21"/>
                <w:szCs w:val="21"/>
              </w:rPr>
            </w:pPr>
            <w:r>
              <w:rPr>
                <w:rFonts w:cs="Times New Roman"/>
                <w:kern w:val="21"/>
                <w:sz w:val="21"/>
                <w:szCs w:val="21"/>
              </w:rPr>
              <w:t>污染物种类</w:t>
            </w:r>
          </w:p>
        </w:tc>
        <w:tc>
          <w:tcPr>
            <w:tcW w:w="1732" w:type="dxa"/>
            <w:vAlign w:val="center"/>
          </w:tcPr>
          <w:p>
            <w:pPr>
              <w:spacing w:line="360" w:lineRule="exact"/>
              <w:ind w:firstLine="0" w:firstLineChars="0"/>
              <w:jc w:val="center"/>
              <w:rPr>
                <w:rFonts w:cs="Times New Roman"/>
                <w:kern w:val="21"/>
                <w:sz w:val="21"/>
                <w:szCs w:val="21"/>
              </w:rPr>
            </w:pPr>
            <w:r>
              <w:rPr>
                <w:rFonts w:cs="Times New Roman"/>
                <w:kern w:val="21"/>
                <w:sz w:val="21"/>
                <w:szCs w:val="21"/>
              </w:rPr>
              <w:t>排放浓度（</w:t>
            </w:r>
            <w:r>
              <w:rPr>
                <w:rFonts w:eastAsia="Times New Roman" w:cs="Times New Roman"/>
                <w:kern w:val="21"/>
                <w:sz w:val="21"/>
                <w:szCs w:val="21"/>
              </w:rPr>
              <w:t>mg/L</w:t>
            </w:r>
            <w:r>
              <w:rPr>
                <w:rFonts w:cs="Times New Roman"/>
                <w:kern w:val="21"/>
                <w:sz w:val="21"/>
                <w:szCs w:val="21"/>
              </w:rPr>
              <w:t>）</w:t>
            </w:r>
          </w:p>
        </w:tc>
        <w:tc>
          <w:tcPr>
            <w:tcW w:w="1490" w:type="dxa"/>
            <w:vAlign w:val="center"/>
          </w:tcPr>
          <w:p>
            <w:pPr>
              <w:spacing w:line="360" w:lineRule="exact"/>
              <w:ind w:firstLine="0" w:firstLineChars="0"/>
              <w:jc w:val="center"/>
              <w:rPr>
                <w:rFonts w:cs="Times New Roman"/>
                <w:kern w:val="21"/>
                <w:sz w:val="21"/>
                <w:szCs w:val="21"/>
              </w:rPr>
            </w:pPr>
            <w:r>
              <w:rPr>
                <w:rFonts w:cs="Times New Roman"/>
                <w:kern w:val="21"/>
                <w:sz w:val="21"/>
                <w:szCs w:val="21"/>
              </w:rPr>
              <w:t>日排放量</w:t>
            </w:r>
            <w:r>
              <w:rPr>
                <w:rFonts w:hint="eastAsia" w:cs="Times New Roman"/>
                <w:kern w:val="21"/>
                <w:sz w:val="21"/>
                <w:szCs w:val="21"/>
              </w:rPr>
              <w:t>（</w:t>
            </w:r>
            <w:r>
              <w:rPr>
                <w:rFonts w:eastAsia="Times New Roman" w:cs="Times New Roman"/>
                <w:kern w:val="21"/>
                <w:sz w:val="21"/>
                <w:szCs w:val="21"/>
              </w:rPr>
              <w:t>t/d</w:t>
            </w:r>
            <w:r>
              <w:rPr>
                <w:rFonts w:cs="Times New Roman"/>
                <w:kern w:val="21"/>
                <w:sz w:val="21"/>
                <w:szCs w:val="21"/>
              </w:rPr>
              <w:t>）</w:t>
            </w:r>
          </w:p>
        </w:tc>
        <w:tc>
          <w:tcPr>
            <w:tcW w:w="1495" w:type="dxa"/>
            <w:vAlign w:val="center"/>
          </w:tcPr>
          <w:p>
            <w:pPr>
              <w:spacing w:line="360" w:lineRule="exact"/>
              <w:ind w:firstLine="0" w:firstLineChars="0"/>
              <w:jc w:val="center"/>
              <w:rPr>
                <w:rFonts w:cs="Times New Roman"/>
                <w:kern w:val="21"/>
                <w:sz w:val="21"/>
                <w:szCs w:val="21"/>
              </w:rPr>
            </w:pPr>
            <w:r>
              <w:rPr>
                <w:rFonts w:cs="Times New Roman"/>
                <w:kern w:val="21"/>
                <w:sz w:val="21"/>
                <w:szCs w:val="21"/>
              </w:rPr>
              <w:t>年排放量（</w:t>
            </w:r>
            <w:r>
              <w:rPr>
                <w:rFonts w:eastAsia="Times New Roman" w:cs="Times New Roman"/>
                <w:kern w:val="21"/>
                <w:sz w:val="21"/>
                <w:szCs w:val="21"/>
              </w:rPr>
              <w:t>t/a</w:t>
            </w:r>
            <w:r>
              <w:rPr>
                <w:rFonts w:cs="Times New Roman"/>
                <w:kern w:val="21"/>
                <w:sz w:val="21"/>
                <w:szCs w:val="21"/>
              </w:rPr>
              <w:t>）</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179" w:type="dxa"/>
            <w:vMerge w:val="restart"/>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1</w:t>
            </w:r>
          </w:p>
        </w:tc>
        <w:tc>
          <w:tcPr>
            <w:tcW w:w="1338" w:type="dxa"/>
            <w:vMerge w:val="restart"/>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DW</w:t>
            </w:r>
            <w:r>
              <w:rPr>
                <w:rFonts w:hint="eastAsia" w:cs="Times New Roman"/>
                <w:kern w:val="21"/>
                <w:sz w:val="21"/>
                <w:szCs w:val="21"/>
              </w:rPr>
              <w:t>00</w:t>
            </w:r>
            <w:r>
              <w:rPr>
                <w:rFonts w:eastAsia="Times New Roman" w:cs="Times New Roman"/>
                <w:kern w:val="21"/>
                <w:sz w:val="21"/>
                <w:szCs w:val="21"/>
              </w:rPr>
              <w:t>1</w:t>
            </w:r>
          </w:p>
        </w:tc>
        <w:tc>
          <w:tcPr>
            <w:tcW w:w="171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CODcr</w:t>
            </w:r>
          </w:p>
        </w:tc>
        <w:tc>
          <w:tcPr>
            <w:tcW w:w="1732" w:type="dxa"/>
            <w:vAlign w:val="bottom"/>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53.48</w:t>
            </w:r>
          </w:p>
        </w:tc>
        <w:tc>
          <w:tcPr>
            <w:tcW w:w="1490" w:type="dxa"/>
            <w:vAlign w:val="center"/>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0.0021</w:t>
            </w:r>
          </w:p>
        </w:tc>
        <w:tc>
          <w:tcPr>
            <w:tcW w:w="1495" w:type="dxa"/>
            <w:vAlign w:val="bottom"/>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0.637</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179" w:type="dxa"/>
            <w:vMerge w:val="continue"/>
            <w:vAlign w:val="center"/>
          </w:tcPr>
          <w:p>
            <w:pPr>
              <w:spacing w:line="360" w:lineRule="exact"/>
              <w:ind w:firstLine="0" w:firstLineChars="0"/>
              <w:jc w:val="center"/>
              <w:rPr>
                <w:rFonts w:cs="Times New Roman"/>
                <w:kern w:val="21"/>
                <w:sz w:val="21"/>
                <w:szCs w:val="21"/>
              </w:rPr>
            </w:pPr>
          </w:p>
        </w:tc>
        <w:tc>
          <w:tcPr>
            <w:tcW w:w="1338" w:type="dxa"/>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BOD</w:t>
            </w:r>
            <w:r>
              <w:rPr>
                <w:rFonts w:eastAsia="Times New Roman" w:cs="Times New Roman"/>
                <w:kern w:val="21"/>
                <w:sz w:val="21"/>
                <w:szCs w:val="21"/>
                <w:vertAlign w:val="subscript"/>
              </w:rPr>
              <w:t>5</w:t>
            </w:r>
          </w:p>
        </w:tc>
        <w:tc>
          <w:tcPr>
            <w:tcW w:w="1732" w:type="dxa"/>
            <w:vAlign w:val="bottom"/>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7.56</w:t>
            </w:r>
          </w:p>
        </w:tc>
        <w:tc>
          <w:tcPr>
            <w:tcW w:w="1490" w:type="dxa"/>
            <w:vAlign w:val="center"/>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0.0003</w:t>
            </w:r>
          </w:p>
        </w:tc>
        <w:tc>
          <w:tcPr>
            <w:tcW w:w="1495" w:type="dxa"/>
            <w:vAlign w:val="bottom"/>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0.09</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179" w:type="dxa"/>
            <w:vMerge w:val="continue"/>
            <w:vAlign w:val="center"/>
          </w:tcPr>
          <w:p>
            <w:pPr>
              <w:spacing w:line="360" w:lineRule="exact"/>
              <w:ind w:firstLine="0" w:firstLineChars="0"/>
              <w:jc w:val="center"/>
              <w:rPr>
                <w:rFonts w:cs="Times New Roman"/>
                <w:kern w:val="21"/>
                <w:sz w:val="21"/>
                <w:szCs w:val="21"/>
              </w:rPr>
            </w:pPr>
          </w:p>
        </w:tc>
        <w:tc>
          <w:tcPr>
            <w:tcW w:w="1338" w:type="dxa"/>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SS</w:t>
            </w:r>
          </w:p>
        </w:tc>
        <w:tc>
          <w:tcPr>
            <w:tcW w:w="1732" w:type="dxa"/>
            <w:vAlign w:val="bottom"/>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38.37</w:t>
            </w:r>
          </w:p>
        </w:tc>
        <w:tc>
          <w:tcPr>
            <w:tcW w:w="1490" w:type="dxa"/>
            <w:vAlign w:val="center"/>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0.0015</w:t>
            </w:r>
          </w:p>
        </w:tc>
        <w:tc>
          <w:tcPr>
            <w:tcW w:w="1495" w:type="dxa"/>
            <w:vAlign w:val="bottom"/>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0.457</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1179" w:type="dxa"/>
            <w:vMerge w:val="continue"/>
            <w:vAlign w:val="center"/>
          </w:tcPr>
          <w:p>
            <w:pPr>
              <w:spacing w:line="360" w:lineRule="exact"/>
              <w:ind w:firstLine="0" w:firstLineChars="0"/>
              <w:jc w:val="center"/>
              <w:rPr>
                <w:rFonts w:cs="Times New Roman"/>
                <w:kern w:val="21"/>
                <w:sz w:val="21"/>
                <w:szCs w:val="21"/>
              </w:rPr>
            </w:pPr>
          </w:p>
        </w:tc>
        <w:tc>
          <w:tcPr>
            <w:tcW w:w="1338" w:type="dxa"/>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NH</w:t>
            </w:r>
            <w:r>
              <w:rPr>
                <w:rFonts w:eastAsia="Times New Roman" w:cs="Times New Roman"/>
                <w:kern w:val="21"/>
                <w:sz w:val="21"/>
                <w:szCs w:val="21"/>
                <w:vertAlign w:val="subscript"/>
              </w:rPr>
              <w:t>3</w:t>
            </w:r>
            <w:r>
              <w:rPr>
                <w:rFonts w:eastAsia="Times New Roman" w:cs="Times New Roman"/>
                <w:kern w:val="21"/>
                <w:sz w:val="21"/>
                <w:szCs w:val="21"/>
              </w:rPr>
              <w:t>-N</w:t>
            </w:r>
          </w:p>
        </w:tc>
        <w:tc>
          <w:tcPr>
            <w:tcW w:w="1732" w:type="dxa"/>
            <w:vAlign w:val="bottom"/>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5.04</w:t>
            </w:r>
          </w:p>
        </w:tc>
        <w:tc>
          <w:tcPr>
            <w:tcW w:w="1490" w:type="dxa"/>
            <w:vAlign w:val="center"/>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0.0002</w:t>
            </w:r>
          </w:p>
        </w:tc>
        <w:tc>
          <w:tcPr>
            <w:tcW w:w="1495" w:type="dxa"/>
            <w:vAlign w:val="bottom"/>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0.06</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19" w:hRule="atLeast"/>
          <w:jc w:val="center"/>
        </w:trPr>
        <w:tc>
          <w:tcPr>
            <w:tcW w:w="1179" w:type="dxa"/>
            <w:vMerge w:val="continue"/>
            <w:vAlign w:val="center"/>
          </w:tcPr>
          <w:p>
            <w:pPr>
              <w:spacing w:line="360" w:lineRule="exact"/>
              <w:ind w:firstLine="0" w:firstLineChars="0"/>
              <w:jc w:val="center"/>
              <w:rPr>
                <w:rFonts w:cs="Times New Roman"/>
                <w:kern w:val="21"/>
                <w:sz w:val="21"/>
                <w:szCs w:val="21"/>
              </w:rPr>
            </w:pPr>
          </w:p>
        </w:tc>
        <w:tc>
          <w:tcPr>
            <w:tcW w:w="1338" w:type="dxa"/>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cs="Times New Roman"/>
                <w:kern w:val="21"/>
                <w:sz w:val="21"/>
                <w:szCs w:val="21"/>
              </w:rPr>
            </w:pPr>
            <w:r>
              <w:rPr>
                <w:rFonts w:hint="eastAsia" w:cs="Times New Roman"/>
                <w:kern w:val="21"/>
                <w:sz w:val="21"/>
                <w:szCs w:val="21"/>
              </w:rPr>
              <w:t>动植物油</w:t>
            </w:r>
          </w:p>
        </w:tc>
        <w:tc>
          <w:tcPr>
            <w:tcW w:w="1732" w:type="dxa"/>
            <w:vAlign w:val="bottom"/>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5.88</w:t>
            </w:r>
          </w:p>
        </w:tc>
        <w:tc>
          <w:tcPr>
            <w:tcW w:w="1490" w:type="dxa"/>
            <w:vAlign w:val="center"/>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0.0002</w:t>
            </w:r>
          </w:p>
        </w:tc>
        <w:tc>
          <w:tcPr>
            <w:tcW w:w="1495" w:type="dxa"/>
            <w:vAlign w:val="bottom"/>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0.07</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18" w:hRule="atLeast"/>
          <w:jc w:val="center"/>
        </w:trPr>
        <w:tc>
          <w:tcPr>
            <w:tcW w:w="1179" w:type="dxa"/>
            <w:vMerge w:val="continue"/>
            <w:vAlign w:val="center"/>
          </w:tcPr>
          <w:p>
            <w:pPr>
              <w:spacing w:line="360" w:lineRule="exact"/>
              <w:ind w:firstLine="0" w:firstLineChars="0"/>
              <w:jc w:val="center"/>
              <w:rPr>
                <w:rFonts w:cs="Times New Roman"/>
                <w:kern w:val="21"/>
                <w:sz w:val="21"/>
                <w:szCs w:val="21"/>
              </w:rPr>
            </w:pPr>
          </w:p>
        </w:tc>
        <w:tc>
          <w:tcPr>
            <w:tcW w:w="1338" w:type="dxa"/>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TN</w:t>
            </w:r>
          </w:p>
        </w:tc>
        <w:tc>
          <w:tcPr>
            <w:tcW w:w="1732" w:type="dxa"/>
            <w:vAlign w:val="bottom"/>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4.20</w:t>
            </w:r>
          </w:p>
        </w:tc>
        <w:tc>
          <w:tcPr>
            <w:tcW w:w="1490" w:type="dxa"/>
            <w:vAlign w:val="center"/>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0.0002</w:t>
            </w:r>
          </w:p>
        </w:tc>
        <w:tc>
          <w:tcPr>
            <w:tcW w:w="1495" w:type="dxa"/>
            <w:vAlign w:val="center"/>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0.05</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152" w:hRule="atLeast"/>
          <w:jc w:val="center"/>
        </w:trPr>
        <w:tc>
          <w:tcPr>
            <w:tcW w:w="1179" w:type="dxa"/>
            <w:vMerge w:val="continue"/>
            <w:vAlign w:val="center"/>
          </w:tcPr>
          <w:p>
            <w:pPr>
              <w:spacing w:line="360" w:lineRule="exact"/>
              <w:ind w:firstLine="0" w:firstLineChars="0"/>
              <w:jc w:val="center"/>
              <w:rPr>
                <w:rFonts w:cs="Times New Roman"/>
                <w:kern w:val="21"/>
                <w:sz w:val="21"/>
                <w:szCs w:val="21"/>
              </w:rPr>
            </w:pPr>
          </w:p>
        </w:tc>
        <w:tc>
          <w:tcPr>
            <w:tcW w:w="1338" w:type="dxa"/>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TP</w:t>
            </w:r>
          </w:p>
        </w:tc>
        <w:tc>
          <w:tcPr>
            <w:tcW w:w="1732" w:type="dxa"/>
            <w:vAlign w:val="bottom"/>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1.68</w:t>
            </w:r>
          </w:p>
        </w:tc>
        <w:tc>
          <w:tcPr>
            <w:tcW w:w="1490" w:type="dxa"/>
            <w:vAlign w:val="center"/>
          </w:tcPr>
          <w:p>
            <w:pPr>
              <w:spacing w:line="360" w:lineRule="exact"/>
              <w:ind w:firstLine="0" w:firstLineChars="0"/>
              <w:jc w:val="center"/>
              <w:rPr>
                <w:rFonts w:hint="eastAsia" w:eastAsia="Times New Roman" w:cs="Times New Roman"/>
                <w:kern w:val="21"/>
                <w:sz w:val="21"/>
                <w:szCs w:val="21"/>
                <w:lang w:val="en-US" w:eastAsia="zh-CN"/>
              </w:rPr>
            </w:pPr>
            <w:r>
              <w:rPr>
                <w:rFonts w:hint="eastAsia" w:eastAsia="Times New Roman" w:cs="Times New Roman"/>
                <w:kern w:val="21"/>
                <w:sz w:val="21"/>
                <w:szCs w:val="21"/>
                <w:lang w:val="en-US" w:eastAsia="zh-CN"/>
              </w:rPr>
              <w:t>0.0001</w:t>
            </w:r>
          </w:p>
        </w:tc>
        <w:tc>
          <w:tcPr>
            <w:tcW w:w="1495" w:type="dxa"/>
            <w:vAlign w:val="center"/>
          </w:tcPr>
          <w:p>
            <w:pPr>
              <w:spacing w:line="360" w:lineRule="exact"/>
              <w:ind w:firstLine="0" w:firstLineChars="0"/>
              <w:jc w:val="center"/>
              <w:rPr>
                <w:rFonts w:hint="default" w:eastAsia="Times New Roman" w:cs="Times New Roman"/>
                <w:kern w:val="21"/>
                <w:sz w:val="21"/>
                <w:szCs w:val="21"/>
                <w:lang w:val="en-US" w:eastAsia="zh-CN"/>
              </w:rPr>
            </w:pPr>
            <w:r>
              <w:rPr>
                <w:rFonts w:hint="eastAsia" w:eastAsia="Times New Roman" w:cs="Times New Roman"/>
                <w:kern w:val="21"/>
                <w:sz w:val="21"/>
                <w:szCs w:val="21"/>
                <w:lang w:val="en-US" w:eastAsia="zh-CN"/>
              </w:rPr>
              <w:t>0.02</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517" w:type="dxa"/>
            <w:gridSpan w:val="2"/>
            <w:vMerge w:val="restart"/>
            <w:vAlign w:val="center"/>
          </w:tcPr>
          <w:p>
            <w:pPr>
              <w:spacing w:line="360" w:lineRule="exact"/>
              <w:ind w:firstLine="0" w:firstLineChars="0"/>
              <w:jc w:val="center"/>
              <w:rPr>
                <w:rFonts w:cs="Times New Roman"/>
                <w:kern w:val="21"/>
                <w:sz w:val="21"/>
                <w:szCs w:val="21"/>
              </w:rPr>
            </w:pPr>
            <w:r>
              <w:rPr>
                <w:rFonts w:cs="Times New Roman"/>
                <w:kern w:val="21"/>
                <w:sz w:val="21"/>
                <w:szCs w:val="21"/>
              </w:rPr>
              <w:t>全厂排放口合计</w:t>
            </w:r>
          </w:p>
        </w:tc>
        <w:tc>
          <w:tcPr>
            <w:tcW w:w="171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CODcr</w:t>
            </w:r>
          </w:p>
        </w:tc>
        <w:tc>
          <w:tcPr>
            <w:tcW w:w="1732"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53.48</w:t>
            </w:r>
          </w:p>
        </w:tc>
        <w:tc>
          <w:tcPr>
            <w:tcW w:w="1490" w:type="dxa"/>
            <w:vAlign w:val="center"/>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0.0021</w:t>
            </w:r>
          </w:p>
        </w:tc>
        <w:tc>
          <w:tcPr>
            <w:tcW w:w="1495"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0.637</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517" w:type="dxa"/>
            <w:gridSpan w:val="2"/>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BOD</w:t>
            </w:r>
            <w:r>
              <w:rPr>
                <w:rFonts w:eastAsia="Times New Roman" w:cs="Times New Roman"/>
                <w:kern w:val="21"/>
                <w:sz w:val="21"/>
                <w:szCs w:val="21"/>
                <w:vertAlign w:val="subscript"/>
              </w:rPr>
              <w:t>5</w:t>
            </w:r>
          </w:p>
        </w:tc>
        <w:tc>
          <w:tcPr>
            <w:tcW w:w="1732"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7.56</w:t>
            </w:r>
          </w:p>
        </w:tc>
        <w:tc>
          <w:tcPr>
            <w:tcW w:w="1490" w:type="dxa"/>
            <w:vAlign w:val="center"/>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0.0003</w:t>
            </w:r>
          </w:p>
        </w:tc>
        <w:tc>
          <w:tcPr>
            <w:tcW w:w="1495"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0.09</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517" w:type="dxa"/>
            <w:gridSpan w:val="2"/>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SS</w:t>
            </w:r>
          </w:p>
        </w:tc>
        <w:tc>
          <w:tcPr>
            <w:tcW w:w="1732"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38.37</w:t>
            </w:r>
          </w:p>
        </w:tc>
        <w:tc>
          <w:tcPr>
            <w:tcW w:w="1490" w:type="dxa"/>
            <w:vAlign w:val="center"/>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0.0015</w:t>
            </w:r>
          </w:p>
        </w:tc>
        <w:tc>
          <w:tcPr>
            <w:tcW w:w="1495"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0.457</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517" w:type="dxa"/>
            <w:gridSpan w:val="2"/>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eastAsia="Times New Roman" w:cs="Times New Roman"/>
                <w:kern w:val="21"/>
                <w:sz w:val="21"/>
                <w:szCs w:val="21"/>
              </w:rPr>
            </w:pPr>
            <w:r>
              <w:rPr>
                <w:rFonts w:eastAsia="Times New Roman" w:cs="Times New Roman"/>
                <w:kern w:val="21"/>
                <w:sz w:val="21"/>
                <w:szCs w:val="21"/>
              </w:rPr>
              <w:t>NH</w:t>
            </w:r>
            <w:r>
              <w:rPr>
                <w:rFonts w:eastAsia="Times New Roman" w:cs="Times New Roman"/>
                <w:kern w:val="21"/>
                <w:sz w:val="21"/>
                <w:szCs w:val="21"/>
                <w:vertAlign w:val="subscript"/>
              </w:rPr>
              <w:t>3</w:t>
            </w:r>
            <w:r>
              <w:rPr>
                <w:rFonts w:eastAsia="Times New Roman" w:cs="Times New Roman"/>
                <w:kern w:val="21"/>
                <w:sz w:val="21"/>
                <w:szCs w:val="21"/>
              </w:rPr>
              <w:t>-N</w:t>
            </w:r>
          </w:p>
        </w:tc>
        <w:tc>
          <w:tcPr>
            <w:tcW w:w="1732"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5.04</w:t>
            </w:r>
          </w:p>
        </w:tc>
        <w:tc>
          <w:tcPr>
            <w:tcW w:w="1490" w:type="dxa"/>
            <w:vAlign w:val="center"/>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0.0002</w:t>
            </w:r>
          </w:p>
        </w:tc>
        <w:tc>
          <w:tcPr>
            <w:tcW w:w="1495"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0.06</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179" w:hRule="atLeast"/>
          <w:jc w:val="center"/>
        </w:trPr>
        <w:tc>
          <w:tcPr>
            <w:tcW w:w="2517" w:type="dxa"/>
            <w:gridSpan w:val="2"/>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cs="Times New Roman"/>
                <w:kern w:val="21"/>
                <w:sz w:val="21"/>
                <w:szCs w:val="21"/>
              </w:rPr>
            </w:pPr>
            <w:r>
              <w:rPr>
                <w:rFonts w:hint="eastAsia" w:cs="Times New Roman"/>
                <w:kern w:val="21"/>
                <w:sz w:val="21"/>
                <w:szCs w:val="21"/>
              </w:rPr>
              <w:t>动植物油</w:t>
            </w:r>
          </w:p>
        </w:tc>
        <w:tc>
          <w:tcPr>
            <w:tcW w:w="1732"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5.88</w:t>
            </w:r>
          </w:p>
        </w:tc>
        <w:tc>
          <w:tcPr>
            <w:tcW w:w="1490" w:type="dxa"/>
            <w:vAlign w:val="center"/>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0.0002</w:t>
            </w:r>
          </w:p>
        </w:tc>
        <w:tc>
          <w:tcPr>
            <w:tcW w:w="1495" w:type="dxa"/>
            <w:vAlign w:val="bottom"/>
          </w:tcPr>
          <w:p>
            <w:pPr>
              <w:spacing w:line="360" w:lineRule="exact"/>
              <w:ind w:firstLine="0" w:firstLineChars="0"/>
              <w:jc w:val="center"/>
              <w:rPr>
                <w:rFonts w:eastAsia="Times New Roman" w:cs="Times New Roman"/>
                <w:kern w:val="21"/>
                <w:sz w:val="21"/>
                <w:szCs w:val="21"/>
              </w:rPr>
            </w:pPr>
            <w:r>
              <w:rPr>
                <w:rFonts w:hint="eastAsia" w:eastAsia="Times New Roman" w:cs="Times New Roman"/>
                <w:kern w:val="21"/>
                <w:sz w:val="21"/>
                <w:szCs w:val="21"/>
                <w:lang w:val="en-US" w:eastAsia="zh-CN"/>
              </w:rPr>
              <w:t>0.07</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71" w:hRule="atLeast"/>
          <w:jc w:val="center"/>
        </w:trPr>
        <w:tc>
          <w:tcPr>
            <w:tcW w:w="2517" w:type="dxa"/>
            <w:gridSpan w:val="2"/>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TN</w:t>
            </w:r>
          </w:p>
        </w:tc>
        <w:tc>
          <w:tcPr>
            <w:tcW w:w="1732" w:type="dxa"/>
            <w:vAlign w:val="bottom"/>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4.20</w:t>
            </w:r>
          </w:p>
        </w:tc>
        <w:tc>
          <w:tcPr>
            <w:tcW w:w="1490" w:type="dxa"/>
            <w:vAlign w:val="center"/>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0.0002</w:t>
            </w:r>
          </w:p>
        </w:tc>
        <w:tc>
          <w:tcPr>
            <w:tcW w:w="1495" w:type="dxa"/>
            <w:vAlign w:val="center"/>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0.05</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104" w:hRule="atLeast"/>
          <w:jc w:val="center"/>
        </w:trPr>
        <w:tc>
          <w:tcPr>
            <w:tcW w:w="2517" w:type="dxa"/>
            <w:gridSpan w:val="2"/>
            <w:vMerge w:val="continue"/>
            <w:vAlign w:val="center"/>
          </w:tcPr>
          <w:p>
            <w:pPr>
              <w:spacing w:line="360" w:lineRule="exact"/>
              <w:ind w:firstLine="0" w:firstLineChars="0"/>
              <w:jc w:val="center"/>
              <w:rPr>
                <w:rFonts w:cs="Times New Roman"/>
                <w:kern w:val="21"/>
                <w:sz w:val="21"/>
                <w:szCs w:val="21"/>
              </w:rPr>
            </w:pPr>
          </w:p>
        </w:tc>
        <w:tc>
          <w:tcPr>
            <w:tcW w:w="1712" w:type="dxa"/>
            <w:vAlign w:val="center"/>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TP</w:t>
            </w:r>
          </w:p>
        </w:tc>
        <w:tc>
          <w:tcPr>
            <w:tcW w:w="1732" w:type="dxa"/>
            <w:vAlign w:val="bottom"/>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1.68</w:t>
            </w:r>
          </w:p>
        </w:tc>
        <w:tc>
          <w:tcPr>
            <w:tcW w:w="1490" w:type="dxa"/>
            <w:vAlign w:val="center"/>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0.0001</w:t>
            </w:r>
          </w:p>
        </w:tc>
        <w:tc>
          <w:tcPr>
            <w:tcW w:w="1495" w:type="dxa"/>
            <w:vAlign w:val="center"/>
          </w:tcPr>
          <w:p>
            <w:pPr>
              <w:spacing w:line="360" w:lineRule="exact"/>
              <w:ind w:firstLine="0" w:firstLineChars="0"/>
              <w:jc w:val="center"/>
              <w:rPr>
                <w:rFonts w:hint="eastAsia" w:cs="Times New Roman"/>
                <w:kern w:val="21"/>
                <w:sz w:val="21"/>
                <w:szCs w:val="21"/>
              </w:rPr>
            </w:pPr>
            <w:r>
              <w:rPr>
                <w:rFonts w:hint="eastAsia" w:eastAsia="Times New Roman" w:cs="Times New Roman"/>
                <w:kern w:val="21"/>
                <w:sz w:val="21"/>
                <w:szCs w:val="21"/>
                <w:lang w:val="en-US" w:eastAsia="zh-CN"/>
              </w:rPr>
              <w:t>0.02</w:t>
            </w:r>
          </w:p>
        </w:tc>
      </w:tr>
    </w:tbl>
    <w:p>
      <w:pPr>
        <w:pStyle w:val="7"/>
        <w:ind w:firstLine="562"/>
      </w:pPr>
      <w:r>
        <w:rPr>
          <w:rFonts w:hint="eastAsia"/>
        </w:rPr>
        <w:t>6.3.5 地表水环境影响评价结论</w:t>
      </w:r>
    </w:p>
    <w:p>
      <w:pPr>
        <w:ind w:firstLine="480"/>
      </w:pPr>
      <w:r>
        <w:rPr>
          <w:rFonts w:hint="eastAsia"/>
        </w:rPr>
        <w:t>项目生产废水与生活污水一同经污水站处理后经总排口排入平顶山第三污水处理厂进一步处理，属于间接排放，评价工作等级为三级B。</w:t>
      </w:r>
    </w:p>
    <w:p>
      <w:pPr>
        <w:ind w:firstLine="480"/>
      </w:pPr>
      <w:r>
        <w:rPr>
          <w:rFonts w:hint="eastAsia"/>
        </w:rPr>
        <w:t>从水质、水量、污水管网建设情况等角度分析，项目废水进入平顶山第三污水处理厂进一步处理可行。项目废水经平顶山第三污水处理厂进一步处理达到《城镇污水处理厂污染物排放标准》一级A排放标准后排入灰河，对区域地表水环境影响较小。</w:t>
      </w:r>
    </w:p>
    <w:p>
      <w:pPr>
        <w:pStyle w:val="6"/>
        <w:ind w:firstLine="0" w:firstLineChars="0"/>
        <w:rPr>
          <w:lang w:val="en-US"/>
        </w:rPr>
      </w:pPr>
      <w:bookmarkStart w:id="157" w:name="_Toc27685"/>
      <w:bookmarkStart w:id="158" w:name="_Toc25730"/>
      <w:bookmarkStart w:id="159" w:name="_Toc16164"/>
      <w:bookmarkStart w:id="160" w:name="_Toc15527"/>
      <w:r>
        <w:rPr>
          <w:rFonts w:hint="eastAsia"/>
          <w:lang w:val="en-US"/>
        </w:rPr>
        <w:t>6.4 声环境影响评价</w:t>
      </w:r>
      <w:bookmarkEnd w:id="157"/>
      <w:bookmarkEnd w:id="158"/>
      <w:bookmarkEnd w:id="159"/>
      <w:bookmarkEnd w:id="160"/>
    </w:p>
    <w:p>
      <w:pPr>
        <w:pStyle w:val="7"/>
        <w:ind w:firstLine="562"/>
      </w:pPr>
      <w:r>
        <w:rPr>
          <w:rFonts w:hint="eastAsia"/>
        </w:rPr>
        <w:t>6.4.1 噪声源强</w:t>
      </w:r>
    </w:p>
    <w:p>
      <w:pPr>
        <w:ind w:firstLine="480"/>
        <w:rPr>
          <w:u w:val="single"/>
        </w:rPr>
      </w:pPr>
      <w:r>
        <w:rPr>
          <w:rFonts w:hint="eastAsia"/>
          <w:u w:val="single"/>
        </w:rPr>
        <w:t>本项目的高噪声设备主要有各类压缩机、破碎机等生产设备、各类机泵等，设备声源值在80～95dB（A）之间。对各主要噪声源的防治，首先应选取</w:t>
      </w:r>
      <w:r>
        <w:rPr>
          <w:kern w:val="0"/>
          <w:u w:val="single"/>
        </w:rPr>
        <w:t>选用</w:t>
      </w:r>
      <w:r>
        <w:rPr>
          <w:rFonts w:hint="eastAsia"/>
          <w:kern w:val="0"/>
          <w:u w:val="single"/>
        </w:rPr>
        <w:t>低噪声型号设备，“闹静分开”和合理布局的设置原则，尽量将高噪声源远离厂界，在设备连接处安装减震垫、车间内墙加装隔音棉，主排风管道增加消音器，厂区种植降噪绿植等治理措施</w:t>
      </w:r>
      <w:r>
        <w:rPr>
          <w:rFonts w:hint="eastAsia"/>
          <w:u w:val="single"/>
        </w:rPr>
        <w:t>等。在采取以上措施后可不同程度地降低噪声对周围环境的影响，噪声源强可</w:t>
      </w:r>
      <w:r>
        <w:rPr>
          <w:rFonts w:hint="eastAsia"/>
          <w:u w:val="single"/>
          <w:lang w:eastAsia="zh-CN"/>
        </w:rPr>
        <w:t>降至</w:t>
      </w:r>
      <w:r>
        <w:rPr>
          <w:rFonts w:hint="eastAsia"/>
          <w:u w:val="single"/>
        </w:rPr>
        <w:t>55～75dB(A)。本项目主要高噪声设备除空压机外均布设在厂房内，属于室内点源，主要高噪声设备及噪声源强见表6.4-1，项目工业企业噪声源强调查清单（室内声源）见表6.4-2。</w:t>
      </w:r>
    </w:p>
    <w:p>
      <w:pPr>
        <w:ind w:firstLine="482"/>
        <w:jc w:val="center"/>
        <w:rPr>
          <w:b/>
          <w:bCs/>
        </w:rPr>
      </w:pPr>
      <w:r>
        <w:rPr>
          <w:rFonts w:hint="eastAsia"/>
          <w:b/>
          <w:bCs/>
        </w:rPr>
        <w:t>表6.4-1  本项目高噪声设备及源强</w:t>
      </w:r>
      <w:r>
        <w:rPr>
          <w:rFonts w:hint="eastAsia"/>
          <w:b/>
          <w:bCs/>
          <w:lang w:eastAsia="zh-CN"/>
        </w:rPr>
        <w:t>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9"/>
        <w:gridCol w:w="1558"/>
        <w:gridCol w:w="1320"/>
        <w:gridCol w:w="1184"/>
        <w:gridCol w:w="1439"/>
        <w:gridCol w:w="1549"/>
        <w:gridCol w:w="15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b/>
                <w:bCs/>
                <w:sz w:val="21"/>
                <w:szCs w:val="21"/>
              </w:rPr>
            </w:pPr>
            <w:r>
              <w:rPr>
                <w:rFonts w:hint="eastAsia"/>
                <w:b/>
                <w:bCs/>
                <w:sz w:val="21"/>
                <w:szCs w:val="21"/>
              </w:rPr>
              <w:t>序号</w:t>
            </w:r>
          </w:p>
        </w:tc>
        <w:tc>
          <w:tcPr>
            <w:tcW w:w="838" w:type="pct"/>
            <w:vAlign w:val="center"/>
          </w:tcPr>
          <w:p>
            <w:pPr>
              <w:spacing w:line="240" w:lineRule="auto"/>
              <w:ind w:firstLine="0" w:firstLineChars="0"/>
              <w:jc w:val="center"/>
              <w:rPr>
                <w:b/>
                <w:bCs/>
                <w:sz w:val="21"/>
                <w:szCs w:val="21"/>
              </w:rPr>
            </w:pPr>
            <w:r>
              <w:rPr>
                <w:rFonts w:hint="eastAsia"/>
                <w:b/>
                <w:bCs/>
                <w:sz w:val="21"/>
                <w:szCs w:val="21"/>
              </w:rPr>
              <w:t>生产单元</w:t>
            </w:r>
          </w:p>
        </w:tc>
        <w:tc>
          <w:tcPr>
            <w:tcW w:w="710" w:type="pct"/>
            <w:vAlign w:val="center"/>
          </w:tcPr>
          <w:p>
            <w:pPr>
              <w:spacing w:line="240" w:lineRule="auto"/>
              <w:ind w:firstLine="0" w:firstLineChars="0"/>
              <w:jc w:val="center"/>
              <w:rPr>
                <w:b/>
                <w:bCs/>
                <w:sz w:val="21"/>
                <w:szCs w:val="21"/>
              </w:rPr>
            </w:pPr>
            <w:r>
              <w:rPr>
                <w:rFonts w:hint="eastAsia"/>
                <w:b/>
                <w:bCs/>
                <w:sz w:val="21"/>
                <w:szCs w:val="21"/>
              </w:rPr>
              <w:t>声源名称</w:t>
            </w:r>
          </w:p>
        </w:tc>
        <w:tc>
          <w:tcPr>
            <w:tcW w:w="637" w:type="pct"/>
            <w:vAlign w:val="center"/>
          </w:tcPr>
          <w:p>
            <w:pPr>
              <w:spacing w:line="240" w:lineRule="auto"/>
              <w:ind w:firstLine="0" w:firstLineChars="0"/>
              <w:jc w:val="center"/>
              <w:rPr>
                <w:b/>
                <w:bCs/>
                <w:sz w:val="21"/>
                <w:szCs w:val="21"/>
              </w:rPr>
            </w:pPr>
            <w:r>
              <w:rPr>
                <w:rFonts w:hint="eastAsia"/>
                <w:b/>
                <w:bCs/>
                <w:sz w:val="21"/>
                <w:szCs w:val="21"/>
              </w:rPr>
              <w:t>数量（台/套）</w:t>
            </w:r>
          </w:p>
        </w:tc>
        <w:tc>
          <w:tcPr>
            <w:tcW w:w="774" w:type="pct"/>
            <w:vAlign w:val="center"/>
          </w:tcPr>
          <w:p>
            <w:pPr>
              <w:spacing w:line="240" w:lineRule="auto"/>
              <w:ind w:firstLine="0" w:firstLineChars="0"/>
              <w:jc w:val="center"/>
              <w:rPr>
                <w:b/>
                <w:bCs/>
                <w:sz w:val="21"/>
                <w:szCs w:val="21"/>
              </w:rPr>
            </w:pPr>
            <w:r>
              <w:rPr>
                <w:rFonts w:hint="eastAsia"/>
                <w:b/>
                <w:bCs/>
                <w:sz w:val="21"/>
                <w:szCs w:val="21"/>
              </w:rPr>
              <w:t>源强dB（A）</w:t>
            </w:r>
          </w:p>
        </w:tc>
        <w:tc>
          <w:tcPr>
            <w:tcW w:w="833" w:type="pct"/>
            <w:vAlign w:val="center"/>
          </w:tcPr>
          <w:p>
            <w:pPr>
              <w:spacing w:line="240" w:lineRule="auto"/>
              <w:ind w:firstLine="0" w:firstLineChars="0"/>
              <w:jc w:val="center"/>
              <w:rPr>
                <w:b/>
                <w:bCs/>
                <w:sz w:val="21"/>
                <w:szCs w:val="21"/>
              </w:rPr>
            </w:pPr>
            <w:r>
              <w:rPr>
                <w:rFonts w:hint="eastAsia"/>
                <w:b/>
                <w:bCs/>
                <w:sz w:val="21"/>
                <w:szCs w:val="21"/>
              </w:rPr>
              <w:t>声源控制措施</w:t>
            </w:r>
          </w:p>
        </w:tc>
        <w:tc>
          <w:tcPr>
            <w:tcW w:w="833" w:type="pct"/>
            <w:vAlign w:val="center"/>
          </w:tcPr>
          <w:p>
            <w:pPr>
              <w:spacing w:line="240" w:lineRule="auto"/>
              <w:ind w:firstLine="0" w:firstLineChars="0"/>
              <w:jc w:val="center"/>
              <w:rPr>
                <w:b/>
                <w:bCs/>
                <w:sz w:val="21"/>
                <w:szCs w:val="21"/>
              </w:rPr>
            </w:pPr>
            <w:r>
              <w:rPr>
                <w:rFonts w:hint="eastAsia"/>
                <w:b/>
                <w:bCs/>
                <w:sz w:val="21"/>
                <w:szCs w:val="21"/>
              </w:rPr>
              <w:t>降噪后源强dB（A）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1</w:t>
            </w:r>
          </w:p>
        </w:tc>
        <w:tc>
          <w:tcPr>
            <w:tcW w:w="838" w:type="pct"/>
            <w:vMerge w:val="restart"/>
            <w:vAlign w:val="center"/>
          </w:tcPr>
          <w:p>
            <w:pPr>
              <w:spacing w:line="240" w:lineRule="auto"/>
              <w:ind w:firstLine="0" w:firstLineChars="0"/>
              <w:jc w:val="center"/>
              <w:rPr>
                <w:sz w:val="21"/>
                <w:szCs w:val="21"/>
              </w:rPr>
            </w:pPr>
            <w:r>
              <w:rPr>
                <w:rFonts w:hint="eastAsia"/>
                <w:sz w:val="21"/>
                <w:szCs w:val="21"/>
              </w:rPr>
              <w:t>1#车间</w:t>
            </w:r>
          </w:p>
        </w:tc>
        <w:tc>
          <w:tcPr>
            <w:tcW w:w="710" w:type="pct"/>
            <w:vAlign w:val="center"/>
          </w:tcPr>
          <w:p>
            <w:pPr>
              <w:spacing w:line="240" w:lineRule="auto"/>
              <w:ind w:firstLine="0" w:firstLineChars="0"/>
              <w:jc w:val="center"/>
              <w:rPr>
                <w:sz w:val="21"/>
                <w:szCs w:val="21"/>
              </w:rPr>
            </w:pPr>
            <w:r>
              <w:rPr>
                <w:rFonts w:hint="eastAsia" w:ascii="宋体" w:hAnsi="宋体" w:cs="宋体"/>
                <w:kern w:val="21"/>
                <w:sz w:val="21"/>
                <w:szCs w:val="21"/>
              </w:rPr>
              <w:t>拉丝机</w:t>
            </w:r>
          </w:p>
        </w:tc>
        <w:tc>
          <w:tcPr>
            <w:tcW w:w="637" w:type="pct"/>
            <w:vAlign w:val="center"/>
          </w:tcPr>
          <w:p>
            <w:pPr>
              <w:spacing w:line="240" w:lineRule="auto"/>
              <w:ind w:firstLine="0" w:firstLineChars="0"/>
              <w:jc w:val="center"/>
              <w:rPr>
                <w:rFonts w:ascii="宋体" w:hAnsi="宋体" w:cs="宋体"/>
                <w:kern w:val="21"/>
                <w:sz w:val="21"/>
                <w:szCs w:val="21"/>
              </w:rPr>
            </w:pPr>
            <w:r>
              <w:rPr>
                <w:rFonts w:hint="eastAsia" w:ascii="宋体" w:hAnsi="宋体" w:cs="宋体"/>
                <w:kern w:val="21"/>
                <w:sz w:val="21"/>
                <w:szCs w:val="21"/>
              </w:rPr>
              <w:t>1</w:t>
            </w:r>
          </w:p>
        </w:tc>
        <w:tc>
          <w:tcPr>
            <w:tcW w:w="774" w:type="pct"/>
            <w:vAlign w:val="center"/>
          </w:tcPr>
          <w:p>
            <w:pPr>
              <w:spacing w:line="240" w:lineRule="auto"/>
              <w:ind w:firstLine="0" w:firstLineChars="0"/>
              <w:jc w:val="center"/>
              <w:rPr>
                <w:sz w:val="21"/>
                <w:szCs w:val="21"/>
              </w:rPr>
            </w:pPr>
            <w:r>
              <w:rPr>
                <w:rFonts w:hint="eastAsia"/>
                <w:sz w:val="21"/>
                <w:szCs w:val="21"/>
              </w:rPr>
              <w:t>80</w:t>
            </w:r>
          </w:p>
        </w:tc>
        <w:tc>
          <w:tcPr>
            <w:tcW w:w="833" w:type="pct"/>
            <w:vMerge w:val="restart"/>
            <w:vAlign w:val="center"/>
          </w:tcPr>
          <w:p>
            <w:pPr>
              <w:spacing w:line="240" w:lineRule="auto"/>
              <w:ind w:firstLine="0" w:firstLineChars="0"/>
              <w:jc w:val="center"/>
              <w:rPr>
                <w:sz w:val="21"/>
                <w:szCs w:val="21"/>
              </w:rPr>
            </w:pPr>
            <w:r>
              <w:rPr>
                <w:sz w:val="21"/>
                <w:szCs w:val="21"/>
                <w:u w:val="single"/>
              </w:rPr>
              <w:t>选用</w:t>
            </w:r>
            <w:r>
              <w:rPr>
                <w:rFonts w:hint="eastAsia"/>
                <w:sz w:val="21"/>
                <w:szCs w:val="21"/>
                <w:u w:val="single"/>
              </w:rPr>
              <w:t>低噪声型号设备，在设备连接处安装减震垫、车间内墙加装隔音棉</w:t>
            </w:r>
          </w:p>
        </w:tc>
        <w:tc>
          <w:tcPr>
            <w:tcW w:w="833" w:type="pct"/>
            <w:vAlign w:val="center"/>
          </w:tcPr>
          <w:p>
            <w:pPr>
              <w:spacing w:line="240" w:lineRule="auto"/>
              <w:ind w:firstLine="0" w:firstLineChars="0"/>
              <w:jc w:val="center"/>
              <w:rPr>
                <w:sz w:val="21"/>
                <w:szCs w:val="21"/>
              </w:rPr>
            </w:pPr>
            <w:r>
              <w:rPr>
                <w:rFonts w:hint="eastAsia"/>
                <w:sz w:val="21"/>
                <w:szCs w:val="21"/>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2</w:t>
            </w:r>
          </w:p>
        </w:tc>
        <w:tc>
          <w:tcPr>
            <w:tcW w:w="838" w:type="pct"/>
            <w:vMerge w:val="continue"/>
            <w:vAlign w:val="center"/>
          </w:tcPr>
          <w:p>
            <w:pPr>
              <w:spacing w:line="240" w:lineRule="auto"/>
              <w:ind w:firstLine="0" w:firstLineChars="0"/>
              <w:jc w:val="center"/>
              <w:rPr>
                <w:sz w:val="21"/>
                <w:szCs w:val="21"/>
              </w:rPr>
            </w:pPr>
          </w:p>
        </w:tc>
        <w:tc>
          <w:tcPr>
            <w:tcW w:w="710" w:type="pct"/>
            <w:vAlign w:val="center"/>
          </w:tcPr>
          <w:p>
            <w:pPr>
              <w:spacing w:line="240" w:lineRule="auto"/>
              <w:ind w:firstLine="0" w:firstLineChars="0"/>
              <w:jc w:val="center"/>
              <w:rPr>
                <w:sz w:val="21"/>
                <w:szCs w:val="21"/>
              </w:rPr>
            </w:pPr>
            <w:r>
              <w:rPr>
                <w:rFonts w:hint="eastAsia"/>
                <w:kern w:val="21"/>
                <w:sz w:val="21"/>
                <w:szCs w:val="21"/>
              </w:rPr>
              <w:t>背胶机</w:t>
            </w:r>
          </w:p>
        </w:tc>
        <w:tc>
          <w:tcPr>
            <w:tcW w:w="637" w:type="pct"/>
            <w:vAlign w:val="center"/>
          </w:tcPr>
          <w:p>
            <w:pPr>
              <w:spacing w:line="240" w:lineRule="auto"/>
              <w:ind w:firstLine="0" w:firstLineChars="0"/>
              <w:jc w:val="center"/>
              <w:rPr>
                <w:kern w:val="21"/>
                <w:sz w:val="21"/>
                <w:szCs w:val="21"/>
              </w:rPr>
            </w:pPr>
            <w:r>
              <w:rPr>
                <w:rFonts w:hint="eastAsia"/>
                <w:kern w:val="21"/>
                <w:sz w:val="21"/>
                <w:szCs w:val="21"/>
              </w:rPr>
              <w:t>1</w:t>
            </w:r>
          </w:p>
        </w:tc>
        <w:tc>
          <w:tcPr>
            <w:tcW w:w="774" w:type="pct"/>
            <w:vAlign w:val="center"/>
          </w:tcPr>
          <w:p>
            <w:pPr>
              <w:spacing w:line="240" w:lineRule="auto"/>
              <w:ind w:firstLine="0" w:firstLineChars="0"/>
              <w:jc w:val="center"/>
              <w:rPr>
                <w:sz w:val="21"/>
                <w:szCs w:val="21"/>
              </w:rPr>
            </w:pPr>
            <w:r>
              <w:rPr>
                <w:rFonts w:hint="eastAsia"/>
                <w:sz w:val="21"/>
                <w:szCs w:val="21"/>
              </w:rPr>
              <w:t>80</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3</w:t>
            </w:r>
          </w:p>
        </w:tc>
        <w:tc>
          <w:tcPr>
            <w:tcW w:w="838" w:type="pct"/>
            <w:vMerge w:val="continue"/>
            <w:vAlign w:val="center"/>
          </w:tcPr>
          <w:p>
            <w:pPr>
              <w:spacing w:line="240" w:lineRule="auto"/>
              <w:ind w:firstLine="0" w:firstLineChars="0"/>
              <w:jc w:val="center"/>
              <w:rPr>
                <w:sz w:val="21"/>
                <w:szCs w:val="21"/>
              </w:rPr>
            </w:pPr>
          </w:p>
        </w:tc>
        <w:tc>
          <w:tcPr>
            <w:tcW w:w="710" w:type="pct"/>
            <w:vAlign w:val="center"/>
          </w:tcPr>
          <w:p>
            <w:pPr>
              <w:spacing w:line="240" w:lineRule="auto"/>
              <w:ind w:firstLine="0" w:firstLineChars="0"/>
              <w:jc w:val="center"/>
              <w:rPr>
                <w:sz w:val="21"/>
                <w:szCs w:val="21"/>
              </w:rPr>
            </w:pPr>
            <w:r>
              <w:rPr>
                <w:rFonts w:hint="eastAsia" w:ascii="宋体" w:hAnsi="宋体" w:cs="宋体"/>
                <w:kern w:val="21"/>
                <w:sz w:val="21"/>
                <w:szCs w:val="21"/>
              </w:rPr>
              <w:t>空压机</w:t>
            </w:r>
          </w:p>
        </w:tc>
        <w:tc>
          <w:tcPr>
            <w:tcW w:w="637" w:type="pct"/>
            <w:vAlign w:val="center"/>
          </w:tcPr>
          <w:p>
            <w:pPr>
              <w:spacing w:line="240" w:lineRule="auto"/>
              <w:ind w:firstLine="0" w:firstLineChars="0"/>
              <w:jc w:val="center"/>
              <w:rPr>
                <w:rFonts w:ascii="宋体" w:hAnsi="宋体" w:cs="宋体"/>
                <w:kern w:val="21"/>
                <w:sz w:val="21"/>
                <w:szCs w:val="21"/>
              </w:rPr>
            </w:pPr>
            <w:r>
              <w:rPr>
                <w:rFonts w:hint="eastAsia" w:ascii="宋体" w:hAnsi="宋体" w:cs="宋体"/>
                <w:kern w:val="21"/>
                <w:sz w:val="21"/>
                <w:szCs w:val="21"/>
              </w:rPr>
              <w:t>1</w:t>
            </w:r>
          </w:p>
        </w:tc>
        <w:tc>
          <w:tcPr>
            <w:tcW w:w="774" w:type="pct"/>
            <w:vAlign w:val="center"/>
          </w:tcPr>
          <w:p>
            <w:pPr>
              <w:spacing w:line="240" w:lineRule="auto"/>
              <w:ind w:firstLine="0" w:firstLineChars="0"/>
              <w:jc w:val="center"/>
              <w:rPr>
                <w:sz w:val="21"/>
                <w:szCs w:val="21"/>
              </w:rPr>
            </w:pPr>
            <w:r>
              <w:rPr>
                <w:rFonts w:hint="eastAsia"/>
                <w:sz w:val="21"/>
                <w:szCs w:val="21"/>
              </w:rPr>
              <w:t>95</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4</w:t>
            </w:r>
          </w:p>
        </w:tc>
        <w:tc>
          <w:tcPr>
            <w:tcW w:w="838" w:type="pct"/>
            <w:vMerge w:val="restart"/>
            <w:vAlign w:val="center"/>
          </w:tcPr>
          <w:p>
            <w:pPr>
              <w:spacing w:line="240" w:lineRule="auto"/>
              <w:ind w:firstLine="0" w:firstLineChars="0"/>
              <w:jc w:val="center"/>
              <w:rPr>
                <w:sz w:val="21"/>
                <w:szCs w:val="21"/>
              </w:rPr>
            </w:pPr>
            <w:r>
              <w:rPr>
                <w:rFonts w:hint="eastAsia"/>
                <w:sz w:val="21"/>
                <w:szCs w:val="21"/>
              </w:rPr>
              <w:t>2#车间</w:t>
            </w:r>
          </w:p>
        </w:tc>
        <w:tc>
          <w:tcPr>
            <w:tcW w:w="710" w:type="pct"/>
            <w:vAlign w:val="center"/>
          </w:tcPr>
          <w:p>
            <w:pPr>
              <w:spacing w:line="240" w:lineRule="auto"/>
              <w:ind w:firstLine="0" w:firstLineChars="0"/>
              <w:jc w:val="center"/>
              <w:rPr>
                <w:sz w:val="21"/>
                <w:szCs w:val="21"/>
              </w:rPr>
            </w:pPr>
            <w:r>
              <w:rPr>
                <w:rFonts w:hint="eastAsia" w:ascii="宋体" w:hAnsi="宋体" w:cs="宋体"/>
                <w:kern w:val="21"/>
                <w:sz w:val="21"/>
                <w:szCs w:val="21"/>
              </w:rPr>
              <w:t>拉丝机</w:t>
            </w:r>
          </w:p>
        </w:tc>
        <w:tc>
          <w:tcPr>
            <w:tcW w:w="637" w:type="pct"/>
            <w:vAlign w:val="center"/>
          </w:tcPr>
          <w:p>
            <w:pPr>
              <w:spacing w:line="240" w:lineRule="auto"/>
              <w:ind w:firstLine="0" w:firstLineChars="0"/>
              <w:jc w:val="center"/>
              <w:rPr>
                <w:rFonts w:ascii="宋体" w:hAnsi="宋体" w:cs="宋体"/>
                <w:kern w:val="21"/>
                <w:sz w:val="21"/>
                <w:szCs w:val="21"/>
              </w:rPr>
            </w:pPr>
            <w:r>
              <w:rPr>
                <w:rFonts w:hint="eastAsia" w:ascii="宋体" w:hAnsi="宋体" w:cs="宋体"/>
                <w:kern w:val="21"/>
                <w:sz w:val="21"/>
                <w:szCs w:val="21"/>
              </w:rPr>
              <w:t>1</w:t>
            </w:r>
          </w:p>
        </w:tc>
        <w:tc>
          <w:tcPr>
            <w:tcW w:w="774" w:type="pct"/>
            <w:vAlign w:val="center"/>
          </w:tcPr>
          <w:p>
            <w:pPr>
              <w:spacing w:line="240" w:lineRule="auto"/>
              <w:ind w:firstLine="0" w:firstLineChars="0"/>
              <w:jc w:val="center"/>
              <w:rPr>
                <w:sz w:val="21"/>
                <w:szCs w:val="21"/>
              </w:rPr>
            </w:pPr>
            <w:r>
              <w:rPr>
                <w:rFonts w:hint="eastAsia"/>
                <w:sz w:val="21"/>
                <w:szCs w:val="21"/>
              </w:rPr>
              <w:t>80</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5</w:t>
            </w:r>
          </w:p>
        </w:tc>
        <w:tc>
          <w:tcPr>
            <w:tcW w:w="838" w:type="pct"/>
            <w:vMerge w:val="continue"/>
            <w:vAlign w:val="center"/>
          </w:tcPr>
          <w:p>
            <w:pPr>
              <w:spacing w:line="240" w:lineRule="auto"/>
              <w:ind w:firstLine="0" w:firstLineChars="0"/>
              <w:jc w:val="center"/>
              <w:rPr>
                <w:sz w:val="21"/>
                <w:szCs w:val="21"/>
              </w:rPr>
            </w:pPr>
          </w:p>
        </w:tc>
        <w:tc>
          <w:tcPr>
            <w:tcW w:w="710" w:type="pct"/>
            <w:vAlign w:val="center"/>
          </w:tcPr>
          <w:p>
            <w:pPr>
              <w:spacing w:line="240" w:lineRule="auto"/>
              <w:ind w:firstLine="0" w:firstLineChars="0"/>
              <w:jc w:val="center"/>
              <w:rPr>
                <w:sz w:val="21"/>
                <w:szCs w:val="21"/>
              </w:rPr>
            </w:pPr>
            <w:r>
              <w:rPr>
                <w:rFonts w:hint="eastAsia"/>
                <w:kern w:val="21"/>
                <w:sz w:val="21"/>
                <w:szCs w:val="21"/>
              </w:rPr>
              <w:t>背胶机</w:t>
            </w:r>
          </w:p>
        </w:tc>
        <w:tc>
          <w:tcPr>
            <w:tcW w:w="637" w:type="pct"/>
            <w:vAlign w:val="center"/>
          </w:tcPr>
          <w:p>
            <w:pPr>
              <w:spacing w:line="240" w:lineRule="auto"/>
              <w:ind w:firstLine="0" w:firstLineChars="0"/>
              <w:jc w:val="center"/>
              <w:rPr>
                <w:kern w:val="21"/>
                <w:sz w:val="21"/>
                <w:szCs w:val="21"/>
              </w:rPr>
            </w:pPr>
            <w:r>
              <w:rPr>
                <w:rFonts w:hint="eastAsia"/>
                <w:kern w:val="21"/>
                <w:sz w:val="21"/>
                <w:szCs w:val="21"/>
              </w:rPr>
              <w:t>1</w:t>
            </w:r>
          </w:p>
        </w:tc>
        <w:tc>
          <w:tcPr>
            <w:tcW w:w="774" w:type="pct"/>
            <w:vAlign w:val="center"/>
          </w:tcPr>
          <w:p>
            <w:pPr>
              <w:spacing w:line="240" w:lineRule="auto"/>
              <w:ind w:firstLine="0" w:firstLineChars="0"/>
              <w:jc w:val="center"/>
              <w:rPr>
                <w:sz w:val="21"/>
                <w:szCs w:val="21"/>
              </w:rPr>
            </w:pPr>
            <w:r>
              <w:rPr>
                <w:rFonts w:hint="eastAsia"/>
                <w:sz w:val="21"/>
                <w:szCs w:val="21"/>
              </w:rPr>
              <w:t>80</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6</w:t>
            </w:r>
          </w:p>
        </w:tc>
        <w:tc>
          <w:tcPr>
            <w:tcW w:w="838" w:type="pct"/>
            <w:vMerge w:val="restart"/>
            <w:vAlign w:val="center"/>
          </w:tcPr>
          <w:p>
            <w:pPr>
              <w:spacing w:line="240" w:lineRule="auto"/>
              <w:ind w:firstLine="0" w:firstLineChars="0"/>
              <w:jc w:val="center"/>
              <w:rPr>
                <w:sz w:val="21"/>
                <w:szCs w:val="21"/>
              </w:rPr>
            </w:pPr>
            <w:r>
              <w:rPr>
                <w:rFonts w:hint="eastAsia"/>
                <w:sz w:val="21"/>
                <w:szCs w:val="21"/>
              </w:rPr>
              <w:t>3#车间</w:t>
            </w:r>
          </w:p>
        </w:tc>
        <w:tc>
          <w:tcPr>
            <w:tcW w:w="710" w:type="pct"/>
            <w:vAlign w:val="center"/>
          </w:tcPr>
          <w:p>
            <w:pPr>
              <w:spacing w:line="240" w:lineRule="auto"/>
              <w:ind w:firstLine="0" w:firstLineChars="0"/>
              <w:jc w:val="center"/>
              <w:rPr>
                <w:sz w:val="21"/>
                <w:szCs w:val="21"/>
              </w:rPr>
            </w:pPr>
            <w:r>
              <w:rPr>
                <w:rFonts w:ascii="宋体" w:hAnsi="宋体" w:cs="宋体"/>
                <w:kern w:val="21"/>
                <w:sz w:val="21"/>
                <w:szCs w:val="21"/>
              </w:rPr>
              <w:t>密炼机</w:t>
            </w:r>
          </w:p>
        </w:tc>
        <w:tc>
          <w:tcPr>
            <w:tcW w:w="637" w:type="pct"/>
            <w:vAlign w:val="center"/>
          </w:tcPr>
          <w:p>
            <w:pPr>
              <w:spacing w:line="240" w:lineRule="auto"/>
              <w:ind w:firstLine="0" w:firstLineChars="0"/>
              <w:jc w:val="center"/>
              <w:rPr>
                <w:sz w:val="21"/>
                <w:szCs w:val="21"/>
              </w:rPr>
            </w:pPr>
            <w:r>
              <w:rPr>
                <w:rFonts w:hint="eastAsia"/>
                <w:sz w:val="21"/>
                <w:szCs w:val="21"/>
              </w:rPr>
              <w:t>3</w:t>
            </w:r>
          </w:p>
        </w:tc>
        <w:tc>
          <w:tcPr>
            <w:tcW w:w="774" w:type="pct"/>
            <w:vAlign w:val="center"/>
          </w:tcPr>
          <w:p>
            <w:pPr>
              <w:spacing w:line="240" w:lineRule="auto"/>
              <w:ind w:firstLine="0" w:firstLineChars="0"/>
              <w:jc w:val="center"/>
              <w:rPr>
                <w:sz w:val="21"/>
                <w:szCs w:val="21"/>
              </w:rPr>
            </w:pPr>
            <w:r>
              <w:rPr>
                <w:rFonts w:hint="eastAsia"/>
                <w:sz w:val="21"/>
                <w:szCs w:val="21"/>
              </w:rPr>
              <w:t>85</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7</w:t>
            </w:r>
          </w:p>
        </w:tc>
        <w:tc>
          <w:tcPr>
            <w:tcW w:w="838" w:type="pct"/>
            <w:vMerge w:val="continue"/>
            <w:vAlign w:val="center"/>
          </w:tcPr>
          <w:p>
            <w:pPr>
              <w:spacing w:line="240" w:lineRule="auto"/>
              <w:ind w:firstLine="0" w:firstLineChars="0"/>
              <w:jc w:val="center"/>
              <w:rPr>
                <w:sz w:val="21"/>
                <w:szCs w:val="21"/>
              </w:rPr>
            </w:pPr>
          </w:p>
        </w:tc>
        <w:tc>
          <w:tcPr>
            <w:tcW w:w="710" w:type="pct"/>
            <w:vAlign w:val="center"/>
          </w:tcPr>
          <w:p>
            <w:pPr>
              <w:spacing w:line="240" w:lineRule="auto"/>
              <w:ind w:firstLine="0" w:firstLineChars="0"/>
              <w:jc w:val="center"/>
              <w:rPr>
                <w:sz w:val="21"/>
                <w:szCs w:val="21"/>
              </w:rPr>
            </w:pPr>
            <w:r>
              <w:rPr>
                <w:rFonts w:ascii="宋体" w:hAnsi="宋体" w:cs="宋体"/>
                <w:kern w:val="21"/>
                <w:sz w:val="21"/>
                <w:szCs w:val="21"/>
              </w:rPr>
              <w:t>挤塑机</w:t>
            </w:r>
          </w:p>
        </w:tc>
        <w:tc>
          <w:tcPr>
            <w:tcW w:w="637" w:type="pct"/>
            <w:vAlign w:val="center"/>
          </w:tcPr>
          <w:p>
            <w:pPr>
              <w:spacing w:line="240" w:lineRule="auto"/>
              <w:ind w:firstLine="0" w:firstLineChars="0"/>
              <w:jc w:val="center"/>
              <w:rPr>
                <w:sz w:val="21"/>
                <w:szCs w:val="21"/>
              </w:rPr>
            </w:pPr>
            <w:r>
              <w:rPr>
                <w:rFonts w:hint="eastAsia"/>
                <w:sz w:val="21"/>
                <w:szCs w:val="21"/>
              </w:rPr>
              <w:t>3</w:t>
            </w:r>
          </w:p>
        </w:tc>
        <w:tc>
          <w:tcPr>
            <w:tcW w:w="774" w:type="pct"/>
            <w:vAlign w:val="center"/>
          </w:tcPr>
          <w:p>
            <w:pPr>
              <w:spacing w:line="240" w:lineRule="auto"/>
              <w:ind w:firstLine="0" w:firstLineChars="0"/>
              <w:jc w:val="center"/>
              <w:rPr>
                <w:sz w:val="21"/>
                <w:szCs w:val="21"/>
              </w:rPr>
            </w:pPr>
            <w:r>
              <w:rPr>
                <w:rFonts w:hint="eastAsia"/>
                <w:sz w:val="21"/>
                <w:szCs w:val="21"/>
              </w:rPr>
              <w:t>80</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8</w:t>
            </w:r>
          </w:p>
        </w:tc>
        <w:tc>
          <w:tcPr>
            <w:tcW w:w="838" w:type="pct"/>
            <w:vMerge w:val="continue"/>
            <w:vAlign w:val="center"/>
          </w:tcPr>
          <w:p>
            <w:pPr>
              <w:spacing w:line="240" w:lineRule="auto"/>
              <w:ind w:firstLine="0" w:firstLineChars="0"/>
              <w:jc w:val="center"/>
              <w:rPr>
                <w:sz w:val="21"/>
                <w:szCs w:val="21"/>
              </w:rPr>
            </w:pPr>
          </w:p>
        </w:tc>
        <w:tc>
          <w:tcPr>
            <w:tcW w:w="710" w:type="pct"/>
            <w:vAlign w:val="center"/>
          </w:tcPr>
          <w:p>
            <w:pPr>
              <w:spacing w:line="240" w:lineRule="auto"/>
              <w:ind w:firstLine="0" w:firstLineChars="0"/>
              <w:jc w:val="center"/>
              <w:rPr>
                <w:sz w:val="21"/>
                <w:szCs w:val="21"/>
              </w:rPr>
            </w:pPr>
            <w:r>
              <w:rPr>
                <w:rFonts w:ascii="宋体" w:hAnsi="宋体" w:cs="宋体"/>
                <w:kern w:val="21"/>
                <w:sz w:val="21"/>
                <w:szCs w:val="21"/>
              </w:rPr>
              <w:t>粉碎机</w:t>
            </w:r>
          </w:p>
        </w:tc>
        <w:tc>
          <w:tcPr>
            <w:tcW w:w="637" w:type="pct"/>
            <w:vAlign w:val="center"/>
          </w:tcPr>
          <w:p>
            <w:pPr>
              <w:spacing w:line="240" w:lineRule="auto"/>
              <w:ind w:firstLine="0" w:firstLineChars="0"/>
              <w:jc w:val="center"/>
              <w:rPr>
                <w:sz w:val="21"/>
                <w:szCs w:val="21"/>
              </w:rPr>
            </w:pPr>
            <w:r>
              <w:rPr>
                <w:rFonts w:hint="eastAsia"/>
                <w:sz w:val="21"/>
                <w:szCs w:val="21"/>
              </w:rPr>
              <w:t>6</w:t>
            </w:r>
          </w:p>
        </w:tc>
        <w:tc>
          <w:tcPr>
            <w:tcW w:w="774" w:type="pct"/>
            <w:vAlign w:val="center"/>
          </w:tcPr>
          <w:p>
            <w:pPr>
              <w:spacing w:line="240" w:lineRule="auto"/>
              <w:ind w:firstLine="0" w:firstLineChars="0"/>
              <w:jc w:val="center"/>
              <w:rPr>
                <w:sz w:val="21"/>
                <w:szCs w:val="21"/>
              </w:rPr>
            </w:pPr>
            <w:r>
              <w:rPr>
                <w:rFonts w:hint="eastAsia"/>
                <w:sz w:val="21"/>
                <w:szCs w:val="21"/>
              </w:rPr>
              <w:t>85</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9</w:t>
            </w:r>
          </w:p>
        </w:tc>
        <w:tc>
          <w:tcPr>
            <w:tcW w:w="838" w:type="pct"/>
            <w:vAlign w:val="center"/>
          </w:tcPr>
          <w:p>
            <w:pPr>
              <w:spacing w:line="240" w:lineRule="auto"/>
              <w:ind w:firstLine="0" w:firstLineChars="0"/>
              <w:jc w:val="center"/>
              <w:rPr>
                <w:sz w:val="21"/>
                <w:szCs w:val="21"/>
              </w:rPr>
            </w:pPr>
            <w:r>
              <w:rPr>
                <w:rFonts w:hint="eastAsia"/>
                <w:sz w:val="21"/>
                <w:szCs w:val="21"/>
              </w:rPr>
              <w:t>5#车间</w:t>
            </w:r>
          </w:p>
        </w:tc>
        <w:tc>
          <w:tcPr>
            <w:tcW w:w="710" w:type="pct"/>
            <w:vAlign w:val="center"/>
          </w:tcPr>
          <w:p>
            <w:pPr>
              <w:spacing w:line="240" w:lineRule="auto"/>
              <w:ind w:firstLine="0" w:firstLineChars="0"/>
              <w:jc w:val="center"/>
              <w:rPr>
                <w:sz w:val="21"/>
                <w:szCs w:val="21"/>
              </w:rPr>
            </w:pPr>
            <w:r>
              <w:rPr>
                <w:rFonts w:hint="eastAsia" w:ascii="宋体" w:hAnsi="宋体" w:cs="宋体"/>
                <w:kern w:val="21"/>
                <w:sz w:val="21"/>
                <w:szCs w:val="21"/>
              </w:rPr>
              <w:t>真空</w:t>
            </w:r>
            <w:r>
              <w:rPr>
                <w:rFonts w:ascii="宋体" w:hAnsi="宋体" w:cs="宋体"/>
                <w:kern w:val="21"/>
                <w:sz w:val="21"/>
                <w:szCs w:val="21"/>
              </w:rPr>
              <w:t>泵</w:t>
            </w:r>
          </w:p>
        </w:tc>
        <w:tc>
          <w:tcPr>
            <w:tcW w:w="637" w:type="pct"/>
            <w:vAlign w:val="center"/>
          </w:tcPr>
          <w:p>
            <w:pPr>
              <w:spacing w:line="240" w:lineRule="auto"/>
              <w:ind w:firstLine="0" w:firstLineChars="0"/>
              <w:jc w:val="center"/>
              <w:rPr>
                <w:sz w:val="21"/>
                <w:szCs w:val="21"/>
              </w:rPr>
            </w:pPr>
            <w:r>
              <w:rPr>
                <w:rFonts w:hint="eastAsia"/>
                <w:sz w:val="21"/>
                <w:szCs w:val="21"/>
              </w:rPr>
              <w:t>8</w:t>
            </w:r>
          </w:p>
        </w:tc>
        <w:tc>
          <w:tcPr>
            <w:tcW w:w="774" w:type="pct"/>
            <w:vAlign w:val="center"/>
          </w:tcPr>
          <w:p>
            <w:pPr>
              <w:spacing w:line="240" w:lineRule="auto"/>
              <w:ind w:firstLine="0" w:firstLineChars="0"/>
              <w:jc w:val="center"/>
              <w:rPr>
                <w:sz w:val="21"/>
                <w:szCs w:val="21"/>
              </w:rPr>
            </w:pPr>
            <w:r>
              <w:rPr>
                <w:rFonts w:hint="eastAsia"/>
                <w:sz w:val="21"/>
                <w:szCs w:val="21"/>
              </w:rPr>
              <w:t>85</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10</w:t>
            </w:r>
          </w:p>
        </w:tc>
        <w:tc>
          <w:tcPr>
            <w:tcW w:w="838" w:type="pct"/>
            <w:vMerge w:val="restart"/>
            <w:vAlign w:val="center"/>
          </w:tcPr>
          <w:p>
            <w:pPr>
              <w:spacing w:line="240" w:lineRule="auto"/>
              <w:ind w:firstLine="0" w:firstLineChars="0"/>
              <w:jc w:val="center"/>
              <w:rPr>
                <w:sz w:val="21"/>
                <w:szCs w:val="21"/>
              </w:rPr>
            </w:pPr>
            <w:r>
              <w:rPr>
                <w:rFonts w:hint="eastAsia"/>
                <w:sz w:val="21"/>
                <w:szCs w:val="21"/>
              </w:rPr>
              <w:t>6#车间</w:t>
            </w:r>
          </w:p>
        </w:tc>
        <w:tc>
          <w:tcPr>
            <w:tcW w:w="710" w:type="pct"/>
            <w:vAlign w:val="center"/>
          </w:tcPr>
          <w:p>
            <w:pPr>
              <w:spacing w:line="240" w:lineRule="auto"/>
              <w:ind w:firstLine="0" w:firstLineChars="0"/>
              <w:jc w:val="center"/>
              <w:rPr>
                <w:sz w:val="21"/>
                <w:szCs w:val="21"/>
              </w:rPr>
            </w:pPr>
            <w:r>
              <w:rPr>
                <w:rFonts w:hint="eastAsia" w:ascii="宋体" w:hAnsi="宋体" w:cs="宋体"/>
                <w:kern w:val="21"/>
                <w:sz w:val="21"/>
                <w:szCs w:val="21"/>
              </w:rPr>
              <w:t>搅拌机</w:t>
            </w:r>
          </w:p>
        </w:tc>
        <w:tc>
          <w:tcPr>
            <w:tcW w:w="637" w:type="pct"/>
            <w:vAlign w:val="center"/>
          </w:tcPr>
          <w:p>
            <w:pPr>
              <w:spacing w:line="240" w:lineRule="auto"/>
              <w:ind w:firstLine="0" w:firstLineChars="0"/>
              <w:jc w:val="center"/>
              <w:rPr>
                <w:sz w:val="21"/>
                <w:szCs w:val="21"/>
              </w:rPr>
            </w:pPr>
            <w:r>
              <w:rPr>
                <w:rFonts w:hint="eastAsia"/>
                <w:sz w:val="21"/>
                <w:szCs w:val="21"/>
              </w:rPr>
              <w:t>2</w:t>
            </w:r>
          </w:p>
        </w:tc>
        <w:tc>
          <w:tcPr>
            <w:tcW w:w="774" w:type="pct"/>
            <w:vAlign w:val="center"/>
          </w:tcPr>
          <w:p>
            <w:pPr>
              <w:spacing w:line="240" w:lineRule="auto"/>
              <w:ind w:firstLine="0" w:firstLineChars="0"/>
              <w:jc w:val="center"/>
              <w:rPr>
                <w:sz w:val="21"/>
                <w:szCs w:val="21"/>
              </w:rPr>
            </w:pPr>
            <w:r>
              <w:rPr>
                <w:rFonts w:hint="eastAsia"/>
                <w:sz w:val="21"/>
                <w:szCs w:val="21"/>
              </w:rPr>
              <w:t>85</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11</w:t>
            </w:r>
          </w:p>
        </w:tc>
        <w:tc>
          <w:tcPr>
            <w:tcW w:w="838" w:type="pct"/>
            <w:vMerge w:val="continue"/>
            <w:vAlign w:val="center"/>
          </w:tcPr>
          <w:p>
            <w:pPr>
              <w:spacing w:line="240" w:lineRule="auto"/>
              <w:ind w:firstLine="0" w:firstLineChars="0"/>
              <w:jc w:val="center"/>
              <w:rPr>
                <w:sz w:val="21"/>
                <w:szCs w:val="21"/>
              </w:rPr>
            </w:pPr>
          </w:p>
        </w:tc>
        <w:tc>
          <w:tcPr>
            <w:tcW w:w="710" w:type="pct"/>
            <w:vAlign w:val="center"/>
          </w:tcPr>
          <w:p>
            <w:pPr>
              <w:spacing w:line="240" w:lineRule="auto"/>
              <w:ind w:firstLine="0" w:firstLineChars="0"/>
              <w:jc w:val="center"/>
              <w:rPr>
                <w:sz w:val="21"/>
                <w:szCs w:val="21"/>
              </w:rPr>
            </w:pPr>
            <w:r>
              <w:rPr>
                <w:rFonts w:hint="eastAsia" w:ascii="宋体" w:hAnsi="宋体" w:cs="宋体"/>
                <w:kern w:val="21"/>
                <w:sz w:val="21"/>
                <w:szCs w:val="21"/>
              </w:rPr>
              <w:t>高速分散釜</w:t>
            </w:r>
          </w:p>
        </w:tc>
        <w:tc>
          <w:tcPr>
            <w:tcW w:w="637" w:type="pct"/>
            <w:vAlign w:val="center"/>
          </w:tcPr>
          <w:p>
            <w:pPr>
              <w:spacing w:line="240" w:lineRule="auto"/>
              <w:ind w:firstLine="0" w:firstLineChars="0"/>
              <w:jc w:val="center"/>
              <w:rPr>
                <w:sz w:val="21"/>
                <w:szCs w:val="21"/>
              </w:rPr>
            </w:pPr>
            <w:r>
              <w:rPr>
                <w:rFonts w:hint="eastAsia"/>
                <w:sz w:val="21"/>
                <w:szCs w:val="21"/>
              </w:rPr>
              <w:t>1</w:t>
            </w:r>
          </w:p>
        </w:tc>
        <w:tc>
          <w:tcPr>
            <w:tcW w:w="774" w:type="pct"/>
            <w:vAlign w:val="center"/>
          </w:tcPr>
          <w:p>
            <w:pPr>
              <w:spacing w:line="240" w:lineRule="auto"/>
              <w:ind w:firstLine="0" w:firstLineChars="0"/>
              <w:jc w:val="center"/>
              <w:rPr>
                <w:sz w:val="21"/>
                <w:szCs w:val="21"/>
              </w:rPr>
            </w:pPr>
            <w:r>
              <w:rPr>
                <w:rFonts w:hint="eastAsia"/>
                <w:sz w:val="21"/>
                <w:szCs w:val="21"/>
              </w:rPr>
              <w:t>80</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371" w:type="pct"/>
            <w:vAlign w:val="center"/>
          </w:tcPr>
          <w:p>
            <w:pPr>
              <w:spacing w:line="240" w:lineRule="auto"/>
              <w:ind w:firstLine="0" w:firstLineChars="0"/>
              <w:jc w:val="center"/>
              <w:rPr>
                <w:sz w:val="21"/>
                <w:szCs w:val="21"/>
              </w:rPr>
            </w:pPr>
            <w:r>
              <w:rPr>
                <w:rFonts w:hint="eastAsia"/>
                <w:sz w:val="21"/>
                <w:szCs w:val="21"/>
              </w:rPr>
              <w:t>12</w:t>
            </w:r>
          </w:p>
        </w:tc>
        <w:tc>
          <w:tcPr>
            <w:tcW w:w="838" w:type="pct"/>
            <w:vMerge w:val="continue"/>
            <w:vAlign w:val="center"/>
          </w:tcPr>
          <w:p>
            <w:pPr>
              <w:spacing w:line="240" w:lineRule="auto"/>
              <w:ind w:firstLine="0" w:firstLineChars="0"/>
              <w:jc w:val="center"/>
              <w:rPr>
                <w:sz w:val="21"/>
                <w:szCs w:val="21"/>
              </w:rPr>
            </w:pPr>
          </w:p>
        </w:tc>
        <w:tc>
          <w:tcPr>
            <w:tcW w:w="710" w:type="pct"/>
            <w:vAlign w:val="center"/>
          </w:tcPr>
          <w:p>
            <w:pPr>
              <w:spacing w:line="240" w:lineRule="auto"/>
              <w:ind w:firstLine="0" w:firstLineChars="0"/>
              <w:jc w:val="center"/>
              <w:rPr>
                <w:rFonts w:ascii="宋体" w:hAnsi="宋体" w:cs="宋体"/>
                <w:kern w:val="21"/>
                <w:sz w:val="21"/>
                <w:szCs w:val="21"/>
              </w:rPr>
            </w:pPr>
            <w:r>
              <w:rPr>
                <w:rFonts w:hint="eastAsia" w:ascii="宋体" w:hAnsi="宋体" w:cs="宋体"/>
                <w:kern w:val="21"/>
                <w:sz w:val="21"/>
                <w:szCs w:val="21"/>
              </w:rPr>
              <w:t>真空</w:t>
            </w:r>
            <w:r>
              <w:rPr>
                <w:rFonts w:ascii="宋体" w:hAnsi="宋体" w:cs="宋体"/>
                <w:kern w:val="21"/>
                <w:sz w:val="21"/>
                <w:szCs w:val="21"/>
              </w:rPr>
              <w:t>泵</w:t>
            </w:r>
          </w:p>
        </w:tc>
        <w:tc>
          <w:tcPr>
            <w:tcW w:w="637" w:type="pct"/>
            <w:vAlign w:val="center"/>
          </w:tcPr>
          <w:p>
            <w:pPr>
              <w:spacing w:line="240" w:lineRule="auto"/>
              <w:ind w:firstLine="0" w:firstLineChars="0"/>
              <w:jc w:val="center"/>
              <w:rPr>
                <w:sz w:val="21"/>
                <w:szCs w:val="21"/>
              </w:rPr>
            </w:pPr>
            <w:r>
              <w:rPr>
                <w:rFonts w:hint="eastAsia"/>
                <w:sz w:val="21"/>
                <w:szCs w:val="21"/>
              </w:rPr>
              <w:t>5</w:t>
            </w:r>
          </w:p>
        </w:tc>
        <w:tc>
          <w:tcPr>
            <w:tcW w:w="774" w:type="pct"/>
            <w:vAlign w:val="center"/>
          </w:tcPr>
          <w:p>
            <w:pPr>
              <w:spacing w:line="240" w:lineRule="auto"/>
              <w:ind w:firstLine="0" w:firstLineChars="0"/>
              <w:jc w:val="center"/>
              <w:rPr>
                <w:sz w:val="21"/>
                <w:szCs w:val="21"/>
              </w:rPr>
            </w:pPr>
            <w:r>
              <w:rPr>
                <w:rFonts w:hint="eastAsia"/>
                <w:sz w:val="21"/>
                <w:szCs w:val="21"/>
              </w:rPr>
              <w:t>85</w:t>
            </w:r>
          </w:p>
        </w:tc>
        <w:tc>
          <w:tcPr>
            <w:tcW w:w="833" w:type="pct"/>
            <w:vMerge w:val="continue"/>
            <w:vAlign w:val="center"/>
          </w:tcPr>
          <w:p>
            <w:pPr>
              <w:spacing w:line="240" w:lineRule="auto"/>
              <w:ind w:firstLine="0" w:firstLineChars="0"/>
              <w:jc w:val="center"/>
              <w:rPr>
                <w:sz w:val="21"/>
                <w:szCs w:val="21"/>
              </w:rPr>
            </w:pPr>
          </w:p>
        </w:tc>
        <w:tc>
          <w:tcPr>
            <w:tcW w:w="833" w:type="pct"/>
            <w:vAlign w:val="center"/>
          </w:tcPr>
          <w:p>
            <w:pPr>
              <w:spacing w:line="240" w:lineRule="auto"/>
              <w:ind w:firstLine="0" w:firstLineChars="0"/>
              <w:jc w:val="center"/>
              <w:rPr>
                <w:sz w:val="21"/>
                <w:szCs w:val="21"/>
              </w:rPr>
            </w:pPr>
            <w:r>
              <w:rPr>
                <w:rFonts w:hint="eastAsia"/>
                <w:sz w:val="21"/>
                <w:szCs w:val="21"/>
              </w:rPr>
              <w:t>60</w:t>
            </w:r>
          </w:p>
        </w:tc>
      </w:tr>
    </w:tbl>
    <w:p>
      <w:pPr>
        <w:ind w:firstLine="480"/>
        <w:rPr>
          <w:u w:val="single"/>
        </w:rPr>
        <w:sectPr>
          <w:pgSz w:w="11906" w:h="16838"/>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pPr>
    </w:p>
    <w:p>
      <w:pPr>
        <w:ind w:firstLine="482"/>
        <w:jc w:val="center"/>
        <w:rPr>
          <w:b/>
          <w:bCs/>
        </w:rPr>
      </w:pPr>
      <w:r>
        <w:rPr>
          <w:rFonts w:hint="eastAsia"/>
          <w:b/>
          <w:bCs/>
        </w:rPr>
        <w:t>表6.4-2  工业企业噪声源强调查清单（室内声源）</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
        <w:gridCol w:w="877"/>
        <w:gridCol w:w="981"/>
        <w:gridCol w:w="958"/>
        <w:gridCol w:w="1154"/>
        <w:gridCol w:w="1234"/>
        <w:gridCol w:w="847"/>
        <w:gridCol w:w="774"/>
        <w:gridCol w:w="779"/>
        <w:gridCol w:w="1212"/>
        <w:gridCol w:w="992"/>
        <w:gridCol w:w="1200"/>
        <w:gridCol w:w="1096"/>
        <w:gridCol w:w="866"/>
        <w:gridCol w:w="7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Merge w:val="restart"/>
            <w:vAlign w:val="center"/>
          </w:tcPr>
          <w:p>
            <w:pPr>
              <w:spacing w:line="240" w:lineRule="auto"/>
              <w:ind w:firstLine="0" w:firstLineChars="0"/>
              <w:jc w:val="center"/>
              <w:rPr>
                <w:b/>
                <w:bCs/>
                <w:sz w:val="21"/>
                <w:szCs w:val="21"/>
              </w:rPr>
            </w:pPr>
            <w:r>
              <w:rPr>
                <w:rFonts w:hint="eastAsia"/>
                <w:b/>
                <w:bCs/>
                <w:sz w:val="21"/>
                <w:szCs w:val="21"/>
              </w:rPr>
              <w:t>序号</w:t>
            </w:r>
          </w:p>
        </w:tc>
        <w:tc>
          <w:tcPr>
            <w:tcW w:w="877" w:type="dxa"/>
            <w:vMerge w:val="restart"/>
            <w:vAlign w:val="center"/>
          </w:tcPr>
          <w:p>
            <w:pPr>
              <w:spacing w:line="240" w:lineRule="auto"/>
              <w:ind w:firstLine="0" w:firstLineChars="0"/>
              <w:jc w:val="center"/>
              <w:rPr>
                <w:b/>
                <w:bCs/>
                <w:sz w:val="21"/>
                <w:szCs w:val="21"/>
              </w:rPr>
            </w:pPr>
            <w:r>
              <w:rPr>
                <w:rFonts w:hint="eastAsia"/>
                <w:b/>
                <w:bCs/>
                <w:sz w:val="21"/>
                <w:szCs w:val="21"/>
              </w:rPr>
              <w:t>建筑名称</w:t>
            </w:r>
          </w:p>
        </w:tc>
        <w:tc>
          <w:tcPr>
            <w:tcW w:w="981" w:type="dxa"/>
            <w:vMerge w:val="restart"/>
            <w:vAlign w:val="center"/>
          </w:tcPr>
          <w:p>
            <w:pPr>
              <w:spacing w:line="240" w:lineRule="auto"/>
              <w:ind w:firstLine="0" w:firstLineChars="0"/>
              <w:jc w:val="center"/>
              <w:rPr>
                <w:b/>
                <w:bCs/>
                <w:sz w:val="21"/>
                <w:szCs w:val="21"/>
              </w:rPr>
            </w:pPr>
            <w:r>
              <w:rPr>
                <w:rFonts w:hint="eastAsia"/>
                <w:b/>
                <w:bCs/>
                <w:sz w:val="21"/>
                <w:szCs w:val="21"/>
              </w:rPr>
              <w:t>点声源名称</w:t>
            </w:r>
          </w:p>
        </w:tc>
        <w:tc>
          <w:tcPr>
            <w:tcW w:w="958" w:type="dxa"/>
            <w:vMerge w:val="restart"/>
            <w:vAlign w:val="center"/>
          </w:tcPr>
          <w:p>
            <w:pPr>
              <w:spacing w:line="240" w:lineRule="auto"/>
              <w:ind w:firstLine="0" w:firstLineChars="0"/>
              <w:jc w:val="center"/>
              <w:rPr>
                <w:b/>
                <w:bCs/>
                <w:sz w:val="21"/>
                <w:szCs w:val="21"/>
              </w:rPr>
            </w:pPr>
            <w:r>
              <w:rPr>
                <w:rFonts w:hint="eastAsia"/>
                <w:b/>
                <w:bCs/>
                <w:sz w:val="21"/>
                <w:szCs w:val="21"/>
              </w:rPr>
              <w:t>型号</w:t>
            </w:r>
          </w:p>
        </w:tc>
        <w:tc>
          <w:tcPr>
            <w:tcW w:w="1154" w:type="dxa"/>
            <w:vMerge w:val="restart"/>
            <w:vAlign w:val="center"/>
          </w:tcPr>
          <w:p>
            <w:pPr>
              <w:spacing w:line="240" w:lineRule="auto"/>
              <w:ind w:firstLine="0" w:firstLineChars="0"/>
              <w:jc w:val="center"/>
              <w:rPr>
                <w:b/>
                <w:bCs/>
                <w:sz w:val="21"/>
                <w:szCs w:val="21"/>
              </w:rPr>
            </w:pPr>
            <w:r>
              <w:rPr>
                <w:rFonts w:hint="eastAsia"/>
                <w:b/>
                <w:bCs/>
                <w:sz w:val="21"/>
                <w:szCs w:val="21"/>
              </w:rPr>
              <w:t>声源源强</w:t>
            </w:r>
          </w:p>
        </w:tc>
        <w:tc>
          <w:tcPr>
            <w:tcW w:w="1234" w:type="dxa"/>
            <w:vMerge w:val="restart"/>
            <w:vAlign w:val="center"/>
          </w:tcPr>
          <w:p>
            <w:pPr>
              <w:spacing w:line="240" w:lineRule="auto"/>
              <w:ind w:firstLine="0" w:firstLineChars="0"/>
              <w:jc w:val="center"/>
              <w:rPr>
                <w:b/>
                <w:bCs/>
                <w:sz w:val="21"/>
                <w:szCs w:val="21"/>
              </w:rPr>
            </w:pPr>
            <w:r>
              <w:rPr>
                <w:rFonts w:hint="eastAsia"/>
                <w:b/>
                <w:bCs/>
                <w:sz w:val="21"/>
                <w:szCs w:val="21"/>
              </w:rPr>
              <w:t>声源控制措施</w:t>
            </w:r>
          </w:p>
        </w:tc>
        <w:tc>
          <w:tcPr>
            <w:tcW w:w="2400" w:type="dxa"/>
            <w:gridSpan w:val="3"/>
            <w:vAlign w:val="center"/>
          </w:tcPr>
          <w:p>
            <w:pPr>
              <w:spacing w:line="240" w:lineRule="auto"/>
              <w:ind w:firstLine="0" w:firstLineChars="0"/>
              <w:jc w:val="center"/>
              <w:rPr>
                <w:b/>
                <w:bCs/>
                <w:sz w:val="21"/>
                <w:szCs w:val="21"/>
              </w:rPr>
            </w:pPr>
            <w:r>
              <w:rPr>
                <w:rFonts w:hint="eastAsia"/>
                <w:b/>
                <w:bCs/>
                <w:sz w:val="21"/>
                <w:szCs w:val="21"/>
              </w:rPr>
              <w:t>空间相对位置/m</w:t>
            </w:r>
          </w:p>
        </w:tc>
        <w:tc>
          <w:tcPr>
            <w:tcW w:w="1212" w:type="dxa"/>
            <w:vMerge w:val="restart"/>
            <w:vAlign w:val="center"/>
          </w:tcPr>
          <w:p>
            <w:pPr>
              <w:spacing w:line="240" w:lineRule="auto"/>
              <w:ind w:firstLine="0" w:firstLineChars="0"/>
              <w:jc w:val="center"/>
              <w:rPr>
                <w:b/>
                <w:bCs/>
                <w:sz w:val="21"/>
                <w:szCs w:val="21"/>
              </w:rPr>
            </w:pPr>
            <w:r>
              <w:rPr>
                <w:rFonts w:hint="eastAsia"/>
                <w:b/>
                <w:bCs/>
                <w:sz w:val="21"/>
                <w:szCs w:val="21"/>
              </w:rPr>
              <w:t>距室内边界距离/m</w:t>
            </w:r>
          </w:p>
        </w:tc>
        <w:tc>
          <w:tcPr>
            <w:tcW w:w="992" w:type="dxa"/>
            <w:vMerge w:val="restart"/>
            <w:vAlign w:val="center"/>
          </w:tcPr>
          <w:p>
            <w:pPr>
              <w:spacing w:line="240" w:lineRule="auto"/>
              <w:ind w:firstLine="0" w:firstLineChars="0"/>
              <w:jc w:val="center"/>
              <w:rPr>
                <w:b/>
                <w:bCs/>
                <w:sz w:val="21"/>
                <w:szCs w:val="21"/>
              </w:rPr>
            </w:pPr>
            <w:r>
              <w:rPr>
                <w:rFonts w:hint="eastAsia"/>
                <w:b/>
                <w:bCs/>
                <w:sz w:val="21"/>
                <w:szCs w:val="21"/>
              </w:rPr>
              <w:t>室内边界声级/dB(A)</w:t>
            </w:r>
          </w:p>
        </w:tc>
        <w:tc>
          <w:tcPr>
            <w:tcW w:w="1200" w:type="dxa"/>
            <w:vMerge w:val="restart"/>
            <w:vAlign w:val="center"/>
          </w:tcPr>
          <w:p>
            <w:pPr>
              <w:spacing w:line="240" w:lineRule="auto"/>
              <w:ind w:firstLine="0" w:firstLineChars="0"/>
              <w:jc w:val="center"/>
              <w:rPr>
                <w:b/>
                <w:bCs/>
                <w:sz w:val="21"/>
                <w:szCs w:val="21"/>
              </w:rPr>
            </w:pPr>
            <w:r>
              <w:rPr>
                <w:rFonts w:hint="eastAsia"/>
                <w:b/>
                <w:bCs/>
                <w:sz w:val="21"/>
                <w:szCs w:val="21"/>
              </w:rPr>
              <w:t>运行时段</w:t>
            </w:r>
          </w:p>
        </w:tc>
        <w:tc>
          <w:tcPr>
            <w:tcW w:w="1096" w:type="dxa"/>
            <w:vMerge w:val="restart"/>
            <w:vAlign w:val="center"/>
          </w:tcPr>
          <w:p>
            <w:pPr>
              <w:spacing w:line="240" w:lineRule="auto"/>
              <w:ind w:firstLine="0" w:firstLineChars="0"/>
              <w:jc w:val="center"/>
              <w:rPr>
                <w:b/>
                <w:bCs/>
                <w:sz w:val="21"/>
                <w:szCs w:val="21"/>
              </w:rPr>
            </w:pPr>
            <w:r>
              <w:rPr>
                <w:rFonts w:hint="eastAsia"/>
                <w:b/>
                <w:bCs/>
                <w:sz w:val="21"/>
                <w:szCs w:val="21"/>
              </w:rPr>
              <w:t>建筑物插入损失/dB(A)</w:t>
            </w:r>
          </w:p>
        </w:tc>
        <w:tc>
          <w:tcPr>
            <w:tcW w:w="1612" w:type="dxa"/>
            <w:gridSpan w:val="2"/>
            <w:vAlign w:val="center"/>
          </w:tcPr>
          <w:p>
            <w:pPr>
              <w:spacing w:line="240" w:lineRule="auto"/>
              <w:ind w:firstLine="0" w:firstLineChars="0"/>
              <w:jc w:val="center"/>
              <w:rPr>
                <w:b/>
                <w:bCs/>
                <w:sz w:val="21"/>
                <w:szCs w:val="21"/>
              </w:rPr>
            </w:pPr>
            <w:r>
              <w:rPr>
                <w:rFonts w:hint="eastAsia"/>
                <w:b/>
                <w:bCs/>
                <w:sz w:val="21"/>
                <w:szCs w:val="21"/>
              </w:rPr>
              <w:t>建筑物外噪声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Merge w:val="continue"/>
            <w:vAlign w:val="center"/>
          </w:tcPr>
          <w:p>
            <w:pPr>
              <w:spacing w:line="240" w:lineRule="auto"/>
              <w:ind w:firstLine="0" w:firstLineChars="0"/>
              <w:jc w:val="center"/>
              <w:rPr>
                <w:b/>
                <w:bCs/>
                <w:sz w:val="21"/>
                <w:szCs w:val="21"/>
              </w:rPr>
            </w:pPr>
          </w:p>
        </w:tc>
        <w:tc>
          <w:tcPr>
            <w:tcW w:w="877" w:type="dxa"/>
            <w:vMerge w:val="continue"/>
            <w:vAlign w:val="center"/>
          </w:tcPr>
          <w:p>
            <w:pPr>
              <w:spacing w:line="240" w:lineRule="auto"/>
              <w:ind w:firstLine="0" w:firstLineChars="0"/>
              <w:jc w:val="center"/>
              <w:rPr>
                <w:b/>
                <w:bCs/>
                <w:sz w:val="21"/>
                <w:szCs w:val="21"/>
              </w:rPr>
            </w:pPr>
          </w:p>
        </w:tc>
        <w:tc>
          <w:tcPr>
            <w:tcW w:w="981" w:type="dxa"/>
            <w:vMerge w:val="continue"/>
            <w:vAlign w:val="center"/>
          </w:tcPr>
          <w:p>
            <w:pPr>
              <w:spacing w:line="240" w:lineRule="auto"/>
              <w:ind w:firstLine="0" w:firstLineChars="0"/>
              <w:jc w:val="center"/>
              <w:rPr>
                <w:b/>
                <w:bCs/>
                <w:sz w:val="21"/>
                <w:szCs w:val="21"/>
              </w:rPr>
            </w:pPr>
          </w:p>
        </w:tc>
        <w:tc>
          <w:tcPr>
            <w:tcW w:w="958" w:type="dxa"/>
            <w:vMerge w:val="continue"/>
            <w:vAlign w:val="center"/>
          </w:tcPr>
          <w:p>
            <w:pPr>
              <w:spacing w:line="240" w:lineRule="auto"/>
              <w:ind w:firstLine="0" w:firstLineChars="0"/>
              <w:jc w:val="center"/>
              <w:rPr>
                <w:b/>
                <w:bCs/>
                <w:sz w:val="21"/>
                <w:szCs w:val="21"/>
              </w:rPr>
            </w:pPr>
          </w:p>
        </w:tc>
        <w:tc>
          <w:tcPr>
            <w:tcW w:w="1154" w:type="dxa"/>
            <w:vMerge w:val="continue"/>
            <w:vAlign w:val="center"/>
          </w:tcPr>
          <w:p>
            <w:pPr>
              <w:spacing w:line="240" w:lineRule="auto"/>
              <w:ind w:firstLine="0" w:firstLineChars="0"/>
              <w:jc w:val="center"/>
              <w:rPr>
                <w:b/>
                <w:bCs/>
                <w:sz w:val="21"/>
                <w:szCs w:val="21"/>
              </w:rPr>
            </w:pPr>
          </w:p>
        </w:tc>
        <w:tc>
          <w:tcPr>
            <w:tcW w:w="1234" w:type="dxa"/>
            <w:vMerge w:val="continue"/>
            <w:vAlign w:val="center"/>
          </w:tcPr>
          <w:p>
            <w:pPr>
              <w:spacing w:line="240" w:lineRule="auto"/>
              <w:ind w:firstLine="0" w:firstLineChars="0"/>
              <w:jc w:val="center"/>
              <w:rPr>
                <w:b/>
                <w:bCs/>
                <w:sz w:val="21"/>
                <w:szCs w:val="21"/>
              </w:rPr>
            </w:pPr>
          </w:p>
        </w:tc>
        <w:tc>
          <w:tcPr>
            <w:tcW w:w="847" w:type="dxa"/>
            <w:vAlign w:val="center"/>
          </w:tcPr>
          <w:p>
            <w:pPr>
              <w:spacing w:line="240" w:lineRule="auto"/>
              <w:ind w:firstLine="0" w:firstLineChars="0"/>
              <w:jc w:val="center"/>
              <w:rPr>
                <w:b/>
                <w:bCs/>
                <w:sz w:val="21"/>
                <w:szCs w:val="21"/>
              </w:rPr>
            </w:pPr>
            <w:r>
              <w:rPr>
                <w:rFonts w:hint="eastAsia"/>
                <w:b/>
                <w:bCs/>
                <w:sz w:val="21"/>
                <w:szCs w:val="21"/>
              </w:rPr>
              <w:t>X</w:t>
            </w:r>
          </w:p>
        </w:tc>
        <w:tc>
          <w:tcPr>
            <w:tcW w:w="774" w:type="dxa"/>
            <w:vAlign w:val="center"/>
          </w:tcPr>
          <w:p>
            <w:pPr>
              <w:spacing w:line="240" w:lineRule="auto"/>
              <w:ind w:firstLine="0" w:firstLineChars="0"/>
              <w:jc w:val="center"/>
              <w:rPr>
                <w:b/>
                <w:bCs/>
                <w:sz w:val="21"/>
                <w:szCs w:val="21"/>
              </w:rPr>
            </w:pPr>
            <w:r>
              <w:rPr>
                <w:rFonts w:hint="eastAsia"/>
                <w:b/>
                <w:bCs/>
                <w:sz w:val="21"/>
                <w:szCs w:val="21"/>
              </w:rPr>
              <w:t>Y</w:t>
            </w:r>
          </w:p>
        </w:tc>
        <w:tc>
          <w:tcPr>
            <w:tcW w:w="779" w:type="dxa"/>
            <w:vAlign w:val="center"/>
          </w:tcPr>
          <w:p>
            <w:pPr>
              <w:spacing w:line="240" w:lineRule="auto"/>
              <w:ind w:firstLine="0" w:firstLineChars="0"/>
              <w:jc w:val="center"/>
              <w:rPr>
                <w:b/>
                <w:bCs/>
                <w:sz w:val="21"/>
                <w:szCs w:val="21"/>
              </w:rPr>
            </w:pPr>
            <w:r>
              <w:rPr>
                <w:rFonts w:hint="eastAsia"/>
                <w:b/>
                <w:bCs/>
                <w:sz w:val="21"/>
                <w:szCs w:val="21"/>
              </w:rPr>
              <w:t>Z</w:t>
            </w:r>
          </w:p>
        </w:tc>
        <w:tc>
          <w:tcPr>
            <w:tcW w:w="1212" w:type="dxa"/>
            <w:vMerge w:val="continue"/>
            <w:vAlign w:val="center"/>
          </w:tcPr>
          <w:p>
            <w:pPr>
              <w:spacing w:line="240" w:lineRule="auto"/>
              <w:ind w:firstLine="0" w:firstLineChars="0"/>
              <w:jc w:val="center"/>
              <w:rPr>
                <w:b/>
                <w:bCs/>
                <w:sz w:val="21"/>
                <w:szCs w:val="21"/>
              </w:rPr>
            </w:pPr>
          </w:p>
        </w:tc>
        <w:tc>
          <w:tcPr>
            <w:tcW w:w="992" w:type="dxa"/>
            <w:vMerge w:val="continue"/>
            <w:vAlign w:val="center"/>
          </w:tcPr>
          <w:p>
            <w:pPr>
              <w:spacing w:line="240" w:lineRule="auto"/>
              <w:ind w:firstLine="0" w:firstLineChars="0"/>
              <w:jc w:val="center"/>
              <w:rPr>
                <w:b/>
                <w:bCs/>
                <w:sz w:val="21"/>
                <w:szCs w:val="21"/>
              </w:rPr>
            </w:pPr>
          </w:p>
        </w:tc>
        <w:tc>
          <w:tcPr>
            <w:tcW w:w="1200" w:type="dxa"/>
            <w:vMerge w:val="continue"/>
            <w:vAlign w:val="center"/>
          </w:tcPr>
          <w:p>
            <w:pPr>
              <w:spacing w:line="240" w:lineRule="auto"/>
              <w:ind w:firstLine="0" w:firstLineChars="0"/>
              <w:jc w:val="center"/>
              <w:rPr>
                <w:b/>
                <w:bCs/>
                <w:sz w:val="21"/>
                <w:szCs w:val="21"/>
              </w:rPr>
            </w:pPr>
          </w:p>
        </w:tc>
        <w:tc>
          <w:tcPr>
            <w:tcW w:w="1096" w:type="dxa"/>
            <w:vMerge w:val="continue"/>
            <w:vAlign w:val="center"/>
          </w:tcPr>
          <w:p>
            <w:pPr>
              <w:spacing w:line="240" w:lineRule="auto"/>
              <w:ind w:firstLine="0" w:firstLineChars="0"/>
              <w:jc w:val="center"/>
              <w:rPr>
                <w:b/>
                <w:bCs/>
                <w:sz w:val="21"/>
                <w:szCs w:val="21"/>
              </w:rPr>
            </w:pPr>
          </w:p>
        </w:tc>
        <w:tc>
          <w:tcPr>
            <w:tcW w:w="866" w:type="dxa"/>
            <w:vAlign w:val="center"/>
          </w:tcPr>
          <w:p>
            <w:pPr>
              <w:spacing w:line="240" w:lineRule="auto"/>
              <w:ind w:firstLine="0" w:firstLineChars="0"/>
              <w:jc w:val="center"/>
              <w:rPr>
                <w:b/>
                <w:bCs/>
                <w:sz w:val="21"/>
                <w:szCs w:val="21"/>
              </w:rPr>
            </w:pPr>
            <w:r>
              <w:rPr>
                <w:rFonts w:hint="eastAsia"/>
                <w:b/>
                <w:bCs/>
                <w:sz w:val="21"/>
                <w:szCs w:val="21"/>
              </w:rPr>
              <w:t>声压级/dB(A)</w:t>
            </w:r>
          </w:p>
        </w:tc>
        <w:tc>
          <w:tcPr>
            <w:tcW w:w="746" w:type="dxa"/>
            <w:vAlign w:val="center"/>
          </w:tcPr>
          <w:p>
            <w:pPr>
              <w:spacing w:line="240" w:lineRule="auto"/>
              <w:ind w:firstLine="0" w:firstLineChars="0"/>
              <w:jc w:val="center"/>
              <w:rPr>
                <w:b/>
                <w:bCs/>
                <w:sz w:val="21"/>
                <w:szCs w:val="21"/>
              </w:rPr>
            </w:pPr>
            <w:r>
              <w:rPr>
                <w:rFonts w:hint="eastAsia"/>
                <w:b/>
                <w:bCs/>
                <w:sz w:val="21"/>
                <w:szCs w:val="21"/>
              </w:rPr>
              <w:t>距离（m）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1</w:t>
            </w:r>
          </w:p>
        </w:tc>
        <w:tc>
          <w:tcPr>
            <w:tcW w:w="877" w:type="dxa"/>
            <w:vMerge w:val="restart"/>
            <w:vAlign w:val="center"/>
          </w:tcPr>
          <w:p>
            <w:pPr>
              <w:spacing w:line="240" w:lineRule="auto"/>
              <w:ind w:firstLine="0" w:firstLineChars="0"/>
              <w:jc w:val="center"/>
              <w:rPr>
                <w:sz w:val="21"/>
                <w:szCs w:val="21"/>
              </w:rPr>
            </w:pPr>
            <w:r>
              <w:rPr>
                <w:rFonts w:hint="eastAsia"/>
                <w:sz w:val="21"/>
                <w:szCs w:val="21"/>
              </w:rPr>
              <w:t>1#车间</w:t>
            </w:r>
          </w:p>
        </w:tc>
        <w:tc>
          <w:tcPr>
            <w:tcW w:w="981" w:type="dxa"/>
            <w:vAlign w:val="center"/>
          </w:tcPr>
          <w:p>
            <w:pPr>
              <w:spacing w:line="240" w:lineRule="auto"/>
              <w:ind w:firstLine="0" w:firstLineChars="0"/>
              <w:jc w:val="center"/>
              <w:rPr>
                <w:sz w:val="21"/>
                <w:szCs w:val="21"/>
              </w:rPr>
            </w:pPr>
            <w:r>
              <w:rPr>
                <w:rFonts w:hint="eastAsia" w:ascii="宋体" w:hAnsi="宋体" w:cs="宋体"/>
                <w:kern w:val="21"/>
                <w:sz w:val="21"/>
                <w:szCs w:val="21"/>
              </w:rPr>
              <w:t>拉丝机</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80</w:t>
            </w:r>
          </w:p>
        </w:tc>
        <w:tc>
          <w:tcPr>
            <w:tcW w:w="1234" w:type="dxa"/>
            <w:vMerge w:val="restart"/>
            <w:vAlign w:val="center"/>
          </w:tcPr>
          <w:p>
            <w:pPr>
              <w:spacing w:line="240" w:lineRule="auto"/>
              <w:ind w:firstLine="0" w:firstLineChars="0"/>
              <w:jc w:val="center"/>
              <w:rPr>
                <w:sz w:val="21"/>
                <w:szCs w:val="21"/>
              </w:rPr>
            </w:pPr>
            <w:r>
              <w:rPr>
                <w:sz w:val="21"/>
                <w:szCs w:val="21"/>
                <w:u w:val="single"/>
              </w:rPr>
              <w:t>选用</w:t>
            </w:r>
            <w:r>
              <w:rPr>
                <w:rFonts w:hint="eastAsia"/>
                <w:sz w:val="21"/>
                <w:szCs w:val="21"/>
                <w:u w:val="single"/>
              </w:rPr>
              <w:t>低噪声型号设备，在设备连接处安装减震垫、车间内墙加装隔音棉</w:t>
            </w:r>
          </w:p>
        </w:tc>
        <w:tc>
          <w:tcPr>
            <w:tcW w:w="847" w:type="dxa"/>
            <w:vAlign w:val="center"/>
          </w:tcPr>
          <w:p>
            <w:pPr>
              <w:spacing w:line="240" w:lineRule="auto"/>
              <w:ind w:firstLine="0" w:firstLineChars="0"/>
              <w:jc w:val="center"/>
              <w:rPr>
                <w:sz w:val="21"/>
                <w:szCs w:val="21"/>
              </w:rPr>
            </w:pPr>
            <w:r>
              <w:rPr>
                <w:rFonts w:hint="eastAsia"/>
                <w:sz w:val="21"/>
                <w:szCs w:val="21"/>
              </w:rPr>
              <w:t>-25</w:t>
            </w:r>
          </w:p>
        </w:tc>
        <w:tc>
          <w:tcPr>
            <w:tcW w:w="774" w:type="dxa"/>
            <w:vAlign w:val="center"/>
          </w:tcPr>
          <w:p>
            <w:pPr>
              <w:spacing w:line="240" w:lineRule="auto"/>
              <w:ind w:firstLine="0" w:firstLineChars="0"/>
              <w:jc w:val="center"/>
              <w:rPr>
                <w:sz w:val="21"/>
                <w:szCs w:val="21"/>
              </w:rPr>
            </w:pPr>
            <w:r>
              <w:rPr>
                <w:rFonts w:hint="eastAsia"/>
                <w:sz w:val="21"/>
                <w:szCs w:val="21"/>
              </w:rPr>
              <w:t>-11</w:t>
            </w:r>
          </w:p>
        </w:tc>
        <w:tc>
          <w:tcPr>
            <w:tcW w:w="779" w:type="dxa"/>
            <w:vAlign w:val="center"/>
          </w:tcPr>
          <w:p>
            <w:pPr>
              <w:spacing w:line="240" w:lineRule="auto"/>
              <w:ind w:firstLine="0" w:firstLineChars="0"/>
              <w:jc w:val="center"/>
              <w:rPr>
                <w:sz w:val="21"/>
                <w:szCs w:val="21"/>
              </w:rPr>
            </w:pPr>
            <w:r>
              <w:rPr>
                <w:rFonts w:hint="eastAsia"/>
                <w:sz w:val="21"/>
                <w:szCs w:val="21"/>
              </w:rPr>
              <w:t>1.52</w:t>
            </w:r>
          </w:p>
        </w:tc>
        <w:tc>
          <w:tcPr>
            <w:tcW w:w="1212" w:type="dxa"/>
            <w:vAlign w:val="center"/>
          </w:tcPr>
          <w:p>
            <w:pPr>
              <w:spacing w:line="240" w:lineRule="auto"/>
              <w:ind w:firstLine="0" w:firstLineChars="0"/>
              <w:jc w:val="center"/>
              <w:rPr>
                <w:sz w:val="21"/>
                <w:szCs w:val="21"/>
              </w:rPr>
            </w:pPr>
            <w:r>
              <w:rPr>
                <w:rFonts w:hint="eastAsia"/>
                <w:sz w:val="21"/>
                <w:szCs w:val="21"/>
              </w:rPr>
              <w:t>10.8</w:t>
            </w:r>
          </w:p>
        </w:tc>
        <w:tc>
          <w:tcPr>
            <w:tcW w:w="992" w:type="dxa"/>
            <w:vAlign w:val="center"/>
          </w:tcPr>
          <w:p>
            <w:pPr>
              <w:spacing w:line="240" w:lineRule="auto"/>
              <w:ind w:firstLine="0" w:firstLineChars="0"/>
              <w:jc w:val="center"/>
              <w:rPr>
                <w:sz w:val="21"/>
                <w:szCs w:val="21"/>
              </w:rPr>
            </w:pPr>
            <w:r>
              <w:rPr>
                <w:rFonts w:hint="eastAsia"/>
                <w:sz w:val="21"/>
                <w:szCs w:val="21"/>
              </w:rPr>
              <w:t>59.33</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19.33</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2</w:t>
            </w:r>
          </w:p>
        </w:tc>
        <w:tc>
          <w:tcPr>
            <w:tcW w:w="877" w:type="dxa"/>
            <w:vMerge w:val="continue"/>
            <w:vAlign w:val="center"/>
          </w:tcPr>
          <w:p>
            <w:pPr>
              <w:spacing w:line="240" w:lineRule="auto"/>
              <w:ind w:firstLine="0" w:firstLineChars="0"/>
              <w:jc w:val="center"/>
              <w:rPr>
                <w:sz w:val="21"/>
                <w:szCs w:val="21"/>
              </w:rPr>
            </w:pPr>
          </w:p>
        </w:tc>
        <w:tc>
          <w:tcPr>
            <w:tcW w:w="981" w:type="dxa"/>
            <w:vAlign w:val="center"/>
          </w:tcPr>
          <w:p>
            <w:pPr>
              <w:spacing w:line="240" w:lineRule="auto"/>
              <w:ind w:firstLine="0" w:firstLineChars="0"/>
              <w:jc w:val="center"/>
              <w:rPr>
                <w:sz w:val="21"/>
                <w:szCs w:val="21"/>
              </w:rPr>
            </w:pPr>
            <w:r>
              <w:rPr>
                <w:rFonts w:hint="eastAsia"/>
                <w:kern w:val="21"/>
                <w:sz w:val="21"/>
                <w:szCs w:val="21"/>
              </w:rPr>
              <w:t>背胶机</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80</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0</w:t>
            </w:r>
          </w:p>
        </w:tc>
        <w:tc>
          <w:tcPr>
            <w:tcW w:w="774" w:type="dxa"/>
            <w:vAlign w:val="center"/>
          </w:tcPr>
          <w:p>
            <w:pPr>
              <w:spacing w:line="240" w:lineRule="auto"/>
              <w:ind w:firstLine="0" w:firstLineChars="0"/>
              <w:jc w:val="center"/>
              <w:rPr>
                <w:sz w:val="21"/>
                <w:szCs w:val="21"/>
              </w:rPr>
            </w:pPr>
            <w:r>
              <w:rPr>
                <w:rFonts w:hint="eastAsia"/>
                <w:sz w:val="21"/>
                <w:szCs w:val="21"/>
              </w:rPr>
              <w:t>1.5</w:t>
            </w:r>
          </w:p>
        </w:tc>
        <w:tc>
          <w:tcPr>
            <w:tcW w:w="779" w:type="dxa"/>
            <w:vAlign w:val="center"/>
          </w:tcPr>
          <w:p>
            <w:pPr>
              <w:spacing w:line="240" w:lineRule="auto"/>
              <w:ind w:firstLine="0" w:firstLineChars="0"/>
              <w:jc w:val="center"/>
              <w:rPr>
                <w:sz w:val="21"/>
                <w:szCs w:val="21"/>
              </w:rPr>
            </w:pPr>
            <w:r>
              <w:rPr>
                <w:rFonts w:hint="eastAsia"/>
                <w:sz w:val="21"/>
                <w:szCs w:val="21"/>
              </w:rPr>
              <w:t>0.67</w:t>
            </w:r>
          </w:p>
        </w:tc>
        <w:tc>
          <w:tcPr>
            <w:tcW w:w="1212" w:type="dxa"/>
            <w:vAlign w:val="center"/>
          </w:tcPr>
          <w:p>
            <w:pPr>
              <w:spacing w:line="240" w:lineRule="auto"/>
              <w:ind w:firstLine="0" w:firstLineChars="0"/>
              <w:jc w:val="center"/>
              <w:rPr>
                <w:sz w:val="21"/>
                <w:szCs w:val="21"/>
              </w:rPr>
            </w:pPr>
            <w:r>
              <w:rPr>
                <w:rFonts w:hint="eastAsia"/>
                <w:sz w:val="21"/>
                <w:szCs w:val="21"/>
              </w:rPr>
              <w:t>14.5</w:t>
            </w:r>
          </w:p>
        </w:tc>
        <w:tc>
          <w:tcPr>
            <w:tcW w:w="992" w:type="dxa"/>
            <w:vAlign w:val="center"/>
          </w:tcPr>
          <w:p>
            <w:pPr>
              <w:spacing w:line="240" w:lineRule="auto"/>
              <w:ind w:firstLine="0" w:firstLineChars="0"/>
              <w:jc w:val="center"/>
              <w:rPr>
                <w:sz w:val="21"/>
                <w:szCs w:val="21"/>
              </w:rPr>
            </w:pPr>
            <w:r>
              <w:rPr>
                <w:rFonts w:hint="eastAsia"/>
                <w:sz w:val="21"/>
                <w:szCs w:val="21"/>
              </w:rPr>
              <w:t>56.77</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16.77</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3</w:t>
            </w:r>
          </w:p>
        </w:tc>
        <w:tc>
          <w:tcPr>
            <w:tcW w:w="877" w:type="dxa"/>
            <w:vMerge w:val="continue"/>
            <w:vAlign w:val="center"/>
          </w:tcPr>
          <w:p>
            <w:pPr>
              <w:spacing w:line="240" w:lineRule="auto"/>
              <w:ind w:firstLine="0" w:firstLineChars="0"/>
              <w:jc w:val="center"/>
              <w:rPr>
                <w:sz w:val="21"/>
                <w:szCs w:val="21"/>
              </w:rPr>
            </w:pPr>
          </w:p>
        </w:tc>
        <w:tc>
          <w:tcPr>
            <w:tcW w:w="981" w:type="dxa"/>
            <w:vAlign w:val="center"/>
          </w:tcPr>
          <w:p>
            <w:pPr>
              <w:spacing w:line="240" w:lineRule="auto"/>
              <w:ind w:firstLine="0" w:firstLineChars="0"/>
              <w:jc w:val="center"/>
              <w:rPr>
                <w:sz w:val="21"/>
                <w:szCs w:val="21"/>
              </w:rPr>
            </w:pPr>
            <w:r>
              <w:rPr>
                <w:rFonts w:hint="eastAsia" w:ascii="宋体" w:hAnsi="宋体" w:cs="宋体"/>
                <w:kern w:val="21"/>
                <w:sz w:val="21"/>
                <w:szCs w:val="21"/>
              </w:rPr>
              <w:t>空压机</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95</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-34</w:t>
            </w:r>
          </w:p>
        </w:tc>
        <w:tc>
          <w:tcPr>
            <w:tcW w:w="774" w:type="dxa"/>
            <w:vAlign w:val="center"/>
          </w:tcPr>
          <w:p>
            <w:pPr>
              <w:spacing w:line="240" w:lineRule="auto"/>
              <w:ind w:firstLine="0" w:firstLineChars="0"/>
              <w:jc w:val="center"/>
              <w:rPr>
                <w:sz w:val="21"/>
                <w:szCs w:val="21"/>
              </w:rPr>
            </w:pPr>
            <w:r>
              <w:rPr>
                <w:rFonts w:hint="eastAsia"/>
                <w:sz w:val="21"/>
                <w:szCs w:val="21"/>
              </w:rPr>
              <w:t>7</w:t>
            </w:r>
          </w:p>
        </w:tc>
        <w:tc>
          <w:tcPr>
            <w:tcW w:w="779" w:type="dxa"/>
            <w:vAlign w:val="center"/>
          </w:tcPr>
          <w:p>
            <w:pPr>
              <w:spacing w:line="240" w:lineRule="auto"/>
              <w:ind w:firstLine="0" w:firstLineChars="0"/>
              <w:jc w:val="center"/>
              <w:rPr>
                <w:sz w:val="21"/>
                <w:szCs w:val="21"/>
              </w:rPr>
            </w:pPr>
            <w:r>
              <w:rPr>
                <w:rFonts w:hint="eastAsia"/>
                <w:sz w:val="21"/>
                <w:szCs w:val="21"/>
              </w:rPr>
              <w:t>0.80</w:t>
            </w:r>
          </w:p>
        </w:tc>
        <w:tc>
          <w:tcPr>
            <w:tcW w:w="1212" w:type="dxa"/>
            <w:vAlign w:val="center"/>
          </w:tcPr>
          <w:p>
            <w:pPr>
              <w:spacing w:line="240" w:lineRule="auto"/>
              <w:ind w:firstLine="0" w:firstLineChars="0"/>
              <w:jc w:val="center"/>
              <w:rPr>
                <w:sz w:val="21"/>
                <w:szCs w:val="21"/>
              </w:rPr>
            </w:pPr>
            <w:r>
              <w:rPr>
                <w:rFonts w:hint="eastAsia"/>
                <w:sz w:val="21"/>
                <w:szCs w:val="21"/>
              </w:rPr>
              <w:t>1.2</w:t>
            </w:r>
          </w:p>
        </w:tc>
        <w:tc>
          <w:tcPr>
            <w:tcW w:w="992" w:type="dxa"/>
            <w:vAlign w:val="center"/>
          </w:tcPr>
          <w:p>
            <w:pPr>
              <w:spacing w:line="240" w:lineRule="auto"/>
              <w:ind w:firstLine="0" w:firstLineChars="0"/>
              <w:jc w:val="center"/>
              <w:rPr>
                <w:sz w:val="21"/>
                <w:szCs w:val="21"/>
              </w:rPr>
            </w:pPr>
            <w:r>
              <w:rPr>
                <w:rFonts w:hint="eastAsia"/>
                <w:sz w:val="21"/>
                <w:szCs w:val="21"/>
              </w:rPr>
              <w:t>93.42</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53.42</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4</w:t>
            </w:r>
          </w:p>
        </w:tc>
        <w:tc>
          <w:tcPr>
            <w:tcW w:w="877" w:type="dxa"/>
            <w:vMerge w:val="restart"/>
            <w:vAlign w:val="center"/>
          </w:tcPr>
          <w:p>
            <w:pPr>
              <w:spacing w:line="240" w:lineRule="auto"/>
              <w:ind w:firstLine="0" w:firstLineChars="0"/>
              <w:jc w:val="center"/>
              <w:rPr>
                <w:sz w:val="21"/>
                <w:szCs w:val="21"/>
              </w:rPr>
            </w:pPr>
            <w:r>
              <w:rPr>
                <w:rFonts w:hint="eastAsia"/>
                <w:sz w:val="21"/>
                <w:szCs w:val="21"/>
              </w:rPr>
              <w:t>2#车间</w:t>
            </w:r>
          </w:p>
        </w:tc>
        <w:tc>
          <w:tcPr>
            <w:tcW w:w="981" w:type="dxa"/>
            <w:vAlign w:val="center"/>
          </w:tcPr>
          <w:p>
            <w:pPr>
              <w:spacing w:line="240" w:lineRule="auto"/>
              <w:ind w:firstLine="0" w:firstLineChars="0"/>
              <w:jc w:val="center"/>
              <w:rPr>
                <w:sz w:val="21"/>
                <w:szCs w:val="21"/>
              </w:rPr>
            </w:pPr>
            <w:r>
              <w:rPr>
                <w:rFonts w:hint="eastAsia" w:ascii="宋体" w:hAnsi="宋体" w:cs="宋体"/>
                <w:kern w:val="21"/>
                <w:sz w:val="21"/>
                <w:szCs w:val="21"/>
              </w:rPr>
              <w:t>拉丝机</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80</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-25</w:t>
            </w:r>
          </w:p>
        </w:tc>
        <w:tc>
          <w:tcPr>
            <w:tcW w:w="774" w:type="dxa"/>
            <w:vAlign w:val="center"/>
          </w:tcPr>
          <w:p>
            <w:pPr>
              <w:spacing w:line="240" w:lineRule="auto"/>
              <w:ind w:firstLine="0" w:firstLineChars="0"/>
              <w:jc w:val="center"/>
              <w:rPr>
                <w:sz w:val="21"/>
                <w:szCs w:val="21"/>
              </w:rPr>
            </w:pPr>
            <w:r>
              <w:rPr>
                <w:rFonts w:hint="eastAsia"/>
                <w:sz w:val="21"/>
                <w:szCs w:val="21"/>
              </w:rPr>
              <w:t>-11</w:t>
            </w:r>
          </w:p>
        </w:tc>
        <w:tc>
          <w:tcPr>
            <w:tcW w:w="779" w:type="dxa"/>
            <w:vAlign w:val="center"/>
          </w:tcPr>
          <w:p>
            <w:pPr>
              <w:spacing w:line="240" w:lineRule="auto"/>
              <w:ind w:firstLine="0" w:firstLineChars="0"/>
              <w:jc w:val="center"/>
              <w:rPr>
                <w:sz w:val="21"/>
                <w:szCs w:val="21"/>
              </w:rPr>
            </w:pPr>
            <w:r>
              <w:rPr>
                <w:rFonts w:hint="eastAsia"/>
                <w:sz w:val="21"/>
                <w:szCs w:val="21"/>
              </w:rPr>
              <w:t>1.52</w:t>
            </w:r>
          </w:p>
        </w:tc>
        <w:tc>
          <w:tcPr>
            <w:tcW w:w="1212" w:type="dxa"/>
            <w:vAlign w:val="center"/>
          </w:tcPr>
          <w:p>
            <w:pPr>
              <w:spacing w:line="240" w:lineRule="auto"/>
              <w:ind w:firstLine="0" w:firstLineChars="0"/>
              <w:jc w:val="center"/>
              <w:rPr>
                <w:sz w:val="21"/>
                <w:szCs w:val="21"/>
              </w:rPr>
            </w:pPr>
            <w:r>
              <w:rPr>
                <w:rFonts w:hint="eastAsia"/>
                <w:sz w:val="21"/>
                <w:szCs w:val="21"/>
              </w:rPr>
              <w:t>10.8</w:t>
            </w:r>
          </w:p>
        </w:tc>
        <w:tc>
          <w:tcPr>
            <w:tcW w:w="992" w:type="dxa"/>
            <w:vAlign w:val="center"/>
          </w:tcPr>
          <w:p>
            <w:pPr>
              <w:spacing w:line="240" w:lineRule="auto"/>
              <w:ind w:firstLine="0" w:firstLineChars="0"/>
              <w:jc w:val="center"/>
              <w:rPr>
                <w:sz w:val="21"/>
                <w:szCs w:val="21"/>
              </w:rPr>
            </w:pPr>
            <w:r>
              <w:rPr>
                <w:rFonts w:hint="eastAsia"/>
                <w:sz w:val="21"/>
                <w:szCs w:val="21"/>
              </w:rPr>
              <w:t>59.33</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19.33</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5</w:t>
            </w:r>
          </w:p>
        </w:tc>
        <w:tc>
          <w:tcPr>
            <w:tcW w:w="877" w:type="dxa"/>
            <w:vMerge w:val="continue"/>
            <w:vAlign w:val="center"/>
          </w:tcPr>
          <w:p>
            <w:pPr>
              <w:spacing w:line="240" w:lineRule="auto"/>
              <w:ind w:firstLine="0" w:firstLineChars="0"/>
              <w:jc w:val="center"/>
              <w:rPr>
                <w:sz w:val="21"/>
                <w:szCs w:val="21"/>
              </w:rPr>
            </w:pPr>
          </w:p>
        </w:tc>
        <w:tc>
          <w:tcPr>
            <w:tcW w:w="981" w:type="dxa"/>
            <w:vAlign w:val="center"/>
          </w:tcPr>
          <w:p>
            <w:pPr>
              <w:spacing w:line="240" w:lineRule="auto"/>
              <w:ind w:firstLine="0" w:firstLineChars="0"/>
              <w:jc w:val="center"/>
              <w:rPr>
                <w:sz w:val="21"/>
                <w:szCs w:val="21"/>
              </w:rPr>
            </w:pPr>
            <w:r>
              <w:rPr>
                <w:rFonts w:hint="eastAsia"/>
                <w:kern w:val="21"/>
                <w:sz w:val="21"/>
                <w:szCs w:val="21"/>
              </w:rPr>
              <w:t>背胶机</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80</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0</w:t>
            </w:r>
          </w:p>
        </w:tc>
        <w:tc>
          <w:tcPr>
            <w:tcW w:w="774" w:type="dxa"/>
            <w:vAlign w:val="center"/>
          </w:tcPr>
          <w:p>
            <w:pPr>
              <w:spacing w:line="240" w:lineRule="auto"/>
              <w:ind w:firstLine="0" w:firstLineChars="0"/>
              <w:jc w:val="center"/>
              <w:rPr>
                <w:sz w:val="21"/>
                <w:szCs w:val="21"/>
              </w:rPr>
            </w:pPr>
            <w:r>
              <w:rPr>
                <w:rFonts w:hint="eastAsia"/>
                <w:sz w:val="21"/>
                <w:szCs w:val="21"/>
              </w:rPr>
              <w:t>1.5</w:t>
            </w:r>
          </w:p>
        </w:tc>
        <w:tc>
          <w:tcPr>
            <w:tcW w:w="779" w:type="dxa"/>
            <w:vAlign w:val="center"/>
          </w:tcPr>
          <w:p>
            <w:pPr>
              <w:spacing w:line="240" w:lineRule="auto"/>
              <w:ind w:firstLine="0" w:firstLineChars="0"/>
              <w:jc w:val="center"/>
              <w:rPr>
                <w:sz w:val="21"/>
                <w:szCs w:val="21"/>
              </w:rPr>
            </w:pPr>
            <w:r>
              <w:rPr>
                <w:rFonts w:hint="eastAsia"/>
                <w:sz w:val="21"/>
                <w:szCs w:val="21"/>
              </w:rPr>
              <w:t>0.67</w:t>
            </w:r>
          </w:p>
        </w:tc>
        <w:tc>
          <w:tcPr>
            <w:tcW w:w="1212" w:type="dxa"/>
            <w:vAlign w:val="center"/>
          </w:tcPr>
          <w:p>
            <w:pPr>
              <w:spacing w:line="240" w:lineRule="auto"/>
              <w:ind w:firstLine="0" w:firstLineChars="0"/>
              <w:jc w:val="center"/>
              <w:rPr>
                <w:sz w:val="21"/>
                <w:szCs w:val="21"/>
              </w:rPr>
            </w:pPr>
            <w:r>
              <w:rPr>
                <w:rFonts w:hint="eastAsia"/>
                <w:sz w:val="21"/>
                <w:szCs w:val="21"/>
              </w:rPr>
              <w:t>14.5</w:t>
            </w:r>
          </w:p>
        </w:tc>
        <w:tc>
          <w:tcPr>
            <w:tcW w:w="992" w:type="dxa"/>
            <w:vAlign w:val="center"/>
          </w:tcPr>
          <w:p>
            <w:pPr>
              <w:spacing w:line="240" w:lineRule="auto"/>
              <w:ind w:firstLine="0" w:firstLineChars="0"/>
              <w:jc w:val="center"/>
              <w:rPr>
                <w:sz w:val="21"/>
                <w:szCs w:val="21"/>
              </w:rPr>
            </w:pPr>
            <w:r>
              <w:rPr>
                <w:rFonts w:hint="eastAsia"/>
                <w:sz w:val="21"/>
                <w:szCs w:val="21"/>
              </w:rPr>
              <w:t>56.77</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16.77</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6</w:t>
            </w:r>
          </w:p>
        </w:tc>
        <w:tc>
          <w:tcPr>
            <w:tcW w:w="877" w:type="dxa"/>
            <w:vMerge w:val="restart"/>
            <w:vAlign w:val="center"/>
          </w:tcPr>
          <w:p>
            <w:pPr>
              <w:spacing w:line="240" w:lineRule="auto"/>
              <w:ind w:firstLine="0" w:firstLineChars="0"/>
              <w:jc w:val="center"/>
              <w:rPr>
                <w:sz w:val="21"/>
                <w:szCs w:val="21"/>
              </w:rPr>
            </w:pPr>
            <w:r>
              <w:rPr>
                <w:rFonts w:hint="eastAsia"/>
                <w:sz w:val="21"/>
                <w:szCs w:val="21"/>
              </w:rPr>
              <w:t>3#车间</w:t>
            </w:r>
          </w:p>
        </w:tc>
        <w:tc>
          <w:tcPr>
            <w:tcW w:w="981" w:type="dxa"/>
            <w:vAlign w:val="center"/>
          </w:tcPr>
          <w:p>
            <w:pPr>
              <w:spacing w:line="240" w:lineRule="auto"/>
              <w:ind w:firstLine="0" w:firstLineChars="0"/>
              <w:jc w:val="center"/>
              <w:rPr>
                <w:sz w:val="21"/>
                <w:szCs w:val="21"/>
              </w:rPr>
            </w:pPr>
            <w:r>
              <w:rPr>
                <w:rFonts w:ascii="宋体" w:hAnsi="宋体" w:cs="宋体"/>
                <w:kern w:val="21"/>
                <w:sz w:val="21"/>
                <w:szCs w:val="21"/>
              </w:rPr>
              <w:t>密炼机</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85</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17</w:t>
            </w:r>
          </w:p>
        </w:tc>
        <w:tc>
          <w:tcPr>
            <w:tcW w:w="774" w:type="dxa"/>
            <w:vAlign w:val="center"/>
          </w:tcPr>
          <w:p>
            <w:pPr>
              <w:spacing w:line="240" w:lineRule="auto"/>
              <w:ind w:firstLine="0" w:firstLineChars="0"/>
              <w:jc w:val="center"/>
              <w:rPr>
                <w:sz w:val="21"/>
                <w:szCs w:val="21"/>
              </w:rPr>
            </w:pPr>
            <w:r>
              <w:rPr>
                <w:rFonts w:hint="eastAsia"/>
                <w:sz w:val="21"/>
                <w:szCs w:val="21"/>
              </w:rPr>
              <w:t>28</w:t>
            </w:r>
          </w:p>
        </w:tc>
        <w:tc>
          <w:tcPr>
            <w:tcW w:w="779" w:type="dxa"/>
            <w:vAlign w:val="center"/>
          </w:tcPr>
          <w:p>
            <w:pPr>
              <w:spacing w:line="240" w:lineRule="auto"/>
              <w:ind w:firstLine="0" w:firstLineChars="0"/>
              <w:jc w:val="center"/>
              <w:rPr>
                <w:sz w:val="21"/>
                <w:szCs w:val="21"/>
              </w:rPr>
            </w:pPr>
            <w:r>
              <w:rPr>
                <w:rFonts w:hint="eastAsia"/>
                <w:sz w:val="21"/>
                <w:szCs w:val="21"/>
              </w:rPr>
              <w:t>1.53</w:t>
            </w:r>
          </w:p>
        </w:tc>
        <w:tc>
          <w:tcPr>
            <w:tcW w:w="1212" w:type="dxa"/>
            <w:vAlign w:val="center"/>
          </w:tcPr>
          <w:p>
            <w:pPr>
              <w:spacing w:line="240" w:lineRule="auto"/>
              <w:ind w:firstLine="0" w:firstLineChars="0"/>
              <w:jc w:val="center"/>
              <w:rPr>
                <w:sz w:val="21"/>
                <w:szCs w:val="21"/>
              </w:rPr>
            </w:pPr>
            <w:r>
              <w:rPr>
                <w:rFonts w:hint="eastAsia"/>
                <w:sz w:val="21"/>
                <w:szCs w:val="21"/>
              </w:rPr>
              <w:t>10.8</w:t>
            </w:r>
          </w:p>
        </w:tc>
        <w:tc>
          <w:tcPr>
            <w:tcW w:w="992" w:type="dxa"/>
            <w:vAlign w:val="center"/>
          </w:tcPr>
          <w:p>
            <w:pPr>
              <w:spacing w:line="240" w:lineRule="auto"/>
              <w:ind w:firstLine="0" w:firstLineChars="0"/>
              <w:jc w:val="center"/>
              <w:rPr>
                <w:sz w:val="21"/>
                <w:szCs w:val="21"/>
              </w:rPr>
            </w:pPr>
            <w:r>
              <w:rPr>
                <w:rFonts w:hint="eastAsia"/>
                <w:sz w:val="21"/>
                <w:szCs w:val="21"/>
              </w:rPr>
              <w:t>64.33</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24.33</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7</w:t>
            </w:r>
          </w:p>
        </w:tc>
        <w:tc>
          <w:tcPr>
            <w:tcW w:w="877" w:type="dxa"/>
            <w:vMerge w:val="continue"/>
            <w:vAlign w:val="center"/>
          </w:tcPr>
          <w:p>
            <w:pPr>
              <w:spacing w:line="240" w:lineRule="auto"/>
              <w:ind w:firstLine="0" w:firstLineChars="0"/>
              <w:jc w:val="center"/>
              <w:rPr>
                <w:sz w:val="21"/>
                <w:szCs w:val="21"/>
              </w:rPr>
            </w:pPr>
          </w:p>
        </w:tc>
        <w:tc>
          <w:tcPr>
            <w:tcW w:w="981" w:type="dxa"/>
            <w:vAlign w:val="center"/>
          </w:tcPr>
          <w:p>
            <w:pPr>
              <w:spacing w:line="240" w:lineRule="auto"/>
              <w:ind w:firstLine="0" w:firstLineChars="0"/>
              <w:jc w:val="center"/>
              <w:rPr>
                <w:sz w:val="21"/>
                <w:szCs w:val="21"/>
              </w:rPr>
            </w:pPr>
            <w:r>
              <w:rPr>
                <w:rFonts w:ascii="宋体" w:hAnsi="宋体" w:cs="宋体"/>
                <w:kern w:val="21"/>
                <w:sz w:val="21"/>
                <w:szCs w:val="21"/>
              </w:rPr>
              <w:t>挤塑机</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80</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0</w:t>
            </w:r>
          </w:p>
        </w:tc>
        <w:tc>
          <w:tcPr>
            <w:tcW w:w="774" w:type="dxa"/>
            <w:vAlign w:val="center"/>
          </w:tcPr>
          <w:p>
            <w:pPr>
              <w:spacing w:line="240" w:lineRule="auto"/>
              <w:ind w:firstLine="0" w:firstLineChars="0"/>
              <w:jc w:val="center"/>
              <w:rPr>
                <w:sz w:val="21"/>
                <w:szCs w:val="21"/>
              </w:rPr>
            </w:pPr>
            <w:r>
              <w:rPr>
                <w:rFonts w:hint="eastAsia"/>
                <w:sz w:val="21"/>
                <w:szCs w:val="21"/>
              </w:rPr>
              <w:t>25</w:t>
            </w:r>
          </w:p>
        </w:tc>
        <w:tc>
          <w:tcPr>
            <w:tcW w:w="779" w:type="dxa"/>
            <w:vAlign w:val="center"/>
          </w:tcPr>
          <w:p>
            <w:pPr>
              <w:spacing w:line="240" w:lineRule="auto"/>
              <w:ind w:firstLine="0" w:firstLineChars="0"/>
              <w:jc w:val="center"/>
              <w:rPr>
                <w:sz w:val="21"/>
                <w:szCs w:val="21"/>
              </w:rPr>
            </w:pPr>
            <w:r>
              <w:rPr>
                <w:rFonts w:hint="eastAsia"/>
                <w:sz w:val="21"/>
                <w:szCs w:val="21"/>
              </w:rPr>
              <w:t>1.53</w:t>
            </w:r>
          </w:p>
        </w:tc>
        <w:tc>
          <w:tcPr>
            <w:tcW w:w="1212" w:type="dxa"/>
            <w:vAlign w:val="center"/>
          </w:tcPr>
          <w:p>
            <w:pPr>
              <w:spacing w:line="240" w:lineRule="auto"/>
              <w:ind w:firstLine="0" w:firstLineChars="0"/>
              <w:jc w:val="center"/>
              <w:rPr>
                <w:sz w:val="21"/>
                <w:szCs w:val="21"/>
              </w:rPr>
            </w:pPr>
            <w:r>
              <w:rPr>
                <w:rFonts w:hint="eastAsia"/>
                <w:sz w:val="21"/>
                <w:szCs w:val="21"/>
              </w:rPr>
              <w:t>14.5</w:t>
            </w:r>
          </w:p>
        </w:tc>
        <w:tc>
          <w:tcPr>
            <w:tcW w:w="992" w:type="dxa"/>
            <w:vAlign w:val="center"/>
          </w:tcPr>
          <w:p>
            <w:pPr>
              <w:spacing w:line="240" w:lineRule="auto"/>
              <w:ind w:firstLine="0" w:firstLineChars="0"/>
              <w:jc w:val="center"/>
              <w:rPr>
                <w:sz w:val="21"/>
                <w:szCs w:val="21"/>
              </w:rPr>
            </w:pPr>
            <w:r>
              <w:rPr>
                <w:rFonts w:hint="eastAsia"/>
                <w:sz w:val="21"/>
                <w:szCs w:val="21"/>
              </w:rPr>
              <w:t>56.77</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16.77</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8</w:t>
            </w:r>
          </w:p>
        </w:tc>
        <w:tc>
          <w:tcPr>
            <w:tcW w:w="877" w:type="dxa"/>
            <w:vMerge w:val="continue"/>
            <w:vAlign w:val="center"/>
          </w:tcPr>
          <w:p>
            <w:pPr>
              <w:spacing w:line="240" w:lineRule="auto"/>
              <w:ind w:firstLine="0" w:firstLineChars="0"/>
              <w:jc w:val="center"/>
              <w:rPr>
                <w:sz w:val="21"/>
                <w:szCs w:val="21"/>
              </w:rPr>
            </w:pPr>
          </w:p>
        </w:tc>
        <w:tc>
          <w:tcPr>
            <w:tcW w:w="981" w:type="dxa"/>
            <w:vAlign w:val="center"/>
          </w:tcPr>
          <w:p>
            <w:pPr>
              <w:spacing w:line="240" w:lineRule="auto"/>
              <w:ind w:firstLine="0" w:firstLineChars="0"/>
              <w:jc w:val="center"/>
              <w:rPr>
                <w:sz w:val="21"/>
                <w:szCs w:val="21"/>
              </w:rPr>
            </w:pPr>
            <w:r>
              <w:rPr>
                <w:rFonts w:ascii="宋体" w:hAnsi="宋体" w:cs="宋体"/>
                <w:kern w:val="21"/>
                <w:sz w:val="21"/>
                <w:szCs w:val="21"/>
              </w:rPr>
              <w:t>粉碎机</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85</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-55</w:t>
            </w:r>
          </w:p>
        </w:tc>
        <w:tc>
          <w:tcPr>
            <w:tcW w:w="774" w:type="dxa"/>
            <w:vAlign w:val="center"/>
          </w:tcPr>
          <w:p>
            <w:pPr>
              <w:spacing w:line="240" w:lineRule="auto"/>
              <w:ind w:firstLine="0" w:firstLineChars="0"/>
              <w:jc w:val="center"/>
              <w:rPr>
                <w:sz w:val="21"/>
                <w:szCs w:val="21"/>
              </w:rPr>
            </w:pPr>
            <w:r>
              <w:rPr>
                <w:rFonts w:hint="eastAsia"/>
                <w:sz w:val="21"/>
                <w:szCs w:val="21"/>
              </w:rPr>
              <w:t>17</w:t>
            </w:r>
          </w:p>
        </w:tc>
        <w:tc>
          <w:tcPr>
            <w:tcW w:w="779" w:type="dxa"/>
            <w:vAlign w:val="center"/>
          </w:tcPr>
          <w:p>
            <w:pPr>
              <w:spacing w:line="240" w:lineRule="auto"/>
              <w:ind w:firstLine="0" w:firstLineChars="0"/>
              <w:jc w:val="center"/>
              <w:rPr>
                <w:sz w:val="21"/>
                <w:szCs w:val="21"/>
              </w:rPr>
            </w:pPr>
            <w:r>
              <w:rPr>
                <w:rFonts w:hint="eastAsia"/>
                <w:sz w:val="21"/>
                <w:szCs w:val="21"/>
              </w:rPr>
              <w:t>2.61</w:t>
            </w:r>
          </w:p>
        </w:tc>
        <w:tc>
          <w:tcPr>
            <w:tcW w:w="1212" w:type="dxa"/>
            <w:vAlign w:val="center"/>
          </w:tcPr>
          <w:p>
            <w:pPr>
              <w:spacing w:line="240" w:lineRule="auto"/>
              <w:ind w:firstLine="0" w:firstLineChars="0"/>
              <w:jc w:val="center"/>
              <w:rPr>
                <w:sz w:val="21"/>
                <w:szCs w:val="21"/>
              </w:rPr>
            </w:pPr>
            <w:r>
              <w:rPr>
                <w:rFonts w:hint="eastAsia"/>
                <w:sz w:val="21"/>
                <w:szCs w:val="21"/>
              </w:rPr>
              <w:t>5.5</w:t>
            </w:r>
          </w:p>
        </w:tc>
        <w:tc>
          <w:tcPr>
            <w:tcW w:w="992" w:type="dxa"/>
            <w:vAlign w:val="center"/>
          </w:tcPr>
          <w:p>
            <w:pPr>
              <w:spacing w:line="240" w:lineRule="auto"/>
              <w:ind w:firstLine="0" w:firstLineChars="0"/>
              <w:jc w:val="center"/>
              <w:rPr>
                <w:sz w:val="21"/>
                <w:szCs w:val="21"/>
              </w:rPr>
            </w:pPr>
            <w:r>
              <w:rPr>
                <w:rFonts w:hint="eastAsia"/>
                <w:sz w:val="21"/>
                <w:szCs w:val="21"/>
              </w:rPr>
              <w:t>70.19</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30.19</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9</w:t>
            </w:r>
          </w:p>
        </w:tc>
        <w:tc>
          <w:tcPr>
            <w:tcW w:w="877" w:type="dxa"/>
            <w:vAlign w:val="center"/>
          </w:tcPr>
          <w:p>
            <w:pPr>
              <w:spacing w:line="240" w:lineRule="auto"/>
              <w:ind w:firstLine="0" w:firstLineChars="0"/>
              <w:jc w:val="center"/>
              <w:rPr>
                <w:sz w:val="21"/>
                <w:szCs w:val="21"/>
              </w:rPr>
            </w:pPr>
            <w:r>
              <w:rPr>
                <w:rFonts w:hint="eastAsia"/>
                <w:sz w:val="21"/>
                <w:szCs w:val="21"/>
              </w:rPr>
              <w:t>5#车间</w:t>
            </w:r>
          </w:p>
        </w:tc>
        <w:tc>
          <w:tcPr>
            <w:tcW w:w="981" w:type="dxa"/>
            <w:vAlign w:val="center"/>
          </w:tcPr>
          <w:p>
            <w:pPr>
              <w:spacing w:line="240" w:lineRule="auto"/>
              <w:ind w:firstLine="0" w:firstLineChars="0"/>
              <w:jc w:val="center"/>
              <w:rPr>
                <w:sz w:val="21"/>
                <w:szCs w:val="21"/>
              </w:rPr>
            </w:pPr>
            <w:r>
              <w:rPr>
                <w:rFonts w:hint="eastAsia" w:ascii="宋体" w:hAnsi="宋体" w:cs="宋体"/>
                <w:kern w:val="21"/>
                <w:sz w:val="21"/>
                <w:szCs w:val="21"/>
              </w:rPr>
              <w:t>真空</w:t>
            </w:r>
            <w:r>
              <w:rPr>
                <w:rFonts w:ascii="宋体" w:hAnsi="宋体" w:cs="宋体"/>
                <w:kern w:val="21"/>
                <w:sz w:val="21"/>
                <w:szCs w:val="21"/>
              </w:rPr>
              <w:t>泵</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85</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-25</w:t>
            </w:r>
          </w:p>
        </w:tc>
        <w:tc>
          <w:tcPr>
            <w:tcW w:w="774" w:type="dxa"/>
            <w:vAlign w:val="center"/>
          </w:tcPr>
          <w:p>
            <w:pPr>
              <w:spacing w:line="240" w:lineRule="auto"/>
              <w:ind w:firstLine="0" w:firstLineChars="0"/>
              <w:jc w:val="center"/>
              <w:rPr>
                <w:sz w:val="21"/>
                <w:szCs w:val="21"/>
              </w:rPr>
            </w:pPr>
            <w:r>
              <w:rPr>
                <w:rFonts w:hint="eastAsia"/>
                <w:sz w:val="21"/>
                <w:szCs w:val="21"/>
              </w:rPr>
              <w:t>0</w:t>
            </w:r>
          </w:p>
        </w:tc>
        <w:tc>
          <w:tcPr>
            <w:tcW w:w="779" w:type="dxa"/>
            <w:vAlign w:val="center"/>
          </w:tcPr>
          <w:p>
            <w:pPr>
              <w:spacing w:line="240" w:lineRule="auto"/>
              <w:ind w:firstLine="0" w:firstLineChars="0"/>
              <w:jc w:val="center"/>
              <w:rPr>
                <w:sz w:val="21"/>
                <w:szCs w:val="21"/>
              </w:rPr>
            </w:pPr>
            <w:r>
              <w:rPr>
                <w:rFonts w:hint="eastAsia"/>
                <w:sz w:val="21"/>
                <w:szCs w:val="21"/>
              </w:rPr>
              <w:t>0.80</w:t>
            </w:r>
          </w:p>
        </w:tc>
        <w:tc>
          <w:tcPr>
            <w:tcW w:w="1212" w:type="dxa"/>
            <w:vAlign w:val="center"/>
          </w:tcPr>
          <w:p>
            <w:pPr>
              <w:spacing w:line="240" w:lineRule="auto"/>
              <w:ind w:firstLine="0" w:firstLineChars="0"/>
              <w:jc w:val="center"/>
              <w:rPr>
                <w:sz w:val="21"/>
                <w:szCs w:val="21"/>
              </w:rPr>
            </w:pPr>
            <w:r>
              <w:rPr>
                <w:rFonts w:hint="eastAsia"/>
                <w:sz w:val="21"/>
                <w:szCs w:val="21"/>
              </w:rPr>
              <w:t>1.2</w:t>
            </w:r>
          </w:p>
        </w:tc>
        <w:tc>
          <w:tcPr>
            <w:tcW w:w="992" w:type="dxa"/>
            <w:vAlign w:val="center"/>
          </w:tcPr>
          <w:p>
            <w:pPr>
              <w:spacing w:line="240" w:lineRule="auto"/>
              <w:ind w:firstLine="0" w:firstLineChars="0"/>
              <w:jc w:val="center"/>
              <w:rPr>
                <w:sz w:val="21"/>
                <w:szCs w:val="21"/>
              </w:rPr>
            </w:pPr>
            <w:r>
              <w:rPr>
                <w:rFonts w:hint="eastAsia"/>
                <w:sz w:val="21"/>
                <w:szCs w:val="21"/>
              </w:rPr>
              <w:t>83.42</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43.42</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10</w:t>
            </w:r>
          </w:p>
        </w:tc>
        <w:tc>
          <w:tcPr>
            <w:tcW w:w="877" w:type="dxa"/>
            <w:vMerge w:val="restart"/>
            <w:vAlign w:val="center"/>
          </w:tcPr>
          <w:p>
            <w:pPr>
              <w:spacing w:line="240" w:lineRule="auto"/>
              <w:ind w:firstLine="0" w:firstLineChars="0"/>
              <w:jc w:val="center"/>
              <w:rPr>
                <w:sz w:val="21"/>
                <w:szCs w:val="21"/>
              </w:rPr>
            </w:pPr>
            <w:r>
              <w:rPr>
                <w:rFonts w:hint="eastAsia"/>
                <w:sz w:val="21"/>
                <w:szCs w:val="21"/>
              </w:rPr>
              <w:t>6#车间</w:t>
            </w:r>
          </w:p>
        </w:tc>
        <w:tc>
          <w:tcPr>
            <w:tcW w:w="981" w:type="dxa"/>
            <w:vAlign w:val="center"/>
          </w:tcPr>
          <w:p>
            <w:pPr>
              <w:spacing w:line="240" w:lineRule="auto"/>
              <w:ind w:firstLine="0" w:firstLineChars="0"/>
              <w:jc w:val="center"/>
              <w:rPr>
                <w:sz w:val="21"/>
                <w:szCs w:val="21"/>
              </w:rPr>
            </w:pPr>
            <w:r>
              <w:rPr>
                <w:rFonts w:hint="eastAsia" w:ascii="宋体" w:hAnsi="宋体" w:cs="宋体"/>
                <w:kern w:val="21"/>
                <w:sz w:val="21"/>
                <w:szCs w:val="21"/>
              </w:rPr>
              <w:t>搅拌机</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85</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-30</w:t>
            </w:r>
          </w:p>
        </w:tc>
        <w:tc>
          <w:tcPr>
            <w:tcW w:w="774" w:type="dxa"/>
            <w:vAlign w:val="center"/>
          </w:tcPr>
          <w:p>
            <w:pPr>
              <w:spacing w:line="240" w:lineRule="auto"/>
              <w:ind w:firstLine="0" w:firstLineChars="0"/>
              <w:jc w:val="center"/>
              <w:rPr>
                <w:sz w:val="21"/>
                <w:szCs w:val="21"/>
              </w:rPr>
            </w:pPr>
            <w:r>
              <w:rPr>
                <w:rFonts w:hint="eastAsia"/>
                <w:sz w:val="21"/>
                <w:szCs w:val="21"/>
              </w:rPr>
              <w:t>27</w:t>
            </w:r>
          </w:p>
        </w:tc>
        <w:tc>
          <w:tcPr>
            <w:tcW w:w="779" w:type="dxa"/>
            <w:vAlign w:val="center"/>
          </w:tcPr>
          <w:p>
            <w:pPr>
              <w:spacing w:line="240" w:lineRule="auto"/>
              <w:ind w:firstLine="0" w:firstLineChars="0"/>
              <w:jc w:val="center"/>
              <w:rPr>
                <w:sz w:val="21"/>
                <w:szCs w:val="21"/>
              </w:rPr>
            </w:pPr>
            <w:r>
              <w:rPr>
                <w:rFonts w:hint="eastAsia"/>
                <w:sz w:val="21"/>
                <w:szCs w:val="21"/>
              </w:rPr>
              <w:t>1.55</w:t>
            </w:r>
          </w:p>
        </w:tc>
        <w:tc>
          <w:tcPr>
            <w:tcW w:w="1212" w:type="dxa"/>
            <w:vAlign w:val="center"/>
          </w:tcPr>
          <w:p>
            <w:pPr>
              <w:spacing w:line="240" w:lineRule="auto"/>
              <w:ind w:firstLine="0" w:firstLineChars="0"/>
              <w:jc w:val="center"/>
              <w:rPr>
                <w:sz w:val="21"/>
                <w:szCs w:val="21"/>
              </w:rPr>
            </w:pPr>
            <w:r>
              <w:rPr>
                <w:rFonts w:hint="eastAsia"/>
                <w:sz w:val="21"/>
                <w:szCs w:val="21"/>
              </w:rPr>
              <w:t>5.5</w:t>
            </w:r>
          </w:p>
        </w:tc>
        <w:tc>
          <w:tcPr>
            <w:tcW w:w="992" w:type="dxa"/>
            <w:vAlign w:val="center"/>
          </w:tcPr>
          <w:p>
            <w:pPr>
              <w:spacing w:line="240" w:lineRule="auto"/>
              <w:ind w:firstLine="0" w:firstLineChars="0"/>
              <w:jc w:val="center"/>
              <w:rPr>
                <w:sz w:val="21"/>
                <w:szCs w:val="21"/>
              </w:rPr>
            </w:pPr>
            <w:r>
              <w:rPr>
                <w:rFonts w:hint="eastAsia"/>
                <w:sz w:val="21"/>
                <w:szCs w:val="21"/>
              </w:rPr>
              <w:t>70.19</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30.19</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4" w:type="dxa"/>
            <w:vAlign w:val="center"/>
          </w:tcPr>
          <w:p>
            <w:pPr>
              <w:spacing w:line="240" w:lineRule="auto"/>
              <w:ind w:firstLine="0" w:firstLineChars="0"/>
              <w:jc w:val="center"/>
              <w:rPr>
                <w:sz w:val="21"/>
                <w:szCs w:val="21"/>
              </w:rPr>
            </w:pPr>
            <w:r>
              <w:rPr>
                <w:rFonts w:hint="eastAsia"/>
                <w:sz w:val="21"/>
                <w:szCs w:val="21"/>
              </w:rPr>
              <w:t>11</w:t>
            </w:r>
          </w:p>
        </w:tc>
        <w:tc>
          <w:tcPr>
            <w:tcW w:w="877" w:type="dxa"/>
            <w:vMerge w:val="continue"/>
            <w:vAlign w:val="center"/>
          </w:tcPr>
          <w:p>
            <w:pPr>
              <w:spacing w:line="240" w:lineRule="auto"/>
              <w:ind w:firstLine="0" w:firstLineChars="0"/>
              <w:jc w:val="center"/>
              <w:rPr>
                <w:sz w:val="21"/>
                <w:szCs w:val="21"/>
              </w:rPr>
            </w:pPr>
          </w:p>
        </w:tc>
        <w:tc>
          <w:tcPr>
            <w:tcW w:w="981" w:type="dxa"/>
            <w:vAlign w:val="center"/>
          </w:tcPr>
          <w:p>
            <w:pPr>
              <w:spacing w:line="240" w:lineRule="auto"/>
              <w:ind w:firstLine="0" w:firstLineChars="0"/>
              <w:jc w:val="center"/>
              <w:rPr>
                <w:sz w:val="21"/>
                <w:szCs w:val="21"/>
              </w:rPr>
            </w:pPr>
            <w:r>
              <w:rPr>
                <w:rFonts w:hint="eastAsia" w:ascii="宋体" w:hAnsi="宋体" w:cs="宋体"/>
                <w:kern w:val="21"/>
                <w:sz w:val="21"/>
                <w:szCs w:val="21"/>
              </w:rPr>
              <w:t>高速分散釜</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80</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0</w:t>
            </w:r>
          </w:p>
        </w:tc>
        <w:tc>
          <w:tcPr>
            <w:tcW w:w="774" w:type="dxa"/>
            <w:vAlign w:val="center"/>
          </w:tcPr>
          <w:p>
            <w:pPr>
              <w:spacing w:line="240" w:lineRule="auto"/>
              <w:ind w:firstLine="0" w:firstLineChars="0"/>
              <w:jc w:val="center"/>
              <w:rPr>
                <w:sz w:val="21"/>
                <w:szCs w:val="21"/>
              </w:rPr>
            </w:pPr>
            <w:r>
              <w:rPr>
                <w:rFonts w:hint="eastAsia"/>
                <w:sz w:val="21"/>
                <w:szCs w:val="21"/>
              </w:rPr>
              <w:t>0</w:t>
            </w:r>
          </w:p>
        </w:tc>
        <w:tc>
          <w:tcPr>
            <w:tcW w:w="779" w:type="dxa"/>
            <w:vAlign w:val="center"/>
          </w:tcPr>
          <w:p>
            <w:pPr>
              <w:spacing w:line="240" w:lineRule="auto"/>
              <w:ind w:firstLine="0" w:firstLineChars="0"/>
              <w:jc w:val="center"/>
              <w:rPr>
                <w:sz w:val="21"/>
                <w:szCs w:val="21"/>
              </w:rPr>
            </w:pPr>
            <w:r>
              <w:rPr>
                <w:rFonts w:hint="eastAsia"/>
                <w:sz w:val="21"/>
                <w:szCs w:val="21"/>
              </w:rPr>
              <w:t>1.55</w:t>
            </w:r>
          </w:p>
        </w:tc>
        <w:tc>
          <w:tcPr>
            <w:tcW w:w="1212" w:type="dxa"/>
            <w:vAlign w:val="center"/>
          </w:tcPr>
          <w:p>
            <w:pPr>
              <w:spacing w:line="240" w:lineRule="auto"/>
              <w:ind w:firstLine="0" w:firstLineChars="0"/>
              <w:jc w:val="center"/>
              <w:rPr>
                <w:sz w:val="21"/>
                <w:szCs w:val="21"/>
              </w:rPr>
            </w:pPr>
            <w:r>
              <w:rPr>
                <w:rFonts w:hint="eastAsia"/>
                <w:sz w:val="21"/>
                <w:szCs w:val="21"/>
              </w:rPr>
              <w:t>5.5</w:t>
            </w:r>
          </w:p>
        </w:tc>
        <w:tc>
          <w:tcPr>
            <w:tcW w:w="992" w:type="dxa"/>
            <w:vAlign w:val="center"/>
          </w:tcPr>
          <w:p>
            <w:pPr>
              <w:spacing w:line="240" w:lineRule="auto"/>
              <w:ind w:firstLine="0" w:firstLineChars="0"/>
              <w:jc w:val="center"/>
              <w:rPr>
                <w:sz w:val="21"/>
                <w:szCs w:val="21"/>
              </w:rPr>
            </w:pPr>
            <w:r>
              <w:rPr>
                <w:rFonts w:hint="eastAsia"/>
                <w:sz w:val="21"/>
                <w:szCs w:val="21"/>
              </w:rPr>
              <w:t>65.19</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25.19</w:t>
            </w:r>
          </w:p>
        </w:tc>
        <w:tc>
          <w:tcPr>
            <w:tcW w:w="746" w:type="dxa"/>
            <w:vAlign w:val="center"/>
          </w:tcPr>
          <w:p>
            <w:pPr>
              <w:spacing w:line="240" w:lineRule="auto"/>
              <w:ind w:firstLine="0" w:firstLineChars="0"/>
              <w:jc w:val="center"/>
              <w:rPr>
                <w:sz w:val="21"/>
                <w:szCs w:val="21"/>
              </w:rPr>
            </w:pPr>
            <w:r>
              <w:rPr>
                <w:rFonts w:hint="eastAsia"/>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4" w:type="dxa"/>
            <w:vAlign w:val="center"/>
          </w:tcPr>
          <w:p>
            <w:pPr>
              <w:spacing w:line="240" w:lineRule="auto"/>
              <w:ind w:firstLine="0" w:firstLineChars="0"/>
              <w:jc w:val="center"/>
              <w:rPr>
                <w:sz w:val="21"/>
                <w:szCs w:val="21"/>
              </w:rPr>
            </w:pPr>
            <w:r>
              <w:rPr>
                <w:rFonts w:hint="eastAsia"/>
                <w:sz w:val="21"/>
                <w:szCs w:val="21"/>
              </w:rPr>
              <w:t>12</w:t>
            </w:r>
          </w:p>
        </w:tc>
        <w:tc>
          <w:tcPr>
            <w:tcW w:w="877" w:type="dxa"/>
            <w:vMerge w:val="continue"/>
            <w:vAlign w:val="center"/>
          </w:tcPr>
          <w:p>
            <w:pPr>
              <w:spacing w:line="240" w:lineRule="auto"/>
              <w:ind w:firstLine="0" w:firstLineChars="0"/>
              <w:jc w:val="center"/>
              <w:rPr>
                <w:sz w:val="21"/>
                <w:szCs w:val="21"/>
              </w:rPr>
            </w:pPr>
          </w:p>
        </w:tc>
        <w:tc>
          <w:tcPr>
            <w:tcW w:w="981" w:type="dxa"/>
            <w:vAlign w:val="center"/>
          </w:tcPr>
          <w:p>
            <w:pPr>
              <w:spacing w:line="240" w:lineRule="auto"/>
              <w:ind w:firstLine="0" w:firstLineChars="0"/>
              <w:jc w:val="center"/>
              <w:rPr>
                <w:rFonts w:ascii="宋体" w:hAnsi="宋体" w:cs="宋体"/>
                <w:kern w:val="21"/>
                <w:sz w:val="21"/>
                <w:szCs w:val="21"/>
              </w:rPr>
            </w:pPr>
            <w:r>
              <w:rPr>
                <w:rFonts w:hint="eastAsia" w:ascii="宋体" w:hAnsi="宋体" w:cs="宋体"/>
                <w:kern w:val="21"/>
                <w:sz w:val="21"/>
                <w:szCs w:val="21"/>
              </w:rPr>
              <w:t>真空</w:t>
            </w:r>
            <w:r>
              <w:rPr>
                <w:rFonts w:ascii="宋体" w:hAnsi="宋体" w:cs="宋体"/>
                <w:kern w:val="21"/>
                <w:sz w:val="21"/>
                <w:szCs w:val="21"/>
              </w:rPr>
              <w:t>泵</w:t>
            </w:r>
          </w:p>
        </w:tc>
        <w:tc>
          <w:tcPr>
            <w:tcW w:w="958" w:type="dxa"/>
            <w:vAlign w:val="center"/>
          </w:tcPr>
          <w:p>
            <w:pPr>
              <w:spacing w:line="240" w:lineRule="auto"/>
              <w:ind w:firstLine="0" w:firstLineChars="0"/>
              <w:jc w:val="center"/>
              <w:rPr>
                <w:sz w:val="21"/>
                <w:szCs w:val="21"/>
              </w:rPr>
            </w:pPr>
            <w:r>
              <w:rPr>
                <w:rFonts w:hint="eastAsia"/>
                <w:sz w:val="21"/>
                <w:szCs w:val="21"/>
              </w:rPr>
              <w:t>点源</w:t>
            </w:r>
          </w:p>
        </w:tc>
        <w:tc>
          <w:tcPr>
            <w:tcW w:w="1154" w:type="dxa"/>
            <w:vAlign w:val="center"/>
          </w:tcPr>
          <w:p>
            <w:pPr>
              <w:spacing w:line="240" w:lineRule="auto"/>
              <w:ind w:firstLine="0" w:firstLineChars="0"/>
              <w:jc w:val="center"/>
              <w:rPr>
                <w:sz w:val="21"/>
                <w:szCs w:val="21"/>
              </w:rPr>
            </w:pPr>
            <w:r>
              <w:rPr>
                <w:rFonts w:hint="eastAsia"/>
                <w:sz w:val="21"/>
                <w:szCs w:val="21"/>
              </w:rPr>
              <w:t>85</w:t>
            </w:r>
          </w:p>
        </w:tc>
        <w:tc>
          <w:tcPr>
            <w:tcW w:w="1234" w:type="dxa"/>
            <w:vMerge w:val="continue"/>
            <w:vAlign w:val="center"/>
          </w:tcPr>
          <w:p>
            <w:pPr>
              <w:spacing w:line="240" w:lineRule="auto"/>
              <w:ind w:firstLine="0" w:firstLineChars="0"/>
              <w:jc w:val="center"/>
              <w:rPr>
                <w:sz w:val="21"/>
                <w:szCs w:val="21"/>
              </w:rPr>
            </w:pPr>
          </w:p>
        </w:tc>
        <w:tc>
          <w:tcPr>
            <w:tcW w:w="847" w:type="dxa"/>
            <w:vAlign w:val="center"/>
          </w:tcPr>
          <w:p>
            <w:pPr>
              <w:spacing w:line="240" w:lineRule="auto"/>
              <w:ind w:firstLine="0" w:firstLineChars="0"/>
              <w:jc w:val="center"/>
              <w:rPr>
                <w:sz w:val="21"/>
                <w:szCs w:val="21"/>
              </w:rPr>
            </w:pPr>
            <w:r>
              <w:rPr>
                <w:rFonts w:hint="eastAsia"/>
                <w:sz w:val="21"/>
                <w:szCs w:val="21"/>
              </w:rPr>
              <w:t>-34</w:t>
            </w:r>
          </w:p>
        </w:tc>
        <w:tc>
          <w:tcPr>
            <w:tcW w:w="774" w:type="dxa"/>
            <w:vAlign w:val="center"/>
          </w:tcPr>
          <w:p>
            <w:pPr>
              <w:spacing w:line="240" w:lineRule="auto"/>
              <w:ind w:firstLine="0" w:firstLineChars="0"/>
              <w:jc w:val="center"/>
              <w:rPr>
                <w:sz w:val="21"/>
                <w:szCs w:val="21"/>
              </w:rPr>
            </w:pPr>
            <w:r>
              <w:rPr>
                <w:rFonts w:hint="eastAsia"/>
                <w:sz w:val="21"/>
                <w:szCs w:val="21"/>
              </w:rPr>
              <w:t>0</w:t>
            </w:r>
          </w:p>
        </w:tc>
        <w:tc>
          <w:tcPr>
            <w:tcW w:w="779" w:type="dxa"/>
            <w:vAlign w:val="center"/>
          </w:tcPr>
          <w:p>
            <w:pPr>
              <w:spacing w:line="240" w:lineRule="auto"/>
              <w:ind w:firstLine="0" w:firstLineChars="0"/>
              <w:jc w:val="center"/>
              <w:rPr>
                <w:sz w:val="21"/>
                <w:szCs w:val="21"/>
              </w:rPr>
            </w:pPr>
            <w:r>
              <w:rPr>
                <w:rFonts w:hint="eastAsia"/>
                <w:sz w:val="21"/>
                <w:szCs w:val="21"/>
              </w:rPr>
              <w:t>0.80</w:t>
            </w:r>
          </w:p>
        </w:tc>
        <w:tc>
          <w:tcPr>
            <w:tcW w:w="1212" w:type="dxa"/>
            <w:vAlign w:val="center"/>
          </w:tcPr>
          <w:p>
            <w:pPr>
              <w:spacing w:line="240" w:lineRule="auto"/>
              <w:ind w:firstLine="0" w:firstLineChars="0"/>
              <w:jc w:val="center"/>
              <w:rPr>
                <w:sz w:val="21"/>
                <w:szCs w:val="21"/>
              </w:rPr>
            </w:pPr>
            <w:r>
              <w:rPr>
                <w:rFonts w:hint="eastAsia"/>
                <w:sz w:val="21"/>
                <w:szCs w:val="21"/>
              </w:rPr>
              <w:t>1.2</w:t>
            </w:r>
          </w:p>
        </w:tc>
        <w:tc>
          <w:tcPr>
            <w:tcW w:w="992" w:type="dxa"/>
            <w:vAlign w:val="center"/>
          </w:tcPr>
          <w:p>
            <w:pPr>
              <w:spacing w:line="240" w:lineRule="auto"/>
              <w:ind w:firstLine="0" w:firstLineChars="0"/>
              <w:jc w:val="center"/>
              <w:rPr>
                <w:sz w:val="21"/>
                <w:szCs w:val="21"/>
              </w:rPr>
            </w:pPr>
            <w:r>
              <w:rPr>
                <w:rFonts w:hint="eastAsia"/>
                <w:sz w:val="21"/>
                <w:szCs w:val="21"/>
              </w:rPr>
              <w:t>83.42</w:t>
            </w:r>
          </w:p>
        </w:tc>
        <w:tc>
          <w:tcPr>
            <w:tcW w:w="1200" w:type="dxa"/>
            <w:vAlign w:val="center"/>
          </w:tcPr>
          <w:p>
            <w:pPr>
              <w:spacing w:line="240" w:lineRule="auto"/>
              <w:ind w:firstLine="0" w:firstLineChars="0"/>
              <w:jc w:val="center"/>
              <w:rPr>
                <w:sz w:val="21"/>
                <w:szCs w:val="21"/>
              </w:rPr>
            </w:pPr>
            <w:r>
              <w:rPr>
                <w:rFonts w:hint="eastAsia"/>
                <w:sz w:val="21"/>
                <w:szCs w:val="21"/>
              </w:rPr>
              <w:t>稳定声源</w:t>
            </w:r>
          </w:p>
        </w:tc>
        <w:tc>
          <w:tcPr>
            <w:tcW w:w="1096" w:type="dxa"/>
            <w:vAlign w:val="center"/>
          </w:tcPr>
          <w:p>
            <w:pPr>
              <w:spacing w:line="240" w:lineRule="auto"/>
              <w:ind w:firstLine="0" w:firstLineChars="0"/>
              <w:jc w:val="center"/>
              <w:rPr>
                <w:sz w:val="21"/>
                <w:szCs w:val="21"/>
              </w:rPr>
            </w:pPr>
            <w:r>
              <w:rPr>
                <w:rFonts w:hint="eastAsia"/>
                <w:sz w:val="21"/>
                <w:szCs w:val="21"/>
              </w:rPr>
              <w:t>40</w:t>
            </w:r>
          </w:p>
        </w:tc>
        <w:tc>
          <w:tcPr>
            <w:tcW w:w="866" w:type="dxa"/>
            <w:vAlign w:val="center"/>
          </w:tcPr>
          <w:p>
            <w:pPr>
              <w:spacing w:line="240" w:lineRule="auto"/>
              <w:ind w:firstLine="0" w:firstLineChars="0"/>
              <w:jc w:val="center"/>
              <w:rPr>
                <w:sz w:val="21"/>
                <w:szCs w:val="21"/>
              </w:rPr>
            </w:pPr>
            <w:r>
              <w:rPr>
                <w:rFonts w:hint="eastAsia"/>
                <w:sz w:val="21"/>
                <w:szCs w:val="21"/>
              </w:rPr>
              <w:t>43.42</w:t>
            </w:r>
          </w:p>
        </w:tc>
        <w:tc>
          <w:tcPr>
            <w:tcW w:w="746" w:type="dxa"/>
            <w:vAlign w:val="center"/>
          </w:tcPr>
          <w:p>
            <w:pPr>
              <w:spacing w:line="240" w:lineRule="auto"/>
              <w:ind w:firstLine="0" w:firstLineChars="0"/>
              <w:jc w:val="center"/>
              <w:rPr>
                <w:sz w:val="21"/>
                <w:szCs w:val="21"/>
              </w:rPr>
            </w:pPr>
            <w:r>
              <w:rPr>
                <w:rFonts w:hint="eastAsia"/>
                <w:sz w:val="21"/>
                <w:szCs w:val="21"/>
              </w:rPr>
              <w:t>1</w:t>
            </w:r>
          </w:p>
        </w:tc>
      </w:tr>
    </w:tbl>
    <w:p>
      <w:pPr>
        <w:ind w:firstLine="482"/>
        <w:jc w:val="center"/>
        <w:rPr>
          <w:b/>
          <w:bCs/>
        </w:rPr>
      </w:pPr>
    </w:p>
    <w:p>
      <w:pPr>
        <w:widowControl/>
        <w:ind w:firstLine="480"/>
        <w:jc w:val="left"/>
        <w:sectPr>
          <w:pgSz w:w="16838" w:h="11906" w:orient="landscape"/>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pPr>
    </w:p>
    <w:p>
      <w:pPr>
        <w:pStyle w:val="7"/>
        <w:ind w:firstLine="562"/>
      </w:pPr>
      <w:r>
        <w:rPr>
          <w:rFonts w:hint="eastAsia"/>
        </w:rPr>
        <w:t>6</w:t>
      </w:r>
      <w:r>
        <w:t>.</w:t>
      </w:r>
      <w:r>
        <w:rPr>
          <w:rFonts w:hint="eastAsia"/>
        </w:rPr>
        <w:t>4</w:t>
      </w:r>
      <w:r>
        <w:t>.</w:t>
      </w:r>
      <w:r>
        <w:rPr>
          <w:rFonts w:hint="eastAsia"/>
        </w:rPr>
        <w:t>3</w:t>
      </w:r>
      <w:r>
        <w:t xml:space="preserve"> </w:t>
      </w:r>
      <w:r>
        <w:rPr>
          <w:rFonts w:hint="eastAsia"/>
        </w:rPr>
        <w:t>评价标准</w:t>
      </w:r>
    </w:p>
    <w:p>
      <w:pPr>
        <w:widowControl/>
        <w:ind w:firstLine="480"/>
        <w:jc w:val="left"/>
      </w:pPr>
      <w:r>
        <w:rPr>
          <w:rFonts w:hint="eastAsia" w:ascii="宋体" w:hAnsi="宋体" w:cs="宋体"/>
          <w:color w:val="000000"/>
          <w:kern w:val="0"/>
          <w:lang w:bidi="ar"/>
        </w:rPr>
        <w:t>本次环境噪声执行《工业企业厂界环境噪声排放标准》（</w:t>
      </w:r>
      <w:r>
        <w:rPr>
          <w:rFonts w:cs="Times New Roman"/>
          <w:color w:val="000000"/>
          <w:kern w:val="0"/>
          <w:lang w:bidi="ar"/>
        </w:rPr>
        <w:t>GB12348-2008</w:t>
      </w: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类标准。</w:t>
      </w:r>
    </w:p>
    <w:p>
      <w:pPr>
        <w:pStyle w:val="7"/>
        <w:ind w:firstLine="562"/>
      </w:pPr>
      <w:r>
        <w:rPr>
          <w:rFonts w:hint="eastAsia"/>
        </w:rPr>
        <w:t>6.4</w:t>
      </w:r>
      <w:r>
        <w:t>.</w:t>
      </w:r>
      <w:r>
        <w:rPr>
          <w:rFonts w:hint="eastAsia"/>
        </w:rPr>
        <w:t>4</w:t>
      </w:r>
      <w:r>
        <w:t xml:space="preserve"> </w:t>
      </w:r>
      <w:r>
        <w:rPr>
          <w:rFonts w:hint="eastAsia"/>
        </w:rPr>
        <w:t>评价等级</w:t>
      </w:r>
    </w:p>
    <w:p>
      <w:pPr>
        <w:widowControl/>
        <w:ind w:firstLine="480"/>
        <w:jc w:val="left"/>
      </w:pPr>
      <w:r>
        <w:rPr>
          <w:rFonts w:hint="eastAsia" w:ascii="宋体" w:hAnsi="宋体" w:cs="宋体"/>
          <w:color w:val="000000"/>
          <w:kern w:val="0"/>
          <w:lang w:bidi="ar"/>
        </w:rPr>
        <w:t>本工程所处声环境功能区为</w:t>
      </w:r>
      <w:r>
        <w:rPr>
          <w:rFonts w:cs="Times New Roman"/>
          <w:color w:val="000000"/>
          <w:kern w:val="0"/>
          <w:lang w:bidi="ar"/>
        </w:rPr>
        <w:t>GB3096</w:t>
      </w:r>
      <w:r>
        <w:rPr>
          <w:rFonts w:hint="eastAsia" w:ascii="宋体" w:hAnsi="宋体" w:cs="宋体"/>
          <w:color w:val="000000"/>
          <w:kern w:val="0"/>
          <w:lang w:bidi="ar"/>
        </w:rPr>
        <w:t>规定的</w:t>
      </w:r>
      <w:r>
        <w:rPr>
          <w:rFonts w:cs="Times New Roman"/>
          <w:color w:val="000000"/>
          <w:kern w:val="0"/>
          <w:lang w:bidi="ar"/>
        </w:rPr>
        <w:t>3</w:t>
      </w:r>
      <w:r>
        <w:rPr>
          <w:rFonts w:hint="eastAsia" w:ascii="宋体" w:hAnsi="宋体" w:cs="宋体"/>
          <w:color w:val="000000"/>
          <w:kern w:val="0"/>
          <w:lang w:bidi="ar"/>
        </w:rPr>
        <w:t>类地区，且建设项目</w:t>
      </w:r>
      <w:r>
        <w:rPr>
          <w:rFonts w:cs="Times New Roman"/>
          <w:color w:val="000000"/>
          <w:kern w:val="0"/>
          <w:lang w:bidi="ar"/>
        </w:rPr>
        <w:t>200m</w:t>
      </w:r>
      <w:r>
        <w:rPr>
          <w:rFonts w:hint="eastAsia" w:ascii="宋体" w:hAnsi="宋体" w:cs="宋体"/>
          <w:color w:val="000000"/>
          <w:kern w:val="0"/>
          <w:lang w:bidi="ar"/>
        </w:rPr>
        <w:t>范围内无敏感目标，根据《环境影响评价技术导则</w:t>
      </w:r>
      <w:r>
        <w:rPr>
          <w:rFonts w:cs="Times New Roman"/>
          <w:color w:val="000000"/>
          <w:kern w:val="0"/>
          <w:lang w:bidi="ar"/>
        </w:rPr>
        <w:t>-</w:t>
      </w:r>
      <w:r>
        <w:rPr>
          <w:rFonts w:hint="eastAsia" w:ascii="宋体" w:hAnsi="宋体" w:cs="宋体"/>
          <w:color w:val="000000"/>
          <w:kern w:val="0"/>
          <w:lang w:bidi="ar"/>
        </w:rPr>
        <w:t>声环境》（</w:t>
      </w:r>
      <w:r>
        <w:rPr>
          <w:rFonts w:cs="Times New Roman"/>
          <w:color w:val="000000"/>
          <w:kern w:val="0"/>
          <w:lang w:bidi="ar"/>
        </w:rPr>
        <w:t>HJ2.4-2021</w:t>
      </w:r>
      <w:r>
        <w:rPr>
          <w:rFonts w:hint="eastAsia" w:ascii="宋体" w:hAnsi="宋体" w:cs="宋体"/>
          <w:color w:val="000000"/>
          <w:kern w:val="0"/>
          <w:lang w:bidi="ar"/>
        </w:rPr>
        <w:t>）要求，本次声环境影响评价工作等级确定为三级。</w:t>
      </w:r>
    </w:p>
    <w:p>
      <w:pPr>
        <w:pStyle w:val="7"/>
        <w:ind w:firstLine="562"/>
      </w:pPr>
      <w:r>
        <w:rPr>
          <w:rFonts w:hint="eastAsia"/>
        </w:rPr>
        <w:t>6.4.5</w:t>
      </w:r>
      <w:r>
        <w:t xml:space="preserve"> </w:t>
      </w:r>
      <w:r>
        <w:rPr>
          <w:rFonts w:hint="eastAsia"/>
        </w:rPr>
        <w:t>评价范围</w:t>
      </w:r>
    </w:p>
    <w:p>
      <w:pPr>
        <w:widowControl/>
        <w:ind w:firstLine="480"/>
        <w:jc w:val="left"/>
      </w:pPr>
      <w:r>
        <w:rPr>
          <w:rFonts w:hint="eastAsia" w:ascii="宋体" w:hAnsi="宋体" w:cs="宋体"/>
          <w:color w:val="000000"/>
          <w:kern w:val="0"/>
          <w:lang w:bidi="ar"/>
        </w:rPr>
        <w:t>根据本项目厂址位置及周围环境敏感点分布情况，本次声环境质量预测范围为四周厂界外</w:t>
      </w:r>
      <w:r>
        <w:rPr>
          <w:rFonts w:cs="Times New Roman"/>
          <w:color w:val="000000"/>
          <w:kern w:val="0"/>
          <w:lang w:bidi="ar"/>
        </w:rPr>
        <w:t>200m</w:t>
      </w:r>
      <w:r>
        <w:rPr>
          <w:rFonts w:hint="eastAsia" w:ascii="宋体" w:hAnsi="宋体" w:cs="宋体"/>
          <w:color w:val="000000"/>
          <w:kern w:val="0"/>
          <w:lang w:bidi="ar"/>
        </w:rPr>
        <w:t>。本项目噪声评价范围见图</w:t>
      </w:r>
      <w:r>
        <w:rPr>
          <w:rFonts w:hint="eastAsia" w:cs="Times New Roman"/>
          <w:color w:val="000000"/>
          <w:kern w:val="0"/>
          <w:lang w:bidi="ar"/>
        </w:rPr>
        <w:t>6.4-1</w:t>
      </w:r>
      <w:r>
        <w:rPr>
          <w:rFonts w:hint="eastAsia" w:ascii="宋体" w:hAnsi="宋体" w:cs="宋体"/>
          <w:color w:val="000000"/>
          <w:kern w:val="0"/>
          <w:lang w:bidi="ar"/>
        </w:rPr>
        <w:t>。</w:t>
      </w:r>
    </w:p>
    <w:p>
      <w:pPr>
        <w:widowControl/>
        <w:ind w:firstLine="0" w:firstLineChars="0"/>
        <w:jc w:val="center"/>
      </w:pPr>
      <w:r>
        <mc:AlternateContent>
          <mc:Choice Requires="wps">
            <w:drawing>
              <wp:anchor distT="0" distB="0" distL="114300" distR="114300" simplePos="0" relativeHeight="251715584" behindDoc="0" locked="0" layoutInCell="1" allowOverlap="1">
                <wp:simplePos x="0" y="0"/>
                <wp:positionH relativeFrom="column">
                  <wp:posOffset>2191385</wp:posOffset>
                </wp:positionH>
                <wp:positionV relativeFrom="paragraph">
                  <wp:posOffset>1296035</wp:posOffset>
                </wp:positionV>
                <wp:extent cx="725170" cy="252730"/>
                <wp:effectExtent l="0" t="0" r="0" b="0"/>
                <wp:wrapNone/>
                <wp:docPr id="165" name="文本框 165"/>
                <wp:cNvGraphicFramePr/>
                <a:graphic xmlns:a="http://schemas.openxmlformats.org/drawingml/2006/main">
                  <a:graphicData uri="http://schemas.microsoft.com/office/word/2010/wordprocessingShape">
                    <wps:wsp>
                      <wps:cNvSpPr txBox="1"/>
                      <wps:spPr>
                        <a:xfrm rot="21240000">
                          <a:off x="0" y="0"/>
                          <a:ext cx="725170" cy="2527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adjustRightInd w:val="0"/>
                              <w:spacing w:line="240" w:lineRule="auto"/>
                              <w:ind w:firstLine="0" w:firstLineChars="0"/>
                              <w:jc w:val="center"/>
                              <w:rPr>
                                <w:color w:val="FFFF00"/>
                              </w:rPr>
                            </w:pPr>
                            <w:r>
                              <w:rPr>
                                <w:rFonts w:hint="eastAsia"/>
                                <w:color w:val="FFFF00"/>
                              </w:rPr>
                              <w:t>200m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72.55pt;margin-top:102.05pt;height:19.9pt;width:57.1pt;rotation:-393216f;z-index:251715584;mso-width-relative:page;mso-height-relative:page;" filled="f" stroked="f" coordsize="21600,21600" o:gfxdata="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93q3i9wAAAALAQAADwAAAAAAAAAB&#10;ACAAAAAiAAAAZHJzL2Rvd25yZXYueG1sUEsBAhQAFAAAAAgAh07iQOUHoYdFAgAAeAQAAA4AAAAA&#10;AAAAAQAgAAAAKwEAAGRycy9lMm9Eb2MueG1sUEsFBgAAAAAGAAYAWQEAAOIFAAAAAA==&#10;">
                <v:fill on="f" focussize="0,0"/>
                <v:stroke on="f" weight="0.5pt"/>
                <v:imagedata o:title=""/>
                <o:lock v:ext="edit" aspectratio="f"/>
                <v:textbox>
                  <w:txbxContent>
                    <w:p>
                      <w:pPr>
                        <w:adjustRightInd w:val="0"/>
                        <w:spacing w:line="240" w:lineRule="auto"/>
                        <w:ind w:firstLine="0" w:firstLineChars="0"/>
                        <w:jc w:val="center"/>
                        <w:rPr>
                          <w:color w:val="FFFF00"/>
                        </w:rPr>
                      </w:pPr>
                      <w:r>
                        <w:rPr>
                          <w:rFonts w:hint="eastAsia"/>
                          <w:color w:val="FFFF00"/>
                        </w:rPr>
                        <w:t>200m</w:t>
                      </w:r>
                    </w:p>
                  </w:txbxContent>
                </v:textbox>
              </v:shape>
            </w:pict>
          </mc:Fallback>
        </mc:AlternateContent>
      </w:r>
      <w:r>
        <mc:AlternateContent>
          <mc:Choice Requires="wps">
            <w:drawing>
              <wp:anchor distT="0" distB="0" distL="114300" distR="114300" simplePos="0" relativeHeight="251714560" behindDoc="0" locked="0" layoutInCell="1" allowOverlap="1">
                <wp:simplePos x="0" y="0"/>
                <wp:positionH relativeFrom="column">
                  <wp:posOffset>3166110</wp:posOffset>
                </wp:positionH>
                <wp:positionV relativeFrom="paragraph">
                  <wp:posOffset>1962785</wp:posOffset>
                </wp:positionV>
                <wp:extent cx="725170" cy="252730"/>
                <wp:effectExtent l="0" t="0" r="0" b="0"/>
                <wp:wrapNone/>
                <wp:docPr id="164" name="文本框 164"/>
                <wp:cNvGraphicFramePr/>
                <a:graphic xmlns:a="http://schemas.openxmlformats.org/drawingml/2006/main">
                  <a:graphicData uri="http://schemas.microsoft.com/office/word/2010/wordprocessingShape">
                    <wps:wsp>
                      <wps:cNvSpPr txBox="1"/>
                      <wps:spPr>
                        <a:xfrm rot="21240000">
                          <a:off x="0" y="0"/>
                          <a:ext cx="725170" cy="2527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adjustRightInd w:val="0"/>
                              <w:spacing w:line="240" w:lineRule="auto"/>
                              <w:ind w:firstLine="0" w:firstLineChars="0"/>
                              <w:jc w:val="center"/>
                              <w:rPr>
                                <w:color w:val="FFFF00"/>
                              </w:rPr>
                            </w:pPr>
                            <w:r>
                              <w:rPr>
                                <w:rFonts w:hint="eastAsia"/>
                                <w:color w:val="FFFF00"/>
                              </w:rPr>
                              <w:t>200m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49.3pt;margin-top:154.55pt;height:19.9pt;width:57.1pt;rotation:-393216f;z-index:251714560;mso-width-relative:page;mso-height-relative:page;" filled="f" stroked="f" coordsize="21600,21600" o:gfxdata="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4LwwIdwAAAALAQAADwAAAAAAAAAB&#10;ACAAAAAiAAAAZHJzL2Rvd25yZXYueG1sUEsBAhQAFAAAAAgAh07iQPfXrHZFAgAAeAQAAA4AAAAA&#10;AAAAAQAgAAAAKwEAAGRycy9lMm9Eb2MueG1sUEsFBgAAAAAGAAYAWQEAAOIFAAAAAA==&#10;">
                <v:fill on="f" focussize="0,0"/>
                <v:stroke on="f" weight="0.5pt"/>
                <v:imagedata o:title=""/>
                <o:lock v:ext="edit" aspectratio="f"/>
                <v:textbox>
                  <w:txbxContent>
                    <w:p>
                      <w:pPr>
                        <w:adjustRightInd w:val="0"/>
                        <w:spacing w:line="240" w:lineRule="auto"/>
                        <w:ind w:firstLine="0" w:firstLineChars="0"/>
                        <w:jc w:val="center"/>
                        <w:rPr>
                          <w:color w:val="FFFF00"/>
                        </w:rPr>
                      </w:pPr>
                      <w:r>
                        <w:rPr>
                          <w:rFonts w:hint="eastAsia"/>
                          <w:color w:val="FFFF00"/>
                        </w:rPr>
                        <w:t>200m</w:t>
                      </w:r>
                    </w:p>
                  </w:txbxContent>
                </v:textbox>
              </v:shape>
            </w:pict>
          </mc:Fallback>
        </mc:AlternateContent>
      </w:r>
      <w:r>
        <mc:AlternateContent>
          <mc:Choice Requires="wps">
            <w:drawing>
              <wp:anchor distT="0" distB="0" distL="114300" distR="114300" simplePos="0" relativeHeight="251713536" behindDoc="0" locked="0" layoutInCell="1" allowOverlap="1">
                <wp:simplePos x="0" y="0"/>
                <wp:positionH relativeFrom="column">
                  <wp:posOffset>3079750</wp:posOffset>
                </wp:positionH>
                <wp:positionV relativeFrom="paragraph">
                  <wp:posOffset>711200</wp:posOffset>
                </wp:positionV>
                <wp:extent cx="725170" cy="252730"/>
                <wp:effectExtent l="0" t="0" r="0" b="0"/>
                <wp:wrapNone/>
                <wp:docPr id="163" name="文本框 163"/>
                <wp:cNvGraphicFramePr/>
                <a:graphic xmlns:a="http://schemas.openxmlformats.org/drawingml/2006/main">
                  <a:graphicData uri="http://schemas.microsoft.com/office/word/2010/wordprocessingShape">
                    <wps:wsp>
                      <wps:cNvSpPr txBox="1"/>
                      <wps:spPr>
                        <a:xfrm rot="21240000">
                          <a:off x="0" y="0"/>
                          <a:ext cx="725170" cy="2527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adjustRightInd w:val="0"/>
                              <w:spacing w:line="240" w:lineRule="auto"/>
                              <w:ind w:firstLine="0" w:firstLineChars="0"/>
                              <w:jc w:val="center"/>
                              <w:rPr>
                                <w:color w:val="FFFF00"/>
                              </w:rPr>
                            </w:pPr>
                            <w:r>
                              <w:rPr>
                                <w:rFonts w:hint="eastAsia"/>
                                <w:color w:val="FFFF00"/>
                              </w:rPr>
                              <w:t>200m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42.5pt;margin-top:56pt;height:19.9pt;width:57.1pt;rotation:-393216f;z-index:251713536;mso-width-relative:page;mso-height-relative:page;" filled="f" stroked="f" coordsize="21600,21600" o:gfxdata="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BZABEs2wAAAAsBAAAPAAAAAAAAAAEA&#10;IAAAACIAAABkcnMvZG93bnJldi54bWxQSwECFAAUAAAACACHTuJASu0ezEUCAAB4BAAADgAAAAAA&#10;AAABACAAAAAqAQAAZHJzL2Uyb0RvYy54bWxQSwUGAAAAAAYABgBZAQAA4QUAAAAA&#10;">
                <v:fill on="f" focussize="0,0"/>
                <v:stroke on="f" weight="0.5pt"/>
                <v:imagedata o:title=""/>
                <o:lock v:ext="edit" aspectratio="f"/>
                <v:textbox>
                  <w:txbxContent>
                    <w:p>
                      <w:pPr>
                        <w:adjustRightInd w:val="0"/>
                        <w:spacing w:line="240" w:lineRule="auto"/>
                        <w:ind w:firstLine="0" w:firstLineChars="0"/>
                        <w:jc w:val="center"/>
                        <w:rPr>
                          <w:color w:val="FFFF00"/>
                        </w:rPr>
                      </w:pPr>
                      <w:r>
                        <w:rPr>
                          <w:rFonts w:hint="eastAsia"/>
                          <w:color w:val="FFFF00"/>
                        </w:rPr>
                        <w:t>200m</w:t>
                      </w:r>
                    </w:p>
                  </w:txbxContent>
                </v:textbox>
              </v:shape>
            </w:pict>
          </mc:Fallback>
        </mc:AlternateContent>
      </w:r>
      <w:r>
        <mc:AlternateContent>
          <mc:Choice Requires="wps">
            <w:drawing>
              <wp:anchor distT="0" distB="0" distL="114300" distR="114300" simplePos="0" relativeHeight="251712512" behindDoc="0" locked="0" layoutInCell="1" allowOverlap="1">
                <wp:simplePos x="0" y="0"/>
                <wp:positionH relativeFrom="column">
                  <wp:posOffset>3594100</wp:posOffset>
                </wp:positionH>
                <wp:positionV relativeFrom="paragraph">
                  <wp:posOffset>1203960</wp:posOffset>
                </wp:positionV>
                <wp:extent cx="725170" cy="252730"/>
                <wp:effectExtent l="0" t="0" r="0" b="0"/>
                <wp:wrapNone/>
                <wp:docPr id="108" name="文本框 108"/>
                <wp:cNvGraphicFramePr/>
                <a:graphic xmlns:a="http://schemas.openxmlformats.org/drawingml/2006/main">
                  <a:graphicData uri="http://schemas.microsoft.com/office/word/2010/wordprocessingShape">
                    <wps:wsp>
                      <wps:cNvSpPr txBox="1"/>
                      <wps:spPr>
                        <a:xfrm rot="21240000">
                          <a:off x="4648200" y="5052695"/>
                          <a:ext cx="725170" cy="25273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adjustRightInd w:val="0"/>
                              <w:spacing w:line="240" w:lineRule="auto"/>
                              <w:ind w:firstLine="0" w:firstLineChars="0"/>
                              <w:jc w:val="center"/>
                              <w:rPr>
                                <w:color w:val="FFFF00"/>
                              </w:rPr>
                            </w:pPr>
                            <w:r>
                              <w:rPr>
                                <w:rFonts w:hint="eastAsia"/>
                                <w:color w:val="FFFF00"/>
                              </w:rPr>
                              <w:t>200m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83pt;margin-top:94.8pt;height:19.9pt;width:57.1pt;rotation:-393216f;z-index:251712512;mso-width-relative:page;mso-height-relative:page;" filled="f" stroked="f" coordsize="21600,21600" o:gfxdata="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r8ufddsAAAAL&#10;AQAADwAAAAAAAAABACAAAAAiAAAAZHJzL2Rvd25yZXYueG1sUEsBAhQAFAAAAAgAh07iQPQ1qINS&#10;AgAAhAQAAA4AAAAAAAAAAQAgAAAAKgEAAGRycy9lMm9Eb2MueG1sUEsFBgAAAAAGAAYAWQEAAO4F&#10;AAAAAA==&#10;">
                <v:fill on="f" focussize="0,0"/>
                <v:stroke on="f" weight="0.5pt"/>
                <v:imagedata o:title=""/>
                <o:lock v:ext="edit" aspectratio="f"/>
                <v:textbox>
                  <w:txbxContent>
                    <w:p>
                      <w:pPr>
                        <w:adjustRightInd w:val="0"/>
                        <w:spacing w:line="240" w:lineRule="auto"/>
                        <w:ind w:firstLine="0" w:firstLineChars="0"/>
                        <w:jc w:val="center"/>
                        <w:rPr>
                          <w:color w:val="FFFF00"/>
                        </w:rPr>
                      </w:pPr>
                      <w:r>
                        <w:rPr>
                          <w:rFonts w:hint="eastAsia"/>
                          <w:color w:val="FFFF00"/>
                        </w:rPr>
                        <w:t>200m</w:t>
                      </w:r>
                    </w:p>
                  </w:txbxContent>
                </v:textbox>
              </v:shape>
            </w:pict>
          </mc:Fallback>
        </mc:AlternateContent>
      </w:r>
      <w:r>
        <mc:AlternateContent>
          <mc:Choice Requires="wps">
            <w:drawing>
              <wp:anchor distT="0" distB="0" distL="114300" distR="114300" simplePos="0" relativeHeight="251711488" behindDoc="0" locked="0" layoutInCell="1" allowOverlap="1">
                <wp:simplePos x="0" y="0"/>
                <wp:positionH relativeFrom="column">
                  <wp:posOffset>2016125</wp:posOffset>
                </wp:positionH>
                <wp:positionV relativeFrom="paragraph">
                  <wp:posOffset>1478280</wp:posOffset>
                </wp:positionV>
                <wp:extent cx="1031875" cy="103505"/>
                <wp:effectExtent l="0" t="4445" r="15875" b="44450"/>
                <wp:wrapNone/>
                <wp:docPr id="102" name="直接箭头连接符 102"/>
                <wp:cNvGraphicFramePr/>
                <a:graphic xmlns:a="http://schemas.openxmlformats.org/drawingml/2006/main">
                  <a:graphicData uri="http://schemas.microsoft.com/office/word/2010/wordprocessingShape">
                    <wps:wsp>
                      <wps:cNvCnPr/>
                      <wps:spPr>
                        <a:xfrm flipH="1">
                          <a:off x="0" y="0"/>
                          <a:ext cx="1031875" cy="103505"/>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margin-left:158.75pt;margin-top:116.4pt;height:8.15pt;width:81.25pt;z-index:251711488;mso-width-relative:page;mso-height-relative:page;" filled="f" stroked="t" coordsize="21600,21600" o:gfxdata="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fCf6t2gAAAAsBAAAPAAAA&#10;AAAAAAEAIAAAACIAAABkcnMvZG93bnJldi54bWxQSwECFAAUAAAACACHTuJAU0NfpxMCAAD0AwAA&#10;DgAAAAAAAAABACAAAAApAQAAZHJzL2Uyb0RvYy54bWxQSwUGAAAAAAYABgBZAQAArgUAAAAA&#10;">
                <v:fill on="f" focussize="0,0"/>
                <v:stroke weight="0.5pt" color="#FF0000 [3204]" miterlimit="8" joinstyle="miter" endarrow="block"/>
                <v:imagedata o:title=""/>
                <o:lock v:ext="edit" aspectratio="f"/>
              </v:shape>
            </w:pict>
          </mc:Fallback>
        </mc:AlternateContent>
      </w:r>
      <w:r>
        <mc:AlternateContent>
          <mc:Choice Requires="wps">
            <w:drawing>
              <wp:anchor distT="0" distB="0" distL="114300" distR="114300" simplePos="0" relativeHeight="251710464" behindDoc="0" locked="0" layoutInCell="1" allowOverlap="1">
                <wp:simplePos x="0" y="0"/>
                <wp:positionH relativeFrom="column">
                  <wp:posOffset>3283585</wp:posOffset>
                </wp:positionH>
                <wp:positionV relativeFrom="paragraph">
                  <wp:posOffset>1706880</wp:posOffset>
                </wp:positionV>
                <wp:extent cx="70485" cy="901065"/>
                <wp:effectExtent l="4445" t="635" r="39370" b="12700"/>
                <wp:wrapNone/>
                <wp:docPr id="97" name="直接箭头连接符 97"/>
                <wp:cNvGraphicFramePr/>
                <a:graphic xmlns:a="http://schemas.openxmlformats.org/drawingml/2006/main">
                  <a:graphicData uri="http://schemas.microsoft.com/office/word/2010/wordprocessingShape">
                    <wps:wsp>
                      <wps:cNvCnPr/>
                      <wps:spPr>
                        <a:xfrm>
                          <a:off x="0" y="0"/>
                          <a:ext cx="70485" cy="901065"/>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258.55pt;margin-top:134.4pt;height:70.95pt;width:5.55pt;z-index:251710464;mso-width-relative:page;mso-height-relative:page;" filled="f" stroked="t" coordsize="21600,21600" o:gfxdata="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2NlRA2gAAAAsBAAAPAAAAAAAAAAEA&#10;IAAAACIAAABkcnMvZG93bnJldi54bWxQSwECFAAUAAAACACHTuJAYbg8iA0CAADmAwAADgAAAAAA&#10;AAABACAAAAApAQAAZHJzL2Uyb0RvYy54bWxQSwUGAAAAAAYABgBZAQAAqAUAAAAA&#10;">
                <v:fill on="f" focussize="0,0"/>
                <v:stroke weight="0.5pt" color="#FF0000 [3204]" miterlimit="8" joinstyle="miter" endarrow="block"/>
                <v:imagedata o:title=""/>
                <o:lock v:ext="edit" aspectratio="f"/>
              </v:shape>
            </w:pict>
          </mc:Fallback>
        </mc:AlternateContent>
      </w:r>
      <w:r>
        <mc:AlternateContent>
          <mc:Choice Requires="wps">
            <w:drawing>
              <wp:anchor distT="0" distB="0" distL="114300" distR="114300" simplePos="0" relativeHeight="251709440" behindDoc="0" locked="0" layoutInCell="1" allowOverlap="1">
                <wp:simplePos x="0" y="0"/>
                <wp:positionH relativeFrom="column">
                  <wp:posOffset>3526790</wp:posOffset>
                </wp:positionH>
                <wp:positionV relativeFrom="paragraph">
                  <wp:posOffset>1405255</wp:posOffset>
                </wp:positionV>
                <wp:extent cx="1009650" cy="68580"/>
                <wp:effectExtent l="635" t="33020" r="18415" b="12700"/>
                <wp:wrapNone/>
                <wp:docPr id="70" name="直接箭头连接符 70"/>
                <wp:cNvGraphicFramePr/>
                <a:graphic xmlns:a="http://schemas.openxmlformats.org/drawingml/2006/main">
                  <a:graphicData uri="http://schemas.microsoft.com/office/word/2010/wordprocessingShape">
                    <wps:wsp>
                      <wps:cNvCnPr/>
                      <wps:spPr>
                        <a:xfrm flipV="1">
                          <a:off x="0" y="0"/>
                          <a:ext cx="1009650" cy="6858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277.7pt;margin-top:110.65pt;height:5.4pt;width:79.5pt;z-index:251709440;mso-width-relative:page;mso-height-relative:page;" filled="f" stroked="t" coordsize="21600,21600" o:gfxdata="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LEPhPvaAAAACwEAAA8AAAAA&#10;AAAAAQAgAAAAIgAAAGRycy9kb3ducmV2LnhtbFBLAQIUABQAAAAIAIdO4kDktoQVEgIAAPEDAAAO&#10;AAAAAAAAAAEAIAAAACkBAABkcnMvZTJvRG9jLnhtbFBLBQYAAAAABgAGAFkBAACtBQAAAAA=&#10;">
                <v:fill on="f" focussize="0,0"/>
                <v:stroke weight="0.5pt" color="#FF0000 [3204]" miterlimit="8" joinstyle="miter" endarrow="block"/>
                <v:imagedata o:title=""/>
                <o:lock v:ext="edit" aspectratio="f"/>
              </v:shape>
            </w:pict>
          </mc:Fallback>
        </mc:AlternateContent>
      </w:r>
      <w:r>
        <mc:AlternateContent>
          <mc:Choice Requires="wps">
            <w:drawing>
              <wp:anchor distT="0" distB="0" distL="114300" distR="114300" simplePos="0" relativeHeight="251708416" behindDoc="0" locked="0" layoutInCell="1" allowOverlap="1">
                <wp:simplePos x="0" y="0"/>
                <wp:positionH relativeFrom="column">
                  <wp:posOffset>3198495</wp:posOffset>
                </wp:positionH>
                <wp:positionV relativeFrom="paragraph">
                  <wp:posOffset>379095</wp:posOffset>
                </wp:positionV>
                <wp:extent cx="59055" cy="817245"/>
                <wp:effectExtent l="32385" t="0" r="22860" b="1905"/>
                <wp:wrapNone/>
                <wp:docPr id="59" name="直接箭头连接符 59"/>
                <wp:cNvGraphicFramePr/>
                <a:graphic xmlns:a="http://schemas.openxmlformats.org/drawingml/2006/main">
                  <a:graphicData uri="http://schemas.microsoft.com/office/word/2010/wordprocessingShape">
                    <wps:wsp>
                      <wps:cNvCnPr/>
                      <wps:spPr>
                        <a:xfrm flipH="1" flipV="1">
                          <a:off x="4098290" y="4250690"/>
                          <a:ext cx="59055" cy="817245"/>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251.85pt;margin-top:29.85pt;height:64.35pt;width:4.65pt;z-index:251708416;mso-width-relative:page;mso-height-relative:page;" filled="f" stroked="t" coordsize="21600,21600" o:gfxdata="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84lQ93AAAAAoBAAAPAAAAAAAAAAEAIAAAACIAAABkcnMvZG93bnJldi54bWxQSwECFAAUAAAA&#10;CACHTuJAOgBVJiMCAAAGBAAADgAAAAAAAAABACAAAAArAQAAZHJzL2Uyb0RvYy54bWxQSwUGAAAA&#10;AAYABgBZAQAAwAUAAAAA&#10;">
                <v:fill on="f" focussize="0,0"/>
                <v:stroke weight="0.5pt" color="#FF0000 [3204]" miterlimit="8" joinstyle="miter" endarrow="block"/>
                <v:imagedata o:title=""/>
                <o:lock v:ext="edit" aspectratio="f"/>
              </v:shape>
            </w:pict>
          </mc:Fallback>
        </mc:AlternateContent>
      </w:r>
      <w:r>
        <mc:AlternateContent>
          <mc:Choice Requires="wps">
            <w:drawing>
              <wp:anchor distT="0" distB="0" distL="114300" distR="114300" simplePos="0" relativeHeight="251707392" behindDoc="0" locked="0" layoutInCell="1" allowOverlap="1">
                <wp:simplePos x="0" y="0"/>
                <wp:positionH relativeFrom="column">
                  <wp:posOffset>2012950</wp:posOffset>
                </wp:positionH>
                <wp:positionV relativeFrom="paragraph">
                  <wp:posOffset>376555</wp:posOffset>
                </wp:positionV>
                <wp:extent cx="2526665" cy="2233930"/>
                <wp:effectExtent l="81915" t="92075" r="96520" b="93345"/>
                <wp:wrapNone/>
                <wp:docPr id="52" name="矩形 52"/>
                <wp:cNvGraphicFramePr/>
                <a:graphic xmlns:a="http://schemas.openxmlformats.org/drawingml/2006/main">
                  <a:graphicData uri="http://schemas.microsoft.com/office/word/2010/wordprocessingShape">
                    <wps:wsp>
                      <wps:cNvSpPr/>
                      <wps:spPr>
                        <a:xfrm rot="21360000">
                          <a:off x="3051175" y="4298315"/>
                          <a:ext cx="2526665" cy="223393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58.5pt;margin-top:29.65pt;height:175.9pt;width:198.95pt;rotation:-262144f;z-index:251707392;v-text-anchor:middle;mso-width-relative:page;mso-height-relative:page;" filled="f" stroked="t" coordsize="21600,21600" o:gfxdata="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">
                <v:fill on="f" focussize="0,0"/>
                <v:stroke weight="1pt" color="#FF0000 [3204]" miterlimit="8" joinstyle="miter"/>
                <v:imagedata o:title=""/>
                <o:lock v:ext="edit" aspectratio="f"/>
              </v:rect>
            </w:pict>
          </mc:Fallback>
        </mc:AlternateContent>
      </w:r>
      <w:r>
        <mc:AlternateContent>
          <mc:Choice Requires="wps">
            <w:drawing>
              <wp:anchor distT="0" distB="0" distL="114300" distR="114300" simplePos="0" relativeHeight="251706368" behindDoc="0" locked="0" layoutInCell="1" allowOverlap="1">
                <wp:simplePos x="0" y="0"/>
                <wp:positionH relativeFrom="column">
                  <wp:posOffset>3030855</wp:posOffset>
                </wp:positionH>
                <wp:positionV relativeFrom="paragraph">
                  <wp:posOffset>1203325</wp:posOffset>
                </wp:positionV>
                <wp:extent cx="512445" cy="505460"/>
                <wp:effectExtent l="6350" t="6350" r="14605" b="21590"/>
                <wp:wrapNone/>
                <wp:docPr id="51" name="任意多边形 51"/>
                <wp:cNvGraphicFramePr/>
                <a:graphic xmlns:a="http://schemas.openxmlformats.org/drawingml/2006/main">
                  <a:graphicData uri="http://schemas.microsoft.com/office/word/2010/wordprocessingShape">
                    <wps:wsp>
                      <wps:cNvSpPr/>
                      <wps:spPr>
                        <a:xfrm>
                          <a:off x="3930650" y="5074920"/>
                          <a:ext cx="512445" cy="505460"/>
                        </a:xfrm>
                        <a:custGeom>
                          <a:avLst/>
                          <a:gdLst>
                            <a:gd name="connisteX0" fmla="*/ 0 w 512445"/>
                            <a:gd name="connsiteY0" fmla="*/ 7620 h 505460"/>
                            <a:gd name="connisteX1" fmla="*/ 21590 w 512445"/>
                            <a:gd name="connsiteY1" fmla="*/ 505460 h 505460"/>
                            <a:gd name="connisteX2" fmla="*/ 512445 w 512445"/>
                            <a:gd name="connsiteY2" fmla="*/ 498475 h 505460"/>
                            <a:gd name="connisteX3" fmla="*/ 483235 w 512445"/>
                            <a:gd name="connsiteY3" fmla="*/ 0 h 505460"/>
                            <a:gd name="connisteX4" fmla="*/ 0 w 512445"/>
                            <a:gd name="connsiteY4" fmla="*/ 7620 h 505460"/>
                          </a:gdLst>
                          <a:ahLst/>
                          <a:cxnLst>
                            <a:cxn ang="0">
                              <a:pos x="connisteX0" y="connsiteY0"/>
                            </a:cxn>
                            <a:cxn ang="0">
                              <a:pos x="connisteX1" y="connsiteY1"/>
                            </a:cxn>
                            <a:cxn ang="0">
                              <a:pos x="connisteX2" y="connsiteY2"/>
                            </a:cxn>
                            <a:cxn ang="0">
                              <a:pos x="connisteX3" y="connsiteY3"/>
                            </a:cxn>
                            <a:cxn ang="0">
                              <a:pos x="connisteX4" y="connsiteY4"/>
                            </a:cxn>
                          </a:cxnLst>
                          <a:rect l="l" t="t" r="r" b="b"/>
                          <a:pathLst>
                            <a:path w="512445" h="505460">
                              <a:moveTo>
                                <a:pt x="0" y="7620"/>
                              </a:moveTo>
                              <a:lnTo>
                                <a:pt x="21590" y="505460"/>
                              </a:lnTo>
                              <a:lnTo>
                                <a:pt x="512445" y="498475"/>
                              </a:lnTo>
                              <a:lnTo>
                                <a:pt x="483235" y="0"/>
                              </a:lnTo>
                              <a:lnTo>
                                <a:pt x="0" y="7620"/>
                              </a:lnTo>
                              <a:close/>
                            </a:path>
                          </a:pathLst>
                        </a:custGeom>
                        <a:solidFill>
                          <a:srgbClr val="FF0000">
                            <a:alpha val="54000"/>
                          </a:srgbClr>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w:pict>
              <v:shape id="_x0000_s1026" o:spid="_x0000_s1026" o:spt="100" style="position:absolute;left:0pt;margin-left:238.65pt;margin-top:94.75pt;height:39.8pt;width:40.35pt;z-index:251706368;mso-width-relative:page;mso-height-relative:page;" fillcolor="#FF0000" filled="t" stroked="t" coordsize="512445,505460" o:gfxdata="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" path="m0,7620l21590,505460,512445,498475,483235,0,0,7620xe">
                <v:path o:connectlocs="0,7620;21590,505460;512445,498475;483235,0;0,7620" o:connectangles="0,0,0,0,0"/>
                <v:fill on="t" opacity="35389f" focussize="0,0"/>
                <v:stroke weight="1pt" color="#FF0000 [3204]" miterlimit="8" joinstyle="miter"/>
                <v:imagedata o:title=""/>
                <o:lock v:ext="edit" aspectratio="f"/>
              </v:shape>
            </w:pict>
          </mc:Fallback>
        </mc:AlternateContent>
      </w:r>
      <w:r>
        <w:drawing>
          <wp:inline distT="0" distB="0" distL="114300" distR="114300">
            <wp:extent cx="5749290" cy="3867150"/>
            <wp:effectExtent l="9525" t="9525" r="13335" b="9525"/>
            <wp:docPr id="4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8"/>
                    <pic:cNvPicPr>
                      <a:picLocks noChangeAspect="1"/>
                    </pic:cNvPicPr>
                  </pic:nvPicPr>
                  <pic:blipFill>
                    <a:blip r:embed="rId86"/>
                    <a:stretch>
                      <a:fillRect/>
                    </a:stretch>
                  </pic:blipFill>
                  <pic:spPr>
                    <a:xfrm>
                      <a:off x="0" y="0"/>
                      <a:ext cx="5749290" cy="3867150"/>
                    </a:xfrm>
                    <a:prstGeom prst="rect">
                      <a:avLst/>
                    </a:prstGeom>
                    <a:noFill/>
                    <a:ln>
                      <a:solidFill>
                        <a:schemeClr val="tx1"/>
                      </a:solidFill>
                    </a:ln>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ascii="Times New Roman" w:hAnsi="Times New Roman" w:eastAsia="黑体" w:cs="Times New Roman"/>
        </w:rPr>
      </w:pPr>
      <w:bookmarkStart w:id="161" w:name="_Toc375"/>
      <w:r>
        <w:rPr>
          <w:rFonts w:hint="default" w:ascii="Times New Roman" w:hAnsi="Times New Roman" w:eastAsia="黑体" w:cs="Times New Roman"/>
        </w:rPr>
        <w:t>图6.4-1  项目噪声评价范围图</w:t>
      </w:r>
      <w:bookmarkEnd w:id="161"/>
    </w:p>
    <w:p>
      <w:pPr>
        <w:ind w:firstLine="480"/>
      </w:pPr>
    </w:p>
    <w:p>
      <w:pPr>
        <w:pStyle w:val="5"/>
        <w:ind w:firstLine="964"/>
        <w:rPr>
          <w:rFonts w:hint="default"/>
        </w:rPr>
      </w:pPr>
    </w:p>
    <w:p>
      <w:pPr>
        <w:ind w:firstLine="480"/>
      </w:pPr>
    </w:p>
    <w:p>
      <w:pPr>
        <w:pStyle w:val="7"/>
        <w:ind w:firstLine="562"/>
      </w:pPr>
      <w:r>
        <w:rPr>
          <w:rFonts w:hint="eastAsia"/>
        </w:rPr>
        <w:t>6.4.2</w:t>
      </w:r>
      <w:r>
        <w:t xml:space="preserve"> </w:t>
      </w:r>
      <w:r>
        <w:rPr>
          <w:rFonts w:hint="eastAsia"/>
        </w:rPr>
        <w:t>预测模式</w:t>
      </w:r>
    </w:p>
    <w:p>
      <w:pPr>
        <w:widowControl/>
        <w:ind w:firstLine="480"/>
        <w:jc w:val="left"/>
      </w:pPr>
      <w:r>
        <w:rPr>
          <w:rFonts w:hint="eastAsia" w:ascii="宋体" w:hAnsi="宋体"/>
          <w:color w:val="000000"/>
          <w:lang w:bidi="ar"/>
        </w:rPr>
        <w:t>根据《环境影响评价技术导则 声环境》（</w:t>
      </w:r>
      <w:r>
        <w:rPr>
          <w:rFonts w:cs="Times New Roman"/>
          <w:color w:val="000000" w:themeColor="text1"/>
          <w:kern w:val="0"/>
          <w:u w:val="single"/>
          <w:lang w:bidi="ar"/>
          <w14:textFill>
            <w14:solidFill>
              <w14:schemeClr w14:val="tx1"/>
            </w14:solidFill>
          </w14:textFill>
        </w:rPr>
        <w:t>HJ2.4-20</w:t>
      </w:r>
      <w:r>
        <w:rPr>
          <w:rFonts w:hint="eastAsia" w:cs="Times New Roman"/>
          <w:color w:val="000000" w:themeColor="text1"/>
          <w:kern w:val="0"/>
          <w:u w:val="single"/>
          <w:lang w:bidi="ar"/>
          <w14:textFill>
            <w14:solidFill>
              <w14:schemeClr w14:val="tx1"/>
            </w14:solidFill>
          </w14:textFill>
        </w:rPr>
        <w:t>21</w:t>
      </w:r>
      <w:r>
        <w:rPr>
          <w:rFonts w:hint="eastAsia" w:ascii="宋体" w:hAnsi="宋体"/>
          <w:color w:val="000000"/>
          <w:lang w:bidi="ar"/>
        </w:rPr>
        <w:t>）中附录</w:t>
      </w:r>
      <w:r>
        <w:rPr>
          <w:rFonts w:cs="Times New Roman"/>
          <w:color w:val="000000"/>
          <w:lang w:bidi="ar"/>
        </w:rPr>
        <w:t>A</w:t>
      </w:r>
      <w:r>
        <w:rPr>
          <w:rFonts w:hint="eastAsia" w:ascii="宋体" w:hAnsi="宋体"/>
          <w:color w:val="000000"/>
          <w:lang w:bidi="ar"/>
        </w:rPr>
        <w:t>推荐的计算模式：噪声源有室外和室内两种声源，应分别计算。一般来讲，进行环境噪声预测时所使用的噪声源都可按点声源处理。</w:t>
      </w:r>
    </w:p>
    <w:p>
      <w:pPr>
        <w:widowControl/>
        <w:ind w:firstLine="482"/>
        <w:jc w:val="left"/>
      </w:pPr>
      <w:r>
        <w:rPr>
          <w:rFonts w:hint="eastAsia" w:ascii="宋体" w:hAnsi="宋体"/>
          <w:b/>
          <w:bCs/>
          <w:color w:val="000000"/>
          <w:lang w:bidi="ar"/>
        </w:rPr>
        <w:t>室外声源</w:t>
      </w:r>
    </w:p>
    <w:p>
      <w:pPr>
        <w:widowControl/>
        <w:ind w:firstLine="480"/>
        <w:jc w:val="left"/>
      </w:pPr>
      <w:r>
        <w:rPr>
          <w:rFonts w:hint="eastAsia" w:ascii="宋体" w:hAnsi="宋体"/>
          <w:color w:val="000000"/>
          <w:lang w:bidi="ar"/>
        </w:rPr>
        <w:t>①计算某个声源在预测点的倍频带声压级</w:t>
      </w:r>
    </w:p>
    <w:p>
      <w:pPr>
        <w:pStyle w:val="27"/>
        <w:ind w:left="0" w:leftChars="0"/>
        <w:rPr>
          <w:sz w:val="21"/>
        </w:rPr>
      </w:pPr>
      <w:r>
        <w:rPr>
          <w:rFonts w:hint="eastAsia"/>
          <w:sz w:val="21"/>
        </w:rPr>
        <w:drawing>
          <wp:inline distT="0" distB="0" distL="114300" distR="114300">
            <wp:extent cx="2254250" cy="447040"/>
            <wp:effectExtent l="0" t="0" r="12700" b="10160"/>
            <wp:docPr id="14" name="图片 14" descr="无标题"/>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无标题"/>
                    <pic:cNvPicPr>
                      <a:picLocks noChangeAspect="1"/>
                    </pic:cNvPicPr>
                  </pic:nvPicPr>
                  <pic:blipFill>
                    <a:blip r:embed="rId87"/>
                    <a:srcRect l="14781" t="11333" b="14000"/>
                    <a:stretch>
                      <a:fillRect/>
                    </a:stretch>
                  </pic:blipFill>
                  <pic:spPr>
                    <a:xfrm>
                      <a:off x="0" y="0"/>
                      <a:ext cx="2254250" cy="447040"/>
                    </a:xfrm>
                    <a:prstGeom prst="rect">
                      <a:avLst/>
                    </a:prstGeom>
                  </pic:spPr>
                </pic:pic>
              </a:graphicData>
            </a:graphic>
          </wp:inline>
        </w:drawing>
      </w:r>
    </w:p>
    <w:p>
      <w:pPr>
        <w:ind w:firstLine="480"/>
      </w:pPr>
      <w:r>
        <w:rPr>
          <w:rFonts w:hint="eastAsia"/>
        </w:rPr>
        <w:t>式中：</w:t>
      </w:r>
    </w:p>
    <w:p>
      <w:pPr>
        <w:ind w:firstLine="480"/>
      </w:pPr>
      <w:r>
        <w:t>Loct</w:t>
      </w:r>
      <w:r>
        <w:rPr>
          <w:rFonts w:hint="eastAsia"/>
        </w:rPr>
        <w:t>（</w:t>
      </w:r>
      <w:r>
        <w:t>r</w:t>
      </w:r>
      <w:r>
        <w:rPr>
          <w:rFonts w:hint="eastAsia"/>
        </w:rPr>
        <w:t>）</w:t>
      </w:r>
      <w:r>
        <w:t>--</w:t>
      </w:r>
      <w:r>
        <w:rPr>
          <w:rFonts w:hint="eastAsia"/>
        </w:rPr>
        <w:t>点声源在预测点产生的倍频带声压级；</w:t>
      </w:r>
    </w:p>
    <w:p>
      <w:pPr>
        <w:ind w:firstLine="480"/>
      </w:pPr>
      <w:r>
        <w:t>Loct</w:t>
      </w:r>
      <w:r>
        <w:rPr>
          <w:rFonts w:hint="eastAsia"/>
        </w:rPr>
        <w:t>（</w:t>
      </w:r>
      <w:r>
        <w:t>r0</w:t>
      </w:r>
      <w:r>
        <w:rPr>
          <w:rFonts w:hint="eastAsia"/>
        </w:rPr>
        <w:t>）</w:t>
      </w:r>
      <w:r>
        <w:t>--</w:t>
      </w:r>
      <w:r>
        <w:rPr>
          <w:rFonts w:hint="eastAsia"/>
        </w:rPr>
        <w:t>参考位置</w:t>
      </w:r>
      <w:r>
        <w:t>r0</w:t>
      </w:r>
      <w:r>
        <w:rPr>
          <w:rFonts w:hint="eastAsia"/>
        </w:rPr>
        <w:t>处的倍频带声压级；</w:t>
      </w:r>
    </w:p>
    <w:p>
      <w:pPr>
        <w:ind w:firstLine="480"/>
      </w:pPr>
      <w:r>
        <w:t>r--</w:t>
      </w:r>
      <w:r>
        <w:rPr>
          <w:rFonts w:hint="eastAsia"/>
        </w:rPr>
        <w:t>预测点距声源的距离，</w:t>
      </w:r>
      <w:r>
        <w:t>m</w:t>
      </w:r>
      <w:r>
        <w:rPr>
          <w:rFonts w:hint="eastAsia"/>
        </w:rPr>
        <w:t>；</w:t>
      </w:r>
    </w:p>
    <w:p>
      <w:pPr>
        <w:ind w:firstLine="480"/>
      </w:pPr>
      <w:r>
        <w:t>r0--</w:t>
      </w:r>
      <w:r>
        <w:rPr>
          <w:rFonts w:hint="eastAsia"/>
        </w:rPr>
        <w:t>参考位置距声源的距离，</w:t>
      </w:r>
      <w:r>
        <w:t>m</w:t>
      </w:r>
      <w:r>
        <w:rPr>
          <w:rFonts w:hint="eastAsia"/>
        </w:rPr>
        <w:t>；</w:t>
      </w:r>
    </w:p>
    <w:p>
      <w:pPr>
        <w:ind w:firstLine="480"/>
      </w:pPr>
      <w:r>
        <w:rPr>
          <w:rFonts w:hint="eastAsia"/>
        </w:rPr>
        <w:t>Δ</w:t>
      </w:r>
      <w:r>
        <w:t>Loct--</w:t>
      </w:r>
      <w:r>
        <w:rPr>
          <w:rFonts w:hint="eastAsia"/>
        </w:rPr>
        <w:t>各种因素引起的衰减量（包括声屏障、遮挡物、空气吸收、地面效应等引起的衰减量，其计算方法详见</w:t>
      </w:r>
      <w:r>
        <w:rPr>
          <w:rFonts w:hint="eastAsia"/>
          <w:lang w:eastAsia="zh-CN"/>
        </w:rPr>
        <w:t>“</w:t>
      </w:r>
      <w:r>
        <w:rPr>
          <w:rFonts w:hint="eastAsia"/>
        </w:rPr>
        <w:t>导则</w:t>
      </w:r>
      <w:r>
        <w:rPr>
          <w:rFonts w:hint="eastAsia"/>
          <w:lang w:eastAsia="zh-CN"/>
        </w:rPr>
        <w:t>”</w:t>
      </w:r>
      <w:r>
        <w:rPr>
          <w:rFonts w:hint="eastAsia"/>
        </w:rPr>
        <w:t>正文）。</w:t>
      </w:r>
    </w:p>
    <w:p>
      <w:pPr>
        <w:ind w:firstLine="480"/>
        <w:jc w:val="center"/>
      </w:pPr>
      <w:r>
        <w:rPr>
          <w:rFonts w:hint="eastAsia"/>
        </w:rPr>
        <w:t xml:space="preserve">如果已知声源的倍频带声功率级 </w:t>
      </w:r>
      <w:r>
        <w:t>Lw oct</w:t>
      </w:r>
      <w:r>
        <w:rPr>
          <w:rFonts w:hint="eastAsia"/>
        </w:rPr>
        <w:t>，且声源可看作是位于地面上的，则</w:t>
      </w:r>
      <w:r>
        <w:drawing>
          <wp:inline distT="0" distB="0" distL="114300" distR="114300">
            <wp:extent cx="2105660" cy="288290"/>
            <wp:effectExtent l="0" t="0" r="8890" b="16510"/>
            <wp:docPr id="15"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9"/>
                    <pic:cNvPicPr>
                      <a:picLocks noChangeAspect="1"/>
                    </pic:cNvPicPr>
                  </pic:nvPicPr>
                  <pic:blipFill>
                    <a:blip r:embed="rId88"/>
                    <a:srcRect t="25778" b="16000"/>
                    <a:stretch>
                      <a:fillRect/>
                    </a:stretch>
                  </pic:blipFill>
                  <pic:spPr>
                    <a:xfrm>
                      <a:off x="0" y="0"/>
                      <a:ext cx="2105660" cy="288290"/>
                    </a:xfrm>
                    <a:prstGeom prst="rect">
                      <a:avLst/>
                    </a:prstGeom>
                    <a:noFill/>
                    <a:ln>
                      <a:noFill/>
                    </a:ln>
                  </pic:spPr>
                </pic:pic>
              </a:graphicData>
            </a:graphic>
          </wp:inline>
        </w:drawing>
      </w:r>
    </w:p>
    <w:p>
      <w:pPr>
        <w:ind w:firstLine="480"/>
      </w:pPr>
      <w:r>
        <w:rPr>
          <w:rFonts w:hint="eastAsia"/>
        </w:rPr>
        <w:t>②由各倍频带声压级合成计算出该声源产生的声级</w:t>
      </w:r>
      <w:r>
        <w:t>LA</w:t>
      </w:r>
      <w:r>
        <w:rPr>
          <w:rFonts w:hint="eastAsia"/>
        </w:rPr>
        <w:t>。</w:t>
      </w:r>
    </w:p>
    <w:p>
      <w:pPr>
        <w:widowControl/>
        <w:ind w:firstLine="482"/>
        <w:jc w:val="left"/>
      </w:pPr>
      <w:r>
        <w:rPr>
          <w:rFonts w:hint="eastAsia" w:ascii="宋体" w:hAnsi="宋体"/>
          <w:b/>
          <w:bCs/>
          <w:color w:val="000000"/>
          <w:lang w:bidi="ar"/>
        </w:rPr>
        <w:t>室内声源</w:t>
      </w:r>
    </w:p>
    <w:p>
      <w:pPr>
        <w:widowControl/>
        <w:ind w:firstLine="480"/>
        <w:jc w:val="left"/>
      </w:pPr>
      <w:r>
        <w:rPr>
          <w:rFonts w:hint="eastAsia" w:ascii="宋体" w:hAnsi="宋体"/>
          <w:color w:val="000000"/>
          <w:lang w:bidi="ar"/>
        </w:rPr>
        <w:t>①首先计算出某个室内靠近围护结构处的倍频带声压级：</w:t>
      </w:r>
    </w:p>
    <w:p>
      <w:pPr>
        <w:pStyle w:val="27"/>
        <w:ind w:left="480" w:firstLine="480"/>
        <w:jc w:val="center"/>
      </w:pPr>
      <w:r>
        <w:drawing>
          <wp:inline distT="0" distB="0" distL="114300" distR="114300">
            <wp:extent cx="1849120" cy="470535"/>
            <wp:effectExtent l="0" t="0" r="17780" b="5715"/>
            <wp:docPr id="16"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0"/>
                    <pic:cNvPicPr>
                      <a:picLocks noChangeAspect="1"/>
                    </pic:cNvPicPr>
                  </pic:nvPicPr>
                  <pic:blipFill>
                    <a:blip r:embed="rId89"/>
                    <a:stretch>
                      <a:fillRect/>
                    </a:stretch>
                  </pic:blipFill>
                  <pic:spPr>
                    <a:xfrm>
                      <a:off x="0" y="0"/>
                      <a:ext cx="1849120" cy="470535"/>
                    </a:xfrm>
                    <a:prstGeom prst="rect">
                      <a:avLst/>
                    </a:prstGeom>
                    <a:noFill/>
                    <a:ln>
                      <a:noFill/>
                    </a:ln>
                  </pic:spPr>
                </pic:pic>
              </a:graphicData>
            </a:graphic>
          </wp:inline>
        </w:drawing>
      </w:r>
    </w:p>
    <w:p>
      <w:pPr>
        <w:ind w:firstLine="480"/>
      </w:pPr>
      <w:r>
        <w:rPr>
          <w:rFonts w:hint="eastAsia"/>
        </w:rPr>
        <w:t>式中：</w:t>
      </w:r>
      <w:r>
        <w:t>Loct</w:t>
      </w:r>
      <w:r>
        <w:rPr>
          <w:rFonts w:hint="eastAsia"/>
        </w:rPr>
        <w:t>，</w:t>
      </w:r>
      <w:r>
        <w:t>1</w:t>
      </w:r>
      <w:r>
        <w:rPr>
          <w:rFonts w:hint="eastAsia"/>
        </w:rPr>
        <w:t>为某个室内声源在靠近围护结构处产生的倍频带声压级，</w:t>
      </w:r>
      <w:r>
        <w:t>Lw oct</w:t>
      </w:r>
      <w:r>
        <w:rPr>
          <w:rFonts w:hint="eastAsia"/>
        </w:rPr>
        <w:t>为某个声源的倍频带声功率级，r</w:t>
      </w:r>
      <w:r>
        <w:rPr>
          <w:vertAlign w:val="subscript"/>
        </w:rPr>
        <w:t>1</w:t>
      </w:r>
      <w:r>
        <w:rPr>
          <w:rFonts w:hint="eastAsia"/>
        </w:rPr>
        <w:t>为室内某个声源与靠近围护结构处的距离，</w:t>
      </w:r>
      <w:r>
        <w:t>R</w:t>
      </w:r>
      <w:r>
        <w:rPr>
          <w:rFonts w:hint="eastAsia"/>
        </w:rPr>
        <w:t>为房间常数，</w:t>
      </w:r>
      <w:r>
        <w:t>Q</w:t>
      </w:r>
      <w:r>
        <w:rPr>
          <w:rFonts w:hint="eastAsia"/>
        </w:rPr>
        <w:t>为方向因子。</w:t>
      </w:r>
    </w:p>
    <w:p>
      <w:pPr>
        <w:pStyle w:val="27"/>
        <w:ind w:left="480" w:firstLine="480"/>
        <w:jc w:val="center"/>
      </w:pPr>
      <w:r>
        <w:drawing>
          <wp:inline distT="0" distB="0" distL="114300" distR="114300">
            <wp:extent cx="2197735" cy="1250315"/>
            <wp:effectExtent l="0" t="0" r="12065" b="6985"/>
            <wp:docPr id="17"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1"/>
                    <pic:cNvPicPr>
                      <a:picLocks noChangeAspect="1"/>
                    </pic:cNvPicPr>
                  </pic:nvPicPr>
                  <pic:blipFill>
                    <a:blip r:embed="rId90"/>
                    <a:srcRect l="16753" t="14981" r="14096"/>
                    <a:stretch>
                      <a:fillRect/>
                    </a:stretch>
                  </pic:blipFill>
                  <pic:spPr>
                    <a:xfrm>
                      <a:off x="0" y="0"/>
                      <a:ext cx="2197735" cy="1250315"/>
                    </a:xfrm>
                    <a:prstGeom prst="rect">
                      <a:avLst/>
                    </a:prstGeom>
                    <a:noFill/>
                    <a:ln>
                      <a:noFill/>
                    </a:ln>
                  </pic:spPr>
                </pic:pic>
              </a:graphicData>
            </a:graphic>
          </wp:inline>
        </w:drawing>
      </w:r>
    </w:p>
    <w:p>
      <w:pPr>
        <w:widowControl/>
        <w:ind w:firstLine="480"/>
        <w:rPr>
          <w:rFonts w:ascii="宋体" w:hAnsi="宋体"/>
          <w:color w:val="000000"/>
          <w:lang w:bidi="ar"/>
        </w:rPr>
      </w:pPr>
      <w:r>
        <w:rPr>
          <w:rFonts w:hint="eastAsia" w:ascii="宋体" w:hAnsi="宋体"/>
          <w:color w:val="000000"/>
          <w:lang w:bidi="ar"/>
        </w:rPr>
        <w:t>②计算出所有室内声源在靠近围护结构处产生的总倍频带声压级：</w:t>
      </w:r>
    </w:p>
    <w:p>
      <w:pPr>
        <w:widowControl/>
        <w:ind w:firstLine="480"/>
        <w:jc w:val="center"/>
      </w:pPr>
      <w:r>
        <w:drawing>
          <wp:inline distT="0" distB="0" distL="114300" distR="114300">
            <wp:extent cx="1920875" cy="433705"/>
            <wp:effectExtent l="0" t="0" r="3175" b="4445"/>
            <wp:docPr id="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pic:cNvPicPr>
                      <a:picLocks noChangeAspect="1"/>
                    </pic:cNvPicPr>
                  </pic:nvPicPr>
                  <pic:blipFill>
                    <a:blip r:embed="rId91"/>
                    <a:srcRect t="15591" b="17742"/>
                    <a:stretch>
                      <a:fillRect/>
                    </a:stretch>
                  </pic:blipFill>
                  <pic:spPr>
                    <a:xfrm>
                      <a:off x="0" y="0"/>
                      <a:ext cx="1920875" cy="433705"/>
                    </a:xfrm>
                    <a:prstGeom prst="rect">
                      <a:avLst/>
                    </a:prstGeom>
                    <a:noFill/>
                    <a:ln>
                      <a:noFill/>
                    </a:ln>
                  </pic:spPr>
                </pic:pic>
              </a:graphicData>
            </a:graphic>
          </wp:inline>
        </w:drawing>
      </w:r>
    </w:p>
    <w:p>
      <w:pPr>
        <w:widowControl/>
        <w:ind w:firstLine="480"/>
        <w:jc w:val="left"/>
      </w:pPr>
      <w:r>
        <w:rPr>
          <w:rFonts w:hint="eastAsia" w:ascii="宋体" w:hAnsi="宋体"/>
          <w:color w:val="000000"/>
          <w:lang w:bidi="ar"/>
        </w:rPr>
        <w:t>③计算出室外靠近围护结构处的声压级：</w:t>
      </w:r>
    </w:p>
    <w:p>
      <w:pPr>
        <w:widowControl/>
        <w:ind w:firstLine="480"/>
        <w:jc w:val="center"/>
      </w:pPr>
      <w:r>
        <w:drawing>
          <wp:inline distT="0" distB="0" distL="114300" distR="114300">
            <wp:extent cx="1812925" cy="210820"/>
            <wp:effectExtent l="0" t="0" r="15875" b="17780"/>
            <wp:docPr id="1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7"/>
                    <pic:cNvPicPr>
                      <a:picLocks noChangeAspect="1"/>
                    </pic:cNvPicPr>
                  </pic:nvPicPr>
                  <pic:blipFill>
                    <a:blip r:embed="rId92"/>
                    <a:srcRect t="25157"/>
                    <a:stretch>
                      <a:fillRect/>
                    </a:stretch>
                  </pic:blipFill>
                  <pic:spPr>
                    <a:xfrm>
                      <a:off x="0" y="0"/>
                      <a:ext cx="1812925" cy="210820"/>
                    </a:xfrm>
                    <a:prstGeom prst="rect">
                      <a:avLst/>
                    </a:prstGeom>
                    <a:noFill/>
                    <a:ln>
                      <a:noFill/>
                    </a:ln>
                  </pic:spPr>
                </pic:pic>
              </a:graphicData>
            </a:graphic>
          </wp:inline>
        </w:drawing>
      </w:r>
    </w:p>
    <w:p>
      <w:pPr>
        <w:widowControl/>
        <w:ind w:firstLine="480"/>
      </w:pPr>
      <w:r>
        <w:rPr>
          <w:rFonts w:hint="eastAsia"/>
        </w:rPr>
        <w:t>④将室外声级</w:t>
      </w:r>
      <w:r>
        <w:t>Loct</w:t>
      </w:r>
      <w:r>
        <w:rPr>
          <w:rFonts w:hint="eastAsia"/>
        </w:rPr>
        <w:t>，</w:t>
      </w:r>
      <w:r>
        <w:t>2</w:t>
      </w:r>
      <w:r>
        <w:rPr>
          <w:rFonts w:hint="eastAsia"/>
        </w:rPr>
        <w:t>（</w:t>
      </w:r>
      <w:r>
        <w:t>T</w:t>
      </w:r>
      <w:r>
        <w:rPr>
          <w:rFonts w:hint="eastAsia"/>
        </w:rPr>
        <w:t>）和透声面积换算成等效的室外声源，计算出等效声源第</w:t>
      </w:r>
      <w:r>
        <w:t>i</w:t>
      </w:r>
      <w:r>
        <w:rPr>
          <w:rFonts w:hint="eastAsia"/>
        </w:rPr>
        <w:t>个倍频带的声功率级</w:t>
      </w:r>
      <w:r>
        <w:t>Lwoct</w:t>
      </w:r>
      <w:r>
        <w:rPr>
          <w:rFonts w:hint="eastAsia"/>
        </w:rPr>
        <w:t>：</w:t>
      </w:r>
    </w:p>
    <w:p>
      <w:pPr>
        <w:pStyle w:val="27"/>
        <w:ind w:left="480" w:firstLine="480"/>
        <w:jc w:val="center"/>
      </w:pPr>
      <w:r>
        <w:drawing>
          <wp:inline distT="0" distB="0" distL="114300" distR="114300">
            <wp:extent cx="1558925" cy="288290"/>
            <wp:effectExtent l="0" t="0" r="3175" b="16510"/>
            <wp:docPr id="1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8"/>
                    <pic:cNvPicPr>
                      <a:picLocks noChangeAspect="1"/>
                    </pic:cNvPicPr>
                  </pic:nvPicPr>
                  <pic:blipFill>
                    <a:blip r:embed="rId93"/>
                    <a:stretch>
                      <a:fillRect/>
                    </a:stretch>
                  </pic:blipFill>
                  <pic:spPr>
                    <a:xfrm>
                      <a:off x="0" y="0"/>
                      <a:ext cx="1558925" cy="288290"/>
                    </a:xfrm>
                    <a:prstGeom prst="rect">
                      <a:avLst/>
                    </a:prstGeom>
                    <a:noFill/>
                    <a:ln>
                      <a:noFill/>
                    </a:ln>
                  </pic:spPr>
                </pic:pic>
              </a:graphicData>
            </a:graphic>
          </wp:inline>
        </w:drawing>
      </w:r>
    </w:p>
    <w:p>
      <w:pPr>
        <w:widowControl/>
        <w:ind w:firstLine="480"/>
        <w:jc w:val="left"/>
      </w:pPr>
      <w:r>
        <w:rPr>
          <w:rFonts w:hint="eastAsia" w:ascii="宋体" w:hAnsi="宋体"/>
          <w:color w:val="000000"/>
          <w:lang w:bidi="ar"/>
        </w:rPr>
        <w:t>式中：</w:t>
      </w:r>
      <w:r>
        <w:rPr>
          <w:rFonts w:cs="Times New Roman"/>
          <w:color w:val="000000"/>
          <w:lang w:bidi="ar"/>
        </w:rPr>
        <w:t>S</w:t>
      </w:r>
      <w:r>
        <w:rPr>
          <w:rFonts w:hint="eastAsia" w:ascii="宋体" w:hAnsi="宋体"/>
          <w:color w:val="000000"/>
          <w:lang w:bidi="ar"/>
        </w:rPr>
        <w:t>为透</w:t>
      </w:r>
      <w:r>
        <w:rPr>
          <w:rFonts w:hint="eastAsia"/>
        </w:rPr>
        <w:t>声面积，m</w:t>
      </w:r>
      <w:r>
        <w:rPr>
          <w:rFonts w:hint="eastAsia"/>
          <w:vertAlign w:val="superscript"/>
        </w:rPr>
        <w:t>2</w:t>
      </w:r>
      <w:r>
        <w:rPr>
          <w:rFonts w:hint="eastAsia"/>
        </w:rPr>
        <w:t>。</w:t>
      </w:r>
    </w:p>
    <w:p>
      <w:pPr>
        <w:widowControl/>
        <w:ind w:firstLine="480"/>
      </w:pPr>
      <w:r>
        <w:rPr>
          <w:rFonts w:hint="eastAsia"/>
        </w:rPr>
        <w:t>⑤等效室外声源的位置为围护结构的位置，其倍频带声功率级为L</w:t>
      </w:r>
      <w:r>
        <w:t>woct</w:t>
      </w:r>
      <w:r>
        <w:rPr>
          <w:rFonts w:hint="eastAsia"/>
        </w:rPr>
        <w:t>，由此按室外声源方法计算等效室外声源在预测点产生的声级。</w:t>
      </w:r>
    </w:p>
    <w:p>
      <w:pPr>
        <w:widowControl/>
        <w:ind w:firstLine="482"/>
        <w:jc w:val="left"/>
      </w:pPr>
      <w:r>
        <w:rPr>
          <w:rFonts w:hint="eastAsia" w:ascii="宋体" w:hAnsi="宋体"/>
          <w:b/>
          <w:bCs/>
          <w:color w:val="000000"/>
          <w:lang w:bidi="ar"/>
        </w:rPr>
        <w:t>计算总声压级</w:t>
      </w:r>
    </w:p>
    <w:p>
      <w:pPr>
        <w:widowControl/>
        <w:ind w:firstLine="480"/>
      </w:pPr>
      <w:r>
        <w:rPr>
          <w:rFonts w:hint="eastAsia"/>
        </w:rPr>
        <w:t>设第</w:t>
      </w:r>
      <w:r>
        <w:t>i</w:t>
      </w:r>
      <w:r>
        <w:rPr>
          <w:rFonts w:hint="eastAsia"/>
        </w:rPr>
        <w:t>个室外声源在预测点产生的</w:t>
      </w:r>
      <w:r>
        <w:t>A</w:t>
      </w:r>
      <w:r>
        <w:rPr>
          <w:rFonts w:hint="eastAsia"/>
        </w:rPr>
        <w:t>声级为L</w:t>
      </w:r>
      <w:r>
        <w:rPr>
          <w:vertAlign w:val="subscript"/>
        </w:rPr>
        <w:t>Ain</w:t>
      </w:r>
      <w:r>
        <w:rPr>
          <w:rFonts w:hint="eastAsia"/>
          <w:vertAlign w:val="subscript"/>
        </w:rPr>
        <w:t>，</w:t>
      </w:r>
      <w:r>
        <w:rPr>
          <w:vertAlign w:val="subscript"/>
        </w:rPr>
        <w:t>i</w:t>
      </w:r>
      <w:r>
        <w:rPr>
          <w:rFonts w:hint="eastAsia"/>
        </w:rPr>
        <w:t>，在</w:t>
      </w:r>
      <w:r>
        <w:t>T</w:t>
      </w:r>
      <w:r>
        <w:rPr>
          <w:rFonts w:hint="eastAsia"/>
        </w:rPr>
        <w:t>时间内该声源工作时间为</w:t>
      </w:r>
      <w:r>
        <w:t>t</w:t>
      </w:r>
      <w:r>
        <w:rPr>
          <w:vertAlign w:val="subscript"/>
        </w:rPr>
        <w:t>in</w:t>
      </w:r>
      <w:r>
        <w:rPr>
          <w:rFonts w:hint="eastAsia"/>
          <w:vertAlign w:val="subscript"/>
        </w:rPr>
        <w:t>，</w:t>
      </w:r>
      <w:r>
        <w:rPr>
          <w:vertAlign w:val="subscript"/>
        </w:rPr>
        <w:t>i</w:t>
      </w:r>
      <w:r>
        <w:rPr>
          <w:rFonts w:hint="eastAsia"/>
        </w:rPr>
        <w:t>；第</w:t>
      </w:r>
      <w:r>
        <w:t>j</w:t>
      </w:r>
      <w:r>
        <w:rPr>
          <w:rFonts w:hint="eastAsia"/>
        </w:rPr>
        <w:t>个等效室外声源在预测点产生的</w:t>
      </w:r>
      <w:r>
        <w:t>A</w:t>
      </w:r>
      <w:r>
        <w:rPr>
          <w:rFonts w:hint="eastAsia"/>
        </w:rPr>
        <w:t>声级为</w:t>
      </w:r>
      <w:r>
        <w:t>L</w:t>
      </w:r>
      <w:r>
        <w:rPr>
          <w:vertAlign w:val="subscript"/>
        </w:rPr>
        <w:t>Aout</w:t>
      </w:r>
      <w:r>
        <w:rPr>
          <w:rFonts w:hint="eastAsia"/>
          <w:vertAlign w:val="subscript"/>
        </w:rPr>
        <w:t>，</w:t>
      </w:r>
      <w:r>
        <w:rPr>
          <w:vertAlign w:val="subscript"/>
        </w:rPr>
        <w:t>j</w:t>
      </w:r>
      <w:r>
        <w:rPr>
          <w:rFonts w:hint="eastAsia"/>
        </w:rPr>
        <w:t>，在</w:t>
      </w:r>
      <w:r>
        <w:t>T</w:t>
      </w:r>
      <w:r>
        <w:rPr>
          <w:rFonts w:hint="eastAsia"/>
        </w:rPr>
        <w:t>时间内该声源工作时间为</w:t>
      </w:r>
      <w:r>
        <w:t>t</w:t>
      </w:r>
      <w:r>
        <w:rPr>
          <w:vertAlign w:val="subscript"/>
        </w:rPr>
        <w:t>out</w:t>
      </w:r>
      <w:r>
        <w:rPr>
          <w:rFonts w:hint="eastAsia"/>
          <w:vertAlign w:val="subscript"/>
        </w:rPr>
        <w:t>，</w:t>
      </w:r>
      <w:r>
        <w:rPr>
          <w:vertAlign w:val="subscript"/>
        </w:rPr>
        <w:t>j</w:t>
      </w:r>
      <w:r>
        <w:rPr>
          <w:rFonts w:hint="eastAsia"/>
        </w:rPr>
        <w:t>，则预测点的总等效声级为：</w:t>
      </w:r>
    </w:p>
    <w:p>
      <w:pPr>
        <w:pStyle w:val="27"/>
        <w:ind w:left="480" w:firstLine="480"/>
        <w:jc w:val="center"/>
      </w:pPr>
      <w:r>
        <w:drawing>
          <wp:inline distT="0" distB="0" distL="114300" distR="114300">
            <wp:extent cx="2941320" cy="469265"/>
            <wp:effectExtent l="0" t="0" r="11430" b="6985"/>
            <wp:docPr id="1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9"/>
                    <pic:cNvPicPr>
                      <a:picLocks noChangeAspect="1"/>
                    </pic:cNvPicPr>
                  </pic:nvPicPr>
                  <pic:blipFill>
                    <a:blip r:embed="rId94"/>
                    <a:stretch>
                      <a:fillRect/>
                    </a:stretch>
                  </pic:blipFill>
                  <pic:spPr>
                    <a:xfrm>
                      <a:off x="0" y="0"/>
                      <a:ext cx="2941320" cy="469265"/>
                    </a:xfrm>
                    <a:prstGeom prst="rect">
                      <a:avLst/>
                    </a:prstGeom>
                    <a:noFill/>
                    <a:ln>
                      <a:noFill/>
                    </a:ln>
                  </pic:spPr>
                </pic:pic>
              </a:graphicData>
            </a:graphic>
          </wp:inline>
        </w:drawing>
      </w:r>
    </w:p>
    <w:p>
      <w:pPr>
        <w:widowControl/>
        <w:ind w:firstLine="480"/>
        <w:jc w:val="left"/>
      </w:pPr>
      <w:r>
        <w:rPr>
          <w:rFonts w:hint="eastAsia" w:ascii="宋体" w:hAnsi="宋体"/>
          <w:color w:val="000000"/>
          <w:lang w:bidi="ar"/>
        </w:rPr>
        <w:t>式中：</w:t>
      </w:r>
      <w:r>
        <w:rPr>
          <w:rFonts w:cs="Times New Roman"/>
          <w:color w:val="000000"/>
          <w:lang w:bidi="ar"/>
        </w:rPr>
        <w:t>T</w:t>
      </w:r>
      <w:r>
        <w:rPr>
          <w:rFonts w:hint="eastAsia" w:ascii="宋体" w:hAnsi="宋体"/>
          <w:color w:val="000000"/>
          <w:lang w:bidi="ar"/>
        </w:rPr>
        <w:t>为计算等效声级的时间，</w:t>
      </w:r>
      <w:r>
        <w:rPr>
          <w:rFonts w:cs="Times New Roman"/>
          <w:color w:val="000000"/>
          <w:lang w:bidi="ar"/>
        </w:rPr>
        <w:t>N</w:t>
      </w:r>
      <w:r>
        <w:rPr>
          <w:rFonts w:hint="eastAsia" w:ascii="宋体" w:hAnsi="宋体"/>
          <w:color w:val="000000"/>
          <w:lang w:bidi="ar"/>
        </w:rPr>
        <w:t>为室外声源个数，</w:t>
      </w:r>
      <w:r>
        <w:rPr>
          <w:rFonts w:cs="Times New Roman"/>
          <w:color w:val="000000"/>
          <w:lang w:bidi="ar"/>
        </w:rPr>
        <w:t>M</w:t>
      </w:r>
      <w:r>
        <w:rPr>
          <w:rFonts w:hint="eastAsia" w:ascii="宋体" w:hAnsi="宋体"/>
          <w:color w:val="000000"/>
          <w:lang w:bidi="ar"/>
        </w:rPr>
        <w:t>为等效室外声源个数。</w:t>
      </w:r>
    </w:p>
    <w:p>
      <w:pPr>
        <w:pStyle w:val="7"/>
        <w:ind w:firstLine="562"/>
      </w:pPr>
      <w:r>
        <w:rPr>
          <w:rFonts w:hint="eastAsia"/>
        </w:rPr>
        <w:t>6.4.3</w:t>
      </w:r>
      <w:r>
        <w:t xml:space="preserve"> </w:t>
      </w:r>
      <w:r>
        <w:rPr>
          <w:rFonts w:hint="eastAsia"/>
        </w:rPr>
        <w:t>厂界预测结果</w:t>
      </w:r>
    </w:p>
    <w:p>
      <w:pPr>
        <w:widowControl/>
        <w:ind w:firstLine="480"/>
        <w:jc w:val="left"/>
        <w:rPr>
          <w:rFonts w:ascii="宋体" w:hAnsi="宋体"/>
          <w:color w:val="000000"/>
          <w:lang w:bidi="ar"/>
        </w:rPr>
      </w:pPr>
      <w:r>
        <w:rPr>
          <w:rFonts w:hint="eastAsia" w:ascii="宋体" w:hAnsi="宋体"/>
          <w:color w:val="000000"/>
          <w:lang w:bidi="ar"/>
        </w:rPr>
        <w:t>噪声在室外空间的传播，由于受到遮挡物的隔断，各种介质的吸收与反射，以及空气介质的吸收等物理作用而逐渐减弱。为了简化计算条件并考虑到最不利因素，计算时只考虑噪声随距离的衰减，应用上述预测模式计算厂界各测点处的噪声排放声级，并与噪声现状值相叠加，预测其对厂界周围声环境的影响，噪声预测声等值线图见图</w:t>
      </w:r>
      <w:r>
        <w:rPr>
          <w:rFonts w:cs="Times New Roman"/>
          <w:color w:val="000000"/>
          <w:lang w:bidi="ar"/>
        </w:rPr>
        <w:t>6.</w:t>
      </w:r>
      <w:r>
        <w:rPr>
          <w:rFonts w:hint="eastAsia" w:cs="Times New Roman"/>
          <w:color w:val="000000"/>
          <w:lang w:bidi="ar"/>
        </w:rPr>
        <w:t>4</w:t>
      </w:r>
      <w:r>
        <w:rPr>
          <w:rFonts w:cs="Times New Roman"/>
          <w:color w:val="000000"/>
          <w:lang w:bidi="ar"/>
        </w:rPr>
        <w:t>-</w:t>
      </w:r>
      <w:r>
        <w:rPr>
          <w:rFonts w:hint="eastAsia" w:cs="Times New Roman"/>
          <w:color w:val="000000"/>
          <w:lang w:bidi="ar"/>
        </w:rPr>
        <w:t>2</w:t>
      </w:r>
      <w:r>
        <w:rPr>
          <w:rFonts w:hint="eastAsia" w:ascii="宋体" w:hAnsi="宋体"/>
          <w:color w:val="000000"/>
          <w:lang w:bidi="ar"/>
        </w:rPr>
        <w:t>，预测其对厂界周围声环境的影响，厂界噪声预测结果见表</w:t>
      </w:r>
      <w:r>
        <w:rPr>
          <w:rFonts w:cs="Times New Roman"/>
          <w:color w:val="000000"/>
          <w:lang w:bidi="ar"/>
        </w:rPr>
        <w:t>6.</w:t>
      </w:r>
      <w:r>
        <w:rPr>
          <w:rFonts w:hint="eastAsia" w:cs="Times New Roman"/>
          <w:color w:val="000000"/>
          <w:lang w:bidi="ar"/>
        </w:rPr>
        <w:t>4</w:t>
      </w:r>
      <w:r>
        <w:rPr>
          <w:rFonts w:cs="Times New Roman"/>
          <w:color w:val="000000"/>
          <w:lang w:bidi="ar"/>
        </w:rPr>
        <w:t>-</w:t>
      </w:r>
      <w:r>
        <w:rPr>
          <w:rFonts w:hint="eastAsia" w:cs="Times New Roman"/>
          <w:color w:val="000000"/>
          <w:lang w:bidi="ar"/>
        </w:rPr>
        <w:t>3</w:t>
      </w:r>
      <w:r>
        <w:rPr>
          <w:rFonts w:hint="eastAsia" w:ascii="宋体" w:hAnsi="宋体"/>
          <w:color w:val="000000"/>
          <w:lang w:bidi="ar"/>
        </w:rPr>
        <w:t>。</w:t>
      </w:r>
    </w:p>
    <w:p>
      <w:pPr>
        <w:widowControl/>
        <w:spacing w:line="240" w:lineRule="auto"/>
        <w:ind w:firstLine="0" w:firstLineChars="0"/>
        <w:jc w:val="center"/>
        <w:rPr>
          <w:b/>
          <w:bCs/>
          <w:color w:val="000000" w:themeColor="text1"/>
          <w:lang w:bidi="ar"/>
          <w14:textFill>
            <w14:solidFill>
              <w14:schemeClr w14:val="tx1"/>
            </w14:solidFill>
          </w14:textFill>
        </w:rPr>
      </w:pPr>
      <w:r>
        <w:drawing>
          <wp:inline distT="0" distB="0" distL="114300" distR="114300">
            <wp:extent cx="5756275" cy="4815840"/>
            <wp:effectExtent l="0" t="0" r="15875" b="3810"/>
            <wp:docPr id="2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8"/>
                    <pic:cNvPicPr>
                      <a:picLocks noChangeAspect="1"/>
                    </pic:cNvPicPr>
                  </pic:nvPicPr>
                  <pic:blipFill>
                    <a:blip r:embed="rId95"/>
                    <a:stretch>
                      <a:fillRect/>
                    </a:stretch>
                  </pic:blipFill>
                  <pic:spPr>
                    <a:xfrm>
                      <a:off x="0" y="0"/>
                      <a:ext cx="5756275" cy="4815840"/>
                    </a:xfrm>
                    <a:prstGeom prst="rect">
                      <a:avLst/>
                    </a:prstGeom>
                    <a:noFill/>
                    <a:ln>
                      <a:noFill/>
                    </a:ln>
                  </pic:spPr>
                </pic:pic>
              </a:graphicData>
            </a:graphic>
          </wp:inline>
        </w:drawing>
      </w:r>
    </w:p>
    <w:p>
      <w:pPr>
        <w:widowControl/>
        <w:spacing w:line="240" w:lineRule="auto"/>
        <w:ind w:firstLine="482"/>
        <w:jc w:val="center"/>
        <w:rPr>
          <w:b/>
          <w:bCs/>
          <w:color w:val="000000" w:themeColor="text1"/>
          <w:lang w:bidi="ar"/>
          <w14:textFill>
            <w14:solidFill>
              <w14:schemeClr w14:val="tx1"/>
            </w14:solidFill>
          </w14:textFill>
        </w:rPr>
      </w:pPr>
      <w:r>
        <w:rPr>
          <w:rFonts w:hint="eastAsia"/>
          <w:b/>
          <w:bCs/>
          <w:color w:val="000000" w:themeColor="text1"/>
          <w:lang w:bidi="ar"/>
          <w14:textFill>
            <w14:solidFill>
              <w14:schemeClr w14:val="tx1"/>
            </w14:solidFill>
          </w14:textFill>
        </w:rPr>
        <w:t>图6.4-2  项目噪声预测声等值线图</w:t>
      </w:r>
    </w:p>
    <w:p>
      <w:pPr>
        <w:widowControl/>
        <w:ind w:firstLine="482"/>
        <w:jc w:val="center"/>
        <w:rPr>
          <w:b/>
          <w:bCs/>
          <w:color w:val="000000" w:themeColor="text1"/>
          <w:lang w:bidi="ar"/>
          <w14:textFill>
            <w14:solidFill>
              <w14:schemeClr w14:val="tx1"/>
            </w14:solidFill>
          </w14:textFill>
        </w:rPr>
      </w:pPr>
      <w:r>
        <w:rPr>
          <w:rFonts w:hint="eastAsia"/>
          <w:b/>
          <w:bCs/>
          <w:color w:val="000000" w:themeColor="text1"/>
          <w:lang w:bidi="ar"/>
          <w14:textFill>
            <w14:solidFill>
              <w14:schemeClr w14:val="tx1"/>
            </w14:solidFill>
          </w14:textFill>
        </w:rPr>
        <w:t>表6.4-3  厂界噪声预测结果 单位：</w:t>
      </w:r>
      <w:r>
        <w:rPr>
          <w:b/>
          <w:bCs/>
          <w:color w:val="000000" w:themeColor="text1"/>
          <w:lang w:bidi="ar"/>
          <w14:textFill>
            <w14:solidFill>
              <w14:schemeClr w14:val="tx1"/>
            </w14:solidFill>
          </w14:textFill>
        </w:rPr>
        <w:t>dB</w:t>
      </w:r>
      <w:r>
        <w:rPr>
          <w:rFonts w:hint="eastAsia"/>
          <w:b/>
          <w:bCs/>
          <w:color w:val="000000" w:themeColor="text1"/>
          <w:lang w:bidi="ar"/>
          <w14:textFill>
            <w14:solidFill>
              <w14:schemeClr w14:val="tx1"/>
            </w14:solidFill>
          </w14:textFill>
        </w:rPr>
        <w:t>（</w:t>
      </w:r>
      <w:r>
        <w:rPr>
          <w:b/>
          <w:bCs/>
          <w:color w:val="000000" w:themeColor="text1"/>
          <w:lang w:bidi="ar"/>
          <w14:textFill>
            <w14:solidFill>
              <w14:schemeClr w14:val="tx1"/>
            </w14:solidFill>
          </w14:textFill>
        </w:rPr>
        <w:t>A</w:t>
      </w:r>
      <w:r>
        <w:rPr>
          <w:rFonts w:hint="eastAsia"/>
          <w:b/>
          <w:bCs/>
          <w:color w:val="000000" w:themeColor="text1"/>
          <w:lang w:bidi="ar"/>
          <w14:textFill>
            <w14:solidFill>
              <w14:schemeClr w14:val="tx1"/>
            </w14:solidFill>
          </w14:textFill>
        </w:rPr>
        <w:t>）</w:t>
      </w:r>
    </w:p>
    <w:tbl>
      <w:tblPr>
        <w:tblStyle w:val="29"/>
        <w:tblW w:w="4882" w:type="pct"/>
        <w:tblInd w:w="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4"/>
        <w:gridCol w:w="1550"/>
        <w:gridCol w:w="1548"/>
        <w:gridCol w:w="1548"/>
        <w:gridCol w:w="1548"/>
        <w:gridCol w:w="13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677" w:type="pct"/>
            <w:gridSpan w:val="2"/>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cs="TimesNewRomanPS-BoldMT"/>
                <w:color w:val="000000" w:themeColor="text1"/>
                <w:sz w:val="21"/>
                <w:szCs w:val="21"/>
                <w:lang w:bidi="ar"/>
                <w14:textFill>
                  <w14:solidFill>
                    <w14:schemeClr w14:val="tx1"/>
                  </w14:solidFill>
                </w14:textFill>
              </w:rPr>
              <w:t>/</w:t>
            </w:r>
          </w:p>
        </w:tc>
        <w:tc>
          <w:tcPr>
            <w:tcW w:w="853" w:type="pct"/>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lang w:bidi="ar"/>
                <w14:textFill>
                  <w14:solidFill>
                    <w14:schemeClr w14:val="tx1"/>
                  </w14:solidFill>
                </w14:textFill>
              </w:rPr>
              <w:t>东厂界</w:t>
            </w:r>
          </w:p>
        </w:tc>
        <w:tc>
          <w:tcPr>
            <w:tcW w:w="853" w:type="pct"/>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lang w:bidi="ar"/>
                <w14:textFill>
                  <w14:solidFill>
                    <w14:schemeClr w14:val="tx1"/>
                  </w14:solidFill>
                </w14:textFill>
              </w:rPr>
              <w:t>南厂界</w:t>
            </w:r>
          </w:p>
        </w:tc>
        <w:tc>
          <w:tcPr>
            <w:tcW w:w="853" w:type="pct"/>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lang w:bidi="ar"/>
                <w14:textFill>
                  <w14:solidFill>
                    <w14:schemeClr w14:val="tx1"/>
                  </w14:solidFill>
                </w14:textFill>
              </w:rPr>
              <w:t>西厂界</w:t>
            </w:r>
          </w:p>
        </w:tc>
        <w:tc>
          <w:tcPr>
            <w:tcW w:w="761" w:type="pct"/>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lang w:bidi="ar"/>
                <w14:textFill>
                  <w14:solidFill>
                    <w14:schemeClr w14:val="tx1"/>
                  </w14:solidFill>
                </w14:textFill>
              </w:rPr>
              <w:t>北厂界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677" w:type="pct"/>
            <w:gridSpan w:val="2"/>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lang w:bidi="ar"/>
                <w14:textFill>
                  <w14:solidFill>
                    <w14:schemeClr w14:val="tx1"/>
                  </w14:solidFill>
                </w14:textFill>
              </w:rPr>
              <w:t>本项目贡献值</w:t>
            </w:r>
          </w:p>
        </w:tc>
        <w:tc>
          <w:tcPr>
            <w:tcW w:w="853"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32.52</w:t>
            </w:r>
          </w:p>
        </w:tc>
        <w:tc>
          <w:tcPr>
            <w:tcW w:w="853"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31.93</w:t>
            </w:r>
          </w:p>
        </w:tc>
        <w:tc>
          <w:tcPr>
            <w:tcW w:w="853"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24.56</w:t>
            </w:r>
          </w:p>
        </w:tc>
        <w:tc>
          <w:tcPr>
            <w:tcW w:w="761"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26.96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3" w:type="pct"/>
            <w:vMerge w:val="restart"/>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lang w:bidi="ar"/>
                <w14:textFill>
                  <w14:solidFill>
                    <w14:schemeClr w14:val="tx1"/>
                  </w14:solidFill>
                </w14:textFill>
              </w:rPr>
              <w:t>标准值</w:t>
            </w:r>
          </w:p>
        </w:tc>
        <w:tc>
          <w:tcPr>
            <w:tcW w:w="854" w:type="pct"/>
            <w:vAlign w:val="center"/>
          </w:tcPr>
          <w:p>
            <w:pPr>
              <w:widowControl/>
              <w:spacing w:line="240" w:lineRule="auto"/>
              <w:ind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lang w:bidi="ar"/>
                <w14:textFill>
                  <w14:solidFill>
                    <w14:schemeClr w14:val="tx1"/>
                  </w14:solidFill>
                </w14:textFill>
              </w:rPr>
              <w:t>昼</w:t>
            </w:r>
          </w:p>
        </w:tc>
        <w:tc>
          <w:tcPr>
            <w:tcW w:w="853"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65</w:t>
            </w:r>
          </w:p>
        </w:tc>
        <w:tc>
          <w:tcPr>
            <w:tcW w:w="853"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65</w:t>
            </w:r>
          </w:p>
        </w:tc>
        <w:tc>
          <w:tcPr>
            <w:tcW w:w="853"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65</w:t>
            </w:r>
          </w:p>
        </w:tc>
        <w:tc>
          <w:tcPr>
            <w:tcW w:w="761"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23" w:type="pct"/>
            <w:vMerge w:val="continue"/>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p>
        </w:tc>
        <w:tc>
          <w:tcPr>
            <w:tcW w:w="854"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夜</w:t>
            </w:r>
          </w:p>
        </w:tc>
        <w:tc>
          <w:tcPr>
            <w:tcW w:w="853"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55</w:t>
            </w:r>
          </w:p>
        </w:tc>
        <w:tc>
          <w:tcPr>
            <w:tcW w:w="853"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55</w:t>
            </w:r>
          </w:p>
        </w:tc>
        <w:tc>
          <w:tcPr>
            <w:tcW w:w="853"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55</w:t>
            </w:r>
          </w:p>
        </w:tc>
        <w:tc>
          <w:tcPr>
            <w:tcW w:w="761" w:type="pct"/>
            <w:vAlign w:val="center"/>
          </w:tcPr>
          <w:p>
            <w:pPr>
              <w:pStyle w:val="27"/>
              <w:spacing w:after="0" w:line="240" w:lineRule="auto"/>
              <w:ind w:left="0" w:leftChars="0" w:firstLine="0" w:firstLineChars="0"/>
              <w:jc w:val="center"/>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55</w:t>
            </w:r>
          </w:p>
        </w:tc>
      </w:tr>
    </w:tbl>
    <w:p>
      <w:pPr>
        <w:widowControl/>
        <w:ind w:firstLine="480"/>
        <w:rPr>
          <w:color w:val="000000"/>
          <w:lang w:bidi="ar"/>
        </w:rPr>
      </w:pPr>
      <w:r>
        <w:rPr>
          <w:rFonts w:hint="eastAsia"/>
          <w:color w:val="000000"/>
          <w:lang w:bidi="ar"/>
        </w:rPr>
        <w:t>预测结果表明：项目西、南、北厂界昼、夜间预测值均满足《工业企业厂界环境噪声排放标准》（</w:t>
      </w:r>
      <w:r>
        <w:rPr>
          <w:color w:val="000000"/>
          <w:lang w:bidi="ar"/>
        </w:rPr>
        <w:t>GB12348-2008</w:t>
      </w:r>
      <w:r>
        <w:rPr>
          <w:rFonts w:hint="eastAsia"/>
          <w:color w:val="000000"/>
          <w:lang w:bidi="ar"/>
        </w:rPr>
        <w:t>）中3类标准（昼间≤65</w:t>
      </w:r>
      <w:r>
        <w:rPr>
          <w:color w:val="000000"/>
          <w:lang w:bidi="ar"/>
        </w:rPr>
        <w:t>dB</w:t>
      </w:r>
      <w:r>
        <w:rPr>
          <w:rFonts w:hint="eastAsia"/>
          <w:color w:val="000000"/>
          <w:lang w:bidi="ar"/>
        </w:rPr>
        <w:t>（</w:t>
      </w:r>
      <w:r>
        <w:rPr>
          <w:color w:val="000000"/>
          <w:lang w:bidi="ar"/>
        </w:rPr>
        <w:t>A</w:t>
      </w:r>
      <w:r>
        <w:rPr>
          <w:rFonts w:hint="eastAsia"/>
          <w:color w:val="000000"/>
          <w:lang w:bidi="ar"/>
        </w:rPr>
        <w:t>）、夜间≤55</w:t>
      </w:r>
      <w:r>
        <w:rPr>
          <w:color w:val="000000"/>
          <w:lang w:bidi="ar"/>
        </w:rPr>
        <w:t>dB</w:t>
      </w:r>
      <w:r>
        <w:rPr>
          <w:rFonts w:hint="eastAsia"/>
          <w:color w:val="000000"/>
          <w:lang w:bidi="ar"/>
        </w:rPr>
        <w:t>（</w:t>
      </w:r>
      <w:r>
        <w:rPr>
          <w:color w:val="000000"/>
          <w:lang w:bidi="ar"/>
        </w:rPr>
        <w:t>A</w:t>
      </w:r>
      <w:r>
        <w:rPr>
          <w:rFonts w:hint="eastAsia"/>
          <w:color w:val="000000"/>
          <w:lang w:bidi="ar"/>
        </w:rPr>
        <w:t>））。</w:t>
      </w:r>
    </w:p>
    <w:p>
      <w:pPr>
        <w:widowControl/>
        <w:ind w:firstLine="480"/>
        <w:rPr>
          <w:color w:val="000000"/>
          <w:lang w:bidi="ar"/>
        </w:rPr>
      </w:pPr>
      <w:r>
        <w:rPr>
          <w:rFonts w:hint="eastAsia"/>
          <w:color w:val="000000"/>
          <w:lang w:bidi="ar"/>
        </w:rPr>
        <w:t>综上，本项目噪声对周围声环境影响较小。</w:t>
      </w:r>
    </w:p>
    <w:p>
      <w:pPr>
        <w:widowControl/>
        <w:ind w:firstLine="482"/>
        <w:jc w:val="center"/>
        <w:rPr>
          <w:b/>
          <w:bCs/>
          <w:color w:val="000000" w:themeColor="text1"/>
          <w:lang w:bidi="ar"/>
          <w14:textFill>
            <w14:solidFill>
              <w14:schemeClr w14:val="tx1"/>
            </w14:solidFill>
          </w14:textFill>
        </w:rPr>
      </w:pPr>
      <w:r>
        <w:rPr>
          <w:rFonts w:hint="eastAsia"/>
          <w:b/>
          <w:bCs/>
          <w:color w:val="000000" w:themeColor="text1"/>
          <w:lang w:bidi="ar"/>
          <w14:textFill>
            <w14:solidFill>
              <w14:schemeClr w14:val="tx1"/>
            </w14:solidFill>
          </w14:textFill>
        </w:rPr>
        <w:t>表6.4-4  声环境影响评价自查表</w:t>
      </w:r>
    </w:p>
    <w:tbl>
      <w:tblPr>
        <w:tblStyle w:val="51"/>
        <w:tblW w:w="4999"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019"/>
        <w:gridCol w:w="1585"/>
        <w:gridCol w:w="943"/>
        <w:gridCol w:w="552"/>
        <w:gridCol w:w="318"/>
        <w:gridCol w:w="234"/>
        <w:gridCol w:w="1050"/>
        <w:gridCol w:w="56"/>
        <w:gridCol w:w="1104"/>
        <w:gridCol w:w="552"/>
        <w:gridCol w:w="472"/>
        <w:gridCol w:w="78"/>
        <w:gridCol w:w="1117"/>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434" w:type="pct"/>
            <w:gridSpan w:val="2"/>
            <w:vAlign w:val="center"/>
          </w:tcPr>
          <w:p>
            <w:pPr>
              <w:spacing w:line="360" w:lineRule="exact"/>
              <w:ind w:firstLine="0" w:firstLineChars="0"/>
              <w:jc w:val="center"/>
              <w:rPr>
                <w:rFonts w:cs="Times New Roman"/>
                <w:kern w:val="21"/>
                <w:sz w:val="21"/>
                <w:szCs w:val="21"/>
              </w:rPr>
            </w:pPr>
            <w:r>
              <w:rPr>
                <w:rFonts w:cs="Times New Roman"/>
                <w:kern w:val="21"/>
                <w:sz w:val="21"/>
                <w:szCs w:val="21"/>
              </w:rPr>
              <w:t>工作内容</w:t>
            </w:r>
          </w:p>
        </w:tc>
        <w:tc>
          <w:tcPr>
            <w:tcW w:w="3565" w:type="pct"/>
            <w:gridSpan w:val="11"/>
            <w:vAlign w:val="center"/>
          </w:tcPr>
          <w:p>
            <w:pPr>
              <w:spacing w:line="360" w:lineRule="exact"/>
              <w:ind w:firstLine="0" w:firstLineChars="0"/>
              <w:jc w:val="center"/>
              <w:rPr>
                <w:rFonts w:cs="Times New Roman"/>
                <w:kern w:val="21"/>
                <w:sz w:val="21"/>
                <w:szCs w:val="21"/>
              </w:rPr>
            </w:pPr>
            <w:r>
              <w:rPr>
                <w:rFonts w:cs="Times New Roman"/>
                <w:kern w:val="21"/>
                <w:sz w:val="21"/>
                <w:szCs w:val="21"/>
              </w:rPr>
              <w:t>自查项目</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restart"/>
            <w:tcBorders>
              <w:bottom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评价等级与范围</w:t>
            </w: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评价等级</w:t>
            </w:r>
          </w:p>
        </w:tc>
        <w:tc>
          <w:tcPr>
            <w:tcW w:w="998" w:type="pct"/>
            <w:gridSpan w:val="3"/>
            <w:tcBorders>
              <w:righ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一级</w:t>
            </w:r>
            <w:r>
              <w:rPr>
                <w:rFonts w:cs="Times New Roman"/>
                <w:kern w:val="21"/>
                <w:sz w:val="21"/>
                <w:szCs w:val="21"/>
              </w:rPr>
              <w:sym w:font="Wingdings" w:char="00A8"/>
            </w:r>
          </w:p>
        </w:tc>
        <w:tc>
          <w:tcPr>
            <w:tcW w:w="1346" w:type="pct"/>
            <w:gridSpan w:val="4"/>
            <w:tcBorders>
              <w:left w:val="nil"/>
              <w:righ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二级</w:t>
            </w:r>
            <w:r>
              <w:rPr>
                <w:rFonts w:cs="Times New Roman"/>
                <w:kern w:val="21"/>
                <w:sz w:val="21"/>
                <w:szCs w:val="21"/>
              </w:rPr>
              <w:sym w:font="Wingdings" w:char="00A8"/>
            </w:r>
          </w:p>
        </w:tc>
        <w:tc>
          <w:tcPr>
            <w:tcW w:w="1220" w:type="pct"/>
            <w:gridSpan w:val="4"/>
            <w:tcBorders>
              <w:lef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三级</w:t>
            </w:r>
            <w:r>
              <w:rPr>
                <w:rFonts w:cs="Times New Roman"/>
                <w:kern w:val="21"/>
                <w:sz w:val="21"/>
                <w:szCs w:val="21"/>
              </w:rPr>
              <w:sym w:font="Wingdings" w:char="00FE"/>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continue"/>
            <w:tcBorders>
              <w:top w:val="nil"/>
            </w:tcBorders>
            <w:vAlign w:val="center"/>
          </w:tcPr>
          <w:p>
            <w:pPr>
              <w:spacing w:line="360" w:lineRule="exact"/>
              <w:ind w:firstLine="0" w:firstLineChars="0"/>
              <w:jc w:val="center"/>
              <w:rPr>
                <w:rFonts w:cs="Times New Roman"/>
                <w:kern w:val="21"/>
                <w:sz w:val="21"/>
                <w:szCs w:val="21"/>
              </w:rPr>
            </w:pP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评价范围</w:t>
            </w:r>
          </w:p>
        </w:tc>
        <w:tc>
          <w:tcPr>
            <w:tcW w:w="519" w:type="pct"/>
            <w:tcBorders>
              <w:right w:val="nil"/>
            </w:tcBorders>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200m</w:t>
            </w:r>
            <w:r>
              <w:rPr>
                <w:rFonts w:cs="Times New Roman"/>
                <w:kern w:val="21"/>
                <w:sz w:val="21"/>
                <w:szCs w:val="21"/>
              </w:rPr>
              <w:sym w:font="Wingdings" w:char="00FE"/>
            </w:r>
          </w:p>
        </w:tc>
        <w:tc>
          <w:tcPr>
            <w:tcW w:w="1825" w:type="pct"/>
            <w:gridSpan w:val="6"/>
            <w:tcBorders>
              <w:left w:val="nil"/>
              <w:righ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大于</w:t>
            </w:r>
            <w:r>
              <w:rPr>
                <w:rFonts w:eastAsia="Times New Roman" w:cs="Times New Roman"/>
                <w:kern w:val="21"/>
                <w:sz w:val="21"/>
                <w:szCs w:val="21"/>
              </w:rPr>
              <w:t>200m</w:t>
            </w:r>
            <w:r>
              <w:rPr>
                <w:rFonts w:cs="Times New Roman"/>
                <w:kern w:val="21"/>
                <w:sz w:val="21"/>
                <w:szCs w:val="21"/>
              </w:rPr>
              <w:sym w:font="Wingdings" w:char="00A8"/>
            </w:r>
          </w:p>
        </w:tc>
        <w:tc>
          <w:tcPr>
            <w:tcW w:w="1220" w:type="pct"/>
            <w:gridSpan w:val="4"/>
            <w:tcBorders>
              <w:lef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小于</w:t>
            </w:r>
            <w:r>
              <w:rPr>
                <w:rFonts w:eastAsia="Times New Roman" w:cs="Times New Roman"/>
                <w:kern w:val="21"/>
                <w:sz w:val="21"/>
                <w:szCs w:val="21"/>
              </w:rPr>
              <w:t>200m</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评价因子</w:t>
            </w: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评价因子</w:t>
            </w:r>
          </w:p>
        </w:tc>
        <w:tc>
          <w:tcPr>
            <w:tcW w:w="3565" w:type="pct"/>
            <w:gridSpan w:val="11"/>
            <w:vAlign w:val="center"/>
          </w:tcPr>
          <w:p>
            <w:pPr>
              <w:spacing w:line="360" w:lineRule="exact"/>
              <w:ind w:firstLine="0" w:firstLineChars="0"/>
              <w:jc w:val="center"/>
              <w:rPr>
                <w:rFonts w:cs="Times New Roman"/>
                <w:kern w:val="21"/>
                <w:sz w:val="21"/>
                <w:szCs w:val="21"/>
              </w:rPr>
            </w:pPr>
            <w:r>
              <w:rPr>
                <w:rFonts w:cs="Times New Roman"/>
                <w:kern w:val="21"/>
                <w:sz w:val="21"/>
                <w:szCs w:val="21"/>
              </w:rPr>
              <w:t>等效连续</w:t>
            </w:r>
            <w:r>
              <w:rPr>
                <w:rFonts w:eastAsia="Times New Roman" w:cs="Times New Roman"/>
                <w:kern w:val="21"/>
                <w:sz w:val="21"/>
                <w:szCs w:val="21"/>
              </w:rPr>
              <w:t>A</w:t>
            </w:r>
            <w:r>
              <w:rPr>
                <w:rFonts w:cs="Times New Roman"/>
                <w:kern w:val="21"/>
                <w:sz w:val="21"/>
                <w:szCs w:val="21"/>
              </w:rPr>
              <w:t>声级</w:t>
            </w:r>
            <w:r>
              <w:rPr>
                <w:rFonts w:cs="Times New Roman"/>
                <w:kern w:val="21"/>
                <w:sz w:val="21"/>
                <w:szCs w:val="21"/>
              </w:rPr>
              <w:sym w:font="Wingdings" w:char="00FE"/>
            </w:r>
            <w:r>
              <w:rPr>
                <w:rFonts w:hint="eastAsia" w:cs="Times New Roman"/>
                <w:kern w:val="21"/>
                <w:sz w:val="21"/>
                <w:szCs w:val="21"/>
              </w:rPr>
              <w:t xml:space="preserve">  </w:t>
            </w:r>
            <w:r>
              <w:rPr>
                <w:rFonts w:cs="Times New Roman"/>
                <w:kern w:val="21"/>
                <w:sz w:val="21"/>
                <w:szCs w:val="21"/>
              </w:rPr>
              <w:t>最大</w:t>
            </w:r>
            <w:r>
              <w:rPr>
                <w:rFonts w:eastAsia="Times New Roman" w:cs="Times New Roman"/>
                <w:kern w:val="21"/>
                <w:sz w:val="21"/>
                <w:szCs w:val="21"/>
              </w:rPr>
              <w:t>A</w:t>
            </w:r>
            <w:r>
              <w:rPr>
                <w:rFonts w:cs="Times New Roman"/>
                <w:kern w:val="21"/>
                <w:sz w:val="21"/>
                <w:szCs w:val="21"/>
              </w:rPr>
              <w:t>声级</w:t>
            </w:r>
            <w:r>
              <w:rPr>
                <w:rFonts w:cs="Times New Roman"/>
                <w:kern w:val="21"/>
                <w:sz w:val="21"/>
                <w:szCs w:val="21"/>
              </w:rPr>
              <w:sym w:font="Wingdings" w:char="00A8"/>
            </w:r>
            <w:r>
              <w:rPr>
                <w:rFonts w:hint="eastAsia" w:cs="Times New Roman"/>
                <w:kern w:val="21"/>
                <w:sz w:val="21"/>
                <w:szCs w:val="21"/>
              </w:rPr>
              <w:t xml:space="preserve">  </w:t>
            </w:r>
            <w:r>
              <w:rPr>
                <w:rFonts w:cs="Times New Roman"/>
                <w:kern w:val="21"/>
                <w:sz w:val="21"/>
                <w:szCs w:val="21"/>
              </w:rPr>
              <w:t>计权等效连续感觉噪声级</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评价标准</w:t>
            </w: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评价标准</w:t>
            </w:r>
          </w:p>
        </w:tc>
        <w:tc>
          <w:tcPr>
            <w:tcW w:w="823" w:type="pct"/>
            <w:gridSpan w:val="2"/>
            <w:tcBorders>
              <w:righ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国家标准</w:t>
            </w:r>
            <w:r>
              <w:rPr>
                <w:rFonts w:cs="Times New Roman"/>
                <w:kern w:val="21"/>
                <w:sz w:val="21"/>
                <w:szCs w:val="21"/>
              </w:rPr>
              <w:sym w:font="Wingdings" w:char="00FE"/>
            </w:r>
          </w:p>
        </w:tc>
        <w:tc>
          <w:tcPr>
            <w:tcW w:w="1521" w:type="pct"/>
            <w:gridSpan w:val="5"/>
            <w:tcBorders>
              <w:left w:val="nil"/>
              <w:righ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地方标准</w:t>
            </w:r>
            <w:r>
              <w:rPr>
                <w:rFonts w:cs="Times New Roman"/>
                <w:kern w:val="21"/>
                <w:sz w:val="21"/>
                <w:szCs w:val="21"/>
              </w:rPr>
              <w:sym w:font="Wingdings" w:char="00A8"/>
            </w:r>
          </w:p>
        </w:tc>
        <w:tc>
          <w:tcPr>
            <w:tcW w:w="1220" w:type="pct"/>
            <w:gridSpan w:val="4"/>
            <w:tcBorders>
              <w:lef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国外标准</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restart"/>
            <w:tcBorders>
              <w:bottom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现状评价</w:t>
            </w: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环境功能区</w:t>
            </w:r>
          </w:p>
        </w:tc>
        <w:tc>
          <w:tcPr>
            <w:tcW w:w="519" w:type="pct"/>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0</w:t>
            </w:r>
            <w:r>
              <w:rPr>
                <w:rFonts w:cs="Times New Roman"/>
                <w:kern w:val="21"/>
                <w:sz w:val="21"/>
                <w:szCs w:val="21"/>
              </w:rPr>
              <w:t>类区</w:t>
            </w:r>
            <w:r>
              <w:rPr>
                <w:rFonts w:cs="Times New Roman"/>
                <w:kern w:val="21"/>
                <w:sz w:val="21"/>
                <w:szCs w:val="21"/>
              </w:rPr>
              <w:sym w:font="Wingdings" w:char="00A8"/>
            </w:r>
          </w:p>
        </w:tc>
        <w:tc>
          <w:tcPr>
            <w:tcW w:w="608" w:type="pct"/>
            <w:gridSpan w:val="3"/>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1</w:t>
            </w:r>
            <w:r>
              <w:rPr>
                <w:rFonts w:cs="Times New Roman"/>
                <w:kern w:val="21"/>
                <w:sz w:val="21"/>
                <w:szCs w:val="21"/>
              </w:rPr>
              <w:t>类区</w:t>
            </w:r>
            <w:r>
              <w:rPr>
                <w:rFonts w:cs="Times New Roman"/>
                <w:kern w:val="21"/>
                <w:sz w:val="21"/>
                <w:szCs w:val="21"/>
              </w:rPr>
              <w:sym w:font="Wingdings" w:char="00A8"/>
            </w:r>
          </w:p>
        </w:tc>
        <w:tc>
          <w:tcPr>
            <w:tcW w:w="609" w:type="pct"/>
            <w:gridSpan w:val="2"/>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2</w:t>
            </w:r>
            <w:r>
              <w:rPr>
                <w:rFonts w:cs="Times New Roman"/>
                <w:kern w:val="21"/>
                <w:sz w:val="21"/>
                <w:szCs w:val="21"/>
              </w:rPr>
              <w:t>类区</w:t>
            </w:r>
            <w:r>
              <w:rPr>
                <w:rFonts w:cs="Times New Roman"/>
                <w:kern w:val="21"/>
                <w:sz w:val="21"/>
                <w:szCs w:val="21"/>
              </w:rPr>
              <w:sym w:font="Wingdings" w:char="00A8"/>
            </w:r>
          </w:p>
        </w:tc>
        <w:tc>
          <w:tcPr>
            <w:tcW w:w="607" w:type="pct"/>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3</w:t>
            </w:r>
            <w:r>
              <w:rPr>
                <w:rFonts w:cs="Times New Roman"/>
                <w:kern w:val="21"/>
                <w:sz w:val="21"/>
                <w:szCs w:val="21"/>
              </w:rPr>
              <w:t>类区</w:t>
            </w:r>
            <w:r>
              <w:rPr>
                <w:rFonts w:cs="Times New Roman"/>
                <w:kern w:val="21"/>
                <w:sz w:val="21"/>
                <w:szCs w:val="21"/>
              </w:rPr>
              <w:sym w:font="Wingdings" w:char="00FE"/>
            </w:r>
          </w:p>
        </w:tc>
        <w:tc>
          <w:tcPr>
            <w:tcW w:w="607" w:type="pct"/>
            <w:gridSpan w:val="3"/>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4a</w:t>
            </w:r>
            <w:r>
              <w:rPr>
                <w:rFonts w:cs="Times New Roman"/>
                <w:kern w:val="21"/>
                <w:sz w:val="21"/>
                <w:szCs w:val="21"/>
              </w:rPr>
              <w:t>类区</w:t>
            </w:r>
            <w:r>
              <w:rPr>
                <w:rFonts w:cs="Times New Roman"/>
                <w:kern w:val="21"/>
                <w:sz w:val="21"/>
                <w:szCs w:val="21"/>
              </w:rPr>
              <w:sym w:font="Wingdings" w:char="00A8"/>
            </w:r>
          </w:p>
        </w:tc>
        <w:tc>
          <w:tcPr>
            <w:tcW w:w="612" w:type="pct"/>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4b</w:t>
            </w:r>
            <w:r>
              <w:rPr>
                <w:rFonts w:cs="Times New Roman"/>
                <w:kern w:val="21"/>
                <w:sz w:val="21"/>
                <w:szCs w:val="21"/>
              </w:rPr>
              <w:t>类区</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continue"/>
            <w:tcBorders>
              <w:top w:val="nil"/>
              <w:bottom w:val="nil"/>
            </w:tcBorders>
            <w:vAlign w:val="center"/>
          </w:tcPr>
          <w:p>
            <w:pPr>
              <w:spacing w:line="360" w:lineRule="exact"/>
              <w:ind w:firstLine="0" w:firstLineChars="0"/>
              <w:jc w:val="center"/>
              <w:rPr>
                <w:rFonts w:cs="Times New Roman"/>
                <w:kern w:val="21"/>
                <w:sz w:val="21"/>
                <w:szCs w:val="21"/>
              </w:rPr>
            </w:pP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评价年度</w:t>
            </w:r>
          </w:p>
        </w:tc>
        <w:tc>
          <w:tcPr>
            <w:tcW w:w="823" w:type="pct"/>
            <w:gridSpan w:val="2"/>
            <w:vAlign w:val="center"/>
          </w:tcPr>
          <w:p>
            <w:pPr>
              <w:spacing w:line="360" w:lineRule="exact"/>
              <w:ind w:firstLine="0" w:firstLineChars="0"/>
              <w:jc w:val="center"/>
              <w:rPr>
                <w:rFonts w:cs="Times New Roman"/>
                <w:kern w:val="21"/>
                <w:sz w:val="21"/>
                <w:szCs w:val="21"/>
              </w:rPr>
            </w:pPr>
            <w:r>
              <w:rPr>
                <w:rFonts w:cs="Times New Roman"/>
                <w:kern w:val="21"/>
                <w:sz w:val="21"/>
                <w:szCs w:val="21"/>
              </w:rPr>
              <w:t>初期</w:t>
            </w:r>
            <w:r>
              <w:rPr>
                <w:rFonts w:cs="Times New Roman"/>
                <w:kern w:val="21"/>
                <w:sz w:val="21"/>
                <w:szCs w:val="21"/>
              </w:rPr>
              <w:sym w:font="Wingdings" w:char="00A8"/>
            </w:r>
          </w:p>
        </w:tc>
        <w:tc>
          <w:tcPr>
            <w:tcW w:w="913" w:type="pct"/>
            <w:gridSpan w:val="4"/>
            <w:vAlign w:val="center"/>
          </w:tcPr>
          <w:p>
            <w:pPr>
              <w:spacing w:line="360" w:lineRule="exact"/>
              <w:ind w:firstLine="0" w:firstLineChars="0"/>
              <w:jc w:val="center"/>
              <w:rPr>
                <w:rFonts w:cs="Times New Roman"/>
                <w:kern w:val="21"/>
                <w:sz w:val="21"/>
                <w:szCs w:val="21"/>
              </w:rPr>
            </w:pPr>
            <w:r>
              <w:rPr>
                <w:rFonts w:cs="Times New Roman"/>
                <w:kern w:val="21"/>
                <w:sz w:val="21"/>
                <w:szCs w:val="21"/>
              </w:rPr>
              <w:t>近期</w:t>
            </w:r>
            <w:r>
              <w:rPr>
                <w:rFonts w:cs="Times New Roman"/>
                <w:kern w:val="21"/>
                <w:sz w:val="21"/>
                <w:szCs w:val="21"/>
              </w:rPr>
              <w:sym w:font="Wingdings" w:char="00A8"/>
            </w:r>
          </w:p>
        </w:tc>
        <w:tc>
          <w:tcPr>
            <w:tcW w:w="911" w:type="pct"/>
            <w:gridSpan w:val="2"/>
            <w:vAlign w:val="center"/>
          </w:tcPr>
          <w:p>
            <w:pPr>
              <w:spacing w:line="360" w:lineRule="exact"/>
              <w:ind w:firstLine="0" w:firstLineChars="0"/>
              <w:jc w:val="center"/>
              <w:rPr>
                <w:rFonts w:cs="Times New Roman"/>
                <w:kern w:val="21"/>
                <w:sz w:val="21"/>
                <w:szCs w:val="21"/>
              </w:rPr>
            </w:pPr>
            <w:r>
              <w:rPr>
                <w:rFonts w:cs="Times New Roman"/>
                <w:kern w:val="21"/>
                <w:sz w:val="21"/>
                <w:szCs w:val="21"/>
              </w:rPr>
              <w:t>中期</w:t>
            </w:r>
            <w:r>
              <w:rPr>
                <w:rFonts w:cs="Times New Roman"/>
                <w:kern w:val="21"/>
                <w:sz w:val="21"/>
                <w:szCs w:val="21"/>
              </w:rPr>
              <w:sym w:font="Wingdings" w:char="00A8"/>
            </w:r>
          </w:p>
        </w:tc>
        <w:tc>
          <w:tcPr>
            <w:tcW w:w="916" w:type="pct"/>
            <w:gridSpan w:val="3"/>
            <w:vAlign w:val="center"/>
          </w:tcPr>
          <w:p>
            <w:pPr>
              <w:spacing w:line="360" w:lineRule="exact"/>
              <w:ind w:firstLine="0" w:firstLineChars="0"/>
              <w:jc w:val="center"/>
              <w:rPr>
                <w:rFonts w:cs="Times New Roman"/>
                <w:kern w:val="21"/>
                <w:sz w:val="21"/>
                <w:szCs w:val="21"/>
              </w:rPr>
            </w:pPr>
            <w:r>
              <w:rPr>
                <w:rFonts w:cs="Times New Roman"/>
                <w:kern w:val="21"/>
                <w:sz w:val="21"/>
                <w:szCs w:val="21"/>
              </w:rPr>
              <w:t>远期</w:t>
            </w:r>
            <w:r>
              <w:rPr>
                <w:rFonts w:cs="Times New Roman"/>
                <w:kern w:val="21"/>
                <w:sz w:val="21"/>
                <w:szCs w:val="21"/>
              </w:rPr>
              <w:sym w:font="Wingdings" w:char="00FE"/>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continue"/>
            <w:tcBorders>
              <w:top w:val="nil"/>
              <w:bottom w:val="nil"/>
            </w:tcBorders>
            <w:vAlign w:val="center"/>
          </w:tcPr>
          <w:p>
            <w:pPr>
              <w:spacing w:line="360" w:lineRule="exact"/>
              <w:ind w:firstLine="0" w:firstLineChars="0"/>
              <w:jc w:val="center"/>
              <w:rPr>
                <w:rFonts w:cs="Times New Roman"/>
                <w:kern w:val="21"/>
                <w:sz w:val="21"/>
                <w:szCs w:val="21"/>
              </w:rPr>
            </w:pP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现状调查方法</w:t>
            </w:r>
          </w:p>
        </w:tc>
        <w:tc>
          <w:tcPr>
            <w:tcW w:w="3565" w:type="pct"/>
            <w:gridSpan w:val="11"/>
            <w:vAlign w:val="center"/>
          </w:tcPr>
          <w:p>
            <w:pPr>
              <w:spacing w:line="360" w:lineRule="exact"/>
              <w:ind w:firstLine="0" w:firstLineChars="0"/>
              <w:jc w:val="center"/>
              <w:rPr>
                <w:rFonts w:cs="Times New Roman"/>
                <w:kern w:val="21"/>
                <w:sz w:val="21"/>
                <w:szCs w:val="21"/>
              </w:rPr>
            </w:pPr>
            <w:r>
              <w:rPr>
                <w:rFonts w:cs="Times New Roman"/>
                <w:kern w:val="21"/>
                <w:sz w:val="21"/>
                <w:szCs w:val="21"/>
              </w:rPr>
              <w:t>现场实测法</w:t>
            </w:r>
            <w:r>
              <w:rPr>
                <w:rFonts w:cs="Times New Roman"/>
                <w:kern w:val="21"/>
                <w:sz w:val="21"/>
                <w:szCs w:val="21"/>
              </w:rPr>
              <w:sym w:font="Wingdings" w:char="00FE"/>
            </w:r>
            <w:r>
              <w:rPr>
                <w:rFonts w:cs="Times New Roman"/>
                <w:kern w:val="21"/>
                <w:sz w:val="21"/>
                <w:szCs w:val="21"/>
              </w:rPr>
              <w:t xml:space="preserve">     现场实测加模型计算法</w:t>
            </w:r>
            <w:r>
              <w:rPr>
                <w:rFonts w:cs="Times New Roman"/>
                <w:kern w:val="21"/>
                <w:sz w:val="21"/>
                <w:szCs w:val="21"/>
              </w:rPr>
              <w:sym w:font="Wingdings" w:char="00A8"/>
            </w:r>
            <w:r>
              <w:rPr>
                <w:rFonts w:cs="Times New Roman"/>
                <w:kern w:val="21"/>
                <w:sz w:val="21"/>
                <w:szCs w:val="21"/>
              </w:rPr>
              <w:t xml:space="preserve">     收集资料</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continue"/>
            <w:tcBorders>
              <w:top w:val="nil"/>
            </w:tcBorders>
            <w:vAlign w:val="center"/>
          </w:tcPr>
          <w:p>
            <w:pPr>
              <w:spacing w:line="360" w:lineRule="exact"/>
              <w:ind w:firstLine="0" w:firstLineChars="0"/>
              <w:jc w:val="center"/>
              <w:rPr>
                <w:rFonts w:cs="Times New Roman"/>
                <w:kern w:val="21"/>
                <w:sz w:val="21"/>
                <w:szCs w:val="21"/>
              </w:rPr>
            </w:pP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现状评价</w:t>
            </w:r>
          </w:p>
        </w:tc>
        <w:tc>
          <w:tcPr>
            <w:tcW w:w="998" w:type="pct"/>
            <w:gridSpan w:val="3"/>
            <w:vAlign w:val="center"/>
          </w:tcPr>
          <w:p>
            <w:pPr>
              <w:spacing w:line="360" w:lineRule="exact"/>
              <w:ind w:firstLine="0" w:firstLineChars="0"/>
              <w:jc w:val="center"/>
              <w:rPr>
                <w:rFonts w:cs="Times New Roman"/>
                <w:kern w:val="21"/>
                <w:sz w:val="21"/>
                <w:szCs w:val="21"/>
              </w:rPr>
            </w:pPr>
            <w:r>
              <w:rPr>
                <w:rFonts w:cs="Times New Roman"/>
                <w:kern w:val="21"/>
                <w:sz w:val="21"/>
                <w:szCs w:val="21"/>
              </w:rPr>
              <w:t>达标百分比</w:t>
            </w:r>
          </w:p>
        </w:tc>
        <w:tc>
          <w:tcPr>
            <w:tcW w:w="2566" w:type="pct"/>
            <w:gridSpan w:val="8"/>
            <w:vAlign w:val="center"/>
          </w:tcPr>
          <w:p>
            <w:pPr>
              <w:spacing w:line="360" w:lineRule="exact"/>
              <w:ind w:firstLine="0" w:firstLineChars="0"/>
              <w:jc w:val="center"/>
              <w:rPr>
                <w:rFonts w:cs="Times New Roman"/>
                <w:kern w:val="21"/>
                <w:sz w:val="21"/>
                <w:szCs w:val="21"/>
              </w:rPr>
            </w:pPr>
            <w:r>
              <w:rPr>
                <w:rFonts w:hint="eastAsia" w:cs="Times New Roman"/>
                <w:kern w:val="21"/>
                <w:sz w:val="21"/>
                <w:szCs w:val="21"/>
              </w:rPr>
              <w:t>100%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噪声源</w:t>
            </w:r>
            <w:r>
              <w:rPr>
                <w:rFonts w:hint="eastAsia" w:cs="Times New Roman"/>
                <w:kern w:val="21"/>
                <w:sz w:val="21"/>
                <w:szCs w:val="21"/>
              </w:rPr>
              <w:t>调查</w:t>
            </w: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噪声源调查方法</w:t>
            </w:r>
          </w:p>
        </w:tc>
        <w:tc>
          <w:tcPr>
            <w:tcW w:w="823" w:type="pct"/>
            <w:gridSpan w:val="2"/>
            <w:tcBorders>
              <w:righ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现场实测</w:t>
            </w:r>
            <w:r>
              <w:rPr>
                <w:rFonts w:cs="Times New Roman"/>
                <w:kern w:val="21"/>
                <w:sz w:val="21"/>
                <w:szCs w:val="21"/>
              </w:rPr>
              <w:sym w:font="Wingdings" w:char="00A8"/>
            </w:r>
          </w:p>
        </w:tc>
        <w:tc>
          <w:tcPr>
            <w:tcW w:w="2741" w:type="pct"/>
            <w:gridSpan w:val="9"/>
            <w:tcBorders>
              <w:lef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已有资料</w:t>
            </w:r>
            <w:r>
              <w:rPr>
                <w:rFonts w:cs="Times New Roman"/>
                <w:kern w:val="21"/>
                <w:sz w:val="21"/>
                <w:szCs w:val="21"/>
              </w:rPr>
              <w:sym w:font="Wingdings" w:char="00FE"/>
            </w:r>
            <w:r>
              <w:rPr>
                <w:rFonts w:hint="eastAsia" w:cs="Times New Roman"/>
                <w:kern w:val="21"/>
                <w:sz w:val="21"/>
                <w:szCs w:val="21"/>
              </w:rPr>
              <w:t xml:space="preserve">             </w:t>
            </w:r>
            <w:r>
              <w:rPr>
                <w:rFonts w:cs="Times New Roman"/>
                <w:kern w:val="21"/>
                <w:sz w:val="21"/>
                <w:szCs w:val="21"/>
              </w:rPr>
              <w:t>研究成果</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restart"/>
            <w:tcBorders>
              <w:bottom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声环境影响预测与评价</w:t>
            </w: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预测模型</w:t>
            </w:r>
          </w:p>
        </w:tc>
        <w:tc>
          <w:tcPr>
            <w:tcW w:w="823" w:type="pct"/>
            <w:gridSpan w:val="2"/>
            <w:tcBorders>
              <w:righ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导则推荐模型</w:t>
            </w:r>
            <w:r>
              <w:rPr>
                <w:rFonts w:cs="Times New Roman"/>
                <w:kern w:val="21"/>
                <w:sz w:val="21"/>
                <w:szCs w:val="21"/>
              </w:rPr>
              <w:sym w:font="Wingdings" w:char="00FE"/>
            </w:r>
          </w:p>
        </w:tc>
        <w:tc>
          <w:tcPr>
            <w:tcW w:w="2741" w:type="pct"/>
            <w:gridSpan w:val="9"/>
            <w:tcBorders>
              <w:lef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其他</w:t>
            </w:r>
            <w:r>
              <w:rPr>
                <w:rFonts w:cs="Times New Roman"/>
                <w:kern w:val="21"/>
                <w:sz w:val="21"/>
                <w:szCs w:val="21"/>
              </w:rPr>
              <w:sym w:font="Wingdings" w:char="00A8"/>
            </w:r>
            <w:r>
              <w:rPr>
                <w:rFonts w:hint="eastAsia" w:cs="Times New Roman"/>
                <w:kern w:val="21"/>
                <w:sz w:val="21"/>
                <w:szCs w:val="21"/>
                <w:u w:val="single"/>
              </w:rPr>
              <w:t xml:space="preserve">              </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continue"/>
            <w:tcBorders>
              <w:top w:val="nil"/>
              <w:bottom w:val="nil"/>
            </w:tcBorders>
            <w:vAlign w:val="center"/>
          </w:tcPr>
          <w:p>
            <w:pPr>
              <w:spacing w:line="360" w:lineRule="exact"/>
              <w:ind w:firstLine="0" w:firstLineChars="0"/>
              <w:jc w:val="center"/>
              <w:rPr>
                <w:rFonts w:cs="Times New Roman"/>
                <w:kern w:val="21"/>
                <w:sz w:val="21"/>
                <w:szCs w:val="21"/>
              </w:rPr>
            </w:pP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预测范围</w:t>
            </w:r>
          </w:p>
        </w:tc>
        <w:tc>
          <w:tcPr>
            <w:tcW w:w="3565" w:type="pct"/>
            <w:gridSpan w:val="11"/>
            <w:vAlign w:val="center"/>
          </w:tcPr>
          <w:p>
            <w:pPr>
              <w:spacing w:line="360" w:lineRule="exact"/>
              <w:ind w:firstLine="0" w:firstLineChars="0"/>
              <w:jc w:val="center"/>
              <w:rPr>
                <w:rFonts w:cs="Times New Roman"/>
                <w:kern w:val="21"/>
                <w:sz w:val="21"/>
                <w:szCs w:val="21"/>
              </w:rPr>
            </w:pPr>
            <w:r>
              <w:rPr>
                <w:rFonts w:eastAsia="Times New Roman" w:cs="Times New Roman"/>
                <w:kern w:val="21"/>
                <w:sz w:val="21"/>
                <w:szCs w:val="21"/>
              </w:rPr>
              <w:t>200m</w:t>
            </w:r>
            <w:r>
              <w:rPr>
                <w:rFonts w:cs="Times New Roman"/>
                <w:kern w:val="21"/>
                <w:sz w:val="21"/>
                <w:szCs w:val="21"/>
              </w:rPr>
              <w:sym w:font="Wingdings" w:char="00FE"/>
            </w:r>
            <w:r>
              <w:rPr>
                <w:rFonts w:cs="Times New Roman"/>
                <w:kern w:val="21"/>
                <w:sz w:val="21"/>
                <w:szCs w:val="21"/>
              </w:rPr>
              <w:t xml:space="preserve">            大于</w:t>
            </w:r>
            <w:r>
              <w:rPr>
                <w:rFonts w:eastAsia="Times New Roman" w:cs="Times New Roman"/>
                <w:kern w:val="21"/>
                <w:sz w:val="21"/>
                <w:szCs w:val="21"/>
              </w:rPr>
              <w:t>200m</w:t>
            </w:r>
            <w:r>
              <w:rPr>
                <w:rFonts w:cs="Times New Roman"/>
                <w:kern w:val="21"/>
                <w:sz w:val="21"/>
                <w:szCs w:val="21"/>
              </w:rPr>
              <w:sym w:font="Wingdings" w:char="00A8"/>
            </w:r>
            <w:r>
              <w:rPr>
                <w:rFonts w:cs="Times New Roman"/>
                <w:kern w:val="21"/>
                <w:sz w:val="21"/>
                <w:szCs w:val="21"/>
              </w:rPr>
              <w:t xml:space="preserve">            小于</w:t>
            </w:r>
            <w:r>
              <w:rPr>
                <w:rFonts w:eastAsia="Times New Roman" w:cs="Times New Roman"/>
                <w:kern w:val="21"/>
                <w:sz w:val="21"/>
                <w:szCs w:val="21"/>
              </w:rPr>
              <w:t>200m</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continue"/>
            <w:tcBorders>
              <w:top w:val="nil"/>
              <w:bottom w:val="nil"/>
            </w:tcBorders>
            <w:vAlign w:val="center"/>
          </w:tcPr>
          <w:p>
            <w:pPr>
              <w:spacing w:line="360" w:lineRule="exact"/>
              <w:ind w:firstLine="0" w:firstLineChars="0"/>
              <w:jc w:val="center"/>
              <w:rPr>
                <w:rFonts w:cs="Times New Roman"/>
                <w:kern w:val="21"/>
                <w:sz w:val="21"/>
                <w:szCs w:val="21"/>
              </w:rPr>
            </w:pP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预测因子</w:t>
            </w:r>
          </w:p>
        </w:tc>
        <w:tc>
          <w:tcPr>
            <w:tcW w:w="3565" w:type="pct"/>
            <w:gridSpan w:val="11"/>
            <w:vAlign w:val="center"/>
          </w:tcPr>
          <w:p>
            <w:pPr>
              <w:spacing w:line="360" w:lineRule="exact"/>
              <w:ind w:firstLine="0" w:firstLineChars="0"/>
              <w:jc w:val="center"/>
              <w:rPr>
                <w:rFonts w:cs="Times New Roman"/>
                <w:kern w:val="21"/>
                <w:sz w:val="21"/>
                <w:szCs w:val="21"/>
              </w:rPr>
            </w:pPr>
            <w:r>
              <w:rPr>
                <w:rFonts w:cs="Times New Roman"/>
                <w:kern w:val="21"/>
                <w:sz w:val="21"/>
                <w:szCs w:val="21"/>
              </w:rPr>
              <w:t>等效连续</w:t>
            </w:r>
            <w:r>
              <w:rPr>
                <w:rFonts w:eastAsia="Times New Roman" w:cs="Times New Roman"/>
                <w:kern w:val="21"/>
                <w:sz w:val="21"/>
                <w:szCs w:val="21"/>
              </w:rPr>
              <w:t>A</w:t>
            </w:r>
            <w:r>
              <w:rPr>
                <w:rFonts w:cs="Times New Roman"/>
                <w:kern w:val="21"/>
                <w:sz w:val="21"/>
                <w:szCs w:val="21"/>
              </w:rPr>
              <w:t>声级</w:t>
            </w:r>
            <w:r>
              <w:rPr>
                <w:rFonts w:cs="Times New Roman"/>
                <w:kern w:val="21"/>
                <w:sz w:val="21"/>
                <w:szCs w:val="21"/>
              </w:rPr>
              <w:sym w:font="Wingdings" w:char="00FE"/>
            </w:r>
            <w:r>
              <w:rPr>
                <w:rFonts w:hint="eastAsia" w:cs="Times New Roman"/>
                <w:kern w:val="21"/>
                <w:sz w:val="21"/>
                <w:szCs w:val="21"/>
              </w:rPr>
              <w:t xml:space="preserve">  </w:t>
            </w:r>
            <w:r>
              <w:rPr>
                <w:rFonts w:cs="Times New Roman"/>
                <w:kern w:val="21"/>
                <w:sz w:val="21"/>
                <w:szCs w:val="21"/>
              </w:rPr>
              <w:t>最大</w:t>
            </w:r>
            <w:r>
              <w:rPr>
                <w:rFonts w:eastAsia="Times New Roman" w:cs="Times New Roman"/>
                <w:kern w:val="21"/>
                <w:sz w:val="21"/>
                <w:szCs w:val="21"/>
              </w:rPr>
              <w:t>A</w:t>
            </w:r>
            <w:r>
              <w:rPr>
                <w:rFonts w:cs="Times New Roman"/>
                <w:kern w:val="21"/>
                <w:sz w:val="21"/>
                <w:szCs w:val="21"/>
              </w:rPr>
              <w:t>声级</w:t>
            </w:r>
            <w:r>
              <w:rPr>
                <w:rFonts w:cs="Times New Roman"/>
                <w:kern w:val="21"/>
                <w:sz w:val="21"/>
                <w:szCs w:val="21"/>
              </w:rPr>
              <w:sym w:font="Wingdings" w:char="00A8"/>
            </w:r>
            <w:r>
              <w:rPr>
                <w:rFonts w:hint="eastAsia" w:cs="Times New Roman"/>
                <w:kern w:val="21"/>
                <w:sz w:val="21"/>
                <w:szCs w:val="21"/>
              </w:rPr>
              <w:t xml:space="preserve">  </w:t>
            </w:r>
            <w:r>
              <w:rPr>
                <w:rFonts w:cs="Times New Roman"/>
                <w:kern w:val="21"/>
                <w:sz w:val="21"/>
                <w:szCs w:val="21"/>
              </w:rPr>
              <w:t>计权等效连续感觉噪声级</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continue"/>
            <w:tcBorders>
              <w:top w:val="nil"/>
              <w:bottom w:val="nil"/>
            </w:tcBorders>
            <w:vAlign w:val="center"/>
          </w:tcPr>
          <w:p>
            <w:pPr>
              <w:spacing w:line="360" w:lineRule="exact"/>
              <w:ind w:firstLine="0" w:firstLineChars="0"/>
              <w:jc w:val="center"/>
              <w:rPr>
                <w:rFonts w:cs="Times New Roman"/>
                <w:kern w:val="21"/>
                <w:sz w:val="21"/>
                <w:szCs w:val="21"/>
              </w:rPr>
            </w:pP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厂界噪声贡献值</w:t>
            </w:r>
          </w:p>
        </w:tc>
        <w:tc>
          <w:tcPr>
            <w:tcW w:w="998" w:type="pct"/>
            <w:gridSpan w:val="3"/>
            <w:tcBorders>
              <w:righ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达标</w:t>
            </w:r>
            <w:r>
              <w:rPr>
                <w:rFonts w:cs="Times New Roman"/>
                <w:kern w:val="21"/>
                <w:sz w:val="21"/>
                <w:szCs w:val="21"/>
              </w:rPr>
              <w:sym w:font="Wingdings" w:char="00FE"/>
            </w:r>
          </w:p>
        </w:tc>
        <w:tc>
          <w:tcPr>
            <w:tcW w:w="2566" w:type="pct"/>
            <w:gridSpan w:val="8"/>
            <w:tcBorders>
              <w:lef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不达标</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continue"/>
            <w:tcBorders>
              <w:top w:val="nil"/>
            </w:tcBorders>
            <w:vAlign w:val="center"/>
          </w:tcPr>
          <w:p>
            <w:pPr>
              <w:spacing w:line="360" w:lineRule="exact"/>
              <w:ind w:firstLine="0" w:firstLineChars="0"/>
              <w:jc w:val="center"/>
              <w:rPr>
                <w:rFonts w:cs="Times New Roman"/>
                <w:kern w:val="21"/>
                <w:sz w:val="21"/>
                <w:szCs w:val="21"/>
              </w:rPr>
            </w:pP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声环境保护目标处噪声值</w:t>
            </w:r>
          </w:p>
        </w:tc>
        <w:tc>
          <w:tcPr>
            <w:tcW w:w="998" w:type="pct"/>
            <w:gridSpan w:val="3"/>
            <w:tcBorders>
              <w:righ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达标</w:t>
            </w:r>
            <w:r>
              <w:rPr>
                <w:rFonts w:cs="Times New Roman"/>
                <w:kern w:val="21"/>
                <w:sz w:val="21"/>
                <w:szCs w:val="21"/>
              </w:rPr>
              <w:sym w:font="Wingdings" w:char="00FE"/>
            </w:r>
          </w:p>
        </w:tc>
        <w:tc>
          <w:tcPr>
            <w:tcW w:w="2566" w:type="pct"/>
            <w:gridSpan w:val="8"/>
            <w:tcBorders>
              <w:left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不达标</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restart"/>
            <w:tcBorders>
              <w:bottom w:val="nil"/>
            </w:tcBorders>
            <w:vAlign w:val="center"/>
          </w:tcPr>
          <w:p>
            <w:pPr>
              <w:spacing w:line="360" w:lineRule="exact"/>
              <w:ind w:firstLine="0" w:firstLineChars="0"/>
              <w:jc w:val="center"/>
              <w:rPr>
                <w:rFonts w:cs="Times New Roman"/>
                <w:kern w:val="21"/>
                <w:sz w:val="21"/>
                <w:szCs w:val="21"/>
              </w:rPr>
            </w:pPr>
            <w:r>
              <w:rPr>
                <w:rFonts w:cs="Times New Roman"/>
                <w:kern w:val="21"/>
                <w:sz w:val="21"/>
                <w:szCs w:val="21"/>
              </w:rPr>
              <w:t>环境监测计划</w:t>
            </w: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排放监测</w:t>
            </w:r>
          </w:p>
        </w:tc>
        <w:tc>
          <w:tcPr>
            <w:tcW w:w="3565" w:type="pct"/>
            <w:gridSpan w:val="11"/>
            <w:vAlign w:val="center"/>
          </w:tcPr>
          <w:p>
            <w:pPr>
              <w:spacing w:line="360" w:lineRule="exact"/>
              <w:ind w:firstLine="0" w:firstLineChars="0"/>
              <w:jc w:val="center"/>
              <w:rPr>
                <w:rFonts w:cs="Times New Roman"/>
                <w:kern w:val="21"/>
                <w:sz w:val="21"/>
                <w:szCs w:val="21"/>
              </w:rPr>
            </w:pPr>
            <w:r>
              <w:rPr>
                <w:rFonts w:cs="Times New Roman"/>
                <w:kern w:val="21"/>
                <w:sz w:val="21"/>
                <w:szCs w:val="21"/>
              </w:rPr>
              <w:t>厂界监测</w:t>
            </w:r>
            <w:r>
              <w:rPr>
                <w:rFonts w:cs="Times New Roman"/>
                <w:kern w:val="21"/>
                <w:sz w:val="21"/>
                <w:szCs w:val="21"/>
              </w:rPr>
              <w:sym w:font="Wingdings" w:char="00FE"/>
            </w:r>
            <w:r>
              <w:rPr>
                <w:rFonts w:cs="Times New Roman"/>
                <w:kern w:val="21"/>
                <w:sz w:val="21"/>
                <w:szCs w:val="21"/>
              </w:rPr>
              <w:t xml:space="preserve">  固定位置监测</w:t>
            </w:r>
            <w:r>
              <w:rPr>
                <w:rFonts w:cs="Times New Roman"/>
                <w:kern w:val="21"/>
                <w:sz w:val="21"/>
                <w:szCs w:val="21"/>
              </w:rPr>
              <w:sym w:font="Wingdings" w:char="00A8"/>
            </w:r>
            <w:r>
              <w:rPr>
                <w:rFonts w:cs="Times New Roman"/>
                <w:kern w:val="21"/>
                <w:sz w:val="21"/>
                <w:szCs w:val="21"/>
              </w:rPr>
              <w:t xml:space="preserve">  自动监测</w:t>
            </w:r>
            <w:r>
              <w:rPr>
                <w:rFonts w:cs="Times New Roman"/>
                <w:kern w:val="21"/>
                <w:sz w:val="21"/>
                <w:szCs w:val="21"/>
              </w:rPr>
              <w:sym w:font="Wingdings" w:char="00A8"/>
            </w:r>
            <w:r>
              <w:rPr>
                <w:rFonts w:cs="Times New Roman"/>
                <w:kern w:val="21"/>
                <w:sz w:val="21"/>
                <w:szCs w:val="21"/>
              </w:rPr>
              <w:t xml:space="preserve"> </w:t>
            </w:r>
            <w:r>
              <w:rPr>
                <w:rFonts w:hint="eastAsia" w:cs="Times New Roman"/>
                <w:kern w:val="21"/>
                <w:sz w:val="21"/>
                <w:szCs w:val="21"/>
              </w:rPr>
              <w:t xml:space="preserve"> </w:t>
            </w:r>
            <w:r>
              <w:rPr>
                <w:rFonts w:cs="Times New Roman"/>
                <w:kern w:val="21"/>
                <w:sz w:val="21"/>
                <w:szCs w:val="21"/>
              </w:rPr>
              <w:t>手动监测</w:t>
            </w:r>
            <w:r>
              <w:rPr>
                <w:rFonts w:cs="Times New Roman"/>
                <w:kern w:val="21"/>
                <w:sz w:val="21"/>
                <w:szCs w:val="21"/>
              </w:rPr>
              <w:sym w:font="Wingdings" w:char="00FE"/>
            </w:r>
            <w:r>
              <w:rPr>
                <w:rFonts w:cs="Times New Roman"/>
                <w:kern w:val="21"/>
                <w:sz w:val="21"/>
                <w:szCs w:val="21"/>
              </w:rPr>
              <w:t xml:space="preserve">  无监测</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Merge w:val="continue"/>
            <w:tcBorders>
              <w:top w:val="nil"/>
            </w:tcBorders>
            <w:vAlign w:val="center"/>
          </w:tcPr>
          <w:p>
            <w:pPr>
              <w:spacing w:line="360" w:lineRule="exact"/>
              <w:ind w:firstLine="0" w:firstLineChars="0"/>
              <w:jc w:val="center"/>
              <w:rPr>
                <w:rFonts w:cs="Times New Roman"/>
                <w:kern w:val="21"/>
                <w:sz w:val="21"/>
                <w:szCs w:val="21"/>
              </w:rPr>
            </w:pP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声环境保护目标处噪声监测</w:t>
            </w:r>
          </w:p>
        </w:tc>
        <w:tc>
          <w:tcPr>
            <w:tcW w:w="1705" w:type="pct"/>
            <w:gridSpan w:val="5"/>
            <w:vAlign w:val="center"/>
          </w:tcPr>
          <w:p>
            <w:pPr>
              <w:spacing w:line="360" w:lineRule="exact"/>
              <w:ind w:firstLine="0" w:firstLineChars="0"/>
              <w:jc w:val="center"/>
              <w:rPr>
                <w:rFonts w:cs="Times New Roman"/>
                <w:kern w:val="21"/>
                <w:sz w:val="21"/>
                <w:szCs w:val="21"/>
              </w:rPr>
            </w:pPr>
            <w:r>
              <w:rPr>
                <w:rFonts w:cs="Times New Roman"/>
                <w:kern w:val="21"/>
                <w:sz w:val="21"/>
                <w:szCs w:val="21"/>
              </w:rPr>
              <w:t>监测因子：(     )</w:t>
            </w:r>
          </w:p>
        </w:tc>
        <w:tc>
          <w:tcPr>
            <w:tcW w:w="1203" w:type="pct"/>
            <w:gridSpan w:val="4"/>
            <w:vAlign w:val="center"/>
          </w:tcPr>
          <w:p>
            <w:pPr>
              <w:spacing w:line="360" w:lineRule="exact"/>
              <w:ind w:firstLine="0" w:firstLineChars="0"/>
              <w:jc w:val="center"/>
              <w:rPr>
                <w:rFonts w:cs="Times New Roman"/>
                <w:kern w:val="21"/>
                <w:sz w:val="21"/>
                <w:szCs w:val="21"/>
              </w:rPr>
            </w:pPr>
            <w:r>
              <w:rPr>
                <w:rFonts w:cs="Times New Roman"/>
                <w:kern w:val="21"/>
                <w:sz w:val="21"/>
                <w:szCs w:val="21"/>
              </w:rPr>
              <w:t xml:space="preserve">监测点位数( </w:t>
            </w:r>
            <w:r>
              <w:rPr>
                <w:rFonts w:hint="eastAsia" w:cs="Times New Roman"/>
                <w:kern w:val="21"/>
                <w:sz w:val="21"/>
                <w:szCs w:val="21"/>
              </w:rPr>
              <w:t xml:space="preserve">  </w:t>
            </w:r>
            <w:r>
              <w:rPr>
                <w:rFonts w:cs="Times New Roman"/>
                <w:kern w:val="21"/>
                <w:sz w:val="21"/>
                <w:szCs w:val="21"/>
              </w:rPr>
              <w:t xml:space="preserve"> )</w:t>
            </w:r>
          </w:p>
        </w:tc>
        <w:tc>
          <w:tcPr>
            <w:tcW w:w="655" w:type="pct"/>
            <w:gridSpan w:val="2"/>
            <w:vAlign w:val="center"/>
          </w:tcPr>
          <w:p>
            <w:pPr>
              <w:spacing w:line="360" w:lineRule="exact"/>
              <w:ind w:firstLine="0" w:firstLineChars="0"/>
              <w:jc w:val="center"/>
              <w:rPr>
                <w:rFonts w:cs="Times New Roman"/>
                <w:kern w:val="21"/>
                <w:sz w:val="21"/>
                <w:szCs w:val="21"/>
              </w:rPr>
            </w:pPr>
            <w:r>
              <w:rPr>
                <w:rFonts w:cs="Times New Roman"/>
                <w:kern w:val="21"/>
                <w:sz w:val="21"/>
                <w:szCs w:val="21"/>
              </w:rPr>
              <w:t>无监测</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61"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评价结论</w:t>
            </w:r>
          </w:p>
        </w:tc>
        <w:tc>
          <w:tcPr>
            <w:tcW w:w="873" w:type="pct"/>
            <w:vAlign w:val="center"/>
          </w:tcPr>
          <w:p>
            <w:pPr>
              <w:spacing w:line="360" w:lineRule="exact"/>
              <w:ind w:firstLine="0" w:firstLineChars="0"/>
              <w:jc w:val="center"/>
              <w:rPr>
                <w:rFonts w:cs="Times New Roman"/>
                <w:kern w:val="21"/>
                <w:sz w:val="21"/>
                <w:szCs w:val="21"/>
              </w:rPr>
            </w:pPr>
            <w:r>
              <w:rPr>
                <w:rFonts w:cs="Times New Roman"/>
                <w:kern w:val="21"/>
                <w:sz w:val="21"/>
                <w:szCs w:val="21"/>
              </w:rPr>
              <w:t>环境影响</w:t>
            </w:r>
          </w:p>
        </w:tc>
        <w:tc>
          <w:tcPr>
            <w:tcW w:w="3565" w:type="pct"/>
            <w:gridSpan w:val="11"/>
            <w:vAlign w:val="center"/>
          </w:tcPr>
          <w:p>
            <w:pPr>
              <w:spacing w:line="360" w:lineRule="exact"/>
              <w:ind w:firstLine="0" w:firstLineChars="0"/>
              <w:jc w:val="center"/>
              <w:rPr>
                <w:rFonts w:cs="Times New Roman"/>
                <w:kern w:val="21"/>
                <w:sz w:val="21"/>
                <w:szCs w:val="21"/>
              </w:rPr>
            </w:pPr>
            <w:r>
              <w:rPr>
                <w:rFonts w:cs="Times New Roman"/>
                <w:kern w:val="21"/>
                <w:sz w:val="21"/>
                <w:szCs w:val="21"/>
              </w:rPr>
              <w:t>可行</w:t>
            </w:r>
            <w:r>
              <w:rPr>
                <w:rFonts w:cs="Times New Roman"/>
                <w:kern w:val="21"/>
                <w:sz w:val="21"/>
                <w:szCs w:val="21"/>
              </w:rPr>
              <w:sym w:font="Wingdings" w:char="00FE"/>
            </w:r>
            <w:r>
              <w:rPr>
                <w:rFonts w:cs="Times New Roman"/>
                <w:kern w:val="21"/>
                <w:sz w:val="21"/>
                <w:szCs w:val="21"/>
              </w:rPr>
              <w:t xml:space="preserve">       不可行</w:t>
            </w:r>
            <w:r>
              <w:rPr>
                <w:rFonts w:cs="Times New Roman"/>
                <w:kern w:val="21"/>
                <w:sz w:val="21"/>
                <w:szCs w:val="21"/>
              </w:rPr>
              <w:sym w:font="Wingdings" w:char="00A8"/>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000" w:type="pct"/>
            <w:gridSpan w:val="13"/>
            <w:vAlign w:val="center"/>
          </w:tcPr>
          <w:p>
            <w:pPr>
              <w:spacing w:line="360" w:lineRule="exact"/>
              <w:ind w:firstLine="0" w:firstLineChars="0"/>
              <w:jc w:val="center"/>
              <w:rPr>
                <w:rFonts w:cs="Times New Roman"/>
                <w:kern w:val="21"/>
                <w:sz w:val="21"/>
                <w:szCs w:val="21"/>
              </w:rPr>
            </w:pPr>
            <w:r>
              <w:rPr>
                <w:rFonts w:cs="Times New Roman"/>
                <w:kern w:val="21"/>
                <w:sz w:val="21"/>
                <w:szCs w:val="21"/>
              </w:rPr>
              <w:t>注：</w:t>
            </w:r>
            <w:r>
              <w:rPr>
                <w:rFonts w:hint="eastAsia" w:cs="Times New Roman"/>
                <w:kern w:val="21"/>
                <w:sz w:val="21"/>
                <w:szCs w:val="21"/>
                <w:lang w:eastAsia="zh-CN"/>
              </w:rPr>
              <w:t>“</w:t>
            </w:r>
            <w:r>
              <w:rPr>
                <w:rFonts w:cs="Times New Roman"/>
                <w:kern w:val="21"/>
                <w:sz w:val="21"/>
                <w:szCs w:val="21"/>
              </w:rPr>
              <w:t>□</w:t>
            </w:r>
            <w:r>
              <w:rPr>
                <w:rFonts w:hint="eastAsia" w:cs="Times New Roman"/>
                <w:kern w:val="21"/>
                <w:sz w:val="21"/>
                <w:szCs w:val="21"/>
                <w:lang w:eastAsia="zh-CN"/>
              </w:rPr>
              <w:t>”</w:t>
            </w:r>
            <w:r>
              <w:rPr>
                <w:rFonts w:cs="Times New Roman"/>
                <w:kern w:val="21"/>
                <w:sz w:val="21"/>
                <w:szCs w:val="21"/>
              </w:rPr>
              <w:t xml:space="preserve"> 为勾选项 ，可 √ ；</w:t>
            </w:r>
            <w:r>
              <w:rPr>
                <w:rFonts w:hint="eastAsia" w:cs="Times New Roman"/>
                <w:kern w:val="21"/>
                <w:sz w:val="21"/>
                <w:szCs w:val="21"/>
                <w:lang w:eastAsia="zh-CN"/>
              </w:rPr>
              <w:t>“</w:t>
            </w:r>
            <w:r>
              <w:rPr>
                <w:rFonts w:cs="Times New Roman"/>
                <w:kern w:val="21"/>
                <w:sz w:val="21"/>
                <w:szCs w:val="21"/>
              </w:rPr>
              <w:t>(   )</w:t>
            </w:r>
            <w:r>
              <w:rPr>
                <w:rFonts w:hint="eastAsia" w:cs="Times New Roman"/>
                <w:kern w:val="21"/>
                <w:sz w:val="21"/>
                <w:szCs w:val="21"/>
                <w:lang w:eastAsia="zh-CN"/>
              </w:rPr>
              <w:t>”</w:t>
            </w:r>
            <w:r>
              <w:rPr>
                <w:rFonts w:cs="Times New Roman"/>
                <w:kern w:val="21"/>
                <w:sz w:val="21"/>
                <w:szCs w:val="21"/>
              </w:rPr>
              <w:t xml:space="preserve">  为内容填写项。</w:t>
            </w:r>
          </w:p>
        </w:tc>
      </w:tr>
    </w:tbl>
    <w:p>
      <w:pPr>
        <w:pStyle w:val="6"/>
        <w:ind w:firstLine="0" w:firstLineChars="0"/>
      </w:pPr>
      <w:bookmarkStart w:id="162" w:name="_Toc9594"/>
      <w:bookmarkStart w:id="163" w:name="_Toc29096"/>
      <w:bookmarkStart w:id="164" w:name="_Toc2502"/>
      <w:r>
        <w:rPr>
          <w:lang w:val="en-US"/>
        </w:rPr>
        <w:t>6.</w:t>
      </w:r>
      <w:r>
        <w:rPr>
          <w:rFonts w:hint="eastAsia"/>
          <w:lang w:val="en-US"/>
        </w:rPr>
        <w:t>5</w:t>
      </w:r>
      <w:r>
        <w:rPr>
          <w:lang w:val="en-US"/>
        </w:rPr>
        <w:t xml:space="preserve"> 营运期地下水影响分析</w:t>
      </w:r>
      <w:bookmarkEnd w:id="162"/>
      <w:bookmarkEnd w:id="163"/>
      <w:bookmarkEnd w:id="164"/>
    </w:p>
    <w:p>
      <w:pPr>
        <w:widowControl/>
        <w:ind w:firstLine="480"/>
      </w:pPr>
      <w:r>
        <w:rPr>
          <w:rFonts w:hint="eastAsia"/>
        </w:rPr>
        <w:t>地下水环境影响评价应按《环境影响评价技术导则地下水环境》（HJ610-2016）要求划分的评价工作等级，开展相应评价工作，基本任务包括：识别地下水环境影响，确定地下水环境影响评价工作等级；开展地下水环境现状调查，完成地下水环境现状监测与评价；预测和评价建设项目对地下水水质可能造成的直接影响，提出有针对性的污染防控措施与对策，制定地下水环境影响跟踪监测计划和应急预案。</w:t>
      </w:r>
    </w:p>
    <w:p>
      <w:pPr>
        <w:pStyle w:val="7"/>
        <w:ind w:firstLine="562"/>
      </w:pPr>
      <w:r>
        <w:t>6.</w:t>
      </w:r>
      <w:r>
        <w:rPr>
          <w:rFonts w:hint="eastAsia"/>
        </w:rPr>
        <w:t>5</w:t>
      </w:r>
      <w:r>
        <w:t>.1、评价等级与评价范围</w:t>
      </w:r>
    </w:p>
    <w:p>
      <w:pPr>
        <w:widowControl/>
        <w:ind w:firstLine="482"/>
        <w:jc w:val="left"/>
        <w:rPr>
          <w:b/>
          <w:bCs/>
        </w:rPr>
      </w:pPr>
      <w:r>
        <w:rPr>
          <w:rFonts w:hint="eastAsia" w:cs="Times New Roman"/>
          <w:b/>
          <w:bCs/>
          <w:color w:val="000000"/>
          <w:kern w:val="0"/>
          <w:lang w:bidi="ar"/>
        </w:rPr>
        <w:t>1、</w:t>
      </w:r>
      <w:r>
        <w:rPr>
          <w:rFonts w:hint="eastAsia" w:ascii="宋体" w:hAnsi="宋体" w:cs="宋体"/>
          <w:b/>
          <w:bCs/>
          <w:color w:val="000000"/>
          <w:kern w:val="0"/>
          <w:lang w:bidi="ar"/>
        </w:rPr>
        <w:t>建设项目行业分类</w:t>
      </w:r>
    </w:p>
    <w:p>
      <w:pPr>
        <w:widowControl/>
        <w:ind w:firstLine="480"/>
      </w:pPr>
      <w:r>
        <w:rPr>
          <w:rFonts w:hint="eastAsia"/>
        </w:rPr>
        <w:t>根据《环境影响评价技术导则 地下水环境》（</w:t>
      </w:r>
      <w:r>
        <w:t>HJ610-2016</w:t>
      </w:r>
      <w:r>
        <w:rPr>
          <w:rFonts w:hint="eastAsia"/>
        </w:rPr>
        <w:t>），评价工作等级的划分应依据建设项目行业分类和地下水环境敏感程度分级进行判定。</w:t>
      </w:r>
      <w:r>
        <w:t>本</w:t>
      </w:r>
      <w:r>
        <w:rPr>
          <w:rFonts w:hint="eastAsia"/>
        </w:rPr>
        <w:t>项目</w:t>
      </w:r>
      <w:r>
        <w:t>属于</w:t>
      </w:r>
      <w:r>
        <w:rPr>
          <w:rFonts w:hint="eastAsia"/>
        </w:rPr>
        <w:t>L石化、化工155、基本化学原料制造；化学肥料制造；农药制造；涂料、染料、颜料、油墨及其类似产品制造；合成材料制造；专用化学品制造；炸药、火工及焰火产品制造；饲料添加剂、食品添加剂及水处理剂等制造</w:t>
      </w:r>
      <w:r>
        <w:t>，地下水环境影响评价项目类别为</w:t>
      </w:r>
      <w:r>
        <w:rPr>
          <w:rFonts w:hint="eastAsia"/>
        </w:rPr>
        <w:t>I类。见表6.5</w:t>
      </w:r>
      <w:r>
        <w:t>-1</w:t>
      </w:r>
      <w:r>
        <w:rPr>
          <w:rFonts w:hint="eastAsia"/>
        </w:rPr>
        <w:t>。</w:t>
      </w:r>
    </w:p>
    <w:p>
      <w:pPr>
        <w:ind w:firstLine="0" w:firstLineChars="0"/>
        <w:jc w:val="center"/>
        <w:rPr>
          <w:b/>
          <w:bCs/>
        </w:rPr>
      </w:pPr>
    </w:p>
    <w:p>
      <w:pPr>
        <w:ind w:firstLine="0" w:firstLineChars="0"/>
        <w:jc w:val="center"/>
        <w:rPr>
          <w:b/>
          <w:bCs/>
        </w:rPr>
      </w:pPr>
      <w:r>
        <w:rPr>
          <w:rFonts w:hint="eastAsia"/>
          <w:b/>
          <w:bCs/>
        </w:rPr>
        <w:t>表</w:t>
      </w:r>
      <w:r>
        <w:rPr>
          <w:b/>
          <w:bCs/>
        </w:rPr>
        <w:t>6.</w:t>
      </w:r>
      <w:r>
        <w:rPr>
          <w:rFonts w:hint="eastAsia"/>
          <w:b/>
          <w:bCs/>
        </w:rPr>
        <w:t>5</w:t>
      </w:r>
      <w:r>
        <w:rPr>
          <w:b/>
          <w:bCs/>
        </w:rPr>
        <w:t>-1</w:t>
      </w:r>
      <w:r>
        <w:rPr>
          <w:rFonts w:hint="eastAsia"/>
          <w:b/>
          <w:bCs/>
        </w:rPr>
        <w:t xml:space="preserve"> </w:t>
      </w:r>
      <w:r>
        <w:rPr>
          <w:b/>
          <w:bCs/>
        </w:rPr>
        <w:t xml:space="preserve"> </w:t>
      </w:r>
      <w:r>
        <w:rPr>
          <w:rFonts w:hint="eastAsia"/>
          <w:b/>
          <w:bCs/>
        </w:rPr>
        <w:t>地下水环境影响评价行业分类表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77"/>
        <w:gridCol w:w="1453"/>
        <w:gridCol w:w="881"/>
        <w:gridCol w:w="1594"/>
        <w:gridCol w:w="9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4377" w:type="dxa"/>
            <w:vMerge w:val="restart"/>
            <w:vAlign w:val="center"/>
          </w:tcPr>
          <w:p>
            <w:pPr>
              <w:pStyle w:val="38"/>
              <w:rPr>
                <w:rFonts w:hint="default"/>
              </w:rPr>
            </w:pPr>
            <w:r>
              <w:t>行业类别</w:t>
            </w:r>
          </w:p>
        </w:tc>
        <w:tc>
          <w:tcPr>
            <w:tcW w:w="1453" w:type="dxa"/>
            <w:vMerge w:val="restart"/>
            <w:vAlign w:val="center"/>
          </w:tcPr>
          <w:p>
            <w:pPr>
              <w:pStyle w:val="38"/>
              <w:rPr>
                <w:rFonts w:hint="default"/>
              </w:rPr>
            </w:pPr>
            <w:r>
              <w:t>报告书</w:t>
            </w:r>
          </w:p>
        </w:tc>
        <w:tc>
          <w:tcPr>
            <w:tcW w:w="881" w:type="dxa"/>
            <w:vMerge w:val="restart"/>
            <w:vAlign w:val="center"/>
          </w:tcPr>
          <w:p>
            <w:pPr>
              <w:pStyle w:val="38"/>
              <w:rPr>
                <w:rFonts w:hint="default"/>
              </w:rPr>
            </w:pPr>
            <w:r>
              <w:t>报告表</w:t>
            </w:r>
          </w:p>
        </w:tc>
        <w:tc>
          <w:tcPr>
            <w:tcW w:w="2577" w:type="dxa"/>
            <w:gridSpan w:val="2"/>
            <w:vAlign w:val="center"/>
          </w:tcPr>
          <w:p>
            <w:pPr>
              <w:pStyle w:val="38"/>
              <w:rPr>
                <w:rFonts w:hint="default"/>
              </w:rPr>
            </w:pPr>
            <w:r>
              <w:t>地下水环境影响评价类别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4377" w:type="dxa"/>
            <w:vMerge w:val="continue"/>
            <w:vAlign w:val="center"/>
          </w:tcPr>
          <w:p>
            <w:pPr>
              <w:pStyle w:val="38"/>
              <w:rPr>
                <w:rFonts w:hint="default"/>
              </w:rPr>
            </w:pPr>
          </w:p>
        </w:tc>
        <w:tc>
          <w:tcPr>
            <w:tcW w:w="1453" w:type="dxa"/>
            <w:vMerge w:val="continue"/>
            <w:vAlign w:val="center"/>
          </w:tcPr>
          <w:p>
            <w:pPr>
              <w:pStyle w:val="38"/>
              <w:rPr>
                <w:rFonts w:hint="default"/>
              </w:rPr>
            </w:pPr>
          </w:p>
        </w:tc>
        <w:tc>
          <w:tcPr>
            <w:tcW w:w="881" w:type="dxa"/>
            <w:vMerge w:val="continue"/>
            <w:vAlign w:val="center"/>
          </w:tcPr>
          <w:p>
            <w:pPr>
              <w:pStyle w:val="38"/>
              <w:rPr>
                <w:rFonts w:hint="default"/>
              </w:rPr>
            </w:pPr>
          </w:p>
        </w:tc>
        <w:tc>
          <w:tcPr>
            <w:tcW w:w="1594" w:type="dxa"/>
            <w:vAlign w:val="center"/>
          </w:tcPr>
          <w:p>
            <w:pPr>
              <w:pStyle w:val="38"/>
              <w:rPr>
                <w:rFonts w:hint="default"/>
              </w:rPr>
            </w:pPr>
            <w:r>
              <w:t>报告书</w:t>
            </w:r>
          </w:p>
        </w:tc>
        <w:tc>
          <w:tcPr>
            <w:tcW w:w="983" w:type="dxa"/>
            <w:vAlign w:val="center"/>
          </w:tcPr>
          <w:p>
            <w:pPr>
              <w:pStyle w:val="38"/>
              <w:rPr>
                <w:rFonts w:hint="default"/>
              </w:rPr>
            </w:pPr>
            <w:r>
              <w:t>报告表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88" w:type="dxa"/>
            <w:gridSpan w:val="5"/>
            <w:vAlign w:val="center"/>
          </w:tcPr>
          <w:p>
            <w:pPr>
              <w:pStyle w:val="38"/>
              <w:jc w:val="left"/>
              <w:rPr>
                <w:rFonts w:hint="default"/>
              </w:rPr>
            </w:pPr>
            <w:r>
              <w:t>L石化、化工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77" w:type="dxa"/>
            <w:vAlign w:val="center"/>
          </w:tcPr>
          <w:p>
            <w:pPr>
              <w:pStyle w:val="38"/>
              <w:rPr>
                <w:rFonts w:hint="default"/>
              </w:rPr>
            </w:pPr>
            <w:r>
              <w:t>155、基本化学原料制造；化学肥料制造；农药制造；涂料、染料、颜料、油墨及其类似产品制造；合成材料制造；专用化学品制造；炸药、火工及焰火产品制造；饲料添加剂、食品添加剂及水处理剂等制造</w:t>
            </w:r>
          </w:p>
        </w:tc>
        <w:tc>
          <w:tcPr>
            <w:tcW w:w="1453" w:type="dxa"/>
            <w:vAlign w:val="center"/>
          </w:tcPr>
          <w:p>
            <w:pPr>
              <w:pStyle w:val="38"/>
              <w:rPr>
                <w:rFonts w:hint="default"/>
              </w:rPr>
            </w:pPr>
            <w:r>
              <w:t>除单纯混合和分装外的</w:t>
            </w:r>
          </w:p>
        </w:tc>
        <w:tc>
          <w:tcPr>
            <w:tcW w:w="881" w:type="dxa"/>
            <w:vAlign w:val="center"/>
          </w:tcPr>
          <w:p>
            <w:pPr>
              <w:pStyle w:val="38"/>
              <w:rPr>
                <w:rFonts w:hint="default"/>
              </w:rPr>
            </w:pPr>
            <w:r>
              <w:t>单纯混合或分装的</w:t>
            </w:r>
          </w:p>
        </w:tc>
        <w:tc>
          <w:tcPr>
            <w:tcW w:w="1594" w:type="dxa"/>
            <w:vAlign w:val="center"/>
          </w:tcPr>
          <w:p>
            <w:pPr>
              <w:pStyle w:val="38"/>
              <w:rPr>
                <w:rFonts w:hint="default"/>
              </w:rPr>
            </w:pPr>
            <w:r>
              <w:t>I类</w:t>
            </w:r>
          </w:p>
        </w:tc>
        <w:tc>
          <w:tcPr>
            <w:tcW w:w="983" w:type="dxa"/>
            <w:vAlign w:val="center"/>
          </w:tcPr>
          <w:p>
            <w:pPr>
              <w:pStyle w:val="38"/>
              <w:rPr>
                <w:rFonts w:hint="default"/>
              </w:rPr>
            </w:pPr>
            <w:r>
              <w:t>Ⅲ类</w:t>
            </w:r>
          </w:p>
        </w:tc>
      </w:tr>
    </w:tbl>
    <w:p>
      <w:pPr>
        <w:widowControl/>
        <w:ind w:firstLine="482"/>
        <w:jc w:val="left"/>
        <w:rPr>
          <w:rFonts w:cs="Times New Roman"/>
          <w:b/>
          <w:bCs/>
          <w:color w:val="000000"/>
          <w:kern w:val="0"/>
          <w:lang w:bidi="ar"/>
        </w:rPr>
      </w:pPr>
      <w:r>
        <w:rPr>
          <w:rFonts w:hint="eastAsia" w:cs="Times New Roman"/>
          <w:b/>
          <w:bCs/>
          <w:color w:val="000000"/>
          <w:kern w:val="0"/>
          <w:lang w:bidi="ar"/>
        </w:rPr>
        <w:t>2、建设项目场地的地下水环境敏感程度</w:t>
      </w:r>
    </w:p>
    <w:p>
      <w:pPr>
        <w:widowControl/>
        <w:ind w:firstLine="480"/>
        <w:jc w:val="left"/>
      </w:pPr>
      <w:r>
        <w:rPr>
          <w:rFonts w:hint="eastAsia" w:ascii="宋体" w:hAnsi="宋体" w:cs="宋体"/>
          <w:color w:val="000000"/>
          <w:kern w:val="0"/>
          <w:lang w:bidi="ar"/>
        </w:rPr>
        <w:t>根据现场调查资料，评价范围（项目场地所在水文地质单元）内无集中式饮用水源地，浅层地下水多作为灌溉用水、分散式居民备用水井等用水。评价区内的地下水流场连续，地下水顺地势缓慢流动，形成较为统一完整的地下水流系统。</w:t>
      </w:r>
    </w:p>
    <w:p>
      <w:pPr>
        <w:ind w:firstLine="480"/>
      </w:pPr>
      <w:r>
        <w:rPr>
          <w:rFonts w:hint="eastAsia"/>
        </w:rPr>
        <w:t>依据《环境影响评价技术导则地下水环境》（</w:t>
      </w:r>
      <w:r>
        <w:t>HJ 610-2016</w:t>
      </w:r>
      <w:r>
        <w:rPr>
          <w:rFonts w:hint="eastAsia"/>
        </w:rPr>
        <w:t>）第</w:t>
      </w:r>
      <w:r>
        <w:t>6.2.1.2</w:t>
      </w:r>
      <w:r>
        <w:rPr>
          <w:rFonts w:hint="eastAsia"/>
        </w:rPr>
        <w:t>条表</w:t>
      </w:r>
      <w:r>
        <w:t>1</w:t>
      </w:r>
      <w:r>
        <w:rPr>
          <w:rFonts w:hint="eastAsia"/>
        </w:rPr>
        <w:t>，综合判断项目场地地下水环境敏感程度为</w:t>
      </w:r>
      <w:r>
        <w:rPr>
          <w:rFonts w:hint="eastAsia"/>
          <w:lang w:eastAsia="zh-CN"/>
        </w:rPr>
        <w:t>“</w:t>
      </w:r>
      <w:r>
        <w:rPr>
          <w:rFonts w:hint="eastAsia"/>
        </w:rPr>
        <w:t>不敏感</w:t>
      </w:r>
      <w:r>
        <w:rPr>
          <w:rFonts w:hint="eastAsia"/>
          <w:lang w:eastAsia="zh-CN"/>
        </w:rPr>
        <w:t>”</w:t>
      </w:r>
      <w:r>
        <w:rPr>
          <w:rFonts w:hint="eastAsia"/>
        </w:rPr>
        <w:t>。详见表6.5</w:t>
      </w:r>
      <w:r>
        <w:t>-2</w:t>
      </w:r>
      <w:r>
        <w:rPr>
          <w:rFonts w:hint="eastAsia"/>
        </w:rPr>
        <w:t>。</w:t>
      </w:r>
    </w:p>
    <w:p>
      <w:pPr>
        <w:pStyle w:val="25"/>
        <w:widowControl/>
        <w:spacing w:beforeAutospacing="0" w:afterAutospacing="0"/>
        <w:ind w:firstLine="482"/>
        <w:jc w:val="center"/>
        <w:rPr>
          <w:b/>
          <w:bCs/>
        </w:rPr>
      </w:pPr>
      <w:r>
        <w:rPr>
          <w:b/>
          <w:bCs/>
        </w:rPr>
        <w:t>表</w:t>
      </w:r>
      <w:r>
        <w:rPr>
          <w:rFonts w:hint="eastAsia"/>
          <w:b/>
          <w:bCs/>
        </w:rPr>
        <w:t xml:space="preserve">6.5-2 </w:t>
      </w:r>
      <w:r>
        <w:rPr>
          <w:b/>
          <w:bCs/>
        </w:rPr>
        <w:t xml:space="preserve"> 地下水环境敏感程度分级表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8"/>
        <w:gridCol w:w="8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pStyle w:val="38"/>
              <w:rPr>
                <w:rFonts w:hint="default"/>
              </w:rPr>
            </w:pPr>
            <w:r>
              <w:t>敏感程度</w:t>
            </w:r>
          </w:p>
        </w:tc>
        <w:tc>
          <w:tcPr>
            <w:tcW w:w="8150" w:type="dxa"/>
            <w:vAlign w:val="center"/>
          </w:tcPr>
          <w:p>
            <w:pPr>
              <w:pStyle w:val="38"/>
              <w:rPr>
                <w:rFonts w:hint="default"/>
              </w:rPr>
            </w:pPr>
            <w:r>
              <w:t>地下水环境敏感特征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pStyle w:val="38"/>
              <w:rPr>
                <w:rFonts w:hint="default"/>
              </w:rPr>
            </w:pPr>
            <w:r>
              <w:t>敏感</w:t>
            </w:r>
          </w:p>
        </w:tc>
        <w:tc>
          <w:tcPr>
            <w:tcW w:w="8150" w:type="dxa"/>
            <w:vAlign w:val="center"/>
          </w:tcPr>
          <w:p>
            <w:pPr>
              <w:pStyle w:val="38"/>
              <w:rPr>
                <w:rFonts w:hint="default"/>
              </w:rPr>
            </w:pPr>
            <w:r>
              <w:t>集中式饮用水水源（包括已建成的在用、备用、应急水源，在建和规划的饮用水水源）准保护区；除集中式饮用水水源以外的国家或地方政府设定的与地下水环境相关的其他保护区，如热水、矿泉水、温泉等特殊地下水资源保护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pStyle w:val="38"/>
              <w:rPr>
                <w:rFonts w:hint="default"/>
              </w:rPr>
            </w:pPr>
            <w:r>
              <w:t>较敏感</w:t>
            </w:r>
          </w:p>
        </w:tc>
        <w:tc>
          <w:tcPr>
            <w:tcW w:w="8150" w:type="dxa"/>
            <w:vAlign w:val="center"/>
          </w:tcPr>
          <w:p>
            <w:pPr>
              <w:pStyle w:val="38"/>
              <w:rPr>
                <w:rFonts w:hint="default"/>
              </w:rPr>
            </w:pPr>
            <w:r>
              <w:t>集中式饮用水水源（包括已建成的在用、备用、应急水源，在建和规划的饮用水水源）准保护区以外的补给径流区；未划定准保护区的集中水式饮用水水源，其保护区以外的补给径流区；分散式饮用水水源地；特殊地下水资源（如矿泉水、温泉等）保护区以外的分布区等其他未列入上述敏感分级的环境敏感区</w:t>
            </w:r>
            <w:r>
              <w:rPr>
                <w:vertAlign w:val="superscript"/>
              </w:rPr>
              <w:t>a</w:t>
            </w: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8" w:type="dxa"/>
            <w:vAlign w:val="center"/>
          </w:tcPr>
          <w:p>
            <w:pPr>
              <w:pStyle w:val="38"/>
              <w:rPr>
                <w:rFonts w:hint="default"/>
              </w:rPr>
            </w:pPr>
            <w:r>
              <w:t>不敏感</w:t>
            </w:r>
          </w:p>
        </w:tc>
        <w:tc>
          <w:tcPr>
            <w:tcW w:w="8150" w:type="dxa"/>
            <w:vAlign w:val="center"/>
          </w:tcPr>
          <w:p>
            <w:pPr>
              <w:pStyle w:val="38"/>
              <w:rPr>
                <w:rFonts w:hint="default"/>
              </w:rPr>
            </w:pPr>
            <w:r>
              <w:t>上述地区之外的其它地区。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88" w:type="dxa"/>
            <w:gridSpan w:val="2"/>
            <w:vAlign w:val="center"/>
          </w:tcPr>
          <w:p>
            <w:pPr>
              <w:pStyle w:val="38"/>
              <w:jc w:val="both"/>
              <w:rPr>
                <w:rFonts w:hint="default"/>
              </w:rPr>
            </w:pPr>
            <w:r>
              <w:t>注：a</w:t>
            </w:r>
            <w:r>
              <w:rPr>
                <w:rFonts w:hint="eastAsia"/>
                <w:lang w:eastAsia="zh-CN"/>
              </w:rPr>
              <w:t>“</w:t>
            </w:r>
            <w:r>
              <w:t>环境敏感区</w:t>
            </w:r>
            <w:r>
              <w:rPr>
                <w:rFonts w:hint="eastAsia"/>
                <w:lang w:eastAsia="zh-CN"/>
              </w:rPr>
              <w:t>”</w:t>
            </w:r>
            <w:r>
              <w:t>是指《建设项目环境影响评价分类管理名录》中所界定的涉及地下水的环境敏感区。</w:t>
            </w:r>
          </w:p>
        </w:tc>
      </w:tr>
    </w:tbl>
    <w:p>
      <w:pPr>
        <w:widowControl/>
        <w:ind w:firstLine="482"/>
        <w:jc w:val="left"/>
        <w:rPr>
          <w:rFonts w:cs="Times New Roman"/>
          <w:b/>
          <w:bCs/>
          <w:color w:val="000000"/>
          <w:kern w:val="0"/>
          <w:lang w:bidi="ar"/>
        </w:rPr>
      </w:pPr>
      <w:r>
        <w:rPr>
          <w:rFonts w:hint="eastAsia" w:cs="Times New Roman"/>
          <w:b/>
          <w:bCs/>
          <w:color w:val="000000"/>
          <w:kern w:val="0"/>
          <w:lang w:bidi="ar"/>
        </w:rPr>
        <w:t>3、评价工作等级</w:t>
      </w:r>
    </w:p>
    <w:p>
      <w:pPr>
        <w:widowControl/>
        <w:ind w:firstLine="480"/>
        <w:jc w:val="left"/>
      </w:pPr>
      <w:r>
        <w:rPr>
          <w:rFonts w:hint="eastAsia" w:ascii="宋体" w:hAnsi="宋体" w:cs="宋体"/>
          <w:color w:val="000000"/>
          <w:kern w:val="0"/>
          <w:lang w:bidi="ar"/>
        </w:rPr>
        <w:t>本项目类别属于</w:t>
      </w:r>
      <w:r>
        <w:rPr>
          <w:rFonts w:hint="eastAsia" w:cs="Times New Roman"/>
          <w:color w:val="000000"/>
          <w:kern w:val="0"/>
          <w:lang w:eastAsia="zh-CN" w:bidi="ar"/>
        </w:rPr>
        <w:t>“</w:t>
      </w:r>
      <w:r>
        <w:rPr>
          <w:rFonts w:hint="eastAsia" w:ascii="宋体" w:hAnsi="宋体" w:cs="宋体"/>
          <w:color w:val="000000"/>
          <w:kern w:val="0"/>
          <w:lang w:bidi="ar"/>
        </w:rPr>
        <w:t>Ⅰ类项目</w:t>
      </w:r>
      <w:r>
        <w:rPr>
          <w:rFonts w:hint="eastAsia" w:cs="Times New Roman"/>
          <w:color w:val="000000"/>
          <w:kern w:val="0"/>
          <w:lang w:eastAsia="zh-CN" w:bidi="ar"/>
        </w:rPr>
        <w:t>”</w:t>
      </w:r>
      <w:r>
        <w:rPr>
          <w:rFonts w:hint="eastAsia" w:ascii="宋体" w:hAnsi="宋体" w:cs="宋体"/>
          <w:color w:val="000000"/>
          <w:kern w:val="0"/>
          <w:lang w:bidi="ar"/>
        </w:rPr>
        <w:t>，环境敏感程度属于</w:t>
      </w:r>
      <w:r>
        <w:rPr>
          <w:rFonts w:hint="eastAsia" w:cs="Times New Roman"/>
          <w:color w:val="000000"/>
          <w:kern w:val="0"/>
          <w:lang w:eastAsia="zh-CN" w:bidi="ar"/>
        </w:rPr>
        <w:t>“</w:t>
      </w:r>
      <w:r>
        <w:rPr>
          <w:rFonts w:hint="eastAsia"/>
          <w:u w:val="single"/>
          <w:lang w:eastAsia="zh-CN"/>
        </w:rPr>
        <w:t>不</w:t>
      </w:r>
      <w:r>
        <w:rPr>
          <w:rFonts w:hint="eastAsia"/>
          <w:u w:val="single"/>
        </w:rPr>
        <w:t>敏感</w:t>
      </w:r>
      <w:r>
        <w:rPr>
          <w:rFonts w:hint="eastAsia" w:cs="Times New Roman"/>
          <w:color w:val="000000"/>
          <w:kern w:val="0"/>
          <w:lang w:eastAsia="zh-CN" w:bidi="ar"/>
        </w:rPr>
        <w:t>”</w:t>
      </w:r>
      <w:r>
        <w:rPr>
          <w:rFonts w:hint="eastAsia" w:ascii="宋体" w:hAnsi="宋体" w:cs="宋体"/>
          <w:color w:val="000000"/>
          <w:kern w:val="0"/>
          <w:lang w:bidi="ar"/>
        </w:rPr>
        <w:t>。依据《环境影响评价技术导则地下水环境》（</w:t>
      </w:r>
      <w:r>
        <w:rPr>
          <w:rFonts w:cs="Times New Roman"/>
          <w:color w:val="000000"/>
          <w:kern w:val="0"/>
          <w:lang w:bidi="ar"/>
        </w:rPr>
        <w:t>HJ610-2016</w:t>
      </w:r>
      <w:r>
        <w:rPr>
          <w:rFonts w:hint="eastAsia" w:ascii="宋体" w:hAnsi="宋体" w:cs="宋体"/>
          <w:color w:val="000000"/>
          <w:kern w:val="0"/>
          <w:lang w:bidi="ar"/>
        </w:rPr>
        <w:t>）第</w:t>
      </w:r>
      <w:r>
        <w:rPr>
          <w:rFonts w:cs="Times New Roman"/>
          <w:color w:val="000000"/>
          <w:kern w:val="0"/>
          <w:lang w:bidi="ar"/>
        </w:rPr>
        <w:t>6.2.2.1</w:t>
      </w:r>
      <w:r>
        <w:rPr>
          <w:rFonts w:hint="eastAsia" w:ascii="宋体" w:hAnsi="宋体" w:cs="宋体"/>
          <w:color w:val="000000"/>
          <w:kern w:val="0"/>
          <w:lang w:bidi="ar"/>
        </w:rPr>
        <w:t>条表</w:t>
      </w:r>
      <w:r>
        <w:rPr>
          <w:rFonts w:cs="Times New Roman"/>
          <w:color w:val="000000"/>
          <w:kern w:val="0"/>
          <w:lang w:bidi="ar"/>
        </w:rPr>
        <w:t>2</w:t>
      </w:r>
      <w:r>
        <w:rPr>
          <w:rFonts w:hint="eastAsia" w:ascii="宋体" w:hAnsi="宋体" w:cs="宋体"/>
          <w:color w:val="000000"/>
          <w:kern w:val="0"/>
          <w:lang w:bidi="ar"/>
        </w:rPr>
        <w:t>，判定拟建项目场地地下水环境影响评价工作等级为二级，见表</w:t>
      </w:r>
      <w:r>
        <w:rPr>
          <w:rFonts w:cs="Times New Roman"/>
          <w:color w:val="000000"/>
          <w:kern w:val="0"/>
          <w:lang w:bidi="ar"/>
        </w:rPr>
        <w:t>6.</w:t>
      </w:r>
      <w:r>
        <w:rPr>
          <w:rFonts w:hint="eastAsia" w:cs="Times New Roman"/>
          <w:color w:val="000000"/>
          <w:kern w:val="0"/>
          <w:lang w:bidi="ar"/>
        </w:rPr>
        <w:t>5</w:t>
      </w:r>
      <w:r>
        <w:rPr>
          <w:rFonts w:cs="Times New Roman"/>
          <w:color w:val="000000"/>
          <w:kern w:val="0"/>
          <w:lang w:bidi="ar"/>
        </w:rPr>
        <w:t>-3</w:t>
      </w:r>
      <w:r>
        <w:rPr>
          <w:rFonts w:hint="eastAsia" w:cs="Times New Roman"/>
          <w:color w:val="000000"/>
          <w:kern w:val="0"/>
          <w:lang w:bidi="ar"/>
        </w:rPr>
        <w:t>。</w:t>
      </w:r>
    </w:p>
    <w:p>
      <w:pPr>
        <w:ind w:firstLine="482"/>
        <w:jc w:val="center"/>
        <w:rPr>
          <w:b/>
          <w:bCs/>
        </w:rPr>
      </w:pPr>
      <w:r>
        <w:rPr>
          <w:b/>
          <w:bCs/>
        </w:rPr>
        <w:t>表</w:t>
      </w:r>
      <w:r>
        <w:rPr>
          <w:rFonts w:hint="eastAsia"/>
          <w:b/>
          <w:bCs/>
        </w:rPr>
        <w:t xml:space="preserve">6.5-3  </w:t>
      </w:r>
      <w:r>
        <w:rPr>
          <w:b/>
          <w:bCs/>
        </w:rPr>
        <w:t>评价工作等级分级表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15"/>
        <w:gridCol w:w="2629"/>
        <w:gridCol w:w="2322"/>
        <w:gridCol w:w="23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5" w:type="dxa"/>
          </w:tcPr>
          <w:p>
            <w:pPr>
              <w:pStyle w:val="38"/>
              <w:rPr>
                <w:rFonts w:hint="default"/>
              </w:rPr>
            </w:pPr>
            <w:r>
              <w:t>环境敏感程度</w:t>
            </w:r>
          </w:p>
        </w:tc>
        <w:tc>
          <w:tcPr>
            <w:tcW w:w="2629" w:type="dxa"/>
          </w:tcPr>
          <w:p>
            <w:pPr>
              <w:pStyle w:val="38"/>
              <w:rPr>
                <w:rFonts w:hint="default"/>
              </w:rPr>
            </w:pPr>
            <w:r>
              <w:t>Ⅰ类项目</w:t>
            </w:r>
          </w:p>
        </w:tc>
        <w:tc>
          <w:tcPr>
            <w:tcW w:w="2322" w:type="dxa"/>
          </w:tcPr>
          <w:p>
            <w:pPr>
              <w:pStyle w:val="38"/>
              <w:rPr>
                <w:rFonts w:hint="default"/>
              </w:rPr>
            </w:pPr>
            <w:r>
              <w:t>Ⅱ类项目</w:t>
            </w:r>
          </w:p>
        </w:tc>
        <w:tc>
          <w:tcPr>
            <w:tcW w:w="2322" w:type="dxa"/>
          </w:tcPr>
          <w:p>
            <w:pPr>
              <w:pStyle w:val="38"/>
              <w:rPr>
                <w:rFonts w:hint="default"/>
              </w:rPr>
            </w:pPr>
            <w:r>
              <w:t>Ⅲ类项目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5" w:type="dxa"/>
          </w:tcPr>
          <w:p>
            <w:pPr>
              <w:pStyle w:val="38"/>
              <w:rPr>
                <w:rFonts w:hint="default"/>
              </w:rPr>
            </w:pPr>
            <w:r>
              <w:t>敏感</w:t>
            </w:r>
          </w:p>
        </w:tc>
        <w:tc>
          <w:tcPr>
            <w:tcW w:w="2629" w:type="dxa"/>
          </w:tcPr>
          <w:p>
            <w:pPr>
              <w:pStyle w:val="38"/>
              <w:rPr>
                <w:rFonts w:hint="default"/>
              </w:rPr>
            </w:pPr>
            <w:r>
              <w:t>一</w:t>
            </w:r>
          </w:p>
        </w:tc>
        <w:tc>
          <w:tcPr>
            <w:tcW w:w="2322" w:type="dxa"/>
          </w:tcPr>
          <w:p>
            <w:pPr>
              <w:pStyle w:val="38"/>
              <w:rPr>
                <w:rFonts w:hint="default"/>
              </w:rPr>
            </w:pPr>
            <w:r>
              <w:t>一</w:t>
            </w:r>
          </w:p>
        </w:tc>
        <w:tc>
          <w:tcPr>
            <w:tcW w:w="2322" w:type="dxa"/>
          </w:tcPr>
          <w:p>
            <w:pPr>
              <w:pStyle w:val="38"/>
              <w:rPr>
                <w:rFonts w:hint="default"/>
              </w:rPr>
            </w:pPr>
            <w:r>
              <w:t>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5" w:type="dxa"/>
          </w:tcPr>
          <w:p>
            <w:pPr>
              <w:pStyle w:val="38"/>
              <w:rPr>
                <w:rFonts w:hint="default"/>
              </w:rPr>
            </w:pPr>
            <w:r>
              <w:t>较敏感</w:t>
            </w:r>
          </w:p>
        </w:tc>
        <w:tc>
          <w:tcPr>
            <w:tcW w:w="2629" w:type="dxa"/>
            <w:shd w:val="clear" w:color="auto" w:fill="auto"/>
          </w:tcPr>
          <w:p>
            <w:pPr>
              <w:pStyle w:val="38"/>
              <w:rPr>
                <w:rFonts w:hint="default"/>
              </w:rPr>
            </w:pPr>
            <w:r>
              <w:t>一</w:t>
            </w:r>
          </w:p>
        </w:tc>
        <w:tc>
          <w:tcPr>
            <w:tcW w:w="2322" w:type="dxa"/>
          </w:tcPr>
          <w:p>
            <w:pPr>
              <w:pStyle w:val="38"/>
              <w:rPr>
                <w:rFonts w:hint="default"/>
              </w:rPr>
            </w:pPr>
            <w:r>
              <w:t>二</w:t>
            </w:r>
          </w:p>
        </w:tc>
        <w:tc>
          <w:tcPr>
            <w:tcW w:w="2322" w:type="dxa"/>
          </w:tcPr>
          <w:p>
            <w:pPr>
              <w:pStyle w:val="38"/>
              <w:rPr>
                <w:rFonts w:hint="default"/>
              </w:rPr>
            </w:pPr>
            <w:r>
              <w:t>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15" w:type="dxa"/>
          </w:tcPr>
          <w:p>
            <w:pPr>
              <w:pStyle w:val="38"/>
              <w:rPr>
                <w:rFonts w:hint="default"/>
              </w:rPr>
            </w:pPr>
            <w:r>
              <w:t>不敏感</w:t>
            </w:r>
          </w:p>
        </w:tc>
        <w:tc>
          <w:tcPr>
            <w:tcW w:w="2629" w:type="dxa"/>
            <w:shd w:val="clear" w:color="auto" w:fill="ED7D31" w:themeFill="accent2"/>
          </w:tcPr>
          <w:p>
            <w:pPr>
              <w:pStyle w:val="38"/>
              <w:rPr>
                <w:rFonts w:hint="default"/>
              </w:rPr>
            </w:pPr>
            <w:r>
              <w:t>二</w:t>
            </w:r>
          </w:p>
        </w:tc>
        <w:tc>
          <w:tcPr>
            <w:tcW w:w="2322" w:type="dxa"/>
          </w:tcPr>
          <w:p>
            <w:pPr>
              <w:pStyle w:val="38"/>
              <w:rPr>
                <w:rFonts w:hint="default"/>
              </w:rPr>
            </w:pPr>
            <w:r>
              <w:t>三</w:t>
            </w:r>
          </w:p>
        </w:tc>
        <w:tc>
          <w:tcPr>
            <w:tcW w:w="2322" w:type="dxa"/>
            <w:shd w:val="clear" w:color="auto" w:fill="auto"/>
          </w:tcPr>
          <w:p>
            <w:pPr>
              <w:pStyle w:val="38"/>
              <w:rPr>
                <w:rFonts w:hint="default"/>
              </w:rPr>
            </w:pPr>
            <w:r>
              <w:t>三</w:t>
            </w:r>
          </w:p>
        </w:tc>
      </w:tr>
    </w:tbl>
    <w:p>
      <w:pPr>
        <w:pStyle w:val="7"/>
        <w:ind w:firstLine="562"/>
      </w:pPr>
      <w:r>
        <w:t>6.</w:t>
      </w:r>
      <w:r>
        <w:rPr>
          <w:rFonts w:hint="eastAsia"/>
        </w:rPr>
        <w:t>5</w:t>
      </w:r>
      <w:r>
        <w:t>.2 评价范围及保护目标</w:t>
      </w:r>
    </w:p>
    <w:p>
      <w:pPr>
        <w:widowControl/>
        <w:ind w:firstLine="480"/>
        <w:jc w:val="left"/>
      </w:pPr>
      <w:r>
        <w:rPr>
          <w:rFonts w:cs="Times New Roman"/>
          <w:color w:val="000000"/>
          <w:kern w:val="0"/>
          <w:lang w:bidi="ar"/>
        </w:rPr>
        <w:t>6.</w:t>
      </w:r>
      <w:r>
        <w:rPr>
          <w:rFonts w:hint="eastAsia" w:cs="Times New Roman"/>
          <w:color w:val="000000"/>
          <w:kern w:val="0"/>
          <w:lang w:bidi="ar"/>
        </w:rPr>
        <w:t>5</w:t>
      </w:r>
      <w:r>
        <w:rPr>
          <w:rFonts w:cs="Times New Roman"/>
          <w:color w:val="000000"/>
          <w:kern w:val="0"/>
          <w:lang w:bidi="ar"/>
        </w:rPr>
        <w:t xml:space="preserve">.2.1 </w:t>
      </w:r>
      <w:r>
        <w:rPr>
          <w:rFonts w:hint="eastAsia" w:ascii="宋体" w:hAnsi="宋体" w:cs="宋体"/>
          <w:color w:val="000000"/>
          <w:kern w:val="0"/>
          <w:lang w:bidi="ar"/>
        </w:rPr>
        <w:t>评价范围</w:t>
      </w:r>
    </w:p>
    <w:p>
      <w:pPr>
        <w:widowControl/>
        <w:ind w:firstLine="480"/>
        <w:jc w:val="left"/>
      </w:pPr>
      <w:r>
        <w:rPr>
          <w:rFonts w:hint="eastAsia" w:ascii="宋体" w:hAnsi="宋体" w:cs="宋体"/>
          <w:color w:val="000000"/>
          <w:kern w:val="0"/>
          <w:lang w:bidi="ar"/>
        </w:rPr>
        <w:t>评价区地处淮河冲积平原区，地下水类型为松散岩类孔隙水，分布连续稳定，水文地质条件相对简单。根据《环境影响评价技术导则</w:t>
      </w:r>
      <w:r>
        <w:rPr>
          <w:rFonts w:cs="Times New Roman"/>
          <w:color w:val="000000"/>
          <w:kern w:val="0"/>
          <w:lang w:bidi="ar"/>
        </w:rPr>
        <w:t>—</w:t>
      </w:r>
      <w:r>
        <w:rPr>
          <w:rFonts w:hint="eastAsia" w:ascii="宋体" w:hAnsi="宋体" w:cs="宋体"/>
          <w:color w:val="000000"/>
          <w:kern w:val="0"/>
          <w:lang w:bidi="ar"/>
        </w:rPr>
        <w:t>地下水环境》（</w:t>
      </w:r>
      <w:r>
        <w:rPr>
          <w:rFonts w:cs="Times New Roman"/>
          <w:color w:val="000000"/>
          <w:kern w:val="0"/>
          <w:lang w:bidi="ar"/>
        </w:rPr>
        <w:t>HJ610-2016</w:t>
      </w:r>
      <w:r>
        <w:rPr>
          <w:rFonts w:hint="eastAsia" w:ascii="宋体" w:hAnsi="宋体" w:cs="宋体"/>
          <w:color w:val="000000"/>
          <w:kern w:val="0"/>
          <w:lang w:bidi="ar"/>
        </w:rPr>
        <w:t>）</w:t>
      </w:r>
      <w:r>
        <w:rPr>
          <w:rFonts w:cs="Times New Roman"/>
          <w:color w:val="000000"/>
          <w:kern w:val="0"/>
          <w:lang w:bidi="ar"/>
        </w:rPr>
        <w:t>8.2.2.1</w:t>
      </w:r>
      <w:r>
        <w:rPr>
          <w:rFonts w:hint="eastAsia" w:ascii="宋体" w:hAnsi="宋体" w:cs="宋体"/>
          <w:color w:val="000000"/>
          <w:kern w:val="0"/>
          <w:lang w:bidi="ar"/>
        </w:rPr>
        <w:t>要求，评价范围的确定可以依据公式法计算确定，也可以使用查表法确定，当计算或查表范围超出所处水文地质单元边界时，应以所处水文地质单元边界为宜。</w:t>
      </w:r>
    </w:p>
    <w:p>
      <w:pPr>
        <w:widowControl/>
        <w:ind w:firstLine="480"/>
        <w:rPr>
          <w:rFonts w:cs="Times New Roman"/>
          <w:color w:val="000000"/>
          <w:kern w:val="0"/>
          <w:u w:val="single"/>
          <w:lang w:bidi="ar"/>
        </w:rPr>
      </w:pPr>
      <w:r>
        <w:rPr>
          <w:rFonts w:cs="Times New Roman"/>
          <w:color w:val="000000"/>
          <w:kern w:val="0"/>
          <w:u w:val="single"/>
          <w:lang w:bidi="ar"/>
        </w:rPr>
        <w:t>本项目所在地区具有统一、连续的地下水流场，地下水顺地势总体向自</w:t>
      </w:r>
      <w:r>
        <w:rPr>
          <w:rFonts w:hint="eastAsia" w:cs="Times New Roman"/>
          <w:color w:val="000000"/>
          <w:kern w:val="0"/>
          <w:u w:val="single"/>
          <w:lang w:eastAsia="zh-CN" w:bidi="ar"/>
        </w:rPr>
        <w:t>西南向东北</w:t>
      </w:r>
      <w:r>
        <w:rPr>
          <w:rFonts w:cs="Times New Roman"/>
          <w:color w:val="000000"/>
          <w:kern w:val="0"/>
          <w:u w:val="single"/>
          <w:lang w:bidi="ar"/>
        </w:rPr>
        <w:t>缓慢流动、水力坡度较小，形成较为完整统一的地下水流系统。根据本次调查情况，拟建项目所在区域由于地下水补给地表水沙河，故地下水总体流向自</w:t>
      </w:r>
      <w:r>
        <w:rPr>
          <w:rFonts w:hint="eastAsia" w:cs="Times New Roman"/>
          <w:color w:val="000000"/>
          <w:kern w:val="0"/>
          <w:u w:val="single"/>
          <w:lang w:eastAsia="zh-CN" w:bidi="ar"/>
        </w:rPr>
        <w:t>西南向东北</w:t>
      </w:r>
      <w:r>
        <w:rPr>
          <w:rFonts w:cs="Times New Roman"/>
          <w:color w:val="000000"/>
          <w:kern w:val="0"/>
          <w:u w:val="single"/>
          <w:lang w:bidi="ar"/>
        </w:rPr>
        <w:t>。</w:t>
      </w:r>
    </w:p>
    <w:p>
      <w:pPr>
        <w:widowControl/>
        <w:ind w:firstLine="480"/>
        <w:jc w:val="left"/>
        <w:rPr>
          <w:rFonts w:cs="Times New Roman"/>
        </w:rPr>
      </w:pPr>
      <w:r>
        <w:rPr>
          <w:rFonts w:cs="Times New Roman"/>
          <w:color w:val="000000"/>
          <w:kern w:val="0"/>
          <w:lang w:bidi="ar"/>
        </w:rPr>
        <w:t>本项目地下水环境影响现状调查评价范围采用公式计算法：</w:t>
      </w:r>
    </w:p>
    <w:p>
      <w:pPr>
        <w:widowControl/>
        <w:ind w:firstLine="480"/>
        <w:jc w:val="left"/>
        <w:rPr>
          <w:rFonts w:cs="Times New Roman"/>
        </w:rPr>
      </w:pPr>
      <w:r>
        <w:rPr>
          <w:rFonts w:cs="Times New Roman"/>
          <w:color w:val="000000"/>
          <w:kern w:val="0"/>
          <w:lang w:bidi="ar"/>
        </w:rPr>
        <w:t>L=α×K×I×T/ne</w:t>
      </w:r>
    </w:p>
    <w:p>
      <w:pPr>
        <w:widowControl/>
        <w:ind w:firstLine="480"/>
        <w:jc w:val="left"/>
        <w:rPr>
          <w:rFonts w:cs="Times New Roman"/>
        </w:rPr>
      </w:pPr>
      <w:r>
        <w:rPr>
          <w:rFonts w:cs="Times New Roman"/>
          <w:color w:val="000000"/>
          <w:kern w:val="0"/>
          <w:lang w:bidi="ar"/>
        </w:rPr>
        <w:t>式中：L——下游迁移距离，m；</w:t>
      </w:r>
    </w:p>
    <w:p>
      <w:pPr>
        <w:widowControl/>
        <w:ind w:firstLine="480"/>
        <w:jc w:val="left"/>
        <w:rPr>
          <w:rFonts w:cs="Times New Roman"/>
        </w:rPr>
      </w:pPr>
      <w:r>
        <w:rPr>
          <w:rFonts w:cs="Times New Roman"/>
          <w:color w:val="000000"/>
          <w:kern w:val="0"/>
          <w:lang w:bidi="ar"/>
        </w:rPr>
        <w:t>α——变化系数，α≥1，一般取2；</w:t>
      </w:r>
    </w:p>
    <w:p>
      <w:pPr>
        <w:widowControl/>
        <w:ind w:firstLine="480"/>
        <w:jc w:val="left"/>
        <w:rPr>
          <w:rFonts w:cs="Times New Roman"/>
        </w:rPr>
      </w:pPr>
      <w:r>
        <w:rPr>
          <w:rFonts w:cs="Times New Roman"/>
          <w:color w:val="000000"/>
          <w:kern w:val="0"/>
          <w:lang w:bidi="ar"/>
        </w:rPr>
        <w:t>K——渗透系数，m/d；</w:t>
      </w:r>
    </w:p>
    <w:p>
      <w:pPr>
        <w:widowControl/>
        <w:ind w:firstLine="480"/>
        <w:jc w:val="left"/>
        <w:rPr>
          <w:rFonts w:cs="Times New Roman"/>
        </w:rPr>
      </w:pPr>
      <w:r>
        <w:rPr>
          <w:rFonts w:cs="Times New Roman"/>
          <w:color w:val="000000"/>
          <w:kern w:val="0"/>
          <w:lang w:bidi="ar"/>
        </w:rPr>
        <w:t>I——水力坡度，量纲为1；</w:t>
      </w:r>
    </w:p>
    <w:p>
      <w:pPr>
        <w:widowControl/>
        <w:ind w:firstLine="480"/>
        <w:jc w:val="left"/>
        <w:rPr>
          <w:rFonts w:cs="Times New Roman"/>
        </w:rPr>
      </w:pPr>
      <w:r>
        <w:rPr>
          <w:rFonts w:cs="Times New Roman"/>
          <w:color w:val="000000"/>
          <w:kern w:val="0"/>
          <w:lang w:bidi="ar"/>
        </w:rPr>
        <w:t>T——质点迁移天数，取值不小于5000d；</w:t>
      </w:r>
    </w:p>
    <w:p>
      <w:pPr>
        <w:widowControl/>
        <w:ind w:firstLine="480"/>
        <w:jc w:val="left"/>
        <w:rPr>
          <w:rFonts w:cs="Times New Roman"/>
        </w:rPr>
      </w:pPr>
      <w:r>
        <w:rPr>
          <w:rFonts w:cs="Times New Roman"/>
          <w:color w:val="000000"/>
          <w:kern w:val="0"/>
          <w:lang w:bidi="ar"/>
        </w:rPr>
        <w:t>ne——有效孔隙度，量纲为1。</w:t>
      </w:r>
    </w:p>
    <w:p>
      <w:pPr>
        <w:widowControl/>
        <w:ind w:firstLine="480"/>
        <w:jc w:val="both"/>
        <w:rPr>
          <w:rFonts w:cs="Times New Roman"/>
          <w:color w:val="000000"/>
          <w:kern w:val="0"/>
          <w:lang w:bidi="ar"/>
        </w:rPr>
      </w:pPr>
      <w:r>
        <w:rPr>
          <w:rFonts w:cs="Times New Roman"/>
          <w:color w:val="000000"/>
          <w:kern w:val="0"/>
          <w:lang w:bidi="ar"/>
        </w:rPr>
        <w:t>根据《平顶山尼龙新材料产业集聚区总体发展规划（2021-2030）环境影响报告书》中相关资料，</w:t>
      </w:r>
      <w:r>
        <w:rPr>
          <w:rFonts w:hint="eastAsia" w:cs="Times New Roman"/>
          <w:color w:val="000000"/>
          <w:kern w:val="0"/>
          <w:lang w:bidi="ar"/>
        </w:rPr>
        <w:t>参考《中国平煤神马集团尼龙科技有限公司己内酰胺节能环保技术提升及应用项目（一期）环境影响报告书》中地下水一级评价内容，取变化系数α为1.2、渗透系数K为10m/d、水力坡度为2‰、有效孔隙度ne为0.07、质点迁移天数为7300d，根据公式L=α×K×I×T/ne，求得L=2502m。</w:t>
      </w:r>
    </w:p>
    <w:p>
      <w:pPr>
        <w:widowControl/>
        <w:ind w:firstLine="480"/>
        <w:jc w:val="both"/>
        <w:rPr>
          <w:rFonts w:ascii="宋体" w:hAnsi="宋体" w:cs="宋体"/>
          <w:color w:val="000000"/>
          <w:kern w:val="0"/>
          <w:lang w:bidi="ar"/>
        </w:rPr>
      </w:pPr>
      <w:r>
        <w:rPr>
          <w:rFonts w:cs="Times New Roman"/>
          <w:color w:val="000000"/>
          <w:kern w:val="0"/>
          <w:lang w:bidi="ar"/>
        </w:rPr>
        <w:t>根据当地地下水流向自西南向东北，并结合本项目周围环境现状，为保守起见，本次评价确定地下水评价范围为下游迁移距离为3000m，场地两侧为750m，上游取750m，评价区域范围为</w:t>
      </w:r>
      <w:r>
        <w:rPr>
          <w:rFonts w:hint="eastAsia"/>
          <w:lang w:eastAsia="zh-CN"/>
        </w:rPr>
        <w:t>10.623</w:t>
      </w:r>
      <w:r>
        <w:rPr>
          <w:rFonts w:cs="Times New Roman"/>
          <w:color w:val="000000"/>
          <w:kern w:val="0"/>
          <w:lang w:bidi="ar"/>
        </w:rPr>
        <w:t>km</w:t>
      </w:r>
      <w:r>
        <w:rPr>
          <w:rFonts w:cs="Times New Roman"/>
          <w:color w:val="000000"/>
          <w:kern w:val="0"/>
          <w:vertAlign w:val="superscript"/>
          <w:lang w:bidi="ar"/>
        </w:rPr>
        <w:t>2</w:t>
      </w:r>
      <w:r>
        <w:rPr>
          <w:rFonts w:cs="Times New Roman"/>
          <w:color w:val="000000"/>
          <w:kern w:val="0"/>
          <w:lang w:bidi="ar"/>
        </w:rPr>
        <w:t>。</w:t>
      </w:r>
      <w:r>
        <w:rPr>
          <w:rFonts w:hint="eastAsia" w:ascii="宋体" w:hAnsi="宋体" w:cs="宋体"/>
          <w:color w:val="000000"/>
          <w:kern w:val="0"/>
          <w:lang w:bidi="ar"/>
        </w:rPr>
        <w:t>根据本次调查所搜集评价区范围内以往水文地质资料成果，同时依据项目区周边地下水赋存特征及其地形地貌特征，本次评价工作范围按照《环境影响评价技术导则地下水环境》查表法，以涵盖地下水环境保护目标为原则，以水文地质边界为依据，结合项目区的地形地貌特征进行划定。</w:t>
      </w:r>
    </w:p>
    <w:p>
      <w:pPr>
        <w:ind w:firstLine="482"/>
        <w:jc w:val="center"/>
        <w:rPr>
          <w:b/>
          <w:bCs/>
        </w:rPr>
      </w:pPr>
    </w:p>
    <w:p>
      <w:pPr>
        <w:ind w:firstLine="482"/>
        <w:jc w:val="center"/>
        <w:rPr>
          <w:b/>
          <w:bCs/>
        </w:rPr>
      </w:pPr>
      <w:r>
        <w:rPr>
          <w:b/>
          <w:bCs/>
        </w:rPr>
        <w:t>表</w:t>
      </w:r>
      <w:r>
        <w:rPr>
          <w:rFonts w:hint="eastAsia"/>
          <w:b/>
          <w:bCs/>
        </w:rPr>
        <w:t xml:space="preserve">6.5-4 </w:t>
      </w:r>
      <w:r>
        <w:rPr>
          <w:b/>
          <w:bCs/>
        </w:rPr>
        <w:t xml:space="preserve"> 地下水环境现状调查评价范围参照表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96"/>
        <w:gridCol w:w="3096"/>
        <w:gridCol w:w="30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vAlign w:val="center"/>
          </w:tcPr>
          <w:p>
            <w:pPr>
              <w:widowControl/>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评价等级</w:t>
            </w:r>
          </w:p>
        </w:tc>
        <w:tc>
          <w:tcPr>
            <w:tcW w:w="3096" w:type="dxa"/>
            <w:vAlign w:val="center"/>
          </w:tcPr>
          <w:p>
            <w:pPr>
              <w:widowControl/>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调查评价面积（</w:t>
            </w:r>
            <w:r>
              <w:rPr>
                <w:rFonts w:cs="Times New Roman"/>
                <w:color w:val="000000"/>
                <w:kern w:val="0"/>
                <w:sz w:val="21"/>
                <w:szCs w:val="21"/>
                <w:lang w:bidi="ar"/>
              </w:rPr>
              <w:t>km</w:t>
            </w:r>
            <w:r>
              <w:rPr>
                <w:rFonts w:cs="Times New Roman"/>
                <w:color w:val="000000"/>
                <w:kern w:val="0"/>
                <w:sz w:val="21"/>
                <w:szCs w:val="21"/>
                <w:vertAlign w:val="superscript"/>
                <w:lang w:bidi="ar"/>
              </w:rPr>
              <w:t>2</w:t>
            </w:r>
            <w:r>
              <w:rPr>
                <w:rFonts w:hint="eastAsia" w:ascii="宋体" w:hAnsi="宋体" w:cs="宋体"/>
                <w:color w:val="000000"/>
                <w:kern w:val="0"/>
                <w:sz w:val="21"/>
                <w:szCs w:val="21"/>
                <w:lang w:bidi="ar"/>
              </w:rPr>
              <w:t>）</w:t>
            </w:r>
          </w:p>
        </w:tc>
        <w:tc>
          <w:tcPr>
            <w:tcW w:w="3096" w:type="dxa"/>
            <w:vAlign w:val="center"/>
          </w:tcPr>
          <w:p>
            <w:pPr>
              <w:widowControl/>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vAlign w:val="center"/>
          </w:tcPr>
          <w:p>
            <w:pPr>
              <w:widowControl/>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一级</w:t>
            </w:r>
          </w:p>
        </w:tc>
        <w:tc>
          <w:tcPr>
            <w:tcW w:w="3096" w:type="dxa"/>
            <w:vAlign w:val="center"/>
          </w:tcPr>
          <w:p>
            <w:pPr>
              <w:widowControl/>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w:t>
            </w:r>
            <w:r>
              <w:rPr>
                <w:rFonts w:cs="Times New Roman"/>
                <w:color w:val="000000"/>
                <w:kern w:val="0"/>
                <w:sz w:val="21"/>
                <w:szCs w:val="21"/>
                <w:lang w:bidi="ar"/>
              </w:rPr>
              <w:t>20</w:t>
            </w:r>
          </w:p>
        </w:tc>
        <w:tc>
          <w:tcPr>
            <w:tcW w:w="3096" w:type="dxa"/>
            <w:vMerge w:val="restart"/>
            <w:vAlign w:val="center"/>
          </w:tcPr>
          <w:p>
            <w:pPr>
              <w:widowControl/>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应包括重要的地下水环境保护目标，必要时适当扩大范围。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vAlign w:val="center"/>
          </w:tcPr>
          <w:p>
            <w:pPr>
              <w:widowControl/>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二级</w:t>
            </w:r>
          </w:p>
        </w:tc>
        <w:tc>
          <w:tcPr>
            <w:tcW w:w="3096" w:type="dxa"/>
            <w:vAlign w:val="center"/>
          </w:tcPr>
          <w:p>
            <w:pPr>
              <w:widowControl/>
              <w:spacing w:line="240" w:lineRule="auto"/>
              <w:ind w:firstLine="0" w:firstLineChars="0"/>
              <w:jc w:val="center"/>
              <w:rPr>
                <w:rFonts w:ascii="宋体" w:hAnsi="宋体" w:cs="宋体"/>
                <w:color w:val="000000"/>
                <w:kern w:val="0"/>
                <w:sz w:val="21"/>
                <w:szCs w:val="21"/>
                <w:lang w:bidi="ar"/>
              </w:rPr>
            </w:pPr>
            <w:r>
              <w:rPr>
                <w:rFonts w:cs="Times New Roman"/>
                <w:color w:val="000000"/>
                <w:kern w:val="0"/>
                <w:sz w:val="21"/>
                <w:szCs w:val="21"/>
                <w:lang w:bidi="ar"/>
              </w:rPr>
              <w:t>6-20</w:t>
            </w:r>
          </w:p>
        </w:tc>
        <w:tc>
          <w:tcPr>
            <w:tcW w:w="3096" w:type="dxa"/>
            <w:vMerge w:val="continue"/>
            <w:vAlign w:val="center"/>
          </w:tcPr>
          <w:p>
            <w:pPr>
              <w:widowControl/>
              <w:spacing w:line="240" w:lineRule="auto"/>
              <w:ind w:firstLine="0" w:firstLineChars="0"/>
              <w:jc w:val="center"/>
              <w:rPr>
                <w:rFonts w:ascii="宋体" w:hAnsi="宋体" w:cs="宋体"/>
                <w:color w:val="000000"/>
                <w:kern w:val="0"/>
                <w:sz w:val="21"/>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6" w:type="dxa"/>
            <w:vAlign w:val="center"/>
          </w:tcPr>
          <w:p>
            <w:pPr>
              <w:widowControl/>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三级</w:t>
            </w:r>
          </w:p>
        </w:tc>
        <w:tc>
          <w:tcPr>
            <w:tcW w:w="3096" w:type="dxa"/>
            <w:vAlign w:val="center"/>
          </w:tcPr>
          <w:p>
            <w:pPr>
              <w:widowControl/>
              <w:spacing w:line="240" w:lineRule="auto"/>
              <w:ind w:firstLine="0" w:firstLineChars="0"/>
              <w:jc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w:t>
            </w:r>
            <w:r>
              <w:rPr>
                <w:rFonts w:cs="Times New Roman"/>
                <w:color w:val="000000"/>
                <w:kern w:val="0"/>
                <w:sz w:val="21"/>
                <w:szCs w:val="21"/>
                <w:lang w:bidi="ar"/>
              </w:rPr>
              <w:t>6</w:t>
            </w:r>
          </w:p>
        </w:tc>
        <w:tc>
          <w:tcPr>
            <w:tcW w:w="3096" w:type="dxa"/>
            <w:vMerge w:val="continue"/>
            <w:vAlign w:val="center"/>
          </w:tcPr>
          <w:p>
            <w:pPr>
              <w:widowControl/>
              <w:spacing w:line="240" w:lineRule="auto"/>
              <w:ind w:firstLine="0" w:firstLineChars="0"/>
              <w:jc w:val="center"/>
              <w:rPr>
                <w:rFonts w:ascii="宋体" w:hAnsi="宋体" w:cs="宋体"/>
                <w:color w:val="000000"/>
                <w:kern w:val="0"/>
                <w:sz w:val="21"/>
                <w:szCs w:val="21"/>
                <w:lang w:bidi="ar"/>
              </w:rPr>
            </w:pPr>
          </w:p>
        </w:tc>
      </w:tr>
    </w:tbl>
    <w:p>
      <w:pPr>
        <w:ind w:firstLine="480"/>
        <w:rPr>
          <w:rFonts w:ascii="sans-serif" w:hAnsi="sans-serif" w:eastAsia="sans-serif" w:cs="sans-serif"/>
        </w:rPr>
      </w:pPr>
      <w:r>
        <w:rPr>
          <w:rFonts w:hint="eastAsia"/>
        </w:rPr>
        <w:t>本项目为二级评价，调查评价面积应为</w:t>
      </w:r>
      <w:r>
        <w:rPr>
          <w:rFonts w:hint="eastAsia"/>
          <w:lang w:eastAsia="zh-CN"/>
        </w:rPr>
        <w:t>10.623</w:t>
      </w:r>
      <w:r>
        <w:rPr>
          <w:rFonts w:hint="eastAsia"/>
        </w:rPr>
        <w:t>km</w:t>
      </w:r>
      <w:r>
        <w:rPr>
          <w:rFonts w:hint="eastAsia"/>
          <w:vertAlign w:val="superscript"/>
        </w:rPr>
        <w:t>2</w:t>
      </w:r>
      <w:r>
        <w:rPr>
          <w:rFonts w:hint="eastAsia"/>
        </w:rPr>
        <w:t>。东至余营村，西至叶寨村，南至龚店东二村，</w:t>
      </w:r>
      <w:r>
        <w:rPr>
          <w:rFonts w:hint="eastAsia" w:cs="Times New Roman"/>
          <w:color w:val="000000"/>
          <w:kern w:val="0"/>
          <w:lang w:bidi="ar"/>
        </w:rPr>
        <w:t>北至贺渡口村</w:t>
      </w:r>
      <w:r>
        <w:rPr>
          <w:rFonts w:cs="Times New Roman"/>
          <w:color w:val="000000"/>
          <w:kern w:val="0"/>
          <w:lang w:bidi="ar"/>
        </w:rPr>
        <w:t>。具体位置参见图</w:t>
      </w:r>
      <w:r>
        <w:rPr>
          <w:rFonts w:hint="eastAsia" w:cs="Times New Roman"/>
          <w:color w:val="000000"/>
          <w:kern w:val="0"/>
          <w:lang w:bidi="ar"/>
        </w:rPr>
        <w:t>6.5-1。</w:t>
      </w:r>
    </w:p>
    <w:p>
      <w:pPr>
        <w:ind w:firstLine="0" w:firstLineChars="0"/>
        <w:jc w:val="center"/>
        <w:rPr>
          <w:rFonts w:ascii="sans-serif" w:hAnsi="sans-serif" w:eastAsia="sans-serif" w:cs="sans-serif"/>
        </w:rPr>
      </w:pPr>
      <w:r>
        <w:drawing>
          <wp:inline distT="0" distB="0" distL="114300" distR="114300">
            <wp:extent cx="5760720" cy="3856355"/>
            <wp:effectExtent l="0" t="0" r="11430" b="10795"/>
            <wp:docPr id="2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8"/>
                    <pic:cNvPicPr>
                      <a:picLocks noChangeAspect="1"/>
                    </pic:cNvPicPr>
                  </pic:nvPicPr>
                  <pic:blipFill>
                    <a:blip r:embed="rId96"/>
                    <a:stretch>
                      <a:fillRect/>
                    </a:stretch>
                  </pic:blipFill>
                  <pic:spPr>
                    <a:xfrm>
                      <a:off x="0" y="0"/>
                      <a:ext cx="5760720" cy="3856355"/>
                    </a:xfrm>
                    <a:prstGeom prst="rect">
                      <a:avLst/>
                    </a:prstGeom>
                    <a:noFill/>
                    <a:ln>
                      <a:noFill/>
                    </a:ln>
                  </pic:spPr>
                </pic:pic>
              </a:graphicData>
            </a:graphic>
          </wp:inline>
        </w:drawing>
      </w:r>
    </w:p>
    <w:p>
      <w:pPr>
        <w:ind w:firstLine="482"/>
        <w:jc w:val="center"/>
        <w:rPr>
          <w:b/>
          <w:bCs/>
        </w:rPr>
      </w:pPr>
      <w:bookmarkStart w:id="165" w:name="_Toc28462"/>
      <w:bookmarkStart w:id="166" w:name="_Toc28658"/>
      <w:bookmarkStart w:id="167" w:name="_Toc8224"/>
      <w:r>
        <w:rPr>
          <w:b/>
          <w:bCs/>
        </w:rPr>
        <w:t>6.5-1  项目地下水评价范围图</w:t>
      </w:r>
      <w:bookmarkEnd w:id="165"/>
      <w:bookmarkEnd w:id="166"/>
      <w:bookmarkEnd w:id="167"/>
    </w:p>
    <w:p>
      <w:pPr>
        <w:widowControl/>
        <w:ind w:firstLine="482"/>
        <w:jc w:val="left"/>
        <w:rPr>
          <w:b/>
          <w:bCs/>
        </w:rPr>
      </w:pPr>
      <w:r>
        <w:rPr>
          <w:rFonts w:hint="eastAsia" w:cs="Times New Roman"/>
          <w:b/>
          <w:bCs/>
          <w:color w:val="000000"/>
          <w:kern w:val="0"/>
          <w:lang w:bidi="ar"/>
        </w:rPr>
        <w:t>6.5.2.2</w:t>
      </w:r>
      <w:r>
        <w:rPr>
          <w:rFonts w:cs="Times New Roman"/>
          <w:b/>
          <w:bCs/>
          <w:color w:val="000000"/>
          <w:kern w:val="0"/>
          <w:lang w:bidi="ar"/>
        </w:rPr>
        <w:t xml:space="preserve"> </w:t>
      </w:r>
      <w:r>
        <w:rPr>
          <w:rFonts w:hint="eastAsia" w:ascii="宋体" w:hAnsi="宋体" w:cs="宋体"/>
          <w:b/>
          <w:bCs/>
          <w:color w:val="000000"/>
          <w:kern w:val="0"/>
          <w:lang w:bidi="ar"/>
        </w:rPr>
        <w:t>保护目标</w:t>
      </w:r>
    </w:p>
    <w:p>
      <w:pPr>
        <w:widowControl/>
        <w:ind w:firstLine="480"/>
      </w:pPr>
      <w:r>
        <w:rPr>
          <w:rFonts w:hint="eastAsia" w:ascii="宋体" w:hAnsi="宋体" w:cs="宋体"/>
          <w:color w:val="000000"/>
          <w:kern w:val="0"/>
          <w:lang w:bidi="ar"/>
        </w:rPr>
        <w:t>根据豫政办〔</w:t>
      </w:r>
      <w:r>
        <w:rPr>
          <w:rFonts w:cs="Times New Roman"/>
          <w:color w:val="000000"/>
          <w:kern w:val="0"/>
          <w:lang w:bidi="ar"/>
        </w:rPr>
        <w:t>2013</w:t>
      </w:r>
      <w:r>
        <w:rPr>
          <w:rFonts w:hint="eastAsia" w:ascii="宋体" w:hAnsi="宋体" w:cs="宋体"/>
          <w:color w:val="000000"/>
          <w:kern w:val="0"/>
          <w:lang w:bidi="ar"/>
        </w:rPr>
        <w:t>〕</w:t>
      </w:r>
      <w:r>
        <w:rPr>
          <w:rFonts w:cs="Times New Roman"/>
          <w:color w:val="000000"/>
          <w:kern w:val="0"/>
          <w:lang w:bidi="ar"/>
        </w:rPr>
        <w:t>107</w:t>
      </w:r>
      <w:r>
        <w:rPr>
          <w:rFonts w:hint="eastAsia" w:ascii="宋体" w:hAnsi="宋体" w:cs="宋体"/>
          <w:color w:val="000000"/>
          <w:kern w:val="0"/>
          <w:lang w:bidi="ar"/>
        </w:rPr>
        <w:t>号，叶县集中式饮用水水源保护区主要包括：</w:t>
      </w:r>
    </w:p>
    <w:p>
      <w:pPr>
        <w:widowControl/>
        <w:ind w:firstLine="480"/>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）叶县盐都水务地下水井群（昆鲁大道以北、昆阳大道以西，共</w:t>
      </w:r>
      <w:r>
        <w:rPr>
          <w:rFonts w:cs="Times New Roman"/>
          <w:color w:val="000000"/>
          <w:kern w:val="0"/>
          <w:lang w:bidi="ar"/>
        </w:rPr>
        <w:t>3</w:t>
      </w:r>
      <w:r>
        <w:rPr>
          <w:rFonts w:hint="eastAsia" w:ascii="宋体" w:hAnsi="宋体" w:cs="宋体"/>
          <w:color w:val="000000"/>
          <w:kern w:val="0"/>
          <w:lang w:bidi="ar"/>
        </w:rPr>
        <w:t>眼井），一级保护区范围：取水井外围</w:t>
      </w:r>
      <w:r>
        <w:rPr>
          <w:rFonts w:cs="Times New Roman"/>
          <w:color w:val="000000"/>
          <w:kern w:val="0"/>
          <w:lang w:bidi="ar"/>
        </w:rPr>
        <w:t>30</w:t>
      </w:r>
      <w:r>
        <w:rPr>
          <w:rFonts w:hint="eastAsia" w:ascii="宋体" w:hAnsi="宋体" w:cs="宋体"/>
          <w:color w:val="000000"/>
          <w:kern w:val="0"/>
          <w:lang w:bidi="ar"/>
        </w:rPr>
        <w:t>米的区域；二级保护区范围：一级保护区外，</w:t>
      </w:r>
      <w:r>
        <w:rPr>
          <w:rFonts w:cs="Times New Roman"/>
          <w:color w:val="000000"/>
          <w:kern w:val="0"/>
          <w:lang w:bidi="ar"/>
        </w:rPr>
        <w:t>1</w:t>
      </w: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号取水井外围</w:t>
      </w:r>
      <w:r>
        <w:rPr>
          <w:rFonts w:cs="Times New Roman"/>
          <w:color w:val="000000"/>
          <w:kern w:val="0"/>
          <w:lang w:bidi="ar"/>
        </w:rPr>
        <w:t>330</w:t>
      </w:r>
      <w:r>
        <w:rPr>
          <w:rFonts w:hint="eastAsia" w:ascii="宋体" w:hAnsi="宋体" w:cs="宋体"/>
          <w:color w:val="000000"/>
          <w:kern w:val="0"/>
          <w:lang w:bidi="ar"/>
        </w:rPr>
        <w:t>米外公切线所包含的区域；准保护区范围：二级保护区外，东至新建街、西至北关大街、南至文化路、北至昆鲁大道的区域。</w:t>
      </w:r>
    </w:p>
    <w:p>
      <w:pPr>
        <w:widowControl/>
        <w:ind w:firstLine="480"/>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）叶县自由路地下水井群（共</w:t>
      </w:r>
      <w:r>
        <w:rPr>
          <w:rFonts w:cs="Times New Roman"/>
          <w:color w:val="000000"/>
          <w:kern w:val="0"/>
          <w:lang w:bidi="ar"/>
        </w:rPr>
        <w:t>2</w:t>
      </w:r>
      <w:r>
        <w:rPr>
          <w:rFonts w:hint="eastAsia" w:ascii="宋体" w:hAnsi="宋体" w:cs="宋体"/>
          <w:color w:val="000000"/>
          <w:kern w:val="0"/>
          <w:lang w:bidi="ar"/>
        </w:rPr>
        <w:t>眼井），一级保护区范围：取水井外围</w:t>
      </w:r>
      <w:r>
        <w:rPr>
          <w:rFonts w:cs="Times New Roman"/>
          <w:color w:val="000000"/>
          <w:kern w:val="0"/>
          <w:lang w:bidi="ar"/>
        </w:rPr>
        <w:t>200</w:t>
      </w:r>
      <w:r>
        <w:rPr>
          <w:rFonts w:hint="eastAsia" w:ascii="宋体" w:hAnsi="宋体" w:cs="宋体"/>
          <w:color w:val="000000"/>
          <w:kern w:val="0"/>
          <w:lang w:bidi="ar"/>
        </w:rPr>
        <w:t>米外公切线所包含的区域。</w:t>
      </w:r>
    </w:p>
    <w:p>
      <w:pPr>
        <w:widowControl/>
        <w:ind w:firstLine="480"/>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）叶县东升洁地下水井群（昆鲁大道以南、昆阳大道以东、中心路以北，共</w:t>
      </w:r>
      <w:r>
        <w:rPr>
          <w:rFonts w:cs="Times New Roman"/>
          <w:color w:val="000000"/>
          <w:kern w:val="0"/>
          <w:lang w:bidi="ar"/>
        </w:rPr>
        <w:t>6</w:t>
      </w:r>
      <w:r>
        <w:rPr>
          <w:rFonts w:hint="eastAsia" w:ascii="宋体" w:hAnsi="宋体" w:cs="宋体"/>
          <w:color w:val="000000"/>
          <w:kern w:val="0"/>
          <w:lang w:bidi="ar"/>
        </w:rPr>
        <w:t>眼井），一级保护区范围：取水井外围</w:t>
      </w:r>
      <w:r>
        <w:rPr>
          <w:rFonts w:cs="Times New Roman"/>
          <w:color w:val="000000"/>
          <w:kern w:val="0"/>
          <w:lang w:bidi="ar"/>
        </w:rPr>
        <w:t>30</w:t>
      </w:r>
      <w:r>
        <w:rPr>
          <w:rFonts w:hint="eastAsia" w:ascii="宋体" w:hAnsi="宋体" w:cs="宋体"/>
          <w:color w:val="000000"/>
          <w:kern w:val="0"/>
          <w:lang w:bidi="ar"/>
        </w:rPr>
        <w:t>米的区域。由上可知，叶县集中式饮用水水源保护区主要分布在叶县城区，叶县县城距项目厂区直线距离约</w:t>
      </w:r>
      <w:r>
        <w:rPr>
          <w:rFonts w:cs="Times New Roman"/>
          <w:color w:val="000000"/>
          <w:kern w:val="0"/>
          <w:lang w:bidi="ar"/>
        </w:rPr>
        <w:t>6</w:t>
      </w:r>
      <w:r>
        <w:rPr>
          <w:rFonts w:hint="eastAsia" w:cs="Times New Roman"/>
          <w:color w:val="000000"/>
          <w:kern w:val="0"/>
          <w:lang w:val="en-US" w:eastAsia="zh-CN" w:bidi="ar"/>
        </w:rPr>
        <w:t>.7</w:t>
      </w:r>
      <w:r>
        <w:rPr>
          <w:rFonts w:cs="Times New Roman"/>
          <w:color w:val="000000"/>
          <w:kern w:val="0"/>
          <w:lang w:bidi="ar"/>
        </w:rPr>
        <w:t>km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根据豫政办〔</w:t>
      </w:r>
      <w:r>
        <w:rPr>
          <w:rFonts w:cs="Times New Roman"/>
          <w:color w:val="000000"/>
          <w:kern w:val="0"/>
          <w:lang w:bidi="ar"/>
        </w:rPr>
        <w:t>2016</w:t>
      </w:r>
      <w:r>
        <w:rPr>
          <w:rFonts w:hint="eastAsia" w:ascii="宋体" w:hAnsi="宋体" w:cs="宋体"/>
          <w:color w:val="000000"/>
          <w:kern w:val="0"/>
          <w:lang w:bidi="ar"/>
        </w:rPr>
        <w:t>〕</w:t>
      </w:r>
      <w:r>
        <w:rPr>
          <w:rFonts w:cs="Times New Roman"/>
          <w:color w:val="000000"/>
          <w:kern w:val="0"/>
          <w:lang w:bidi="ar"/>
        </w:rPr>
        <w:t>23</w:t>
      </w:r>
      <w:r>
        <w:rPr>
          <w:rFonts w:hint="eastAsia" w:ascii="宋体" w:hAnsi="宋体" w:cs="宋体"/>
          <w:color w:val="000000"/>
          <w:kern w:val="0"/>
          <w:lang w:bidi="ar"/>
        </w:rPr>
        <w:t>号，叶县乡镇级集中式饮用水水源保护区主要包括：</w:t>
      </w:r>
    </w:p>
    <w:p>
      <w:pPr>
        <w:widowControl/>
        <w:ind w:firstLine="480"/>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）叶县任店镇水厂地下水井（共</w:t>
      </w:r>
      <w:r>
        <w:rPr>
          <w:rFonts w:cs="Times New Roman"/>
          <w:color w:val="000000"/>
          <w:kern w:val="0"/>
          <w:lang w:bidi="ar"/>
        </w:rPr>
        <w:t>1</w:t>
      </w:r>
      <w:r>
        <w:rPr>
          <w:rFonts w:hint="eastAsia" w:ascii="宋体" w:hAnsi="宋体" w:cs="宋体"/>
          <w:color w:val="000000"/>
          <w:kern w:val="0"/>
          <w:lang w:bidi="ar"/>
        </w:rPr>
        <w:t>眼井），一级保护区范围：水厂厂区及外围东</w:t>
      </w:r>
      <w:r>
        <w:rPr>
          <w:rFonts w:cs="Times New Roman"/>
          <w:color w:val="000000"/>
          <w:kern w:val="0"/>
          <w:lang w:bidi="ar"/>
        </w:rPr>
        <w:t>25</w:t>
      </w:r>
      <w:r>
        <w:rPr>
          <w:rFonts w:hint="eastAsia" w:ascii="宋体" w:hAnsi="宋体" w:cs="宋体"/>
          <w:color w:val="000000"/>
          <w:kern w:val="0"/>
          <w:lang w:bidi="ar"/>
        </w:rPr>
        <w:t>米、南</w:t>
      </w:r>
      <w:r>
        <w:rPr>
          <w:rFonts w:cs="Times New Roman"/>
          <w:color w:val="000000"/>
          <w:kern w:val="0"/>
          <w:lang w:bidi="ar"/>
        </w:rPr>
        <w:t>11</w:t>
      </w:r>
      <w:r>
        <w:rPr>
          <w:rFonts w:hint="eastAsia" w:ascii="宋体" w:hAnsi="宋体" w:cs="宋体"/>
          <w:color w:val="000000"/>
          <w:kern w:val="0"/>
          <w:lang w:bidi="ar"/>
        </w:rPr>
        <w:t>米、北</w:t>
      </w:r>
      <w:r>
        <w:rPr>
          <w:rFonts w:cs="Times New Roman"/>
          <w:color w:val="000000"/>
          <w:kern w:val="0"/>
          <w:lang w:bidi="ar"/>
        </w:rPr>
        <w:t>29</w:t>
      </w:r>
      <w:r>
        <w:rPr>
          <w:rFonts w:hint="eastAsia" w:ascii="宋体" w:hAnsi="宋体" w:cs="宋体"/>
          <w:color w:val="000000"/>
          <w:kern w:val="0"/>
          <w:lang w:bidi="ar"/>
        </w:rPr>
        <w:t>米的区域。</w:t>
      </w:r>
    </w:p>
    <w:p>
      <w:pPr>
        <w:widowControl/>
        <w:ind w:firstLine="480"/>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）叶县龚店镇水厂地下水井（共</w:t>
      </w:r>
      <w:r>
        <w:rPr>
          <w:rFonts w:cs="Times New Roman"/>
          <w:color w:val="000000"/>
          <w:kern w:val="0"/>
          <w:lang w:bidi="ar"/>
        </w:rPr>
        <w:t>1</w:t>
      </w:r>
      <w:r>
        <w:rPr>
          <w:rFonts w:hint="eastAsia" w:ascii="宋体" w:hAnsi="宋体" w:cs="宋体"/>
          <w:color w:val="000000"/>
          <w:kern w:val="0"/>
          <w:lang w:bidi="ar"/>
        </w:rPr>
        <w:t>眼井），一级保护区范围：水厂厂区及外围东</w:t>
      </w:r>
      <w:r>
        <w:rPr>
          <w:rFonts w:cs="Times New Roman"/>
          <w:color w:val="000000"/>
          <w:kern w:val="0"/>
          <w:lang w:bidi="ar"/>
        </w:rPr>
        <w:t>30</w:t>
      </w:r>
      <w:r>
        <w:rPr>
          <w:rFonts w:hint="eastAsia" w:ascii="宋体" w:hAnsi="宋体" w:cs="宋体"/>
          <w:color w:val="000000"/>
          <w:kern w:val="0"/>
          <w:lang w:bidi="ar"/>
        </w:rPr>
        <w:t>米、西</w:t>
      </w:r>
      <w:r>
        <w:rPr>
          <w:rFonts w:cs="Times New Roman"/>
          <w:color w:val="000000"/>
          <w:kern w:val="0"/>
          <w:lang w:bidi="ar"/>
        </w:rPr>
        <w:t>10</w:t>
      </w:r>
      <w:r>
        <w:rPr>
          <w:rFonts w:hint="eastAsia" w:ascii="宋体" w:hAnsi="宋体" w:cs="宋体"/>
          <w:color w:val="000000"/>
          <w:kern w:val="0"/>
          <w:lang w:bidi="ar"/>
        </w:rPr>
        <w:t>米、南</w:t>
      </w:r>
      <w:r>
        <w:rPr>
          <w:rFonts w:cs="Times New Roman"/>
          <w:color w:val="000000"/>
          <w:kern w:val="0"/>
          <w:lang w:bidi="ar"/>
        </w:rPr>
        <w:t>5</w:t>
      </w:r>
      <w:r>
        <w:rPr>
          <w:rFonts w:hint="eastAsia" w:ascii="宋体" w:hAnsi="宋体" w:cs="宋体"/>
          <w:color w:val="000000"/>
          <w:kern w:val="0"/>
          <w:lang w:bidi="ar"/>
        </w:rPr>
        <w:t>米、北</w:t>
      </w:r>
      <w:r>
        <w:rPr>
          <w:rFonts w:cs="Times New Roman"/>
          <w:color w:val="000000"/>
          <w:kern w:val="0"/>
          <w:lang w:bidi="ar"/>
        </w:rPr>
        <w:t>30</w:t>
      </w:r>
      <w:r>
        <w:rPr>
          <w:rFonts w:hint="eastAsia" w:ascii="宋体" w:hAnsi="宋体" w:cs="宋体"/>
          <w:color w:val="000000"/>
          <w:kern w:val="0"/>
          <w:lang w:bidi="ar"/>
        </w:rPr>
        <w:t>米的区域。</w:t>
      </w:r>
    </w:p>
    <w:p>
      <w:pPr>
        <w:widowControl/>
        <w:ind w:firstLine="480"/>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）叶县水寨乡蒋李水厂地下水井（共</w:t>
      </w:r>
      <w:r>
        <w:rPr>
          <w:rFonts w:cs="Times New Roman"/>
          <w:color w:val="000000"/>
          <w:kern w:val="0"/>
          <w:lang w:bidi="ar"/>
        </w:rPr>
        <w:t>1</w:t>
      </w:r>
      <w:r>
        <w:rPr>
          <w:rFonts w:hint="eastAsia" w:ascii="宋体" w:hAnsi="宋体" w:cs="宋体"/>
          <w:color w:val="000000"/>
          <w:kern w:val="0"/>
          <w:lang w:bidi="ar"/>
        </w:rPr>
        <w:t>眼井），一级保护区范围：水厂厂区及外围东</w:t>
      </w:r>
      <w:r>
        <w:rPr>
          <w:rFonts w:cs="Times New Roman"/>
          <w:color w:val="000000"/>
          <w:kern w:val="0"/>
          <w:lang w:bidi="ar"/>
        </w:rPr>
        <w:t>10</w:t>
      </w:r>
      <w:r>
        <w:rPr>
          <w:rFonts w:hint="eastAsia" w:ascii="宋体" w:hAnsi="宋体" w:cs="宋体"/>
          <w:color w:val="000000"/>
          <w:kern w:val="0"/>
          <w:lang w:bidi="ar"/>
        </w:rPr>
        <w:t>米、西</w:t>
      </w:r>
      <w:r>
        <w:rPr>
          <w:rFonts w:cs="Times New Roman"/>
          <w:color w:val="000000"/>
          <w:kern w:val="0"/>
          <w:lang w:bidi="ar"/>
        </w:rPr>
        <w:t>30</w:t>
      </w:r>
      <w:r>
        <w:rPr>
          <w:rFonts w:hint="eastAsia" w:ascii="宋体" w:hAnsi="宋体" w:cs="宋体"/>
          <w:color w:val="000000"/>
          <w:kern w:val="0"/>
          <w:lang w:bidi="ar"/>
        </w:rPr>
        <w:t>米、南</w:t>
      </w:r>
      <w:r>
        <w:rPr>
          <w:rFonts w:cs="Times New Roman"/>
          <w:color w:val="000000"/>
          <w:kern w:val="0"/>
          <w:lang w:bidi="ar"/>
        </w:rPr>
        <w:t>10</w:t>
      </w:r>
      <w:r>
        <w:rPr>
          <w:rFonts w:hint="eastAsia" w:ascii="宋体" w:hAnsi="宋体" w:cs="宋体"/>
          <w:color w:val="000000"/>
          <w:kern w:val="0"/>
          <w:lang w:bidi="ar"/>
        </w:rPr>
        <w:t>米、北</w:t>
      </w:r>
      <w:r>
        <w:rPr>
          <w:rFonts w:cs="Times New Roman"/>
          <w:color w:val="000000"/>
          <w:kern w:val="0"/>
          <w:lang w:bidi="ar"/>
        </w:rPr>
        <w:t>30</w:t>
      </w:r>
      <w:r>
        <w:rPr>
          <w:rFonts w:hint="eastAsia" w:ascii="宋体" w:hAnsi="宋体" w:cs="宋体"/>
          <w:color w:val="000000"/>
          <w:kern w:val="0"/>
          <w:lang w:bidi="ar"/>
        </w:rPr>
        <w:t>米的区域。</w:t>
      </w:r>
    </w:p>
    <w:p>
      <w:pPr>
        <w:widowControl/>
        <w:ind w:firstLine="480"/>
      </w:pPr>
      <w:r>
        <w:rPr>
          <w:rFonts w:hint="eastAsia" w:ascii="宋体" w:hAnsi="宋体" w:cs="宋体"/>
          <w:color w:val="000000"/>
          <w:kern w:val="0"/>
          <w:lang w:bidi="ar"/>
        </w:rPr>
        <w:t>（</w:t>
      </w:r>
      <w:r>
        <w:rPr>
          <w:rFonts w:cs="Times New Roman"/>
          <w:color w:val="000000"/>
          <w:kern w:val="0"/>
          <w:lang w:bidi="ar"/>
        </w:rPr>
        <w:t>4</w:t>
      </w:r>
      <w:r>
        <w:rPr>
          <w:rFonts w:hint="eastAsia" w:ascii="宋体" w:hAnsi="宋体" w:cs="宋体"/>
          <w:color w:val="000000"/>
          <w:kern w:val="0"/>
          <w:lang w:bidi="ar"/>
        </w:rPr>
        <w:t>）叶县保安镇水厂地下水井（共</w:t>
      </w:r>
      <w:r>
        <w:rPr>
          <w:rFonts w:cs="Times New Roman"/>
          <w:color w:val="000000"/>
          <w:kern w:val="0"/>
          <w:lang w:bidi="ar"/>
        </w:rPr>
        <w:t>1</w:t>
      </w:r>
      <w:r>
        <w:rPr>
          <w:rFonts w:hint="eastAsia" w:ascii="宋体" w:hAnsi="宋体" w:cs="宋体"/>
          <w:color w:val="000000"/>
          <w:kern w:val="0"/>
          <w:lang w:bidi="ar"/>
        </w:rPr>
        <w:t>眼井），一级保护区范围：水厂厂区及外围东</w:t>
      </w:r>
      <w:r>
        <w:rPr>
          <w:rFonts w:cs="Times New Roman"/>
          <w:color w:val="000000"/>
          <w:kern w:val="0"/>
          <w:lang w:bidi="ar"/>
        </w:rPr>
        <w:t>10</w:t>
      </w:r>
      <w:r>
        <w:rPr>
          <w:rFonts w:hint="eastAsia" w:ascii="宋体" w:hAnsi="宋体" w:cs="宋体"/>
          <w:color w:val="000000"/>
          <w:kern w:val="0"/>
          <w:lang w:bidi="ar"/>
        </w:rPr>
        <w:t>米、西</w:t>
      </w:r>
      <w:r>
        <w:rPr>
          <w:rFonts w:cs="Times New Roman"/>
          <w:color w:val="000000"/>
          <w:kern w:val="0"/>
          <w:lang w:bidi="ar"/>
        </w:rPr>
        <w:t>30</w:t>
      </w:r>
      <w:r>
        <w:rPr>
          <w:rFonts w:hint="eastAsia" w:ascii="宋体" w:hAnsi="宋体" w:cs="宋体"/>
          <w:color w:val="000000"/>
          <w:kern w:val="0"/>
          <w:lang w:bidi="ar"/>
        </w:rPr>
        <w:t>米、南</w:t>
      </w:r>
      <w:r>
        <w:rPr>
          <w:rFonts w:cs="Times New Roman"/>
          <w:color w:val="000000"/>
          <w:kern w:val="0"/>
          <w:lang w:bidi="ar"/>
        </w:rPr>
        <w:t>15</w:t>
      </w:r>
      <w:r>
        <w:rPr>
          <w:rFonts w:hint="eastAsia" w:ascii="宋体" w:hAnsi="宋体" w:cs="宋体"/>
          <w:color w:val="000000"/>
          <w:kern w:val="0"/>
          <w:lang w:bidi="ar"/>
        </w:rPr>
        <w:t>米、北</w:t>
      </w:r>
      <w:r>
        <w:rPr>
          <w:rFonts w:cs="Times New Roman"/>
          <w:color w:val="000000"/>
          <w:kern w:val="0"/>
          <w:lang w:bidi="ar"/>
        </w:rPr>
        <w:t>30</w:t>
      </w:r>
      <w:r>
        <w:rPr>
          <w:rFonts w:hint="eastAsia" w:ascii="宋体" w:hAnsi="宋体" w:cs="宋体"/>
          <w:color w:val="000000"/>
          <w:kern w:val="0"/>
          <w:lang w:bidi="ar"/>
        </w:rPr>
        <w:t>米的区域；二级保护区范围：一级保护区外围</w:t>
      </w:r>
      <w:r>
        <w:rPr>
          <w:rFonts w:cs="Times New Roman"/>
          <w:color w:val="000000"/>
          <w:kern w:val="0"/>
          <w:lang w:bidi="ar"/>
        </w:rPr>
        <w:t>300</w:t>
      </w:r>
      <w:r>
        <w:rPr>
          <w:rFonts w:hint="eastAsia" w:ascii="宋体" w:hAnsi="宋体" w:cs="宋体"/>
          <w:color w:val="000000"/>
          <w:kern w:val="0"/>
          <w:lang w:bidi="ar"/>
        </w:rPr>
        <w:t>米的区域。</w:t>
      </w:r>
    </w:p>
    <w:p>
      <w:pPr>
        <w:widowControl/>
        <w:ind w:firstLine="480"/>
        <w:rPr>
          <w:rFonts w:cs="Times New Roman"/>
          <w:color w:val="000000"/>
          <w:kern w:val="0"/>
          <w:lang w:bidi="ar"/>
        </w:rPr>
      </w:pPr>
      <w:r>
        <w:rPr>
          <w:rFonts w:cs="Times New Roman"/>
          <w:color w:val="000000"/>
          <w:kern w:val="0"/>
          <w:lang w:bidi="ar"/>
        </w:rPr>
        <w:t>根据本次调查情况</w:t>
      </w:r>
      <w:r>
        <w:rPr>
          <w:rFonts w:hint="eastAsia" w:cs="Times New Roman"/>
          <w:color w:val="000000"/>
          <w:kern w:val="0"/>
          <w:lang w:bidi="ar"/>
        </w:rPr>
        <w:t>，</w:t>
      </w:r>
      <w:r>
        <w:rPr>
          <w:rFonts w:cs="Times New Roman"/>
          <w:color w:val="000000"/>
          <w:kern w:val="0"/>
          <w:lang w:bidi="ar"/>
        </w:rPr>
        <w:t>项目区周边地下水环境</w:t>
      </w:r>
      <w:r>
        <w:rPr>
          <w:rFonts w:hint="eastAsia" w:cs="Times New Roman"/>
          <w:color w:val="000000"/>
          <w:kern w:val="0"/>
          <w:lang w:bidi="ar"/>
        </w:rPr>
        <w:t>无环境保护目标</w:t>
      </w:r>
      <w:r>
        <w:rPr>
          <w:rFonts w:cs="Times New Roman"/>
          <w:color w:val="000000"/>
          <w:kern w:val="0"/>
          <w:lang w:bidi="ar"/>
        </w:rPr>
        <w:t>。</w:t>
      </w:r>
    </w:p>
    <w:p>
      <w:pPr>
        <w:pStyle w:val="7"/>
        <w:ind w:firstLine="562"/>
      </w:pPr>
      <w:r>
        <w:rPr>
          <w:rFonts w:hint="eastAsia"/>
        </w:rPr>
        <w:t xml:space="preserve">6.5.3 </w:t>
      </w:r>
      <w:r>
        <w:t>区域水文地质特征</w:t>
      </w:r>
    </w:p>
    <w:p>
      <w:pPr>
        <w:ind w:firstLine="482"/>
        <w:rPr>
          <w:b/>
          <w:bCs/>
        </w:rPr>
      </w:pPr>
      <w:r>
        <w:rPr>
          <w:rFonts w:hint="eastAsia"/>
          <w:b/>
          <w:bCs/>
        </w:rPr>
        <w:t>6.5.3.1地形地貌</w:t>
      </w:r>
    </w:p>
    <w:p>
      <w:pPr>
        <w:ind w:firstLine="480"/>
        <w:rPr>
          <w:rFonts w:cs="Times New Roman"/>
        </w:rPr>
      </w:pPr>
      <w:r>
        <w:rPr>
          <w:rFonts w:cs="Times New Roman"/>
        </w:rPr>
        <w:t>县境内地貌西南高东北低，由第二地貌台阶边坡向第三地貌台阶过渡，呈阶梯状降低，依次分为浅山、丘陵、平原及洼地地貌区，分别占总面积的21％、25．3％和53．7％。两端相对高差580.4米。伏牛山沿县境西南边境横亘。桐柏山余脉自东南向西延伸在保安镇与伏牛山余脉对峙，形成有名的</w:t>
      </w:r>
      <w:r>
        <w:rPr>
          <w:rFonts w:hint="eastAsia" w:cs="Times New Roman"/>
          <w:lang w:eastAsia="zh-CN"/>
        </w:rPr>
        <w:t>“</w:t>
      </w:r>
      <w:r>
        <w:rPr>
          <w:rFonts w:cs="Times New Roman"/>
        </w:rPr>
        <w:t>南襄夹道</w:t>
      </w:r>
      <w:r>
        <w:rPr>
          <w:rFonts w:hint="eastAsia" w:cs="Times New Roman"/>
          <w:lang w:eastAsia="zh-CN"/>
        </w:rPr>
        <w:t>”</w:t>
      </w:r>
      <w:r>
        <w:rPr>
          <w:rFonts w:cs="Times New Roman"/>
        </w:rPr>
        <w:t>。南及西南部浅山区的海拔在200米—350米之间，最高峰为位于常村镇西部叶、方边界的老青山</w:t>
      </w:r>
      <w:r>
        <w:rPr>
          <w:rFonts w:hint="eastAsia" w:cs="Times New Roman"/>
        </w:rPr>
        <w:t>（</w:t>
      </w:r>
      <w:r>
        <w:rPr>
          <w:rFonts w:cs="Times New Roman"/>
        </w:rPr>
        <w:t>即西唐山</w:t>
      </w:r>
      <w:r>
        <w:rPr>
          <w:rFonts w:hint="eastAsia" w:cs="Times New Roman"/>
        </w:rPr>
        <w:t>）</w:t>
      </w:r>
      <w:r>
        <w:rPr>
          <w:rFonts w:cs="Times New Roman"/>
        </w:rPr>
        <w:t>，海拔650.2米；北、中、东部为平原，海拔一般在80米左右，最低点为水寨乡的黄庄村，海拔69.8米，平均海拔85米。详见图6.5-1。现将主要地貌形态分布情况分述如下：</w:t>
      </w:r>
    </w:p>
    <w:p>
      <w:pPr>
        <w:widowControl/>
        <w:ind w:firstLine="0" w:firstLineChars="0"/>
        <w:jc w:val="center"/>
      </w:pPr>
      <w:r>
        <w:drawing>
          <wp:inline distT="0" distB="0" distL="114300" distR="114300">
            <wp:extent cx="5753735" cy="5565775"/>
            <wp:effectExtent l="0" t="0" r="18415" b="15875"/>
            <wp:docPr id="9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7"/>
                    <pic:cNvPicPr>
                      <a:picLocks noChangeAspect="1"/>
                    </pic:cNvPicPr>
                  </pic:nvPicPr>
                  <pic:blipFill>
                    <a:blip r:embed="rId97"/>
                    <a:stretch>
                      <a:fillRect/>
                    </a:stretch>
                  </pic:blipFill>
                  <pic:spPr>
                    <a:xfrm>
                      <a:off x="0" y="0"/>
                      <a:ext cx="5753735" cy="556577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b/>
          <w:bCs/>
        </w:rPr>
      </w:pPr>
      <w:r>
        <w:rPr>
          <w:rFonts w:hint="eastAsia"/>
          <w:b/>
          <w:bCs/>
        </w:rPr>
        <w:t>图6.5</w:t>
      </w:r>
      <w:r>
        <w:rPr>
          <w:b/>
          <w:bCs/>
        </w:rPr>
        <w:t>-</w:t>
      </w:r>
      <w:r>
        <w:rPr>
          <w:rFonts w:hint="eastAsia"/>
          <w:b/>
          <w:bCs/>
        </w:rPr>
        <w:t>2  区域地貌图</w:t>
      </w:r>
    </w:p>
    <w:p>
      <w:pPr>
        <w:ind w:firstLine="480"/>
      </w:pPr>
      <w:r>
        <w:rPr>
          <w:rFonts w:hint="eastAsia"/>
        </w:rPr>
        <w:t>（</w:t>
      </w:r>
      <w:r>
        <w:t>1</w:t>
      </w:r>
      <w:r>
        <w:rPr>
          <w:rFonts w:hint="eastAsia"/>
        </w:rPr>
        <w:t>）山地（</w:t>
      </w:r>
      <w:r>
        <w:t>Ⅰ</w:t>
      </w:r>
      <w:r>
        <w:rPr>
          <w:rFonts w:hint="eastAsia"/>
        </w:rPr>
        <w:t>）</w:t>
      </w:r>
    </w:p>
    <w:p>
      <w:pPr>
        <w:ind w:firstLine="480"/>
      </w:pPr>
      <w:r>
        <w:rPr>
          <w:rFonts w:hint="eastAsia"/>
        </w:rPr>
        <w:t>①侵蚀剥蚀中山（</w:t>
      </w:r>
      <w:r>
        <w:t>Ⅰ</w:t>
      </w:r>
      <w:r>
        <w:rPr>
          <w:rFonts w:hint="eastAsia"/>
          <w:vertAlign w:val="subscript"/>
        </w:rPr>
        <w:t>1</w:t>
      </w:r>
      <w:r>
        <w:rPr>
          <w:rFonts w:hint="eastAsia"/>
        </w:rPr>
        <w:t>）</w:t>
      </w:r>
    </w:p>
    <w:p>
      <w:pPr>
        <w:ind w:firstLine="480"/>
      </w:pPr>
      <w:r>
        <w:rPr>
          <w:rFonts w:hint="eastAsia"/>
        </w:rPr>
        <w:t>主要分布在鲁山县西南部紧邻市界一带，面积约</w:t>
      </w:r>
      <w:r>
        <w:t>208km</w:t>
      </w:r>
      <w:r>
        <w:rPr>
          <w:rFonts w:hint="eastAsia"/>
          <w:vertAlign w:val="superscript"/>
        </w:rPr>
        <w:t>2</w:t>
      </w:r>
      <w:r>
        <w:rPr>
          <w:rFonts w:hint="eastAsia"/>
        </w:rPr>
        <w:t>，占全市总面积的</w:t>
      </w:r>
      <w:r>
        <w:t>2.64%</w:t>
      </w:r>
      <w:r>
        <w:rPr>
          <w:rFonts w:hint="eastAsia"/>
        </w:rPr>
        <w:t>。最高峰尧山海拔高度为</w:t>
      </w:r>
      <w:r>
        <w:t>2153.10m</w:t>
      </w:r>
      <w:r>
        <w:rPr>
          <w:rFonts w:hint="eastAsia"/>
        </w:rPr>
        <w:t>，组成岩性主要为花岗岩。</w:t>
      </w:r>
    </w:p>
    <w:p>
      <w:pPr>
        <w:ind w:firstLine="480"/>
      </w:pPr>
      <w:r>
        <w:rPr>
          <w:rFonts w:hint="eastAsia"/>
        </w:rPr>
        <w:t>②侵蚀剥蚀低山（</w:t>
      </w:r>
      <w:r>
        <w:t>Ⅰ</w:t>
      </w:r>
      <w:r>
        <w:rPr>
          <w:vertAlign w:val="subscript"/>
        </w:rPr>
        <w:t>2</w:t>
      </w:r>
      <w:r>
        <w:rPr>
          <w:rFonts w:hint="eastAsia"/>
        </w:rPr>
        <w:t>）</w:t>
      </w:r>
    </w:p>
    <w:p>
      <w:pPr>
        <w:ind w:firstLine="480"/>
      </w:pPr>
      <w:r>
        <w:rPr>
          <w:rFonts w:hint="eastAsia"/>
        </w:rPr>
        <w:t>主要分布在汝州市北部、宝丰县西北部，石龙区中部，鲁山县西部，舞钢市南部紧邻市界一带，面积约</w:t>
      </w:r>
      <w:r>
        <w:t>1414km</w:t>
      </w:r>
      <w:r>
        <w:rPr>
          <w:rFonts w:hint="eastAsia"/>
          <w:vertAlign w:val="superscript"/>
        </w:rPr>
        <w:t>2</w:t>
      </w:r>
      <w:r>
        <w:rPr>
          <w:rFonts w:hint="eastAsia"/>
        </w:rPr>
        <w:t>，占全市总面积的</w:t>
      </w:r>
      <w:r>
        <w:t>17.94%</w:t>
      </w:r>
      <w:r>
        <w:rPr>
          <w:rFonts w:hint="eastAsia"/>
        </w:rPr>
        <w:t>。山地坡度较陡，一般在</w:t>
      </w:r>
      <w:r>
        <w:t>30º</w:t>
      </w:r>
      <w:r>
        <w:rPr>
          <w:rFonts w:hint="eastAsia"/>
        </w:rPr>
        <w:t>～</w:t>
      </w:r>
      <w:r>
        <w:t>70°</w:t>
      </w:r>
      <w:r>
        <w:rPr>
          <w:rFonts w:hint="eastAsia"/>
        </w:rPr>
        <w:t>之间，冲沟发育、水土流失</w:t>
      </w:r>
      <w:r>
        <w:rPr>
          <w:rFonts w:hint="eastAsia"/>
          <w:lang w:eastAsia="zh-CN"/>
        </w:rPr>
        <w:t>较为</w:t>
      </w:r>
      <w:r>
        <w:rPr>
          <w:rFonts w:hint="eastAsia"/>
        </w:rPr>
        <w:t>严重。组成岩性为花岗岩、变质岩、喷出岩、灰岩、石英砂岩等。</w:t>
      </w:r>
    </w:p>
    <w:p>
      <w:pPr>
        <w:widowControl/>
        <w:ind w:firstLine="480"/>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）侵蚀剥蚀岗地（</w:t>
      </w:r>
      <w:r>
        <w:rPr>
          <w:rFonts w:cs="Times New Roman"/>
          <w:color w:val="000000"/>
          <w:kern w:val="0"/>
          <w:lang w:bidi="ar"/>
        </w:rPr>
        <w:t>Ⅱ</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主要分布在宝丰县中西部，石龙区，鲁山县北部和东南部，叶县东南部，舞钢市西北部和东南部，在市区和郏县零星分布，面积约</w:t>
      </w:r>
      <w:r>
        <w:rPr>
          <w:rFonts w:cs="Times New Roman"/>
          <w:color w:val="000000"/>
          <w:kern w:val="0"/>
          <w:lang w:bidi="ar"/>
        </w:rPr>
        <w:t>1643km</w:t>
      </w:r>
      <w:r>
        <w:rPr>
          <w:rFonts w:hint="eastAsia" w:cs="Times New Roman"/>
          <w:color w:val="000000"/>
          <w:kern w:val="0"/>
          <w:vertAlign w:val="superscript"/>
          <w:lang w:bidi="ar"/>
        </w:rPr>
        <w:t>2</w:t>
      </w:r>
      <w:r>
        <w:rPr>
          <w:rFonts w:hint="eastAsia" w:ascii="宋体" w:hAnsi="宋体" w:cs="宋体"/>
          <w:color w:val="000000"/>
          <w:kern w:val="0"/>
          <w:lang w:bidi="ar"/>
        </w:rPr>
        <w:t>，占全市总面积的</w:t>
      </w:r>
      <w:r>
        <w:rPr>
          <w:rFonts w:cs="Times New Roman"/>
          <w:color w:val="000000"/>
          <w:kern w:val="0"/>
          <w:lang w:bidi="ar"/>
        </w:rPr>
        <w:t>20.85%</w:t>
      </w:r>
      <w:r>
        <w:rPr>
          <w:rFonts w:hint="eastAsia" w:ascii="宋体" w:hAnsi="宋体" w:cs="宋体"/>
          <w:color w:val="000000"/>
          <w:kern w:val="0"/>
          <w:lang w:bidi="ar"/>
        </w:rPr>
        <w:t>。山坡坡度较小，一般小于</w:t>
      </w:r>
      <w:r>
        <w:rPr>
          <w:rFonts w:cs="Times New Roman"/>
          <w:color w:val="000000"/>
          <w:kern w:val="0"/>
          <w:lang w:bidi="ar"/>
        </w:rPr>
        <w:t>30°</w:t>
      </w:r>
      <w:r>
        <w:rPr>
          <w:rFonts w:hint="eastAsia" w:ascii="宋体" w:hAnsi="宋体" w:cs="宋体"/>
          <w:color w:val="000000"/>
          <w:kern w:val="0"/>
          <w:lang w:bidi="ar"/>
        </w:rPr>
        <w:t>；冲沟发育，切割深度一般在</w:t>
      </w:r>
      <w:r>
        <w:rPr>
          <w:rFonts w:cs="Times New Roman"/>
          <w:color w:val="000000"/>
          <w:kern w:val="0"/>
          <w:lang w:bidi="ar"/>
        </w:rPr>
        <w:t>10</w:t>
      </w:r>
      <w:r>
        <w:rPr>
          <w:rFonts w:hint="eastAsia" w:ascii="宋体" w:hAnsi="宋体" w:cs="宋体"/>
          <w:color w:val="000000"/>
          <w:kern w:val="0"/>
          <w:lang w:bidi="ar"/>
        </w:rPr>
        <w:t>～</w:t>
      </w:r>
      <w:r>
        <w:rPr>
          <w:rFonts w:cs="Times New Roman"/>
          <w:color w:val="000000"/>
          <w:kern w:val="0"/>
          <w:lang w:bidi="ar"/>
        </w:rPr>
        <w:t>20m</w:t>
      </w:r>
      <w:r>
        <w:rPr>
          <w:rFonts w:hint="eastAsia" w:ascii="宋体" w:hAnsi="宋体" w:cs="宋体"/>
          <w:color w:val="000000"/>
          <w:kern w:val="0"/>
          <w:lang w:bidi="ar"/>
        </w:rPr>
        <w:t>，局部达</w:t>
      </w:r>
      <w:r>
        <w:rPr>
          <w:rFonts w:cs="Times New Roman"/>
          <w:color w:val="000000"/>
          <w:kern w:val="0"/>
          <w:lang w:bidi="ar"/>
        </w:rPr>
        <w:t>30m</w:t>
      </w:r>
      <w:r>
        <w:rPr>
          <w:rFonts w:hint="eastAsia" w:ascii="宋体" w:hAnsi="宋体" w:cs="宋体"/>
          <w:color w:val="000000"/>
          <w:kern w:val="0"/>
          <w:lang w:bidi="ar"/>
        </w:rPr>
        <w:t>。组成岩性为变质岩、灰岩、少数喷出岩，以及砾石、亚粘土、亚砂土。</w:t>
      </w:r>
    </w:p>
    <w:p>
      <w:pPr>
        <w:widowControl/>
        <w:ind w:firstLine="480"/>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）平原（</w:t>
      </w:r>
      <w:r>
        <w:rPr>
          <w:rFonts w:cs="Times New Roman"/>
          <w:color w:val="000000"/>
          <w:kern w:val="0"/>
          <w:lang w:bidi="ar"/>
        </w:rPr>
        <w:t>Ⅲ</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①冲洪积倾斜平原（</w:t>
      </w:r>
      <w:r>
        <w:rPr>
          <w:rFonts w:cs="Times New Roman"/>
          <w:color w:val="000000"/>
          <w:kern w:val="0"/>
          <w:lang w:bidi="ar"/>
        </w:rPr>
        <w:t>Ⅲ1</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主要分布在汝州市中部、郏县西北部、宝丰县中部、鲁山县东南部、叶县南部、舞钢市中部的山前地带，面积约</w:t>
      </w:r>
      <w:r>
        <w:rPr>
          <w:rFonts w:cs="Times New Roman"/>
          <w:color w:val="000000"/>
          <w:kern w:val="0"/>
          <w:lang w:bidi="ar"/>
        </w:rPr>
        <w:t>1545km</w:t>
      </w:r>
      <w:r>
        <w:rPr>
          <w:rFonts w:hint="eastAsia" w:cs="Times New Roman"/>
          <w:color w:val="000000"/>
          <w:kern w:val="0"/>
          <w:vertAlign w:val="superscript"/>
          <w:lang w:bidi="ar"/>
        </w:rPr>
        <w:t>2</w:t>
      </w:r>
      <w:r>
        <w:rPr>
          <w:rFonts w:hint="eastAsia" w:ascii="宋体" w:hAnsi="宋体" w:cs="宋体"/>
          <w:color w:val="000000"/>
          <w:kern w:val="0"/>
          <w:lang w:bidi="ar"/>
        </w:rPr>
        <w:t>，占全市总面积的</w:t>
      </w:r>
      <w:r>
        <w:rPr>
          <w:rFonts w:cs="Times New Roman"/>
          <w:color w:val="000000"/>
          <w:kern w:val="0"/>
          <w:lang w:bidi="ar"/>
        </w:rPr>
        <w:t>19.60%</w:t>
      </w:r>
      <w:r>
        <w:rPr>
          <w:rFonts w:hint="eastAsia" w:ascii="宋体" w:hAnsi="宋体" w:cs="宋体"/>
          <w:color w:val="000000"/>
          <w:kern w:val="0"/>
          <w:lang w:bidi="ar"/>
        </w:rPr>
        <w:t>。以向南、向东倾斜为主，地势略有起伏，地面高程</w:t>
      </w:r>
      <w:r>
        <w:rPr>
          <w:rFonts w:cs="Times New Roman"/>
          <w:color w:val="000000"/>
          <w:kern w:val="0"/>
          <w:lang w:bidi="ar"/>
        </w:rPr>
        <w:t>100</w:t>
      </w:r>
      <w:r>
        <w:rPr>
          <w:rFonts w:hint="eastAsia" w:ascii="宋体" w:hAnsi="宋体" w:cs="宋体"/>
          <w:color w:val="000000"/>
          <w:kern w:val="0"/>
          <w:lang w:bidi="ar"/>
        </w:rPr>
        <w:t>～</w:t>
      </w:r>
      <w:r>
        <w:rPr>
          <w:rFonts w:cs="Times New Roman"/>
          <w:color w:val="000000"/>
          <w:kern w:val="0"/>
          <w:lang w:bidi="ar"/>
        </w:rPr>
        <w:t>200m</w:t>
      </w:r>
      <w:r>
        <w:rPr>
          <w:rFonts w:hint="eastAsia" w:ascii="宋体" w:hAnsi="宋体" w:cs="宋体"/>
          <w:color w:val="000000"/>
          <w:kern w:val="0"/>
          <w:lang w:bidi="ar"/>
        </w:rPr>
        <w:t>。组成岩性主要为棕红色、杂色粘土及泥砾，局部有冲洪积粘土和黄土覆盖。</w:t>
      </w:r>
    </w:p>
    <w:p>
      <w:pPr>
        <w:widowControl/>
        <w:ind w:firstLine="480"/>
      </w:pPr>
      <w:r>
        <w:rPr>
          <w:rFonts w:hint="eastAsia" w:ascii="宋体" w:hAnsi="宋体" w:cs="宋体"/>
          <w:color w:val="000000"/>
          <w:kern w:val="0"/>
          <w:lang w:bidi="ar"/>
        </w:rPr>
        <w:t>②冲积平缓平原和谷地（</w:t>
      </w:r>
      <w:r>
        <w:rPr>
          <w:rFonts w:cs="Times New Roman"/>
          <w:color w:val="000000"/>
          <w:kern w:val="0"/>
          <w:lang w:bidi="ar"/>
        </w:rPr>
        <w:t>Ⅲ2</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主要由北部的汝河冲积平原和南部的沙河、澧河冲积平原 组成，分布在汝州市中部、郏县南部，宝丰县东部、鲁山县东部、市区、叶县中东部、舞钢市东北部，面积约</w:t>
      </w:r>
      <w:r>
        <w:rPr>
          <w:rFonts w:cs="Times New Roman"/>
          <w:color w:val="000000"/>
          <w:kern w:val="0"/>
          <w:lang w:bidi="ar"/>
        </w:rPr>
        <w:t>2837km</w:t>
      </w:r>
      <w:r>
        <w:rPr>
          <w:rFonts w:hint="eastAsia" w:cs="Times New Roman"/>
          <w:color w:val="000000"/>
          <w:kern w:val="0"/>
          <w:vertAlign w:val="superscript"/>
          <w:lang w:bidi="ar"/>
        </w:rPr>
        <w:t>2</w:t>
      </w:r>
      <w:r>
        <w:rPr>
          <w:rFonts w:hint="eastAsia" w:ascii="宋体" w:hAnsi="宋体" w:cs="宋体"/>
          <w:color w:val="000000"/>
          <w:kern w:val="0"/>
          <w:lang w:bidi="ar"/>
        </w:rPr>
        <w:t>，占全市总面积的</w:t>
      </w:r>
      <w:r>
        <w:rPr>
          <w:rFonts w:cs="Times New Roman"/>
          <w:color w:val="000000"/>
          <w:kern w:val="0"/>
          <w:lang w:bidi="ar"/>
        </w:rPr>
        <w:t>35.99%</w:t>
      </w:r>
      <w:r>
        <w:rPr>
          <w:rFonts w:hint="eastAsia" w:ascii="宋体" w:hAnsi="宋体" w:cs="宋体"/>
          <w:color w:val="000000"/>
          <w:kern w:val="0"/>
          <w:lang w:bidi="ar"/>
        </w:rPr>
        <w:t>。地势较为平坦，微向东南倾斜，地面高程</w:t>
      </w:r>
      <w:r>
        <w:rPr>
          <w:rFonts w:cs="Times New Roman"/>
          <w:color w:val="000000"/>
          <w:kern w:val="0"/>
          <w:lang w:bidi="ar"/>
        </w:rPr>
        <w:t>50</w:t>
      </w:r>
      <w:r>
        <w:rPr>
          <w:rFonts w:hint="eastAsia" w:ascii="宋体" w:hAnsi="宋体" w:cs="宋体"/>
          <w:color w:val="000000"/>
          <w:kern w:val="0"/>
          <w:lang w:bidi="ar"/>
        </w:rPr>
        <w:t>～</w:t>
      </w:r>
      <w:r>
        <w:rPr>
          <w:rFonts w:cs="Times New Roman"/>
          <w:color w:val="000000"/>
          <w:kern w:val="0"/>
          <w:lang w:bidi="ar"/>
        </w:rPr>
        <w:t>120m</w:t>
      </w:r>
      <w:r>
        <w:rPr>
          <w:rFonts w:hint="eastAsia" w:ascii="宋体" w:hAnsi="宋体" w:cs="宋体"/>
          <w:color w:val="000000"/>
          <w:kern w:val="0"/>
          <w:lang w:bidi="ar"/>
        </w:rPr>
        <w:t>。组成岩性主要为棕黄色黄土状粉土、粉质粘土和砂、砂砾石等。</w:t>
      </w:r>
    </w:p>
    <w:p>
      <w:pPr>
        <w:widowControl/>
        <w:ind w:firstLine="480"/>
      </w:pPr>
      <w:r>
        <w:rPr>
          <w:rFonts w:hint="eastAsia" w:ascii="宋体" w:hAnsi="宋体" w:cs="宋体"/>
          <w:color w:val="000000"/>
          <w:kern w:val="0"/>
          <w:lang w:bidi="ar"/>
        </w:rPr>
        <w:t>③冲湖积低平缓平原（</w:t>
      </w:r>
      <w:r>
        <w:rPr>
          <w:rFonts w:cs="Times New Roman"/>
          <w:color w:val="000000"/>
          <w:kern w:val="0"/>
          <w:lang w:bidi="ar"/>
        </w:rPr>
        <w:t>Ⅲ</w:t>
      </w:r>
      <w:r>
        <w:rPr>
          <w:rFonts w:cs="Times New Roman"/>
          <w:color w:val="000000"/>
          <w:kern w:val="0"/>
          <w:sz w:val="16"/>
          <w:szCs w:val="16"/>
          <w:lang w:bidi="ar"/>
        </w:rPr>
        <w:t>3</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零星分布于宝丰县中部和叶县东北部，面积约</w:t>
      </w:r>
      <w:r>
        <w:rPr>
          <w:rFonts w:cs="Times New Roman"/>
          <w:color w:val="000000"/>
          <w:kern w:val="0"/>
          <w:lang w:bidi="ar"/>
        </w:rPr>
        <w:t>235km</w:t>
      </w:r>
      <w:r>
        <w:rPr>
          <w:rFonts w:hint="eastAsia" w:cs="Times New Roman"/>
          <w:color w:val="000000"/>
          <w:kern w:val="0"/>
          <w:vertAlign w:val="superscript"/>
          <w:lang w:bidi="ar"/>
        </w:rPr>
        <w:t>2</w:t>
      </w:r>
      <w:r>
        <w:rPr>
          <w:rFonts w:hint="eastAsia" w:ascii="宋体" w:hAnsi="宋体" w:cs="宋体"/>
          <w:color w:val="000000"/>
          <w:kern w:val="0"/>
          <w:lang w:bidi="ar"/>
        </w:rPr>
        <w:t>，占全市总面积的</w:t>
      </w:r>
      <w:r>
        <w:rPr>
          <w:rFonts w:cs="Times New Roman"/>
          <w:color w:val="000000"/>
          <w:kern w:val="0"/>
          <w:lang w:bidi="ar"/>
        </w:rPr>
        <w:t>2.98%</w:t>
      </w:r>
      <w:r>
        <w:rPr>
          <w:rFonts w:hint="eastAsia" w:ascii="宋体" w:hAnsi="宋体" w:cs="宋体"/>
          <w:color w:val="000000"/>
          <w:kern w:val="0"/>
          <w:lang w:bidi="ar"/>
        </w:rPr>
        <w:t>。地势略有起伏，地面高程</w:t>
      </w:r>
      <w:r>
        <w:rPr>
          <w:rFonts w:cs="Times New Roman"/>
          <w:color w:val="000000"/>
          <w:kern w:val="0"/>
          <w:lang w:bidi="ar"/>
        </w:rPr>
        <w:t>20</w:t>
      </w:r>
      <w:r>
        <w:rPr>
          <w:rFonts w:hint="eastAsia" w:ascii="宋体" w:hAnsi="宋体" w:cs="宋体"/>
          <w:color w:val="000000"/>
          <w:kern w:val="0"/>
          <w:lang w:bidi="ar"/>
        </w:rPr>
        <w:t>～</w:t>
      </w:r>
      <w:r>
        <w:rPr>
          <w:rFonts w:cs="Times New Roman"/>
          <w:color w:val="000000"/>
          <w:kern w:val="0"/>
          <w:lang w:bidi="ar"/>
        </w:rPr>
        <w:t>70m</w:t>
      </w:r>
      <w:r>
        <w:rPr>
          <w:rFonts w:hint="eastAsia" w:ascii="宋体" w:hAnsi="宋体" w:cs="宋体"/>
          <w:color w:val="000000"/>
          <w:kern w:val="0"/>
          <w:lang w:bidi="ar"/>
        </w:rPr>
        <w:t>。组成岩性主要为黄褐色母粒土、粉质粘土和砂、砂砾石等。</w:t>
      </w:r>
    </w:p>
    <w:p>
      <w:pPr>
        <w:widowControl/>
        <w:ind w:firstLine="482"/>
        <w:jc w:val="left"/>
        <w:rPr>
          <w:b/>
          <w:bCs/>
        </w:rPr>
      </w:pPr>
      <w:r>
        <w:rPr>
          <w:rFonts w:cs="Times New Roman"/>
          <w:b/>
          <w:bCs/>
          <w:color w:val="000000"/>
          <w:kern w:val="0"/>
          <w:lang w:bidi="ar"/>
        </w:rPr>
        <w:t>6.</w:t>
      </w:r>
      <w:r>
        <w:rPr>
          <w:rFonts w:hint="eastAsia" w:cs="Times New Roman"/>
          <w:b/>
          <w:bCs/>
          <w:color w:val="000000"/>
          <w:kern w:val="0"/>
          <w:lang w:bidi="ar"/>
        </w:rPr>
        <w:t>5.3.2</w:t>
      </w:r>
      <w:r>
        <w:rPr>
          <w:rFonts w:hint="eastAsia" w:ascii="宋体" w:hAnsi="宋体" w:cs="宋体"/>
          <w:b/>
          <w:bCs/>
          <w:color w:val="000000"/>
          <w:kern w:val="0"/>
          <w:lang w:bidi="ar"/>
        </w:rPr>
        <w:t>层岩性与构造</w:t>
      </w:r>
    </w:p>
    <w:p>
      <w:pPr>
        <w:widowControl/>
        <w:ind w:firstLine="480"/>
      </w:pPr>
      <w:r>
        <w:rPr>
          <w:rFonts w:hint="eastAsia" w:ascii="宋体" w:hAnsi="宋体" w:cs="宋体"/>
          <w:color w:val="000000"/>
          <w:kern w:val="0"/>
          <w:lang w:bidi="ar"/>
        </w:rPr>
        <w:t>（一）地层岩性</w:t>
      </w:r>
    </w:p>
    <w:p>
      <w:pPr>
        <w:widowControl/>
        <w:ind w:firstLine="480"/>
      </w:pPr>
      <w:r>
        <w:rPr>
          <w:rFonts w:hint="eastAsia" w:ascii="宋体" w:hAnsi="宋体" w:cs="宋体"/>
          <w:color w:val="000000"/>
          <w:kern w:val="0"/>
          <w:lang w:bidi="ar"/>
        </w:rPr>
        <w:t>在河南省地层区划中，评价区属华北地层区豫西</w:t>
      </w:r>
      <w:r>
        <w:rPr>
          <w:rFonts w:cs="Times New Roman"/>
          <w:color w:val="000000"/>
          <w:kern w:val="0"/>
          <w:lang w:bidi="ar"/>
        </w:rPr>
        <w:t>—</w:t>
      </w:r>
      <w:r>
        <w:rPr>
          <w:rFonts w:hint="eastAsia" w:ascii="宋体" w:hAnsi="宋体" w:cs="宋体"/>
          <w:color w:val="000000"/>
          <w:kern w:val="0"/>
          <w:lang w:bidi="ar"/>
        </w:rPr>
        <w:t>豫东南分区。评价区内的主要地层由老到新分述如下：</w:t>
      </w:r>
    </w:p>
    <w:p>
      <w:pPr>
        <w:widowControl/>
        <w:ind w:firstLine="480"/>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）上元古界震旦系（</w:t>
      </w:r>
      <w:r>
        <w:rPr>
          <w:rFonts w:cs="Times New Roman"/>
          <w:color w:val="000000"/>
          <w:kern w:val="0"/>
          <w:lang w:bidi="ar"/>
        </w:rPr>
        <w:t>Z</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分布于汝州市蟒川镇南部，宝丰县西部和南部，鲁山县瓦屋乡岳村北部、梁洼镇西部和下汤镇北部，平顶山矿区西南部，郏县北部地区，叶县常村，舞钢市柏庄寨、上曹和尹集一带。自下而上分为罗圈组、东坡组、黄连垛组和董家组。与下伏洛峪群崔庄组呈平行不整合接触。</w:t>
      </w:r>
    </w:p>
    <w:p>
      <w:pPr>
        <w:widowControl/>
        <w:ind w:firstLine="480"/>
      </w:pPr>
      <w:r>
        <w:rPr>
          <w:rFonts w:hint="eastAsia" w:ascii="宋体" w:hAnsi="宋体" w:cs="宋体"/>
          <w:color w:val="000000"/>
          <w:kern w:val="0"/>
          <w:lang w:bidi="ar"/>
        </w:rPr>
        <w:t>①罗圈组（</w:t>
      </w:r>
      <w:r>
        <w:rPr>
          <w:rFonts w:cs="Times New Roman"/>
          <w:color w:val="000000"/>
          <w:kern w:val="0"/>
          <w:lang w:bidi="ar"/>
        </w:rPr>
        <w:t>Zl</w:t>
      </w:r>
      <w:r>
        <w:rPr>
          <w:rFonts w:hint="eastAsia" w:ascii="宋体" w:hAnsi="宋体" w:cs="宋体"/>
          <w:color w:val="000000"/>
          <w:kern w:val="0"/>
          <w:lang w:bidi="ar"/>
        </w:rPr>
        <w:t>）：岩性为砖红</w:t>
      </w:r>
      <w:r>
        <w:rPr>
          <w:rFonts w:cs="Times New Roman"/>
          <w:color w:val="000000"/>
          <w:kern w:val="0"/>
          <w:lang w:bidi="ar"/>
        </w:rPr>
        <w:t>—</w:t>
      </w:r>
      <w:r>
        <w:rPr>
          <w:rFonts w:hint="eastAsia" w:ascii="宋体" w:hAnsi="宋体" w:cs="宋体"/>
          <w:color w:val="000000"/>
          <w:kern w:val="0"/>
          <w:lang w:bidi="ar"/>
        </w:rPr>
        <w:t>灰绿色含砾砂泥岩、紫红色块状钙质泥砾岩等。属冰川成因。厚</w:t>
      </w:r>
      <w:r>
        <w:rPr>
          <w:rFonts w:cs="Times New Roman"/>
          <w:color w:val="000000"/>
          <w:kern w:val="0"/>
          <w:lang w:bidi="ar"/>
        </w:rPr>
        <w:t>91</w:t>
      </w:r>
      <w:r>
        <w:rPr>
          <w:rFonts w:hint="eastAsia" w:ascii="宋体" w:hAnsi="宋体" w:cs="宋体"/>
          <w:color w:val="000000"/>
          <w:kern w:val="0"/>
          <w:lang w:bidi="ar"/>
        </w:rPr>
        <w:t>～</w:t>
      </w:r>
      <w:r>
        <w:rPr>
          <w:rFonts w:cs="Times New Roman"/>
          <w:color w:val="000000"/>
          <w:kern w:val="0"/>
          <w:lang w:bidi="ar"/>
        </w:rPr>
        <w:t>202m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②东坡组（</w:t>
      </w:r>
      <w:r>
        <w:rPr>
          <w:rFonts w:cs="Times New Roman"/>
          <w:color w:val="000000"/>
          <w:kern w:val="0"/>
          <w:lang w:bidi="ar"/>
        </w:rPr>
        <w:t>Zd</w:t>
      </w:r>
      <w:r>
        <w:rPr>
          <w:rFonts w:hint="eastAsia" w:ascii="宋体" w:hAnsi="宋体" w:cs="宋体"/>
          <w:color w:val="000000"/>
          <w:kern w:val="0"/>
          <w:lang w:bidi="ar"/>
        </w:rPr>
        <w:t>）：岩性主要为红褐粉砂质页岩、灰绿色页岩，上部夹海绿石粉砂岩。属浅海沉积。厚约</w:t>
      </w:r>
      <w:r>
        <w:rPr>
          <w:rFonts w:cs="Times New Roman"/>
          <w:color w:val="000000"/>
          <w:kern w:val="0"/>
          <w:lang w:bidi="ar"/>
        </w:rPr>
        <w:t>94m</w:t>
      </w:r>
      <w:r>
        <w:rPr>
          <w:rFonts w:hint="eastAsia" w:ascii="宋体" w:hAnsi="宋体" w:cs="宋体"/>
          <w:color w:val="000000"/>
          <w:kern w:val="0"/>
          <w:lang w:bidi="ar"/>
        </w:rPr>
        <w:t>。该组是伊利石矿的含矿层位。</w:t>
      </w:r>
    </w:p>
    <w:p>
      <w:pPr>
        <w:widowControl/>
        <w:ind w:firstLine="480"/>
      </w:pPr>
      <w:r>
        <w:rPr>
          <w:rFonts w:hint="eastAsia" w:ascii="宋体" w:hAnsi="宋体" w:cs="宋体"/>
          <w:color w:val="000000"/>
          <w:kern w:val="0"/>
          <w:lang w:bidi="ar"/>
        </w:rPr>
        <w:t>③黄连垛组（</w:t>
      </w:r>
      <w:r>
        <w:rPr>
          <w:rFonts w:cs="Times New Roman"/>
          <w:color w:val="000000"/>
          <w:kern w:val="0"/>
          <w:lang w:bidi="ar"/>
        </w:rPr>
        <w:t>Zh</w:t>
      </w:r>
      <w:r>
        <w:rPr>
          <w:rFonts w:hint="eastAsia" w:ascii="宋体" w:hAnsi="宋体" w:cs="宋体"/>
          <w:color w:val="000000"/>
          <w:kern w:val="0"/>
          <w:lang w:bidi="ar"/>
        </w:rPr>
        <w:t>）：岩性主要为硅质条带白云岩、白云岩，夹砂砾岩及石英砂岩，底为砾岩，顶为燧石岩。厚</w:t>
      </w:r>
      <w:r>
        <w:rPr>
          <w:rFonts w:cs="Times New Roman"/>
          <w:color w:val="000000"/>
          <w:kern w:val="0"/>
          <w:lang w:bidi="ar"/>
        </w:rPr>
        <w:t>133</w:t>
      </w:r>
      <w:r>
        <w:rPr>
          <w:rFonts w:hint="eastAsia" w:ascii="宋体" w:hAnsi="宋体" w:cs="宋体"/>
          <w:color w:val="000000"/>
          <w:kern w:val="0"/>
          <w:lang w:bidi="ar"/>
        </w:rPr>
        <w:t>～</w:t>
      </w:r>
      <w:r>
        <w:rPr>
          <w:rFonts w:cs="Times New Roman"/>
          <w:color w:val="000000"/>
          <w:kern w:val="0"/>
          <w:lang w:bidi="ar"/>
        </w:rPr>
        <w:t>445m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④董家组（</w:t>
      </w:r>
      <w:r>
        <w:rPr>
          <w:rFonts w:cs="Times New Roman"/>
          <w:color w:val="000000"/>
          <w:kern w:val="0"/>
          <w:lang w:bidi="ar"/>
        </w:rPr>
        <w:t>Zdj</w:t>
      </w:r>
      <w:r>
        <w:rPr>
          <w:rFonts w:hint="eastAsia" w:ascii="宋体" w:hAnsi="宋体" w:cs="宋体"/>
          <w:color w:val="000000"/>
          <w:kern w:val="0"/>
          <w:lang w:bidi="ar"/>
        </w:rPr>
        <w:t>）：以灰白色厚层</w:t>
      </w:r>
      <w:r>
        <w:rPr>
          <w:rFonts w:cs="Times New Roman"/>
          <w:color w:val="000000"/>
          <w:kern w:val="0"/>
          <w:lang w:bidi="ar"/>
        </w:rPr>
        <w:t>—</w:t>
      </w:r>
      <w:r>
        <w:rPr>
          <w:rFonts w:hint="eastAsia" w:ascii="宋体" w:hAnsi="宋体" w:cs="宋体"/>
          <w:color w:val="000000"/>
          <w:kern w:val="0"/>
          <w:lang w:bidi="ar"/>
        </w:rPr>
        <w:t>中厚层砂砾岩与下伏黄连垛组呈假整合接触。上部以黄色、淡红色厚层状泥质白云质灰岩与上覆罗圈组假整合接触。岩性主要由砂砾岩、碎屑岩、泥质碳酸盐岩组成。厚</w:t>
      </w:r>
      <w:r>
        <w:rPr>
          <w:rFonts w:cs="Times New Roman"/>
          <w:color w:val="000000"/>
          <w:kern w:val="0"/>
          <w:lang w:bidi="ar"/>
        </w:rPr>
        <w:t>100</w:t>
      </w:r>
      <w:r>
        <w:rPr>
          <w:rFonts w:hint="eastAsia" w:ascii="宋体" w:hAnsi="宋体" w:cs="宋体"/>
          <w:color w:val="000000"/>
          <w:kern w:val="0"/>
          <w:lang w:bidi="ar"/>
        </w:rPr>
        <w:t>～</w:t>
      </w:r>
      <w:r>
        <w:rPr>
          <w:rFonts w:cs="Times New Roman"/>
          <w:color w:val="000000"/>
          <w:kern w:val="0"/>
          <w:lang w:bidi="ar"/>
        </w:rPr>
        <w:t>260m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）下古生界寒武系（∈）</w:t>
      </w:r>
    </w:p>
    <w:p>
      <w:pPr>
        <w:widowControl/>
        <w:ind w:firstLine="480"/>
      </w:pPr>
      <w:r>
        <w:rPr>
          <w:rFonts w:hint="eastAsia" w:ascii="宋体" w:hAnsi="宋体" w:cs="宋体"/>
          <w:color w:val="000000"/>
          <w:kern w:val="0"/>
          <w:lang w:bidi="ar"/>
        </w:rPr>
        <w:t>广泛出露于汝州市北部和西南部，宝丰县南部，鲁山县梁洼镇段店、瓦屋乡岳村北部、下汤镇北部，郏县北部，石龙区，叶县保安东部一带。舞钢市柏庄寨、尹集有零星出露。平行不整合于震旦系东坡组之上。自下而上分为下统辛集组、朱砂硐组、馒头组，中统毛庄组、徐庄组和张夏组，上统崮山组和长山组，各组之间为整合接触。</w:t>
      </w:r>
    </w:p>
    <w:p>
      <w:pPr>
        <w:widowControl/>
        <w:ind w:firstLine="480"/>
      </w:pPr>
      <w:r>
        <w:rPr>
          <w:rFonts w:hint="eastAsia" w:ascii="宋体" w:hAnsi="宋体" w:cs="宋体"/>
          <w:color w:val="000000"/>
          <w:kern w:val="0"/>
          <w:lang w:bidi="ar"/>
        </w:rPr>
        <w:t>①辛集组（∈</w:t>
      </w:r>
      <w:r>
        <w:rPr>
          <w:rFonts w:cs="Times New Roman"/>
          <w:color w:val="000000"/>
          <w:kern w:val="0"/>
          <w:lang w:bidi="ar"/>
        </w:rPr>
        <w:t>1x</w:t>
      </w:r>
      <w:r>
        <w:rPr>
          <w:rFonts w:hint="eastAsia" w:ascii="宋体" w:hAnsi="宋体" w:cs="宋体"/>
          <w:color w:val="000000"/>
          <w:kern w:val="0"/>
          <w:lang w:bidi="ar"/>
        </w:rPr>
        <w:t>）：下部为含磷砂砾岩夹含海绿石砂岩，中部为生物碎屑灰岩夹含海绿石砂岩，上部为含鲕粒粉晶灰岩。厚</w:t>
      </w:r>
      <w:r>
        <w:rPr>
          <w:rFonts w:cs="Times New Roman"/>
          <w:color w:val="000000"/>
          <w:kern w:val="0"/>
          <w:lang w:bidi="ar"/>
        </w:rPr>
        <w:t>15</w:t>
      </w:r>
      <w:r>
        <w:rPr>
          <w:rFonts w:hint="eastAsia" w:ascii="宋体" w:hAnsi="宋体" w:cs="宋体"/>
          <w:color w:val="000000"/>
          <w:kern w:val="0"/>
          <w:lang w:bidi="ar"/>
        </w:rPr>
        <w:t>～</w:t>
      </w:r>
      <w:r>
        <w:rPr>
          <w:rFonts w:cs="Times New Roman"/>
          <w:color w:val="000000"/>
          <w:kern w:val="0"/>
          <w:lang w:bidi="ar"/>
        </w:rPr>
        <w:t>86m</w:t>
      </w:r>
      <w:r>
        <w:rPr>
          <w:rFonts w:hint="eastAsia" w:ascii="宋体" w:hAnsi="宋体" w:cs="宋体"/>
          <w:color w:val="000000"/>
          <w:kern w:val="0"/>
          <w:lang w:bidi="ar"/>
        </w:rPr>
        <w:t>。该组是重要含磷层位。</w:t>
      </w:r>
    </w:p>
    <w:p>
      <w:pPr>
        <w:widowControl/>
        <w:ind w:firstLine="480"/>
      </w:pPr>
      <w:r>
        <w:rPr>
          <w:rFonts w:hint="eastAsia" w:ascii="宋体" w:hAnsi="宋体" w:cs="宋体"/>
          <w:color w:val="000000"/>
          <w:kern w:val="0"/>
          <w:lang w:bidi="ar"/>
        </w:rPr>
        <w:t>②朱砂硐组（∈</w:t>
      </w:r>
      <w:r>
        <w:rPr>
          <w:rFonts w:cs="Times New Roman"/>
          <w:color w:val="000000"/>
          <w:kern w:val="0"/>
          <w:lang w:bidi="ar"/>
        </w:rPr>
        <w:t>1z</w:t>
      </w:r>
      <w:r>
        <w:rPr>
          <w:rFonts w:hint="eastAsia" w:ascii="宋体" w:hAnsi="宋体" w:cs="宋体"/>
          <w:color w:val="000000"/>
          <w:kern w:val="0"/>
          <w:lang w:bidi="ar"/>
        </w:rPr>
        <w:t>）：主要为灰色厚层状白云质灰岩、含燧石白云质灰岩、豹皮状灰岩等。厚</w:t>
      </w:r>
      <w:r>
        <w:rPr>
          <w:rFonts w:cs="Times New Roman"/>
          <w:color w:val="000000"/>
          <w:kern w:val="0"/>
          <w:lang w:bidi="ar"/>
        </w:rPr>
        <w:t>42</w:t>
      </w:r>
      <w:r>
        <w:rPr>
          <w:rFonts w:hint="eastAsia" w:ascii="宋体" w:hAnsi="宋体" w:cs="宋体"/>
          <w:color w:val="000000"/>
          <w:kern w:val="0"/>
          <w:lang w:bidi="ar"/>
        </w:rPr>
        <w:t>～</w:t>
      </w:r>
      <w:r>
        <w:rPr>
          <w:rFonts w:cs="Times New Roman"/>
          <w:color w:val="000000"/>
          <w:kern w:val="0"/>
          <w:lang w:bidi="ar"/>
        </w:rPr>
        <w:t>101m</w:t>
      </w:r>
      <w:r>
        <w:rPr>
          <w:rFonts w:hint="eastAsia" w:ascii="宋体" w:hAnsi="宋体" w:cs="宋体"/>
          <w:color w:val="000000"/>
          <w:kern w:val="0"/>
          <w:lang w:bidi="ar"/>
        </w:rPr>
        <w:t>。区域上该组是重要的含石膏层位。</w:t>
      </w:r>
    </w:p>
    <w:p>
      <w:pPr>
        <w:widowControl/>
        <w:ind w:firstLine="480"/>
      </w:pPr>
      <w:r>
        <w:rPr>
          <w:rFonts w:hint="eastAsia" w:ascii="宋体" w:hAnsi="宋体" w:cs="宋体"/>
          <w:color w:val="000000"/>
          <w:kern w:val="0"/>
          <w:lang w:bidi="ar"/>
        </w:rPr>
        <w:t>③馒头组（∈</w:t>
      </w:r>
      <w:r>
        <w:rPr>
          <w:rFonts w:cs="Times New Roman"/>
          <w:color w:val="000000"/>
          <w:kern w:val="0"/>
          <w:lang w:bidi="ar"/>
        </w:rPr>
        <w:t>1m</w:t>
      </w:r>
      <w:r>
        <w:rPr>
          <w:rFonts w:hint="eastAsia" w:ascii="宋体" w:hAnsi="宋体" w:cs="宋体"/>
          <w:color w:val="000000"/>
          <w:kern w:val="0"/>
          <w:lang w:bidi="ar"/>
        </w:rPr>
        <w:t>）：下部为细砂屑石灰岩、含粉晶白云岩、白云质灰岩；中部为泥晶</w:t>
      </w:r>
      <w:r>
        <w:rPr>
          <w:rFonts w:cs="Times New Roman"/>
          <w:color w:val="000000"/>
          <w:kern w:val="0"/>
          <w:lang w:bidi="ar"/>
        </w:rPr>
        <w:t>—</w:t>
      </w:r>
      <w:r>
        <w:rPr>
          <w:rFonts w:hint="eastAsia" w:ascii="宋体" w:hAnsi="宋体" w:cs="宋体"/>
          <w:color w:val="000000"/>
          <w:kern w:val="0"/>
          <w:lang w:bidi="ar"/>
        </w:rPr>
        <w:t>细粉晶灰岩、白云岩，上部为泥质粉砂岩夹页岩等。厚</w:t>
      </w:r>
      <w:r>
        <w:rPr>
          <w:rFonts w:cs="Times New Roman"/>
          <w:color w:val="000000"/>
          <w:kern w:val="0"/>
          <w:lang w:bidi="ar"/>
        </w:rPr>
        <w:t>84</w:t>
      </w:r>
      <w:r>
        <w:rPr>
          <w:rFonts w:hint="eastAsia" w:ascii="宋体" w:hAnsi="宋体" w:cs="宋体"/>
          <w:color w:val="000000"/>
          <w:kern w:val="0"/>
          <w:lang w:bidi="ar"/>
        </w:rPr>
        <w:t>～</w:t>
      </w:r>
      <w:r>
        <w:rPr>
          <w:rFonts w:cs="Times New Roman"/>
          <w:color w:val="000000"/>
          <w:kern w:val="0"/>
          <w:lang w:bidi="ar"/>
        </w:rPr>
        <w:t>180m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④毛庄组（∈</w:t>
      </w:r>
      <w:r>
        <w:rPr>
          <w:rFonts w:cs="Times New Roman"/>
          <w:color w:val="000000"/>
          <w:kern w:val="0"/>
          <w:lang w:bidi="ar"/>
        </w:rPr>
        <w:t>2mz</w:t>
      </w:r>
      <w:r>
        <w:rPr>
          <w:rFonts w:hint="eastAsia" w:ascii="宋体" w:hAnsi="宋体" w:cs="宋体"/>
          <w:color w:val="000000"/>
          <w:kern w:val="0"/>
          <w:lang w:bidi="ar"/>
        </w:rPr>
        <w:t>）：主要为暗紫红色泥质粉砂岩、粉砂岩夹紫红色泥岩，藻屑灰岩、鲕粒灰岩和泥晶灰岩等。厚</w:t>
      </w:r>
      <w:r>
        <w:rPr>
          <w:rFonts w:cs="Times New Roman"/>
          <w:color w:val="000000"/>
          <w:kern w:val="0"/>
          <w:lang w:bidi="ar"/>
        </w:rPr>
        <w:t>65</w:t>
      </w:r>
      <w:r>
        <w:rPr>
          <w:rFonts w:hint="eastAsia" w:ascii="宋体" w:hAnsi="宋体" w:cs="宋体"/>
          <w:color w:val="000000"/>
          <w:kern w:val="0"/>
          <w:lang w:bidi="ar"/>
        </w:rPr>
        <w:t>～</w:t>
      </w:r>
      <w:r>
        <w:rPr>
          <w:rFonts w:cs="Times New Roman"/>
          <w:color w:val="000000"/>
          <w:kern w:val="0"/>
          <w:lang w:bidi="ar"/>
        </w:rPr>
        <w:t>138m</w:t>
      </w:r>
      <w:r>
        <w:rPr>
          <w:rFonts w:hint="eastAsia" w:ascii="宋体" w:hAnsi="宋体" w:cs="宋体"/>
          <w:color w:val="000000"/>
          <w:kern w:val="0"/>
          <w:lang w:bidi="ar"/>
        </w:rPr>
        <w:t>。该组是紫砂陶陶瓷土含矿层位置。</w:t>
      </w:r>
    </w:p>
    <w:p>
      <w:pPr>
        <w:widowControl/>
        <w:ind w:firstLine="480"/>
      </w:pPr>
      <w:r>
        <w:rPr>
          <w:rFonts w:hint="eastAsia" w:ascii="宋体" w:hAnsi="宋体" w:cs="宋体"/>
          <w:color w:val="000000"/>
          <w:kern w:val="0"/>
          <w:lang w:bidi="ar"/>
        </w:rPr>
        <w:t>⑤徐庄组（∈</w:t>
      </w:r>
      <w:r>
        <w:rPr>
          <w:rFonts w:cs="Times New Roman"/>
          <w:color w:val="000000"/>
          <w:kern w:val="0"/>
          <w:lang w:bidi="ar"/>
        </w:rPr>
        <w:t>2x</w:t>
      </w:r>
      <w:r>
        <w:rPr>
          <w:rFonts w:hint="eastAsia" w:ascii="宋体" w:hAnsi="宋体" w:cs="宋体"/>
          <w:color w:val="000000"/>
          <w:kern w:val="0"/>
          <w:lang w:bidi="ar"/>
        </w:rPr>
        <w:t>）：下部为泥质粉砂岩、粉砂质页岩夹薄层藻屑灰岩、泥晶灰岩。上部为中薄层鲕粒灰岩、砾屑灰岩、生物碎屑灰岩夹细砂岩、粉砂岩。厚</w:t>
      </w:r>
      <w:r>
        <w:rPr>
          <w:rFonts w:cs="Times New Roman"/>
          <w:color w:val="000000"/>
          <w:kern w:val="0"/>
          <w:lang w:bidi="ar"/>
        </w:rPr>
        <w:t>42</w:t>
      </w:r>
      <w:r>
        <w:rPr>
          <w:rFonts w:hint="eastAsia" w:ascii="宋体" w:hAnsi="宋体" w:cs="宋体"/>
          <w:color w:val="000000"/>
          <w:kern w:val="0"/>
          <w:lang w:bidi="ar"/>
        </w:rPr>
        <w:t>～</w:t>
      </w:r>
      <w:r>
        <w:rPr>
          <w:rFonts w:cs="Times New Roman"/>
          <w:color w:val="000000"/>
          <w:kern w:val="0"/>
          <w:lang w:bidi="ar"/>
        </w:rPr>
        <w:t>343m</w:t>
      </w:r>
      <w:r>
        <w:rPr>
          <w:rFonts w:hint="eastAsia" w:ascii="宋体" w:hAnsi="宋体" w:cs="宋体"/>
          <w:color w:val="000000"/>
          <w:kern w:val="0"/>
          <w:lang w:bidi="ar"/>
        </w:rPr>
        <w:t>。该组是水泥灰岩重要含矿层位。</w:t>
      </w:r>
    </w:p>
    <w:p>
      <w:pPr>
        <w:widowControl/>
        <w:ind w:firstLine="480"/>
      </w:pPr>
      <w:r>
        <w:rPr>
          <w:rFonts w:hint="eastAsia" w:ascii="宋体" w:hAnsi="宋体" w:cs="宋体"/>
          <w:color w:val="000000"/>
          <w:kern w:val="0"/>
          <w:lang w:bidi="ar"/>
        </w:rPr>
        <w:t>⑥张夏组（∈</w:t>
      </w:r>
      <w:r>
        <w:rPr>
          <w:rFonts w:cs="Times New Roman"/>
          <w:color w:val="000000"/>
          <w:kern w:val="0"/>
          <w:lang w:bidi="ar"/>
        </w:rPr>
        <w:t>2zh</w:t>
      </w:r>
      <w:r>
        <w:rPr>
          <w:rFonts w:hint="eastAsia" w:ascii="宋体" w:hAnsi="宋体" w:cs="宋体"/>
          <w:color w:val="000000"/>
          <w:kern w:val="0"/>
          <w:lang w:bidi="ar"/>
        </w:rPr>
        <w:t>）：下部以鲕粒灰岩为主，夹生物碎屑灰岩、泥晶灰岩等。上部为细晶白云岩、</w:t>
      </w:r>
      <w:r>
        <w:rPr>
          <w:rFonts w:hint="eastAsia" w:ascii="宋体" w:hAnsi="宋体" w:cs="宋体"/>
          <w:color w:val="000000"/>
          <w:kern w:val="0"/>
          <w:lang w:eastAsia="zh-CN" w:bidi="ar"/>
        </w:rPr>
        <w:t>泥沙</w:t>
      </w:r>
      <w:r>
        <w:rPr>
          <w:rFonts w:hint="eastAsia" w:ascii="宋体" w:hAnsi="宋体" w:cs="宋体"/>
          <w:color w:val="000000"/>
          <w:kern w:val="0"/>
          <w:lang w:bidi="ar"/>
        </w:rPr>
        <w:t>质白云岩及白云质灰岩等。厚</w:t>
      </w:r>
      <w:r>
        <w:rPr>
          <w:rFonts w:cs="Times New Roman"/>
          <w:color w:val="000000"/>
          <w:kern w:val="0"/>
          <w:lang w:bidi="ar"/>
        </w:rPr>
        <w:t>58</w:t>
      </w:r>
      <w:r>
        <w:rPr>
          <w:rFonts w:hint="eastAsia" w:ascii="宋体" w:hAnsi="宋体" w:cs="宋体"/>
          <w:color w:val="000000"/>
          <w:kern w:val="0"/>
          <w:lang w:bidi="ar"/>
        </w:rPr>
        <w:t>～</w:t>
      </w:r>
      <w:r>
        <w:rPr>
          <w:rFonts w:cs="Times New Roman"/>
          <w:color w:val="000000"/>
          <w:kern w:val="0"/>
          <w:lang w:bidi="ar"/>
        </w:rPr>
        <w:t>141m</w:t>
      </w:r>
      <w:r>
        <w:rPr>
          <w:rFonts w:hint="eastAsia" w:ascii="宋体" w:hAnsi="宋体" w:cs="宋体"/>
          <w:color w:val="000000"/>
          <w:kern w:val="0"/>
          <w:lang w:bidi="ar"/>
        </w:rPr>
        <w:t>。该组是水泥灰岩、白云岩的重要含矿层位。</w:t>
      </w:r>
    </w:p>
    <w:p>
      <w:pPr>
        <w:widowControl/>
        <w:ind w:firstLine="480"/>
      </w:pPr>
      <w:r>
        <w:rPr>
          <w:rFonts w:hint="eastAsia" w:ascii="宋体" w:hAnsi="宋体" w:cs="宋体"/>
          <w:color w:val="000000"/>
          <w:kern w:val="0"/>
          <w:lang w:bidi="ar"/>
        </w:rPr>
        <w:t>⑦崮山组（∈</w:t>
      </w:r>
      <w:r>
        <w:rPr>
          <w:rFonts w:cs="Times New Roman"/>
          <w:color w:val="000000"/>
          <w:kern w:val="0"/>
          <w:lang w:bidi="ar"/>
        </w:rPr>
        <w:t>3g</w:t>
      </w:r>
      <w:r>
        <w:rPr>
          <w:rFonts w:hint="eastAsia" w:ascii="宋体" w:hAnsi="宋体" w:cs="宋体"/>
          <w:color w:val="000000"/>
          <w:kern w:val="0"/>
          <w:lang w:bidi="ar"/>
        </w:rPr>
        <w:t>）：上部为黄色薄板状含泥质条带白云质灰岩，下部为深灰色、灰色厚层鲕状白云质灰岩。厚</w:t>
      </w:r>
      <w:r>
        <w:rPr>
          <w:rFonts w:cs="Times New Roman"/>
          <w:color w:val="000000"/>
          <w:kern w:val="0"/>
          <w:lang w:bidi="ar"/>
        </w:rPr>
        <w:t>4</w:t>
      </w:r>
      <w:r>
        <w:rPr>
          <w:rFonts w:hint="eastAsia" w:ascii="宋体" w:hAnsi="宋体" w:cs="宋体"/>
          <w:color w:val="000000"/>
          <w:kern w:val="0"/>
          <w:lang w:bidi="ar"/>
        </w:rPr>
        <w:t>～</w:t>
      </w:r>
      <w:r>
        <w:rPr>
          <w:rFonts w:cs="Times New Roman"/>
          <w:color w:val="000000"/>
          <w:kern w:val="0"/>
          <w:lang w:bidi="ar"/>
        </w:rPr>
        <w:t>189m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⑧长山组（∈</w:t>
      </w:r>
      <w:r>
        <w:rPr>
          <w:rFonts w:cs="Times New Roman"/>
          <w:color w:val="000000"/>
          <w:kern w:val="0"/>
          <w:lang w:bidi="ar"/>
        </w:rPr>
        <w:t>3c</w:t>
      </w:r>
      <w:r>
        <w:rPr>
          <w:rFonts w:hint="eastAsia" w:ascii="宋体" w:hAnsi="宋体" w:cs="宋体"/>
          <w:color w:val="000000"/>
          <w:kern w:val="0"/>
          <w:lang w:bidi="ar"/>
        </w:rPr>
        <w:t>）：上部为淡黄色泥质白云质灰岩，下部为灰色厚层状白云质灰岩。厚</w:t>
      </w:r>
      <w:r>
        <w:rPr>
          <w:rFonts w:cs="Times New Roman"/>
          <w:color w:val="000000"/>
          <w:kern w:val="0"/>
          <w:lang w:bidi="ar"/>
        </w:rPr>
        <w:t>52</w:t>
      </w:r>
      <w:r>
        <w:rPr>
          <w:rFonts w:hint="eastAsia" w:ascii="宋体" w:hAnsi="宋体" w:cs="宋体"/>
          <w:color w:val="000000"/>
          <w:kern w:val="0"/>
          <w:lang w:bidi="ar"/>
        </w:rPr>
        <w:t>～</w:t>
      </w:r>
      <w:r>
        <w:rPr>
          <w:rFonts w:cs="Times New Roman"/>
          <w:color w:val="000000"/>
          <w:kern w:val="0"/>
          <w:lang w:bidi="ar"/>
        </w:rPr>
        <w:t>120m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）上古生界</w:t>
      </w:r>
    </w:p>
    <w:p>
      <w:pPr>
        <w:widowControl/>
        <w:ind w:firstLine="480"/>
      </w:pPr>
      <w:r>
        <w:rPr>
          <w:rFonts w:cs="Times New Roman"/>
          <w:color w:val="000000"/>
          <w:kern w:val="0"/>
          <w:lang w:bidi="ar"/>
        </w:rPr>
        <w:t>1</w:t>
      </w:r>
      <w:r>
        <w:rPr>
          <w:rFonts w:hint="eastAsia" w:ascii="宋体" w:hAnsi="宋体" w:cs="宋体"/>
          <w:color w:val="000000"/>
          <w:kern w:val="0"/>
          <w:lang w:bidi="ar"/>
        </w:rPr>
        <w:t>）石炭系（</w:t>
      </w:r>
      <w:r>
        <w:rPr>
          <w:rFonts w:cs="Times New Roman"/>
          <w:color w:val="000000"/>
          <w:kern w:val="0"/>
          <w:lang w:bidi="ar"/>
        </w:rPr>
        <w:t>C</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分布于汝州市寄料镇和蟒川镇，宝丰县，郏县北部，市区仅零星出露。自下而上分为本溪组和太原组。</w:t>
      </w:r>
    </w:p>
    <w:p>
      <w:pPr>
        <w:widowControl/>
        <w:ind w:firstLine="480"/>
      </w:pPr>
      <w:r>
        <w:rPr>
          <w:rFonts w:hint="eastAsia" w:ascii="宋体" w:hAnsi="宋体" w:cs="宋体"/>
          <w:color w:val="000000"/>
          <w:kern w:val="0"/>
          <w:lang w:bidi="ar"/>
        </w:rPr>
        <w:t>①本溪组（</w:t>
      </w:r>
      <w:r>
        <w:rPr>
          <w:rFonts w:cs="Times New Roman"/>
          <w:color w:val="000000"/>
          <w:kern w:val="0"/>
          <w:lang w:bidi="ar"/>
        </w:rPr>
        <w:t>C2b</w:t>
      </w:r>
      <w:r>
        <w:rPr>
          <w:rFonts w:hint="eastAsia" w:ascii="宋体" w:hAnsi="宋体" w:cs="宋体"/>
          <w:color w:val="000000"/>
          <w:kern w:val="0"/>
          <w:lang w:bidi="ar"/>
        </w:rPr>
        <w:t>）：主要由铝土矿、铝土质页岩、赤铁矿、铁铝质粘土岩组成。厚</w:t>
      </w:r>
      <w:r>
        <w:rPr>
          <w:rFonts w:cs="Times New Roman"/>
          <w:color w:val="000000"/>
          <w:kern w:val="0"/>
          <w:lang w:bidi="ar"/>
        </w:rPr>
        <w:t>2</w:t>
      </w:r>
      <w:r>
        <w:rPr>
          <w:rFonts w:hint="eastAsia" w:ascii="宋体" w:hAnsi="宋体" w:cs="宋体"/>
          <w:color w:val="000000"/>
          <w:kern w:val="0"/>
          <w:lang w:bidi="ar"/>
        </w:rPr>
        <w:t>～</w:t>
      </w:r>
      <w:r>
        <w:rPr>
          <w:rFonts w:cs="Times New Roman"/>
          <w:color w:val="000000"/>
          <w:kern w:val="0"/>
          <w:lang w:bidi="ar"/>
        </w:rPr>
        <w:t>16m</w:t>
      </w:r>
      <w:r>
        <w:rPr>
          <w:rFonts w:hint="eastAsia" w:ascii="宋体" w:hAnsi="宋体" w:cs="宋体"/>
          <w:color w:val="000000"/>
          <w:kern w:val="0"/>
          <w:lang w:bidi="ar"/>
        </w:rPr>
        <w:t>。该组是铁矿、铝土矿、耐火粘土矿及陶瓷粘土的重要含矿层位。</w:t>
      </w:r>
    </w:p>
    <w:p>
      <w:pPr>
        <w:widowControl/>
        <w:ind w:firstLine="480"/>
      </w:pPr>
      <w:r>
        <w:rPr>
          <w:rFonts w:hint="eastAsia" w:ascii="宋体" w:hAnsi="宋体" w:cs="宋体"/>
          <w:color w:val="000000"/>
          <w:kern w:val="0"/>
          <w:lang w:bidi="ar"/>
        </w:rPr>
        <w:t>②太原组（</w:t>
      </w:r>
      <w:r>
        <w:rPr>
          <w:rFonts w:cs="Times New Roman"/>
          <w:color w:val="000000"/>
          <w:kern w:val="0"/>
          <w:lang w:bidi="ar"/>
        </w:rPr>
        <w:t>C3t</w:t>
      </w:r>
      <w:r>
        <w:rPr>
          <w:rFonts w:hint="eastAsia" w:ascii="宋体" w:hAnsi="宋体" w:cs="宋体"/>
          <w:color w:val="000000"/>
          <w:kern w:val="0"/>
          <w:lang w:bidi="ar"/>
        </w:rPr>
        <w:t>）：下部为灰岩夹薄层煤（线），中部为泥岩夹薄层粉砂岩，上部为燧石团块灰岩、灰岩夹灰色砂岩。厚</w:t>
      </w:r>
      <w:r>
        <w:rPr>
          <w:rFonts w:cs="Times New Roman"/>
          <w:color w:val="000000"/>
          <w:kern w:val="0"/>
          <w:lang w:bidi="ar"/>
        </w:rPr>
        <w:t>7.5</w:t>
      </w:r>
      <w:r>
        <w:rPr>
          <w:rFonts w:hint="eastAsia" w:ascii="宋体" w:hAnsi="宋体" w:cs="宋体"/>
          <w:color w:val="000000"/>
          <w:kern w:val="0"/>
          <w:lang w:bidi="ar"/>
        </w:rPr>
        <w:t>～</w:t>
      </w:r>
      <w:r>
        <w:rPr>
          <w:rFonts w:cs="Times New Roman"/>
          <w:color w:val="000000"/>
          <w:kern w:val="0"/>
          <w:lang w:bidi="ar"/>
        </w:rPr>
        <w:t>105m</w:t>
      </w:r>
      <w:r>
        <w:rPr>
          <w:rFonts w:hint="eastAsia" w:ascii="宋体" w:hAnsi="宋体" w:cs="宋体"/>
          <w:color w:val="000000"/>
          <w:kern w:val="0"/>
          <w:lang w:bidi="ar"/>
        </w:rPr>
        <w:t>。是煤、熔剂灰岩的重要含矿层。</w:t>
      </w:r>
    </w:p>
    <w:p>
      <w:pPr>
        <w:widowControl/>
        <w:ind w:firstLine="480"/>
      </w:pPr>
      <w:r>
        <w:rPr>
          <w:rFonts w:cs="Times New Roman"/>
          <w:color w:val="000000"/>
          <w:kern w:val="0"/>
          <w:lang w:bidi="ar"/>
        </w:rPr>
        <w:t>2</w:t>
      </w:r>
      <w:r>
        <w:rPr>
          <w:rFonts w:hint="eastAsia" w:ascii="宋体" w:hAnsi="宋体" w:cs="宋体"/>
          <w:color w:val="000000"/>
          <w:kern w:val="0"/>
          <w:lang w:bidi="ar"/>
        </w:rPr>
        <w:t>）二叠系（</w:t>
      </w:r>
      <w:r>
        <w:rPr>
          <w:rFonts w:cs="Times New Roman"/>
          <w:color w:val="000000"/>
          <w:kern w:val="0"/>
          <w:lang w:bidi="ar"/>
        </w:rPr>
        <w:t>P</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分布于汝州市小屯乡的朝川、临汝镇北部的暴雨山、寄料镇、焦古山周围，宝丰县，鲁山县梁洼镇，市区平顶山和韩梁矿区，郏县北部和东南部，是主要的含煤岩系。整合于石炭系太原组之上。自下而上分为山西组、石盒子组（</w:t>
      </w:r>
      <w:r>
        <w:rPr>
          <w:rFonts w:cs="Times New Roman"/>
          <w:color w:val="000000"/>
          <w:kern w:val="0"/>
          <w:lang w:bidi="ar"/>
        </w:rPr>
        <w:t>P1-2s</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①山西组（</w:t>
      </w:r>
      <w:r>
        <w:rPr>
          <w:rFonts w:cs="Times New Roman"/>
          <w:color w:val="000000"/>
          <w:kern w:val="0"/>
          <w:lang w:bidi="ar"/>
        </w:rPr>
        <w:t>P1s</w:t>
      </w:r>
      <w:r>
        <w:rPr>
          <w:rFonts w:hint="eastAsia" w:ascii="宋体" w:hAnsi="宋体" w:cs="宋体"/>
          <w:color w:val="000000"/>
          <w:kern w:val="0"/>
          <w:lang w:bidi="ar"/>
        </w:rPr>
        <w:t>）：岩性主要为灰白色中细粒长石石英砂岩、泥岩、深灰色细粒长石石英砂岩，夹二</w:t>
      </w:r>
      <w:r>
        <w:rPr>
          <w:rFonts w:cs="Times New Roman"/>
          <w:color w:val="000000"/>
          <w:kern w:val="0"/>
          <w:lang w:bidi="ar"/>
        </w:rPr>
        <w:t>1</w:t>
      </w:r>
      <w:r>
        <w:rPr>
          <w:rFonts w:hint="eastAsia" w:ascii="宋体" w:hAnsi="宋体" w:cs="宋体"/>
          <w:color w:val="000000"/>
          <w:kern w:val="0"/>
          <w:lang w:bidi="ar"/>
        </w:rPr>
        <w:t>煤，上部为灰色杂斑含铝土泥岩。厚约</w:t>
      </w:r>
      <w:r>
        <w:rPr>
          <w:rFonts w:cs="Times New Roman"/>
          <w:color w:val="000000"/>
          <w:kern w:val="0"/>
          <w:lang w:bidi="ar"/>
        </w:rPr>
        <w:t>87.5m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②石盒子组（</w:t>
      </w:r>
      <w:r>
        <w:rPr>
          <w:rFonts w:cs="Times New Roman"/>
          <w:color w:val="000000"/>
          <w:kern w:val="0"/>
          <w:lang w:bidi="ar"/>
        </w:rPr>
        <w:t>P2s</w:t>
      </w:r>
      <w:r>
        <w:rPr>
          <w:rFonts w:hint="eastAsia" w:ascii="宋体" w:hAnsi="宋体" w:cs="宋体"/>
          <w:color w:val="000000"/>
          <w:kern w:val="0"/>
          <w:lang w:bidi="ar"/>
        </w:rPr>
        <w:t>）：为一套黄绿、灰紫红色页岩、泥岩、粉砂岩、长石石英砂岩等组成的河湖相沉积组成，局部夹薄煤层。</w:t>
      </w:r>
    </w:p>
    <w:p>
      <w:pPr>
        <w:widowControl/>
        <w:ind w:firstLine="480"/>
      </w:pPr>
      <w:r>
        <w:rPr>
          <w:rFonts w:cs="Times New Roman"/>
          <w:color w:val="000000"/>
          <w:kern w:val="0"/>
          <w:lang w:bidi="ar"/>
        </w:rPr>
        <w:t>3</w:t>
      </w:r>
      <w:r>
        <w:rPr>
          <w:rFonts w:hint="eastAsia" w:ascii="宋体" w:hAnsi="宋体" w:cs="宋体"/>
          <w:color w:val="000000"/>
          <w:kern w:val="0"/>
          <w:lang w:bidi="ar"/>
        </w:rPr>
        <w:t>）二叠系</w:t>
      </w:r>
      <w:r>
        <w:rPr>
          <w:rFonts w:cs="Times New Roman"/>
          <w:color w:val="000000"/>
          <w:kern w:val="0"/>
          <w:lang w:bidi="ar"/>
        </w:rPr>
        <w:t>—</w:t>
      </w:r>
      <w:r>
        <w:rPr>
          <w:rFonts w:hint="eastAsia" w:ascii="宋体" w:hAnsi="宋体" w:cs="宋体"/>
          <w:color w:val="000000"/>
          <w:kern w:val="0"/>
          <w:lang w:bidi="ar"/>
        </w:rPr>
        <w:t>三叠系下统石千峰群（</w:t>
      </w:r>
      <w:r>
        <w:rPr>
          <w:rFonts w:cs="Times New Roman"/>
          <w:color w:val="000000"/>
          <w:kern w:val="0"/>
          <w:lang w:bidi="ar"/>
        </w:rPr>
        <w:t>P2sh</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分布于宝丰县，鲁山县梁洼镇，郏县北部、市区平顶山和韩梁矿区。自下而上划分为孙家沟组、刘家沟组、和尚沟组。</w:t>
      </w:r>
    </w:p>
    <w:p>
      <w:pPr>
        <w:widowControl/>
        <w:ind w:firstLine="480"/>
      </w:pPr>
      <w:r>
        <w:rPr>
          <w:rFonts w:hint="eastAsia" w:ascii="宋体" w:hAnsi="宋体" w:cs="宋体"/>
          <w:color w:val="000000"/>
          <w:kern w:val="0"/>
          <w:lang w:bidi="ar"/>
        </w:rPr>
        <w:t>①孙家沟组：由一套砖红、紫红色粘土岩夹紫红、灰绿色长石砂岩、长石石英砂岩及灰绿、灰白色页岩和泥灰岩透镜体等湖相沉积组成。局部含石膏。</w:t>
      </w:r>
    </w:p>
    <w:p>
      <w:pPr>
        <w:widowControl/>
        <w:ind w:firstLine="480"/>
      </w:pPr>
      <w:r>
        <w:rPr>
          <w:rFonts w:hint="eastAsia" w:ascii="宋体" w:hAnsi="宋体" w:cs="宋体"/>
          <w:color w:val="000000"/>
          <w:kern w:val="0"/>
          <w:lang w:bidi="ar"/>
        </w:rPr>
        <w:t>②刘家沟组：主要岩性为灰紫、紫红色细砂岩、长石砂岩、石英砂岩、钙质粉砂岩，夹砂质粘土岩。</w:t>
      </w:r>
    </w:p>
    <w:p>
      <w:pPr>
        <w:widowControl/>
        <w:ind w:firstLine="480"/>
      </w:pPr>
      <w:r>
        <w:rPr>
          <w:rFonts w:hint="eastAsia" w:ascii="宋体" w:hAnsi="宋体" w:cs="宋体"/>
          <w:color w:val="000000"/>
          <w:kern w:val="0"/>
          <w:lang w:bidi="ar"/>
        </w:rPr>
        <w:t>③和尚沟组：主要岩性为鲜红、暗紫红色钙质、砂质粘土岩、粉砂岩，夹暗紫、灰白色长石石英砂岩、含钙质结核。</w:t>
      </w:r>
    </w:p>
    <w:p>
      <w:pPr>
        <w:widowControl/>
        <w:ind w:firstLine="480"/>
      </w:pPr>
      <w:r>
        <w:rPr>
          <w:rFonts w:hint="eastAsia" w:ascii="宋体" w:hAnsi="宋体" w:cs="宋体"/>
          <w:color w:val="000000"/>
          <w:kern w:val="0"/>
          <w:lang w:bidi="ar"/>
        </w:rPr>
        <w:t>（</w:t>
      </w:r>
      <w:r>
        <w:rPr>
          <w:rFonts w:cs="Times New Roman"/>
          <w:color w:val="000000"/>
          <w:kern w:val="0"/>
          <w:lang w:bidi="ar"/>
        </w:rPr>
        <w:t>4</w:t>
      </w:r>
      <w:r>
        <w:rPr>
          <w:rFonts w:hint="eastAsia" w:ascii="宋体" w:hAnsi="宋体" w:cs="宋体"/>
          <w:color w:val="000000"/>
          <w:kern w:val="0"/>
          <w:lang w:bidi="ar"/>
        </w:rPr>
        <w:t>）中生界白垩系（</w:t>
      </w:r>
      <w:r>
        <w:rPr>
          <w:rFonts w:cs="Times New Roman"/>
          <w:color w:val="000000"/>
          <w:kern w:val="0"/>
          <w:lang w:bidi="ar"/>
        </w:rPr>
        <w:t>K</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分布于宝丰县大营镇、鲁山县梁洼镇一带。为一套河湖相火山喷发岩系，与下伏二叠系石千峰群呈角度不整合接触。下部为紫红、灰绿、深灰色泥质粉砂岩、粘土岩夹砾岩、泥灰岩；中、上部为玄武岩、安山玢岩、火山角砾岩夹紫红色母粒砂质粘土岩。厚</w:t>
      </w:r>
      <w:r>
        <w:rPr>
          <w:rFonts w:cs="Times New Roman"/>
          <w:color w:val="000000"/>
          <w:kern w:val="0"/>
          <w:lang w:bidi="ar"/>
        </w:rPr>
        <w:t>64</w:t>
      </w:r>
      <w:r>
        <w:rPr>
          <w:rFonts w:hint="eastAsia" w:ascii="宋体" w:hAnsi="宋体" w:cs="宋体"/>
          <w:color w:val="000000"/>
          <w:kern w:val="0"/>
          <w:lang w:bidi="ar"/>
        </w:rPr>
        <w:t>～</w:t>
      </w:r>
      <w:r>
        <w:rPr>
          <w:rFonts w:cs="Times New Roman"/>
          <w:color w:val="000000"/>
          <w:kern w:val="0"/>
          <w:lang w:bidi="ar"/>
        </w:rPr>
        <w:t>163m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w:t>
      </w:r>
      <w:r>
        <w:rPr>
          <w:rFonts w:cs="Times New Roman"/>
          <w:color w:val="000000"/>
          <w:kern w:val="0"/>
          <w:lang w:bidi="ar"/>
        </w:rPr>
        <w:t>5</w:t>
      </w:r>
      <w:r>
        <w:rPr>
          <w:rFonts w:hint="eastAsia" w:ascii="宋体" w:hAnsi="宋体" w:cs="宋体"/>
          <w:color w:val="000000"/>
          <w:kern w:val="0"/>
          <w:lang w:bidi="ar"/>
        </w:rPr>
        <w:t>）新生界</w:t>
      </w:r>
    </w:p>
    <w:p>
      <w:pPr>
        <w:widowControl/>
        <w:ind w:firstLine="480"/>
      </w:pPr>
      <w:r>
        <w:rPr>
          <w:rFonts w:cs="Times New Roman"/>
          <w:color w:val="000000"/>
          <w:kern w:val="0"/>
          <w:lang w:bidi="ar"/>
        </w:rPr>
        <w:t>1</w:t>
      </w:r>
      <w:r>
        <w:rPr>
          <w:rFonts w:hint="eastAsia" w:ascii="宋体" w:hAnsi="宋体" w:cs="宋体"/>
          <w:color w:val="000000"/>
          <w:kern w:val="0"/>
          <w:lang w:bidi="ar"/>
        </w:rPr>
        <w:t>）古近系（</w:t>
      </w:r>
      <w:r>
        <w:rPr>
          <w:rFonts w:cs="Times New Roman"/>
          <w:color w:val="000000"/>
          <w:kern w:val="0"/>
          <w:lang w:bidi="ar"/>
        </w:rPr>
        <w:t>E</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汝州市寄料镇东北部出露陈宅沟组，岩性为紫红色钙质、铁质、泥质砂砾岩夹</w:t>
      </w:r>
      <w:r>
        <w:rPr>
          <w:rFonts w:hint="eastAsia" w:ascii="宋体" w:hAnsi="宋体" w:cs="宋体"/>
          <w:color w:val="000000"/>
          <w:kern w:val="0"/>
          <w:lang w:eastAsia="zh-CN" w:bidi="ar"/>
        </w:rPr>
        <w:t>砂质</w:t>
      </w:r>
      <w:r>
        <w:rPr>
          <w:rFonts w:hint="eastAsia" w:ascii="宋体" w:hAnsi="宋体" w:cs="宋体"/>
          <w:color w:val="000000"/>
          <w:kern w:val="0"/>
          <w:lang w:bidi="ar"/>
        </w:rPr>
        <w:t>泥岩。厚约</w:t>
      </w:r>
      <w:r>
        <w:rPr>
          <w:rFonts w:cs="Times New Roman"/>
          <w:color w:val="000000"/>
          <w:kern w:val="0"/>
          <w:lang w:bidi="ar"/>
        </w:rPr>
        <w:t>410m</w:t>
      </w:r>
      <w:r>
        <w:rPr>
          <w:rFonts w:hint="eastAsia" w:ascii="宋体" w:hAnsi="宋体" w:cs="宋体"/>
          <w:color w:val="000000"/>
          <w:kern w:val="0"/>
          <w:lang w:bidi="ar"/>
        </w:rPr>
        <w:t xml:space="preserve">。汝州市寄料镇西北和蟒川镇、宝丰县和市区内仅零星出露始新统蟒川组，主要由红色砾岩、砂砾岩、含砾钙质砂岩夹泥质粉砂岩、泥灰岩等组成。厚 </w:t>
      </w:r>
      <w:r>
        <w:rPr>
          <w:rFonts w:cs="Times New Roman"/>
          <w:color w:val="000000"/>
          <w:kern w:val="0"/>
          <w:lang w:bidi="ar"/>
        </w:rPr>
        <w:t>50</w:t>
      </w:r>
      <w:r>
        <w:rPr>
          <w:rFonts w:hint="eastAsia" w:ascii="宋体" w:hAnsi="宋体" w:cs="宋体"/>
          <w:color w:val="000000"/>
          <w:kern w:val="0"/>
          <w:lang w:bidi="ar"/>
        </w:rPr>
        <w:t>～</w:t>
      </w:r>
      <w:r>
        <w:rPr>
          <w:rFonts w:cs="Times New Roman"/>
          <w:color w:val="000000"/>
          <w:kern w:val="0"/>
          <w:lang w:bidi="ar"/>
        </w:rPr>
        <w:t>640m</w:t>
      </w:r>
      <w:r>
        <w:rPr>
          <w:rFonts w:hint="eastAsia" w:ascii="宋体" w:hAnsi="宋体" w:cs="宋体"/>
          <w:color w:val="000000"/>
          <w:kern w:val="0"/>
          <w:lang w:bidi="ar"/>
        </w:rPr>
        <w:t>。汝州市杨楼乡南部的石台和寄料北部的高沟一带出露石台街组，岩性为红色砂质页岩与砂质泥岩互层夹红色钙质、铁质胶结物的砾岩。厚约</w:t>
      </w:r>
      <w:r>
        <w:rPr>
          <w:rFonts w:cs="Times New Roman"/>
          <w:color w:val="000000"/>
          <w:kern w:val="0"/>
          <w:lang w:bidi="ar"/>
        </w:rPr>
        <w:t>834m</w:t>
      </w:r>
      <w:r>
        <w:rPr>
          <w:rFonts w:hint="eastAsia" w:ascii="宋体" w:hAnsi="宋体" w:cs="宋体"/>
          <w:color w:val="000000"/>
          <w:kern w:val="0"/>
          <w:lang w:bidi="ar"/>
        </w:rPr>
        <w:t>。</w:t>
      </w:r>
    </w:p>
    <w:p>
      <w:pPr>
        <w:widowControl/>
        <w:ind w:firstLine="480"/>
      </w:pPr>
      <w:r>
        <w:rPr>
          <w:rFonts w:cs="Times New Roman"/>
          <w:color w:val="000000"/>
          <w:kern w:val="0"/>
          <w:lang w:bidi="ar"/>
        </w:rPr>
        <w:t>2</w:t>
      </w:r>
      <w:r>
        <w:rPr>
          <w:rFonts w:hint="eastAsia" w:ascii="宋体" w:hAnsi="宋体" w:cs="宋体"/>
          <w:color w:val="000000"/>
          <w:kern w:val="0"/>
          <w:lang w:bidi="ar"/>
        </w:rPr>
        <w:t>）新近系（</w:t>
      </w:r>
      <w:r>
        <w:rPr>
          <w:rFonts w:cs="Times New Roman"/>
          <w:color w:val="000000"/>
          <w:kern w:val="0"/>
          <w:lang w:bidi="ar"/>
        </w:rPr>
        <w:t>N</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汝州市临汝镇西部、庙下乡东部及寄料镇北部，宝丰县，鲁山县董周、张飞沟一带，市区、郏县北部北竹园沟出露中新统洛阳组（</w:t>
      </w:r>
      <w:r>
        <w:rPr>
          <w:rFonts w:cs="Times New Roman"/>
          <w:color w:val="000000"/>
          <w:kern w:val="0"/>
          <w:lang w:bidi="ar"/>
        </w:rPr>
        <w:t>N1ly</w:t>
      </w:r>
      <w:r>
        <w:rPr>
          <w:rFonts w:hint="eastAsia" w:ascii="宋体" w:hAnsi="宋体" w:cs="宋体"/>
          <w:color w:val="000000"/>
          <w:kern w:val="0"/>
          <w:lang w:bidi="ar"/>
        </w:rPr>
        <w:t>）、大安组（</w:t>
      </w:r>
      <w:r>
        <w:rPr>
          <w:rFonts w:cs="Times New Roman"/>
          <w:color w:val="000000"/>
          <w:kern w:val="0"/>
          <w:lang w:bidi="ar"/>
        </w:rPr>
        <w:t>N1da</w:t>
      </w:r>
      <w:r>
        <w:rPr>
          <w:rFonts w:hint="eastAsia" w:ascii="宋体" w:hAnsi="宋体" w:cs="宋体"/>
          <w:color w:val="000000"/>
          <w:kern w:val="0"/>
          <w:lang w:bidi="ar"/>
        </w:rPr>
        <w:t>）和上新统潞王坟组（</w:t>
      </w:r>
      <w:r>
        <w:rPr>
          <w:rFonts w:cs="Times New Roman"/>
          <w:color w:val="000000"/>
          <w:kern w:val="0"/>
          <w:lang w:bidi="ar"/>
        </w:rPr>
        <w:t>N2lw</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①洛阳组（</w:t>
      </w:r>
      <w:r>
        <w:rPr>
          <w:rFonts w:cs="Times New Roman"/>
          <w:color w:val="000000"/>
          <w:kern w:val="0"/>
          <w:lang w:bidi="ar"/>
        </w:rPr>
        <w:t>N1ly</w:t>
      </w:r>
      <w:r>
        <w:rPr>
          <w:rFonts w:hint="eastAsia" w:ascii="宋体" w:hAnsi="宋体" w:cs="宋体"/>
          <w:color w:val="000000"/>
          <w:kern w:val="0"/>
          <w:lang w:bidi="ar"/>
        </w:rPr>
        <w:t>）：岩性变化较大，下部主要为杂色钙质或</w:t>
      </w:r>
      <w:r>
        <w:rPr>
          <w:rFonts w:hint="eastAsia" w:ascii="宋体" w:hAnsi="宋体" w:cs="宋体"/>
          <w:color w:val="000000"/>
          <w:kern w:val="0"/>
          <w:lang w:eastAsia="zh-CN" w:bidi="ar"/>
        </w:rPr>
        <w:t>泥沙</w:t>
      </w:r>
      <w:r>
        <w:rPr>
          <w:rFonts w:hint="eastAsia" w:ascii="宋体" w:hAnsi="宋体" w:cs="宋体"/>
          <w:color w:val="000000"/>
          <w:kern w:val="0"/>
          <w:lang w:bidi="ar"/>
        </w:rPr>
        <w:t>质胶结砾岩；中部为褐黄、褐红色砂质泥岩与砂、粉砂质泥岩互层；上部褐黄色、灰白色砂质泥灰岩与砂质泥灰岩互层夹砂砾岩。厚</w:t>
      </w:r>
      <w:r>
        <w:rPr>
          <w:rFonts w:cs="Times New Roman"/>
          <w:color w:val="000000"/>
          <w:kern w:val="0"/>
          <w:lang w:bidi="ar"/>
        </w:rPr>
        <w:t>24</w:t>
      </w:r>
      <w:r>
        <w:rPr>
          <w:rFonts w:hint="eastAsia" w:ascii="宋体" w:hAnsi="宋体" w:cs="宋体"/>
          <w:color w:val="000000"/>
          <w:kern w:val="0"/>
          <w:lang w:bidi="ar"/>
        </w:rPr>
        <w:t>～</w:t>
      </w:r>
      <w:r>
        <w:rPr>
          <w:rFonts w:cs="Times New Roman"/>
          <w:color w:val="000000"/>
          <w:kern w:val="0"/>
          <w:lang w:bidi="ar"/>
        </w:rPr>
        <w:t>42m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②大安组（</w:t>
      </w:r>
      <w:r>
        <w:rPr>
          <w:rFonts w:cs="Times New Roman"/>
          <w:color w:val="000000"/>
          <w:kern w:val="0"/>
          <w:lang w:bidi="ar"/>
        </w:rPr>
        <w:t>N1da</w:t>
      </w:r>
      <w:r>
        <w:rPr>
          <w:rFonts w:hint="eastAsia" w:ascii="宋体" w:hAnsi="宋体" w:cs="宋体"/>
          <w:color w:val="000000"/>
          <w:kern w:val="0"/>
          <w:lang w:bidi="ar"/>
        </w:rPr>
        <w:t>）：岩性主要为橄榄玄武岩、辉石橄榄玄武岩、橄榄玻璃玄武岩。厚</w:t>
      </w:r>
      <w:r>
        <w:rPr>
          <w:rFonts w:cs="Times New Roman"/>
          <w:color w:val="000000"/>
          <w:kern w:val="0"/>
          <w:lang w:bidi="ar"/>
        </w:rPr>
        <w:t>4</w:t>
      </w:r>
      <w:r>
        <w:rPr>
          <w:rFonts w:hint="eastAsia" w:ascii="宋体" w:hAnsi="宋体" w:cs="宋体"/>
          <w:color w:val="000000"/>
          <w:kern w:val="0"/>
          <w:lang w:bidi="ar"/>
        </w:rPr>
        <w:t>～</w:t>
      </w:r>
      <w:r>
        <w:rPr>
          <w:rFonts w:cs="Times New Roman"/>
          <w:color w:val="000000"/>
          <w:kern w:val="0"/>
          <w:lang w:bidi="ar"/>
        </w:rPr>
        <w:t>118m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③潞王坟组（</w:t>
      </w:r>
      <w:r>
        <w:rPr>
          <w:rFonts w:cs="Times New Roman"/>
          <w:color w:val="000000"/>
          <w:kern w:val="0"/>
          <w:lang w:bidi="ar"/>
        </w:rPr>
        <w:t>N2lw</w:t>
      </w:r>
      <w:r>
        <w:rPr>
          <w:rFonts w:hint="eastAsia" w:ascii="宋体" w:hAnsi="宋体" w:cs="宋体"/>
          <w:color w:val="000000"/>
          <w:kern w:val="0"/>
          <w:lang w:bidi="ar"/>
        </w:rPr>
        <w:t>）：岩性主要为灰白色泥晶灰岩、粘土岩等。厚约</w:t>
      </w:r>
      <w:r>
        <w:rPr>
          <w:rFonts w:cs="Times New Roman"/>
          <w:color w:val="000000"/>
          <w:kern w:val="0"/>
          <w:lang w:bidi="ar"/>
        </w:rPr>
        <w:t>35m</w:t>
      </w:r>
      <w:r>
        <w:rPr>
          <w:rFonts w:hint="eastAsia" w:ascii="宋体" w:hAnsi="宋体" w:cs="宋体"/>
          <w:color w:val="000000"/>
          <w:kern w:val="0"/>
          <w:lang w:bidi="ar"/>
        </w:rPr>
        <w:t>。</w:t>
      </w:r>
    </w:p>
    <w:p>
      <w:pPr>
        <w:widowControl/>
        <w:ind w:firstLine="480"/>
      </w:pPr>
      <w:r>
        <w:rPr>
          <w:rFonts w:cs="Times New Roman"/>
          <w:color w:val="000000"/>
          <w:kern w:val="0"/>
          <w:lang w:bidi="ar"/>
        </w:rPr>
        <w:t>3</w:t>
      </w:r>
      <w:r>
        <w:rPr>
          <w:rFonts w:hint="eastAsia" w:ascii="宋体" w:hAnsi="宋体" w:cs="宋体"/>
          <w:color w:val="000000"/>
          <w:kern w:val="0"/>
          <w:lang w:bidi="ar"/>
        </w:rPr>
        <w:t>）第四系（</w:t>
      </w:r>
      <w:r>
        <w:rPr>
          <w:rFonts w:cs="Times New Roman"/>
          <w:color w:val="000000"/>
          <w:kern w:val="0"/>
          <w:lang w:bidi="ar"/>
        </w:rPr>
        <w:t>Q</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工作区内第四系十分发育，广泛分布于平原、山间盆地和山前岗丘地带，成因类型复杂，出露厚度</w:t>
      </w:r>
      <w:r>
        <w:rPr>
          <w:rFonts w:cs="Times New Roman"/>
          <w:color w:val="000000"/>
          <w:kern w:val="0"/>
          <w:lang w:bidi="ar"/>
        </w:rPr>
        <w:t>0</w:t>
      </w:r>
      <w:r>
        <w:rPr>
          <w:rFonts w:hint="eastAsia" w:ascii="宋体" w:hAnsi="宋体" w:cs="宋体"/>
          <w:color w:val="000000"/>
          <w:kern w:val="0"/>
          <w:lang w:bidi="ar"/>
        </w:rPr>
        <w:t>～</w:t>
      </w:r>
      <w:r>
        <w:rPr>
          <w:rFonts w:cs="Times New Roman"/>
          <w:color w:val="000000"/>
          <w:kern w:val="0"/>
          <w:lang w:bidi="ar"/>
        </w:rPr>
        <w:t>20m</w:t>
      </w:r>
      <w:r>
        <w:rPr>
          <w:rFonts w:hint="eastAsia" w:ascii="宋体" w:hAnsi="宋体" w:cs="宋体"/>
          <w:color w:val="000000"/>
          <w:kern w:val="0"/>
          <w:lang w:bidi="ar"/>
        </w:rPr>
        <w:t>，钻孔揭露厚度多在</w:t>
      </w:r>
      <w:r>
        <w:rPr>
          <w:rFonts w:cs="Times New Roman"/>
          <w:color w:val="000000"/>
          <w:kern w:val="0"/>
          <w:lang w:bidi="ar"/>
        </w:rPr>
        <w:t>100</w:t>
      </w:r>
      <w:r>
        <w:rPr>
          <w:rFonts w:hint="eastAsia" w:ascii="宋体" w:hAnsi="宋体" w:cs="宋体"/>
          <w:color w:val="000000"/>
          <w:kern w:val="0"/>
          <w:lang w:bidi="ar"/>
        </w:rPr>
        <w:t>～</w:t>
      </w:r>
      <w:r>
        <w:rPr>
          <w:rFonts w:cs="Times New Roman"/>
          <w:color w:val="000000"/>
          <w:kern w:val="0"/>
          <w:lang w:bidi="ar"/>
        </w:rPr>
        <w:t>200m</w:t>
      </w:r>
      <w:r>
        <w:rPr>
          <w:rFonts w:hint="eastAsia" w:ascii="宋体" w:hAnsi="宋体" w:cs="宋体"/>
          <w:color w:val="000000"/>
          <w:kern w:val="0"/>
          <w:lang w:bidi="ar"/>
        </w:rPr>
        <w:t>之间，与下伏新近系及其以前的老地层皆为角度不整合接触。根据岩性特征、古生物资料、接触关系、同位素年龄等，将区内第四系按其相对时代及成因类型自下而上划分为下更新统、中更新统、上更新统和全新统。</w:t>
      </w:r>
    </w:p>
    <w:p>
      <w:pPr>
        <w:widowControl/>
        <w:ind w:firstLine="480"/>
      </w:pPr>
      <w:r>
        <w:rPr>
          <w:rFonts w:hint="eastAsia" w:ascii="宋体" w:hAnsi="宋体" w:cs="宋体"/>
          <w:color w:val="000000"/>
          <w:kern w:val="0"/>
          <w:lang w:bidi="ar"/>
        </w:rPr>
        <w:t>①下更新统（</w:t>
      </w:r>
      <w:r>
        <w:rPr>
          <w:rFonts w:cs="Times New Roman"/>
          <w:color w:val="000000"/>
          <w:kern w:val="0"/>
          <w:lang w:bidi="ar"/>
        </w:rPr>
        <w:t>Qp1</w:t>
      </w:r>
      <w:r>
        <w:rPr>
          <w:rFonts w:hint="eastAsia" w:ascii="宋体" w:hAnsi="宋体" w:cs="宋体"/>
          <w:color w:val="000000"/>
          <w:kern w:val="0"/>
          <w:lang w:bidi="ar"/>
        </w:rPr>
        <w:t>）：主要分布于鲁山县昭平台水库两侧及宝丰县、郏县、市区、叶县、舞钢等地的山前岗坡地带，与新近系及其以前的老地层呈角度不整合接触，其上被中更新统和上更新统地层覆盖，主体岩性为岗地砾石层夹黏土层，出露厚度大于</w:t>
      </w:r>
      <w:r>
        <w:rPr>
          <w:rFonts w:cs="Times New Roman"/>
          <w:color w:val="000000"/>
          <w:kern w:val="0"/>
          <w:lang w:bidi="ar"/>
        </w:rPr>
        <w:t>15m</w:t>
      </w:r>
      <w:r>
        <w:rPr>
          <w:rFonts w:hint="eastAsia" w:ascii="宋体" w:hAnsi="宋体" w:cs="宋体"/>
          <w:color w:val="000000"/>
          <w:kern w:val="0"/>
          <w:lang w:bidi="ar"/>
        </w:rPr>
        <w:t>，地貌上构成</w:t>
      </w:r>
      <w:r>
        <w:rPr>
          <w:rFonts w:cs="Times New Roman"/>
          <w:color w:val="000000"/>
          <w:kern w:val="0"/>
          <w:lang w:bidi="ar"/>
        </w:rPr>
        <w:t>Ⅳ</w:t>
      </w:r>
      <w:r>
        <w:rPr>
          <w:rFonts w:hint="eastAsia" w:ascii="宋体" w:hAnsi="宋体" w:cs="宋体"/>
          <w:color w:val="000000"/>
          <w:kern w:val="0"/>
          <w:lang w:bidi="ar"/>
        </w:rPr>
        <w:t>级阶地。</w:t>
      </w:r>
    </w:p>
    <w:p>
      <w:pPr>
        <w:widowControl/>
        <w:ind w:firstLine="480"/>
      </w:pPr>
      <w:r>
        <w:rPr>
          <w:rFonts w:hint="eastAsia" w:ascii="宋体" w:hAnsi="宋体" w:cs="宋体"/>
          <w:color w:val="000000"/>
          <w:kern w:val="0"/>
          <w:lang w:bidi="ar"/>
        </w:rPr>
        <w:t>②中更新统（</w:t>
      </w:r>
      <w:r>
        <w:rPr>
          <w:rFonts w:cs="Times New Roman"/>
          <w:color w:val="000000"/>
          <w:kern w:val="0"/>
          <w:lang w:bidi="ar"/>
        </w:rPr>
        <w:t>Qp2</w:t>
      </w:r>
      <w:r>
        <w:rPr>
          <w:rFonts w:hint="eastAsia" w:ascii="宋体" w:hAnsi="宋体" w:cs="宋体"/>
          <w:color w:val="000000"/>
          <w:kern w:val="0"/>
          <w:lang w:bidi="ar"/>
        </w:rPr>
        <w:t>）：多分布于汝州、宝丰、郏县等山前冲洪积倾斜平原地带，成因类型为冲洪积复合型。岩性下部为红色含砾石粘土层、砂砾石、亚砂土，夹有粘土及亚粘土层；中部为红、灰绿色粘土、砂质粘土层；上部为红褐色粘土夹灰绿色粘土</w:t>
      </w:r>
      <w:r>
        <w:rPr>
          <w:rFonts w:hint="eastAsia" w:cs="Times New Roman"/>
          <w:color w:val="000000"/>
          <w:kern w:val="0"/>
          <w:lang w:bidi="ar"/>
        </w:rPr>
        <w:t>，</w:t>
      </w:r>
      <w:r>
        <w:rPr>
          <w:rFonts w:hint="eastAsia" w:ascii="宋体" w:hAnsi="宋体" w:cs="宋体"/>
          <w:color w:val="000000"/>
          <w:kern w:val="0"/>
          <w:lang w:bidi="ar"/>
        </w:rPr>
        <w:t>含大量棱角状岩屑及砂粒，偶见钙质结核，直径可达</w:t>
      </w:r>
      <w:r>
        <w:rPr>
          <w:rFonts w:cs="Times New Roman"/>
          <w:color w:val="000000"/>
          <w:kern w:val="0"/>
          <w:lang w:bidi="ar"/>
        </w:rPr>
        <w:t>30cm</w:t>
      </w:r>
      <w:r>
        <w:rPr>
          <w:rFonts w:hint="eastAsia" w:ascii="宋体" w:hAnsi="宋体" w:cs="宋体"/>
          <w:color w:val="000000"/>
          <w:kern w:val="0"/>
          <w:lang w:bidi="ar"/>
        </w:rPr>
        <w:t>，并含不成形的铁锰结核；顶部为黄褐色含砾砂质粘土。地貌上多呈舒缓起伏状，构成</w:t>
      </w:r>
      <w:r>
        <w:rPr>
          <w:rFonts w:cs="Times New Roman"/>
          <w:color w:val="000000"/>
          <w:kern w:val="0"/>
          <w:lang w:bidi="ar"/>
        </w:rPr>
        <w:t>Ⅲ</w:t>
      </w:r>
      <w:r>
        <w:rPr>
          <w:rFonts w:hint="eastAsia" w:ascii="宋体" w:hAnsi="宋体" w:cs="宋体"/>
          <w:color w:val="000000"/>
          <w:kern w:val="0"/>
          <w:lang w:bidi="ar"/>
        </w:rPr>
        <w:t>级阶地。</w:t>
      </w:r>
    </w:p>
    <w:p>
      <w:pPr>
        <w:widowControl/>
        <w:ind w:firstLine="480"/>
      </w:pPr>
      <w:r>
        <w:rPr>
          <w:rFonts w:hint="eastAsia" w:ascii="宋体" w:hAnsi="宋体" w:cs="宋体"/>
          <w:color w:val="000000"/>
          <w:kern w:val="0"/>
          <w:lang w:bidi="ar"/>
        </w:rPr>
        <w:t>③上更新统（</w:t>
      </w:r>
      <w:r>
        <w:rPr>
          <w:rFonts w:cs="Times New Roman"/>
          <w:color w:val="000000"/>
          <w:kern w:val="0"/>
          <w:lang w:bidi="ar"/>
        </w:rPr>
        <w:t>Qp3</w:t>
      </w:r>
      <w:r>
        <w:rPr>
          <w:rFonts w:hint="eastAsia" w:ascii="宋体" w:hAnsi="宋体" w:cs="宋体"/>
          <w:color w:val="000000"/>
          <w:kern w:val="0"/>
          <w:lang w:bidi="ar"/>
        </w:rPr>
        <w:t>）：分布于山前倾斜平原及汝河、沙河等河流的两岸，地貌上构成</w:t>
      </w:r>
      <w:r>
        <w:rPr>
          <w:rFonts w:cs="Times New Roman"/>
          <w:color w:val="000000"/>
          <w:kern w:val="0"/>
          <w:lang w:bidi="ar"/>
        </w:rPr>
        <w:t>Ⅱ</w:t>
      </w:r>
      <w:r>
        <w:rPr>
          <w:rFonts w:hint="eastAsia" w:ascii="宋体" w:hAnsi="宋体" w:cs="宋体"/>
          <w:color w:val="000000"/>
          <w:kern w:val="0"/>
          <w:lang w:bidi="ar"/>
        </w:rPr>
        <w:t>级阶地，与</w:t>
      </w:r>
      <w:r>
        <w:rPr>
          <w:rFonts w:cs="Times New Roman"/>
          <w:color w:val="000000"/>
          <w:kern w:val="0"/>
          <w:lang w:bidi="ar"/>
        </w:rPr>
        <w:t>Ⅰ</w:t>
      </w:r>
      <w:r>
        <w:rPr>
          <w:rFonts w:hint="eastAsia" w:ascii="宋体" w:hAnsi="宋体" w:cs="宋体"/>
          <w:color w:val="000000"/>
          <w:kern w:val="0"/>
          <w:lang w:bidi="ar"/>
        </w:rPr>
        <w:t>级和</w:t>
      </w:r>
      <w:r>
        <w:rPr>
          <w:rFonts w:cs="Times New Roman"/>
          <w:color w:val="000000"/>
          <w:kern w:val="0"/>
          <w:lang w:bidi="ar"/>
        </w:rPr>
        <w:t>Ⅲ</w:t>
      </w:r>
      <w:r>
        <w:rPr>
          <w:rFonts w:hint="eastAsia" w:ascii="宋体" w:hAnsi="宋体" w:cs="宋体"/>
          <w:color w:val="000000"/>
          <w:kern w:val="0"/>
          <w:lang w:bidi="ar"/>
        </w:rPr>
        <w:t>级阶地呈截切关系，岩性主要为泥质中（细）砂、粉土、褐黄色母粒质粘土、粘土，含有砂砾。垂直节理发育，含有不规则状结核。厚</w:t>
      </w:r>
      <w:r>
        <w:rPr>
          <w:rFonts w:cs="Times New Roman"/>
          <w:color w:val="000000"/>
          <w:kern w:val="0"/>
          <w:lang w:bidi="ar"/>
        </w:rPr>
        <w:t>4</w:t>
      </w:r>
      <w:r>
        <w:rPr>
          <w:rFonts w:hint="eastAsia" w:ascii="宋体" w:hAnsi="宋体" w:cs="宋体"/>
          <w:color w:val="000000"/>
          <w:kern w:val="0"/>
          <w:lang w:bidi="ar"/>
        </w:rPr>
        <w:t>～</w:t>
      </w:r>
      <w:r>
        <w:rPr>
          <w:rFonts w:cs="Times New Roman"/>
          <w:color w:val="000000"/>
          <w:kern w:val="0"/>
          <w:lang w:bidi="ar"/>
        </w:rPr>
        <w:t>30m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④全新统（</w:t>
      </w:r>
      <w:r>
        <w:rPr>
          <w:rFonts w:cs="Times New Roman"/>
          <w:color w:val="000000"/>
          <w:kern w:val="0"/>
          <w:lang w:bidi="ar"/>
        </w:rPr>
        <w:t>Qh</w:t>
      </w:r>
      <w:r>
        <w:rPr>
          <w:rFonts w:hint="eastAsia" w:ascii="宋体" w:hAnsi="宋体" w:cs="宋体"/>
          <w:color w:val="000000"/>
          <w:kern w:val="0"/>
          <w:lang w:bidi="ar"/>
        </w:rPr>
        <w:t>）：主要分布于区内大小河流两岸及河谷中，按岩性、地貌特征分为下部冲积层和上部冲积层。下部冲积层主要分布于区内各大河流及其支流两岸，形成河流</w:t>
      </w:r>
      <w:r>
        <w:rPr>
          <w:rFonts w:cs="Times New Roman"/>
          <w:color w:val="000000"/>
          <w:kern w:val="0"/>
          <w:lang w:bidi="ar"/>
        </w:rPr>
        <w:t>Ⅰ</w:t>
      </w:r>
      <w:r>
        <w:rPr>
          <w:rFonts w:hint="eastAsia" w:ascii="宋体" w:hAnsi="宋体" w:cs="宋体"/>
          <w:color w:val="000000"/>
          <w:kern w:val="0"/>
          <w:lang w:bidi="ar"/>
        </w:rPr>
        <w:t>级阶地，由粉质粘土、砂土及砾石层组成，厚</w:t>
      </w:r>
      <w:r>
        <w:rPr>
          <w:rFonts w:cs="Times New Roman"/>
          <w:color w:val="000000"/>
          <w:kern w:val="0"/>
          <w:lang w:bidi="ar"/>
        </w:rPr>
        <w:t>2</w:t>
      </w:r>
      <w:r>
        <w:rPr>
          <w:rFonts w:hint="eastAsia" w:ascii="宋体" w:hAnsi="宋体" w:cs="宋体"/>
          <w:color w:val="000000"/>
          <w:kern w:val="0"/>
          <w:lang w:bidi="ar"/>
        </w:rPr>
        <w:t>～</w:t>
      </w:r>
      <w:r>
        <w:rPr>
          <w:rFonts w:cs="Times New Roman"/>
          <w:color w:val="000000"/>
          <w:kern w:val="0"/>
          <w:lang w:bidi="ar"/>
        </w:rPr>
        <w:t>9m</w:t>
      </w:r>
      <w:r>
        <w:rPr>
          <w:rFonts w:hint="eastAsia" w:ascii="宋体" w:hAnsi="宋体" w:cs="宋体"/>
          <w:color w:val="000000"/>
          <w:kern w:val="0"/>
          <w:lang w:bidi="ar"/>
        </w:rPr>
        <w:t>，与</w:t>
      </w:r>
      <w:r>
        <w:rPr>
          <w:rFonts w:cs="Times New Roman"/>
          <w:color w:val="000000"/>
          <w:kern w:val="0"/>
          <w:lang w:bidi="ar"/>
        </w:rPr>
        <w:t>Ⅱ</w:t>
      </w:r>
      <w:r>
        <w:rPr>
          <w:rFonts w:hint="eastAsia" w:ascii="宋体" w:hAnsi="宋体" w:cs="宋体"/>
          <w:color w:val="000000"/>
          <w:kern w:val="0"/>
          <w:lang w:bidi="ar"/>
        </w:rPr>
        <w:t>级阶地及上部冲积层呈斜截关系。上部冲积层主要分布在区内大小河流的河床、河漫滩上，为河流冲积、洪积堆积物，岩性随地而异，在沙河、汝河等河流上游山区为砾石层夹粗砂层，中下游平原区多为砂层、粉土、粉质粘土，其间局部夹淤泥层和砂砾石层，粗大砾石极少，分选性良好，厚</w:t>
      </w:r>
      <w:r>
        <w:rPr>
          <w:rFonts w:cs="Times New Roman"/>
          <w:color w:val="000000"/>
          <w:kern w:val="0"/>
          <w:lang w:bidi="ar"/>
        </w:rPr>
        <w:t>1</w:t>
      </w:r>
      <w:r>
        <w:rPr>
          <w:rFonts w:hint="eastAsia" w:ascii="宋体" w:hAnsi="宋体" w:cs="宋体"/>
          <w:color w:val="000000"/>
          <w:kern w:val="0"/>
          <w:lang w:bidi="ar"/>
        </w:rPr>
        <w:t>～</w:t>
      </w:r>
      <w:r>
        <w:rPr>
          <w:rFonts w:cs="Times New Roman"/>
          <w:color w:val="000000"/>
          <w:kern w:val="0"/>
          <w:lang w:bidi="ar"/>
        </w:rPr>
        <w:t>5m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（二）区域构造</w:t>
      </w:r>
    </w:p>
    <w:p>
      <w:pPr>
        <w:widowControl/>
        <w:ind w:firstLine="480"/>
      </w:pPr>
      <w:r>
        <w:rPr>
          <w:rFonts w:hint="eastAsia" w:ascii="宋体" w:hAnsi="宋体" w:cs="宋体"/>
          <w:color w:val="000000"/>
          <w:kern w:val="0"/>
          <w:lang w:bidi="ar"/>
        </w:rPr>
        <w:t>评价区大地构造位置处于华北陆块南缘，渑池</w:t>
      </w:r>
      <w:r>
        <w:rPr>
          <w:rFonts w:cs="Times New Roman"/>
          <w:color w:val="000000"/>
          <w:kern w:val="0"/>
          <w:lang w:bidi="ar"/>
        </w:rPr>
        <w:t>—</w:t>
      </w:r>
      <w:r>
        <w:rPr>
          <w:rFonts w:hint="eastAsia" w:ascii="宋体" w:hAnsi="宋体" w:cs="宋体"/>
          <w:color w:val="000000"/>
          <w:kern w:val="0"/>
          <w:lang w:bidi="ar"/>
        </w:rPr>
        <w:t>确山陷褶断束中段。境内地质构造较为复杂，以压扭性断裂为主，褶皱构造次之，新构造运动活跃。主要表现为差异性升降。评价区附近主要断层特征简述如下：</w:t>
      </w:r>
    </w:p>
    <w:p>
      <w:pPr>
        <w:widowControl/>
        <w:ind w:firstLine="480"/>
      </w:pPr>
      <w:r>
        <w:rPr>
          <w:rFonts w:hint="eastAsia" w:ascii="宋体" w:hAnsi="宋体" w:cs="宋体"/>
          <w:color w:val="000000"/>
          <w:kern w:val="0"/>
          <w:lang w:bidi="ar"/>
        </w:rPr>
        <w:t>①鲁山</w:t>
      </w:r>
      <w:r>
        <w:rPr>
          <w:rFonts w:cs="Times New Roman"/>
          <w:color w:val="000000"/>
          <w:kern w:val="0"/>
          <w:lang w:bidi="ar"/>
        </w:rPr>
        <w:t>—</w:t>
      </w:r>
      <w:r>
        <w:rPr>
          <w:rFonts w:hint="eastAsia" w:ascii="宋体" w:hAnsi="宋体" w:cs="宋体"/>
          <w:color w:val="000000"/>
          <w:kern w:val="0"/>
          <w:lang w:bidi="ar"/>
        </w:rPr>
        <w:t>漯河大断层：经鲁山、叶县南部穿过。为隐伏正断层，走向西段</w:t>
      </w:r>
      <w:r>
        <w:rPr>
          <w:rFonts w:cs="Times New Roman"/>
          <w:color w:val="000000"/>
          <w:kern w:val="0"/>
          <w:lang w:bidi="ar"/>
        </w:rPr>
        <w:t>290°</w:t>
      </w:r>
      <w:r>
        <w:rPr>
          <w:rFonts w:hint="eastAsia" w:ascii="宋体" w:hAnsi="宋体" w:cs="宋体"/>
          <w:color w:val="000000"/>
          <w:kern w:val="0"/>
          <w:lang w:bidi="ar"/>
        </w:rPr>
        <w:t>、东段近东西，倾向南，倾角约</w:t>
      </w:r>
      <w:r>
        <w:rPr>
          <w:rFonts w:cs="Times New Roman"/>
          <w:color w:val="000000"/>
          <w:kern w:val="0"/>
          <w:lang w:bidi="ar"/>
        </w:rPr>
        <w:t>60°</w:t>
      </w:r>
      <w:r>
        <w:rPr>
          <w:rFonts w:hint="eastAsia" w:ascii="宋体" w:hAnsi="宋体" w:cs="宋体"/>
          <w:color w:val="000000"/>
          <w:kern w:val="0"/>
          <w:lang w:bidi="ar"/>
        </w:rPr>
        <w:t>。断距</w:t>
      </w:r>
      <w:r>
        <w:rPr>
          <w:rFonts w:cs="Times New Roman"/>
          <w:color w:val="000000"/>
          <w:kern w:val="0"/>
          <w:lang w:bidi="ar"/>
        </w:rPr>
        <w:t>1000</w:t>
      </w:r>
      <w:r>
        <w:rPr>
          <w:rFonts w:hint="eastAsia" w:ascii="宋体" w:hAnsi="宋体" w:cs="宋体"/>
          <w:color w:val="000000"/>
          <w:kern w:val="0"/>
          <w:lang w:bidi="ar"/>
        </w:rPr>
        <w:t>～</w:t>
      </w:r>
      <w:r>
        <w:rPr>
          <w:rFonts w:cs="Times New Roman"/>
          <w:color w:val="000000"/>
          <w:kern w:val="0"/>
          <w:lang w:bidi="ar"/>
        </w:rPr>
        <w:t>2000m</w:t>
      </w:r>
      <w:r>
        <w:rPr>
          <w:rFonts w:hint="eastAsia" w:ascii="宋体" w:hAnsi="宋体" w:cs="宋体"/>
          <w:color w:val="000000"/>
          <w:kern w:val="0"/>
          <w:lang w:bidi="ar"/>
        </w:rPr>
        <w:t>。</w:t>
      </w:r>
    </w:p>
    <w:p>
      <w:pPr>
        <w:widowControl/>
        <w:ind w:firstLine="480"/>
      </w:pPr>
      <w:r>
        <w:rPr>
          <w:rFonts w:hint="eastAsia" w:ascii="宋体" w:hAnsi="宋体" w:cs="宋体"/>
          <w:color w:val="000000"/>
          <w:kern w:val="0"/>
          <w:lang w:bidi="ar"/>
        </w:rPr>
        <w:t>②枣庄</w:t>
      </w:r>
      <w:r>
        <w:rPr>
          <w:rFonts w:cs="Times New Roman"/>
          <w:color w:val="000000"/>
          <w:kern w:val="0"/>
          <w:lang w:bidi="ar"/>
        </w:rPr>
        <w:t>—</w:t>
      </w:r>
      <w:r>
        <w:rPr>
          <w:rFonts w:hint="eastAsia" w:ascii="宋体" w:hAnsi="宋体" w:cs="宋体"/>
          <w:color w:val="000000"/>
          <w:kern w:val="0"/>
          <w:lang w:bidi="ar"/>
        </w:rPr>
        <w:t>龙泉断层：展布于龙泉至枣庄一线。以水平位移为主，走向</w:t>
      </w:r>
      <w:r>
        <w:rPr>
          <w:rFonts w:cs="Times New Roman"/>
          <w:color w:val="000000"/>
          <w:kern w:val="0"/>
          <w:lang w:bidi="ar"/>
        </w:rPr>
        <w:t>37°</w:t>
      </w:r>
      <w:r>
        <w:rPr>
          <w:rFonts w:hint="eastAsia" w:ascii="宋体" w:hAnsi="宋体" w:cs="宋体"/>
          <w:color w:val="000000"/>
          <w:kern w:val="0"/>
          <w:lang w:bidi="ar"/>
        </w:rPr>
        <w:t>，倾向北西，水平位移约</w:t>
      </w:r>
      <w:r>
        <w:rPr>
          <w:rFonts w:cs="Times New Roman"/>
          <w:color w:val="000000"/>
          <w:kern w:val="0"/>
          <w:lang w:bidi="ar"/>
        </w:rPr>
        <w:t>3000m</w:t>
      </w:r>
      <w:r>
        <w:rPr>
          <w:rFonts w:hint="eastAsia" w:ascii="宋体" w:hAnsi="宋体" w:cs="宋体"/>
          <w:color w:val="000000"/>
          <w:kern w:val="0"/>
          <w:lang w:bidi="ar"/>
        </w:rPr>
        <w:t>。</w:t>
      </w:r>
    </w:p>
    <w:p>
      <w:pPr>
        <w:widowControl/>
        <w:ind w:firstLine="482"/>
        <w:jc w:val="left"/>
        <w:rPr>
          <w:b/>
          <w:bCs/>
        </w:rPr>
      </w:pPr>
      <w:r>
        <w:rPr>
          <w:rFonts w:cs="Times New Roman"/>
          <w:b/>
          <w:bCs/>
          <w:color w:val="000000"/>
          <w:kern w:val="0"/>
          <w:lang w:bidi="ar"/>
        </w:rPr>
        <w:t>6.</w:t>
      </w:r>
      <w:r>
        <w:rPr>
          <w:rFonts w:hint="eastAsia" w:cs="Times New Roman"/>
          <w:b/>
          <w:bCs/>
          <w:color w:val="000000"/>
          <w:kern w:val="0"/>
          <w:lang w:bidi="ar"/>
        </w:rPr>
        <w:t>5.3.3</w:t>
      </w:r>
      <w:r>
        <w:rPr>
          <w:rFonts w:cs="Times New Roman"/>
          <w:b/>
          <w:bCs/>
          <w:color w:val="000000"/>
          <w:kern w:val="0"/>
          <w:lang w:bidi="ar"/>
        </w:rPr>
        <w:t xml:space="preserve"> </w:t>
      </w:r>
      <w:r>
        <w:rPr>
          <w:rFonts w:hint="eastAsia" w:ascii="宋体" w:hAnsi="宋体" w:cs="宋体"/>
          <w:b/>
          <w:bCs/>
          <w:color w:val="000000"/>
          <w:kern w:val="0"/>
          <w:lang w:bidi="ar"/>
        </w:rPr>
        <w:t>区域水文地质条件</w:t>
      </w:r>
    </w:p>
    <w:p>
      <w:pPr>
        <w:widowControl/>
        <w:ind w:firstLine="480"/>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）含水层及其富水性</w:t>
      </w:r>
    </w:p>
    <w:p>
      <w:pPr>
        <w:widowControl/>
        <w:ind w:firstLine="480"/>
      </w:pPr>
      <w:r>
        <w:rPr>
          <w:rFonts w:hint="eastAsia" w:ascii="宋体" w:hAnsi="宋体" w:cs="宋体"/>
          <w:color w:val="000000"/>
          <w:kern w:val="0"/>
          <w:lang w:bidi="ar"/>
        </w:rPr>
        <w:t>区域含水层为浅层</w:t>
      </w:r>
      <w:r>
        <w:rPr>
          <w:rFonts w:cs="Times New Roman"/>
          <w:color w:val="000000"/>
          <w:kern w:val="0"/>
          <w:lang w:bidi="ar"/>
        </w:rPr>
        <w:t>-</w:t>
      </w:r>
      <w:r>
        <w:rPr>
          <w:rFonts w:hint="eastAsia" w:ascii="宋体" w:hAnsi="宋体" w:cs="宋体"/>
          <w:color w:val="000000"/>
          <w:kern w:val="0"/>
          <w:lang w:bidi="ar"/>
        </w:rPr>
        <w:t>中深层松散岩类孔隙含水层，叶县城区以南浅层及中深层含水层单位涌水量皆为</w:t>
      </w:r>
      <w:r>
        <w:rPr>
          <w:rFonts w:cs="Times New Roman"/>
          <w:color w:val="000000"/>
          <w:kern w:val="0"/>
          <w:lang w:bidi="ar"/>
        </w:rPr>
        <w:t>500-1000m</w:t>
      </w:r>
      <w:r>
        <w:rPr>
          <w:rFonts w:hint="eastAsia" w:cs="Times New Roman"/>
          <w:color w:val="000000"/>
          <w:kern w:val="0"/>
          <w:vertAlign w:val="superscript"/>
          <w:lang w:bidi="ar"/>
        </w:rPr>
        <w:t>3</w:t>
      </w:r>
      <w:r>
        <w:rPr>
          <w:rFonts w:cs="Times New Roman"/>
          <w:color w:val="000000"/>
          <w:kern w:val="0"/>
          <w:lang w:bidi="ar"/>
        </w:rPr>
        <w:t>/d</w:t>
      </w:r>
      <w:r>
        <w:rPr>
          <w:rFonts w:hint="eastAsia" w:ascii="宋体" w:hAnsi="宋体" w:cs="宋体"/>
          <w:color w:val="000000"/>
          <w:kern w:val="0"/>
          <w:lang w:bidi="ar"/>
        </w:rPr>
        <w:t>，叶县城区以北浅层含水层单位涌水量</w:t>
      </w:r>
      <w:r>
        <w:rPr>
          <w:rFonts w:cs="Times New Roman"/>
          <w:color w:val="000000"/>
          <w:kern w:val="0"/>
          <w:lang w:bidi="ar"/>
        </w:rPr>
        <w:t>1000-5000m</w:t>
      </w:r>
      <w:r>
        <w:rPr>
          <w:rFonts w:hint="eastAsia" w:cs="Times New Roman"/>
          <w:color w:val="000000"/>
          <w:kern w:val="0"/>
          <w:vertAlign w:val="superscript"/>
          <w:lang w:bidi="ar"/>
        </w:rPr>
        <w:t>3</w:t>
      </w:r>
      <w:r>
        <w:rPr>
          <w:rFonts w:cs="Times New Roman"/>
          <w:color w:val="000000"/>
          <w:kern w:val="0"/>
          <w:lang w:bidi="ar"/>
        </w:rPr>
        <w:t>/d</w:t>
      </w:r>
      <w:r>
        <w:rPr>
          <w:rFonts w:hint="eastAsia" w:ascii="宋体" w:hAnsi="宋体" w:cs="宋体"/>
          <w:color w:val="000000"/>
          <w:kern w:val="0"/>
          <w:lang w:bidi="ar"/>
        </w:rPr>
        <w:t>，中深层含水层单位涌水量</w:t>
      </w:r>
      <w:r>
        <w:rPr>
          <w:rFonts w:cs="Times New Roman"/>
          <w:color w:val="000000"/>
          <w:kern w:val="0"/>
          <w:lang w:bidi="ar"/>
        </w:rPr>
        <w:t>1000-3000m</w:t>
      </w:r>
      <w:r>
        <w:rPr>
          <w:rFonts w:hint="eastAsia" w:cs="Times New Roman"/>
          <w:color w:val="000000"/>
          <w:kern w:val="0"/>
          <w:vertAlign w:val="superscript"/>
          <w:lang w:bidi="ar"/>
        </w:rPr>
        <w:t>3</w:t>
      </w:r>
      <w:r>
        <w:rPr>
          <w:rFonts w:cs="Times New Roman"/>
          <w:color w:val="000000"/>
          <w:kern w:val="0"/>
          <w:lang w:bidi="ar"/>
        </w:rPr>
        <w:t>/d</w:t>
      </w:r>
      <w:r>
        <w:rPr>
          <w:rFonts w:hint="eastAsia" w:ascii="宋体" w:hAnsi="宋体" w:cs="宋体"/>
          <w:color w:val="000000"/>
          <w:kern w:val="0"/>
          <w:lang w:bidi="ar"/>
        </w:rPr>
        <w:t>。区域水文地质图见图</w:t>
      </w:r>
      <w:r>
        <w:rPr>
          <w:rFonts w:hint="eastAsia" w:cs="Times New Roman"/>
          <w:color w:val="000000"/>
          <w:kern w:val="0"/>
          <w:lang w:bidi="ar"/>
        </w:rPr>
        <w:t>6.5-3</w:t>
      </w:r>
      <w:r>
        <w:rPr>
          <w:rFonts w:hint="eastAsia" w:ascii="宋体" w:hAnsi="宋体" w:cs="宋体"/>
          <w:color w:val="000000"/>
          <w:kern w:val="0"/>
          <w:lang w:bidi="ar"/>
        </w:rPr>
        <w:t>。</w:t>
      </w:r>
    </w:p>
    <w:p>
      <w:pPr>
        <w:widowControl/>
        <w:ind w:firstLine="0" w:firstLineChars="0"/>
        <w:jc w:val="center"/>
      </w:pPr>
      <w:r>
        <w:drawing>
          <wp:inline distT="0" distB="0" distL="114300" distR="114300">
            <wp:extent cx="5755640" cy="6746240"/>
            <wp:effectExtent l="0" t="0" r="16510" b="16510"/>
            <wp:docPr id="9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8"/>
                    <pic:cNvPicPr>
                      <a:picLocks noChangeAspect="1"/>
                    </pic:cNvPicPr>
                  </pic:nvPicPr>
                  <pic:blipFill>
                    <a:blip r:embed="rId98"/>
                    <a:stretch>
                      <a:fillRect/>
                    </a:stretch>
                  </pic:blipFill>
                  <pic:spPr>
                    <a:xfrm>
                      <a:off x="0" y="0"/>
                      <a:ext cx="5755640" cy="674624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b/>
          <w:bCs/>
        </w:rPr>
      </w:pPr>
      <w:r>
        <w:rPr>
          <w:rFonts w:hint="eastAsia"/>
          <w:b/>
          <w:bCs/>
        </w:rPr>
        <w:t>图</w:t>
      </w:r>
      <w:r>
        <w:rPr>
          <w:b/>
          <w:bCs/>
        </w:rPr>
        <w:t>6.</w:t>
      </w:r>
      <w:r>
        <w:rPr>
          <w:rFonts w:hint="eastAsia"/>
          <w:b/>
          <w:bCs/>
        </w:rPr>
        <w:t>5</w:t>
      </w:r>
      <w:r>
        <w:rPr>
          <w:b/>
          <w:bCs/>
        </w:rPr>
        <w:t>-</w:t>
      </w:r>
      <w:r>
        <w:rPr>
          <w:rFonts w:hint="eastAsia"/>
          <w:b/>
          <w:bCs/>
        </w:rPr>
        <w:t>3</w:t>
      </w:r>
      <w:r>
        <w:rPr>
          <w:b/>
          <w:bCs/>
        </w:rPr>
        <w:t xml:space="preserve"> </w:t>
      </w:r>
      <w:r>
        <w:rPr>
          <w:rFonts w:hint="eastAsia"/>
          <w:b/>
          <w:bCs/>
        </w:rPr>
        <w:t xml:space="preserve"> 区域水文地质图</w:t>
      </w:r>
    </w:p>
    <w:p>
      <w:pPr>
        <w:widowControl/>
        <w:ind w:firstLine="0" w:firstLineChars="0"/>
        <w:jc w:val="center"/>
        <w:rPr>
          <w:rFonts w:ascii="宋体" w:hAnsi="宋体" w:cs="宋体"/>
          <w:color w:val="000000"/>
          <w:kern w:val="0"/>
          <w:lang w:bidi="ar"/>
        </w:rPr>
      </w:pPr>
      <w:r>
        <w:drawing>
          <wp:inline distT="0" distB="0" distL="114300" distR="114300">
            <wp:extent cx="4712335" cy="3226435"/>
            <wp:effectExtent l="9525" t="9525" r="21590" b="21590"/>
            <wp:docPr id="3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0"/>
                    <pic:cNvPicPr>
                      <a:picLocks noChangeAspect="1"/>
                    </pic:cNvPicPr>
                  </pic:nvPicPr>
                  <pic:blipFill>
                    <a:blip r:embed="rId99"/>
                    <a:stretch>
                      <a:fillRect/>
                    </a:stretch>
                  </pic:blipFill>
                  <pic:spPr>
                    <a:xfrm>
                      <a:off x="0" y="0"/>
                      <a:ext cx="4712335" cy="3226435"/>
                    </a:xfrm>
                    <a:prstGeom prst="rect">
                      <a:avLst/>
                    </a:prstGeom>
                    <a:noFill/>
                    <a:ln>
                      <a:solidFill>
                        <a:schemeClr val="tx1"/>
                      </a:solidFill>
                    </a:ln>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b/>
          <w:bCs/>
        </w:rPr>
      </w:pPr>
      <w:r>
        <w:rPr>
          <w:rFonts w:hint="eastAsia"/>
          <w:b/>
          <w:bCs/>
        </w:rPr>
        <w:t>图6.5-4  区域水文地质柱状图</w:t>
      </w:r>
    </w:p>
    <w:p>
      <w:pPr>
        <w:widowControl/>
        <w:ind w:firstLine="480"/>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）地下水补给、径流和排泄</w:t>
      </w:r>
    </w:p>
    <w:p>
      <w:pPr>
        <w:widowControl/>
        <w:ind w:firstLine="480"/>
      </w:pPr>
      <w:r>
        <w:rPr>
          <w:rFonts w:cs="Times New Roman"/>
          <w:color w:val="000000"/>
          <w:kern w:val="0"/>
          <w:lang w:bidi="ar"/>
        </w:rPr>
        <w:t>1</w:t>
      </w:r>
      <w:r>
        <w:rPr>
          <w:rFonts w:hint="eastAsia" w:ascii="宋体" w:hAnsi="宋体" w:cs="宋体"/>
          <w:color w:val="000000"/>
          <w:kern w:val="0"/>
          <w:lang w:bidi="ar"/>
        </w:rPr>
        <w:t>）浅层地下水的补给、径流、排泄条件</w:t>
      </w:r>
    </w:p>
    <w:p>
      <w:pPr>
        <w:widowControl/>
        <w:ind w:firstLine="480"/>
      </w:pPr>
      <w:r>
        <w:rPr>
          <w:rFonts w:hint="eastAsia" w:ascii="宋体" w:hAnsi="宋体" w:cs="宋体"/>
          <w:color w:val="000000"/>
          <w:kern w:val="0"/>
          <w:lang w:bidi="ar"/>
        </w:rPr>
        <w:t>①补给条件</w:t>
      </w:r>
    </w:p>
    <w:p>
      <w:pPr>
        <w:widowControl/>
        <w:ind w:firstLine="480"/>
      </w:pPr>
      <w:r>
        <w:rPr>
          <w:rFonts w:hint="eastAsia" w:ascii="宋体" w:hAnsi="宋体" w:cs="宋体"/>
          <w:color w:val="000000"/>
          <w:kern w:val="0"/>
          <w:lang w:bidi="ar"/>
        </w:rPr>
        <w:t>浅层地下水的补给，主要以大气降水入渗补给为主，其次为灌溉回渗补给、河渠侧渗补给和侧向径流补给，水位变化幅度受季节变化影响较大。</w:t>
      </w:r>
    </w:p>
    <w:p>
      <w:pPr>
        <w:widowControl/>
        <w:ind w:firstLine="480"/>
      </w:pPr>
      <w:r>
        <w:rPr>
          <w:rFonts w:hint="eastAsia" w:ascii="宋体" w:hAnsi="宋体" w:cs="宋体"/>
          <w:color w:val="000000"/>
          <w:kern w:val="0"/>
          <w:lang w:bidi="ar"/>
        </w:rPr>
        <w:t>②径流条件</w:t>
      </w:r>
    </w:p>
    <w:p>
      <w:pPr>
        <w:widowControl/>
        <w:ind w:firstLine="480"/>
      </w:pPr>
      <w:r>
        <w:rPr>
          <w:rFonts w:hint="eastAsia" w:ascii="宋体" w:hAnsi="宋体" w:cs="宋体"/>
          <w:color w:val="000000"/>
          <w:kern w:val="0"/>
          <w:lang w:bidi="ar"/>
        </w:rPr>
        <w:t>浅层地下水的径流随地形和岩性结构的不同而有差异，在河谷平原、山前冲洪积倾斜平原，地形坡降大，组成岩性颗粒粗，结构松散，导水性良好，径流条件好，径流总是向河床及其下游方向运移；而在平原区地形平坦，水力坡度在</w:t>
      </w:r>
      <w:r>
        <w:rPr>
          <w:rFonts w:cs="Times New Roman"/>
          <w:color w:val="000000"/>
          <w:kern w:val="0"/>
          <w:lang w:bidi="ar"/>
        </w:rPr>
        <w:t>1</w:t>
      </w: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，浅层含水层颗粒细，导水性能较差，径流条件亦较差，径流缓慢。在天然条件下，沙河南岸平原区浅层地下水总的径流方向从</w:t>
      </w:r>
      <w:r>
        <w:rPr>
          <w:rFonts w:hint="eastAsia" w:ascii="宋体" w:hAnsi="宋体" w:cs="宋体"/>
          <w:color w:val="000000"/>
          <w:kern w:val="0"/>
          <w:lang w:eastAsia="zh-CN" w:bidi="ar"/>
        </w:rPr>
        <w:t>西南向东北</w:t>
      </w:r>
      <w:r>
        <w:rPr>
          <w:rFonts w:hint="eastAsia" w:ascii="宋体" w:hAnsi="宋体" w:cs="宋体"/>
          <w:color w:val="000000"/>
          <w:kern w:val="0"/>
          <w:lang w:bidi="ar"/>
        </w:rPr>
        <w:t>运移。在山前岗地区，由于地势较高，其水位高于周边平原区水位，浅层地下水由岗地向周边径流。</w:t>
      </w:r>
    </w:p>
    <w:p>
      <w:pPr>
        <w:widowControl/>
        <w:ind w:firstLine="480"/>
      </w:pPr>
      <w:r>
        <w:rPr>
          <w:rFonts w:hint="eastAsia" w:ascii="宋体" w:hAnsi="宋体" w:cs="宋体"/>
          <w:color w:val="000000"/>
          <w:kern w:val="0"/>
          <w:lang w:bidi="ar"/>
        </w:rPr>
        <w:t>③排泄条件</w:t>
      </w:r>
    </w:p>
    <w:p>
      <w:pPr>
        <w:widowControl/>
        <w:ind w:firstLine="480"/>
      </w:pPr>
      <w:r>
        <w:rPr>
          <w:rFonts w:hint="eastAsia" w:ascii="宋体" w:hAnsi="宋体" w:cs="宋体"/>
          <w:color w:val="000000"/>
          <w:kern w:val="0"/>
          <w:lang w:bidi="ar"/>
        </w:rPr>
        <w:t>浅层地下水的排泄，主要以开采排泄为主，其次为蒸发排泄、地下径流排泄、越流排泄、河流排泄。</w:t>
      </w:r>
    </w:p>
    <w:p>
      <w:pPr>
        <w:widowControl/>
        <w:ind w:firstLine="480"/>
      </w:pPr>
      <w:r>
        <w:rPr>
          <w:rFonts w:cs="Times New Roman"/>
          <w:color w:val="000000"/>
          <w:kern w:val="0"/>
          <w:lang w:bidi="ar"/>
        </w:rPr>
        <w:t>2</w:t>
      </w:r>
      <w:r>
        <w:rPr>
          <w:rFonts w:hint="eastAsia" w:ascii="宋体" w:hAnsi="宋体" w:cs="宋体"/>
          <w:color w:val="000000"/>
          <w:kern w:val="0"/>
          <w:lang w:bidi="ar"/>
        </w:rPr>
        <w:t xml:space="preserve">）中深层地下水的补给、径流与排泄条件 </w:t>
      </w:r>
    </w:p>
    <w:p>
      <w:pPr>
        <w:widowControl/>
        <w:ind w:firstLine="480"/>
      </w:pPr>
      <w:r>
        <w:rPr>
          <w:rFonts w:hint="eastAsia" w:ascii="宋体" w:hAnsi="宋体" w:cs="宋体"/>
          <w:color w:val="000000"/>
          <w:kern w:val="0"/>
          <w:lang w:bidi="ar"/>
        </w:rPr>
        <w:t>①补给条件中深层地下水在平原区不能直接得到大气降水的入渗补给，其补给来源主要为上游地下水的径流补给和浅层地下水的越流补给；在山前地带可以间接得到大气降水的入渗补给。</w:t>
      </w:r>
    </w:p>
    <w:p>
      <w:pPr>
        <w:widowControl/>
        <w:ind w:firstLine="480"/>
      </w:pPr>
      <w:r>
        <w:rPr>
          <w:rFonts w:hint="eastAsia" w:ascii="宋体" w:hAnsi="宋体" w:cs="宋体"/>
          <w:color w:val="000000"/>
          <w:kern w:val="0"/>
          <w:lang w:bidi="ar"/>
        </w:rPr>
        <w:t>②径流条件</w:t>
      </w:r>
    </w:p>
    <w:p>
      <w:pPr>
        <w:widowControl/>
        <w:ind w:firstLine="480"/>
      </w:pPr>
      <w:r>
        <w:rPr>
          <w:rFonts w:hint="eastAsia" w:ascii="宋体" w:hAnsi="宋体" w:cs="宋体"/>
          <w:color w:val="000000"/>
          <w:kern w:val="0"/>
          <w:lang w:bidi="ar"/>
        </w:rPr>
        <w:t>天然条件下，中深层地下水自西向东径流，与地形坡降一致，水力坡度</w:t>
      </w:r>
      <w:r>
        <w:rPr>
          <w:rFonts w:cs="Times New Roman"/>
          <w:color w:val="000000"/>
          <w:kern w:val="0"/>
          <w:lang w:bidi="ar"/>
        </w:rPr>
        <w:t>1‰</w:t>
      </w:r>
      <w:r>
        <w:rPr>
          <w:rFonts w:hint="eastAsia" w:ascii="宋体" w:hAnsi="宋体" w:cs="宋体"/>
          <w:color w:val="000000"/>
          <w:kern w:val="0"/>
          <w:lang w:bidi="ar"/>
        </w:rPr>
        <w:t>～</w:t>
      </w:r>
      <w:r>
        <w:rPr>
          <w:rFonts w:cs="Times New Roman"/>
          <w:color w:val="000000"/>
          <w:kern w:val="0"/>
          <w:lang w:bidi="ar"/>
        </w:rPr>
        <w:t>2.4‰</w:t>
      </w:r>
      <w:r>
        <w:rPr>
          <w:rFonts w:hint="eastAsia" w:ascii="宋体" w:hAnsi="宋体" w:cs="宋体"/>
          <w:color w:val="000000"/>
          <w:kern w:val="0"/>
          <w:lang w:bidi="ar"/>
        </w:rPr>
        <w:t>。山前含水层颗粒较粗，地下水径流条件较好，平原区含水层颗粒较细，地下水径流条件相对较差。</w:t>
      </w:r>
    </w:p>
    <w:p>
      <w:pPr>
        <w:widowControl/>
        <w:ind w:firstLine="480"/>
      </w:pPr>
      <w:r>
        <w:rPr>
          <w:rFonts w:hint="eastAsia" w:ascii="宋体" w:hAnsi="宋体" w:cs="宋体"/>
          <w:color w:val="000000"/>
          <w:kern w:val="0"/>
          <w:lang w:bidi="ar"/>
        </w:rPr>
        <w:t>③排泄条件</w:t>
      </w:r>
    </w:p>
    <w:p>
      <w:pPr>
        <w:widowControl/>
        <w:ind w:firstLine="480"/>
      </w:pPr>
      <w:r>
        <w:rPr>
          <w:rFonts w:hint="eastAsia" w:ascii="宋体" w:hAnsi="宋体" w:cs="宋体"/>
          <w:color w:val="000000"/>
          <w:kern w:val="0"/>
          <w:lang w:bidi="ar"/>
        </w:rPr>
        <w:t>人工开采和侧向径流是中深层地下水的主要排泄方式。</w:t>
      </w:r>
    </w:p>
    <w:p>
      <w:pPr>
        <w:widowControl/>
        <w:ind w:firstLine="480"/>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）地下水动态特征</w:t>
      </w:r>
    </w:p>
    <w:p>
      <w:pPr>
        <w:widowControl/>
        <w:ind w:firstLine="480"/>
      </w:pPr>
      <w:r>
        <w:rPr>
          <w:rFonts w:hint="eastAsia" w:ascii="宋体" w:hAnsi="宋体" w:cs="宋体"/>
          <w:color w:val="000000"/>
          <w:kern w:val="0"/>
          <w:lang w:bidi="ar"/>
        </w:rPr>
        <w:t>①浅层地下水的动态特征</w:t>
      </w:r>
    </w:p>
    <w:p>
      <w:pPr>
        <w:widowControl/>
        <w:ind w:firstLine="480"/>
      </w:pPr>
      <w:r>
        <w:rPr>
          <w:rFonts w:hint="eastAsia" w:ascii="宋体" w:hAnsi="宋体" w:cs="宋体"/>
          <w:color w:val="000000"/>
          <w:kern w:val="0"/>
          <w:lang w:bidi="ar"/>
        </w:rPr>
        <w:t>区域上内浅层地下水水位多年变幅整体处于稳定状态。叶县</w:t>
      </w:r>
      <w:r>
        <w:rPr>
          <w:rFonts w:cs="Times New Roman"/>
          <w:color w:val="000000"/>
          <w:kern w:val="0"/>
          <w:lang w:bidi="ar"/>
        </w:rPr>
        <w:t>—</w:t>
      </w:r>
      <w:r>
        <w:rPr>
          <w:rFonts w:hint="eastAsia" w:ascii="宋体" w:hAnsi="宋体" w:cs="宋体"/>
          <w:color w:val="000000"/>
          <w:kern w:val="0"/>
          <w:lang w:bidi="ar"/>
        </w:rPr>
        <w:t>平顶山水位持续下降区中心水位埋深</w:t>
      </w:r>
      <w:r>
        <w:rPr>
          <w:rFonts w:cs="Times New Roman"/>
          <w:color w:val="000000"/>
          <w:kern w:val="0"/>
          <w:lang w:bidi="ar"/>
        </w:rPr>
        <w:t>9.93m</w:t>
      </w:r>
      <w:r>
        <w:rPr>
          <w:rFonts w:hint="eastAsia" w:ascii="宋体" w:hAnsi="宋体" w:cs="宋体"/>
          <w:color w:val="000000"/>
          <w:kern w:val="0"/>
          <w:lang w:bidi="ar"/>
        </w:rPr>
        <w:t>。与20世纪90年代的浅层地下水水位动态情况进行对比，水位持续下降区面积的扩展速率为</w:t>
      </w:r>
      <w:r>
        <w:rPr>
          <w:rFonts w:cs="Times New Roman"/>
          <w:color w:val="000000"/>
          <w:kern w:val="0"/>
          <w:lang w:bidi="ar"/>
        </w:rPr>
        <w:t>6.72km</w:t>
      </w:r>
      <w:r>
        <w:rPr>
          <w:rFonts w:hint="eastAsia" w:cs="Times New Roman"/>
          <w:color w:val="000000"/>
          <w:kern w:val="0"/>
          <w:vertAlign w:val="superscript"/>
          <w:lang w:bidi="ar"/>
        </w:rPr>
        <w:t>2</w:t>
      </w:r>
      <w:r>
        <w:rPr>
          <w:rFonts w:cs="Times New Roman"/>
          <w:color w:val="000000"/>
          <w:kern w:val="0"/>
          <w:lang w:bidi="ar"/>
        </w:rPr>
        <w:t>/a</w:t>
      </w:r>
      <w:r>
        <w:rPr>
          <w:rFonts w:hint="eastAsia" w:ascii="宋体" w:hAnsi="宋体" w:cs="宋体"/>
          <w:color w:val="000000"/>
          <w:kern w:val="0"/>
          <w:lang w:bidi="ar"/>
        </w:rPr>
        <w:t>，水位下降速率为</w:t>
      </w:r>
      <w:r>
        <w:rPr>
          <w:rFonts w:cs="Times New Roman"/>
          <w:color w:val="000000"/>
          <w:kern w:val="0"/>
          <w:lang w:bidi="ar"/>
        </w:rPr>
        <w:t>0.26m/a</w:t>
      </w:r>
      <w:r>
        <w:rPr>
          <w:rFonts w:hint="eastAsia" w:ascii="宋体" w:hAnsi="宋体" w:cs="宋体"/>
          <w:color w:val="000000"/>
          <w:kern w:val="0"/>
          <w:lang w:bidi="ar"/>
        </w:rPr>
        <w:t>。根据本次调查成果，汝河河谷浅层地下水位年变幅维持在</w:t>
      </w:r>
      <w:r>
        <w:rPr>
          <w:rFonts w:cs="Times New Roman"/>
          <w:color w:val="000000"/>
          <w:kern w:val="0"/>
          <w:lang w:bidi="ar"/>
        </w:rPr>
        <w:t>±0.28m/a</w:t>
      </w:r>
      <w:r>
        <w:rPr>
          <w:rFonts w:hint="eastAsia" w:ascii="宋体" w:hAnsi="宋体" w:cs="宋体"/>
          <w:color w:val="000000"/>
          <w:kern w:val="0"/>
          <w:lang w:bidi="ar"/>
        </w:rPr>
        <w:t>，整体处于稳定状态；沙澧河冲积平原浅层地下水年变幅维持在</w:t>
      </w:r>
      <w:r>
        <w:rPr>
          <w:rFonts w:cs="Times New Roman"/>
          <w:color w:val="000000"/>
          <w:kern w:val="0"/>
          <w:lang w:bidi="ar"/>
        </w:rPr>
        <w:t>±0.36m/a</w:t>
      </w:r>
      <w:r>
        <w:rPr>
          <w:rFonts w:hint="eastAsia" w:ascii="宋体" w:hAnsi="宋体" w:cs="宋体"/>
          <w:color w:val="000000"/>
          <w:kern w:val="0"/>
          <w:lang w:bidi="ar"/>
        </w:rPr>
        <w:t>，整体来看区内浅层地下水多年动态基本稳定。</w:t>
      </w:r>
    </w:p>
    <w:p>
      <w:pPr>
        <w:widowControl/>
        <w:ind w:firstLine="480"/>
      </w:pPr>
      <w:r>
        <w:rPr>
          <w:rFonts w:hint="eastAsia" w:ascii="宋体" w:hAnsi="宋体" w:cs="宋体"/>
          <w:color w:val="000000"/>
          <w:kern w:val="0"/>
          <w:lang w:bidi="ar"/>
        </w:rPr>
        <w:t>②中深层地下水的动态特征</w:t>
      </w:r>
    </w:p>
    <w:p>
      <w:pPr>
        <w:widowControl/>
        <w:ind w:firstLine="480"/>
      </w:pPr>
      <w:r>
        <w:rPr>
          <w:rFonts w:hint="eastAsia" w:ascii="宋体" w:hAnsi="宋体" w:cs="宋体"/>
          <w:color w:val="000000"/>
          <w:kern w:val="0"/>
          <w:lang w:bidi="ar"/>
        </w:rPr>
        <w:t>现状年，区内中深层地下水水位整体上呈下降趋势，根据本次调查成果，结合以往研究资料，综合分析区内中深层地下水水位年变幅为</w:t>
      </w:r>
      <w:r>
        <w:rPr>
          <w:rFonts w:cs="Times New Roman"/>
          <w:color w:val="000000"/>
          <w:kern w:val="0"/>
          <w:lang w:bidi="ar"/>
        </w:rPr>
        <w:t>±0.63m/a</w:t>
      </w:r>
      <w:r>
        <w:rPr>
          <w:rFonts w:hint="eastAsia" w:ascii="宋体" w:hAnsi="宋体" w:cs="宋体"/>
          <w:color w:val="000000"/>
          <w:kern w:val="0"/>
          <w:lang w:bidi="ar"/>
        </w:rPr>
        <w:t>，整体处于稳定状态。</w:t>
      </w:r>
    </w:p>
    <w:p>
      <w:pPr>
        <w:ind w:firstLine="482"/>
        <w:rPr>
          <w:b/>
          <w:bCs/>
        </w:rPr>
      </w:pPr>
      <w:r>
        <w:rPr>
          <w:rFonts w:hint="eastAsia"/>
          <w:b/>
          <w:bCs/>
        </w:rPr>
        <w:t>6.5.3.4</w:t>
      </w:r>
      <w:r>
        <w:rPr>
          <w:b/>
          <w:bCs/>
        </w:rPr>
        <w:t xml:space="preserve"> 调查评价区水文地质特征</w:t>
      </w:r>
    </w:p>
    <w:p>
      <w:pPr>
        <w:widowControl/>
        <w:ind w:firstLine="480"/>
        <w:rPr>
          <w:rFonts w:cs="Times New Roman"/>
          <w:color w:val="000000"/>
          <w:kern w:val="0"/>
          <w:lang w:bidi="ar"/>
        </w:rPr>
      </w:pPr>
      <w:r>
        <w:rPr>
          <w:rFonts w:hint="eastAsia" w:cs="Times New Roman"/>
          <w:color w:val="000000"/>
          <w:kern w:val="0"/>
          <w:lang w:bidi="ar"/>
        </w:rPr>
        <w:t>1、评价区包气带土层岩性分析</w:t>
      </w:r>
    </w:p>
    <w:p>
      <w:pPr>
        <w:widowControl/>
        <w:ind w:firstLine="480"/>
      </w:pPr>
      <w:r>
        <w:rPr>
          <w:rFonts w:hint="eastAsia" w:ascii="宋体" w:hAnsi="宋体" w:cs="宋体"/>
          <w:color w:val="000000"/>
          <w:kern w:val="0"/>
          <w:lang w:bidi="ar"/>
        </w:rPr>
        <w:t>为详细了解评价区浅部土层的岩性、厚度及分布特征，本次调查搜集了评价区以往完成的挖探及静探试验、工程勘察等资料，并通过对包气带土层岩性的野外调查、物理性质和岩性结构特征的现场调查等工作，认为评价区包气带岩性横向变化不大，以粉质粘土夹薄层粉土为主。</w:t>
      </w:r>
    </w:p>
    <w:p>
      <w:pPr>
        <w:widowControl/>
        <w:ind w:firstLine="480"/>
      </w:pPr>
      <w:r>
        <w:rPr>
          <w:rFonts w:hint="eastAsia" w:cs="Times New Roman"/>
          <w:color w:val="000000"/>
          <w:kern w:val="0"/>
          <w:lang w:bidi="ar"/>
        </w:rPr>
        <w:t>2、</w:t>
      </w:r>
      <w:r>
        <w:rPr>
          <w:rFonts w:hint="eastAsia" w:ascii="宋体" w:hAnsi="宋体" w:cs="宋体"/>
          <w:color w:val="000000"/>
          <w:kern w:val="0"/>
          <w:lang w:bidi="ar"/>
        </w:rPr>
        <w:t>评价区浅层含水层地下水水文地质特征</w:t>
      </w:r>
    </w:p>
    <w:p>
      <w:pPr>
        <w:widowControl/>
        <w:ind w:firstLine="480"/>
        <w:rPr>
          <w:rFonts w:cs="Times New Roman"/>
          <w:color w:val="000000"/>
          <w:kern w:val="0"/>
          <w:lang w:bidi="ar"/>
        </w:rPr>
      </w:pPr>
      <w:r>
        <w:rPr>
          <w:rFonts w:hint="eastAsia" w:cs="Times New Roman"/>
          <w:color w:val="000000"/>
          <w:kern w:val="0"/>
          <w:lang w:bidi="ar"/>
        </w:rPr>
        <w:t>（</w:t>
      </w:r>
      <w:r>
        <w:rPr>
          <w:rFonts w:cs="Times New Roman"/>
          <w:color w:val="000000"/>
          <w:kern w:val="0"/>
          <w:lang w:bidi="ar"/>
        </w:rPr>
        <w:t>1</w:t>
      </w:r>
      <w:r>
        <w:rPr>
          <w:rFonts w:hint="eastAsia" w:cs="Times New Roman"/>
          <w:color w:val="000000"/>
          <w:kern w:val="0"/>
          <w:lang w:bidi="ar"/>
        </w:rPr>
        <w:t>）评价区浅层含水层岩性特征</w:t>
      </w:r>
    </w:p>
    <w:p>
      <w:pPr>
        <w:widowControl/>
        <w:ind w:firstLine="480"/>
        <w:rPr>
          <w:rFonts w:cs="Times New Roman"/>
          <w:color w:val="000000"/>
          <w:kern w:val="0"/>
          <w:lang w:bidi="ar"/>
        </w:rPr>
      </w:pPr>
      <w:r>
        <w:rPr>
          <w:rFonts w:hint="eastAsia" w:cs="Times New Roman"/>
          <w:color w:val="000000"/>
          <w:kern w:val="0"/>
          <w:lang w:bidi="ar"/>
        </w:rPr>
        <w:t>根据本次搜集以为地质资料成果，评价区内由静止水位至含水层底板埋深7～25米之间的亚砂土、亚粘土、黄土类土均系潜水含水层组。</w:t>
      </w:r>
    </w:p>
    <w:p>
      <w:pPr>
        <w:widowControl/>
        <w:ind w:firstLine="480"/>
        <w:rPr>
          <w:rFonts w:cs="Times New Roman"/>
          <w:color w:val="000000"/>
          <w:kern w:val="0"/>
          <w:lang w:bidi="ar"/>
        </w:rPr>
      </w:pPr>
      <w:r>
        <w:rPr>
          <w:rFonts w:hint="eastAsia" w:cs="Times New Roman"/>
          <w:color w:val="000000"/>
          <w:kern w:val="0"/>
          <w:lang w:bidi="ar"/>
        </w:rPr>
        <w:t>根据评价区范围内相关区域地质资料，评价区内第四系上更新统（Q</w:t>
      </w:r>
      <w:r>
        <w:rPr>
          <w:rFonts w:hint="eastAsia" w:cs="Times New Roman"/>
          <w:color w:val="000000"/>
          <w:kern w:val="0"/>
          <w:vertAlign w:val="subscript"/>
          <w:lang w:bidi="ar"/>
        </w:rPr>
        <w:t>3</w:t>
      </w:r>
      <w:r>
        <w:rPr>
          <w:rFonts w:hint="eastAsia" w:cs="Times New Roman"/>
          <w:color w:val="000000"/>
          <w:kern w:val="0"/>
          <w:lang w:bidi="ar"/>
        </w:rPr>
        <w:t>）地层根据岩性特征可分为六层，总厚度约30m。其岩性特征具体为，在耕植层以下有一层1～1m厚的重亚砂土层，其下第二层位为一层厚约5～7m的轻亚砂土层，该层厚度较为均一。再往下，第三层为一层</w:t>
      </w:r>
      <w:r>
        <w:rPr>
          <w:rFonts w:hint="eastAsia" w:cs="Times New Roman"/>
          <w:color w:val="000000"/>
          <w:kern w:val="0"/>
          <w:lang w:eastAsia="zh-CN" w:bidi="ar"/>
        </w:rPr>
        <w:t>厚</w:t>
      </w:r>
      <w:r>
        <w:rPr>
          <w:rFonts w:hint="eastAsia" w:cs="Times New Roman"/>
          <w:color w:val="000000"/>
          <w:kern w:val="0"/>
          <w:lang w:bidi="ar"/>
        </w:rPr>
        <w:t>约3～5m的亚砂土层，其在评价区西南部夹有一层厚约0.5m、岩性为亚粘土的透镜体；第四层仍为一层厚约3～4m的轻亚砂土层，其下的第五层为一层厚约3～5m的细砂、粉砂层，为评价区内最为重要的浅层地下水含水层位。再往下则第六层为一层厚约8-10m的弱透水层。第四系上更新统（Q</w:t>
      </w:r>
      <w:r>
        <w:rPr>
          <w:rFonts w:hint="eastAsia" w:cs="Times New Roman"/>
          <w:color w:val="000000"/>
          <w:kern w:val="0"/>
          <w:vertAlign w:val="subscript"/>
          <w:lang w:bidi="ar"/>
        </w:rPr>
        <w:t>3</w:t>
      </w:r>
      <w:r>
        <w:rPr>
          <w:rFonts w:hint="eastAsia" w:cs="Times New Roman"/>
          <w:color w:val="000000"/>
          <w:kern w:val="0"/>
          <w:lang w:bidi="ar"/>
        </w:rPr>
        <w:t>）地层以下则为第四系上更新统（Q</w:t>
      </w:r>
      <w:r>
        <w:rPr>
          <w:rFonts w:hint="eastAsia" w:cs="Times New Roman"/>
          <w:color w:val="000000"/>
          <w:kern w:val="0"/>
          <w:vertAlign w:val="subscript"/>
          <w:lang w:bidi="ar"/>
        </w:rPr>
        <w:t>3</w:t>
      </w:r>
      <w:r>
        <w:rPr>
          <w:rFonts w:hint="eastAsia" w:cs="Times New Roman"/>
          <w:color w:val="000000"/>
          <w:kern w:val="0"/>
          <w:lang w:bidi="ar"/>
        </w:rPr>
        <w:t>）地层，其同样可主要分为六层，该层组整体上含水性较弱，为相对隔水层。其第一层为一层厚约1～15m的亚粘土隔水层，第二层为一层1～3m的亚砂层，第三层则仍为一层厚约8～10m的亚粘土层，其下有一层厚度约0.5m的钙质结核层，再往下第五层为一层厚约5～7m的亚砂土层，其下第六层为一层7～10m的亚粘土层。</w:t>
      </w:r>
    </w:p>
    <w:p>
      <w:pPr>
        <w:widowControl/>
        <w:ind w:firstLine="480"/>
        <w:rPr>
          <w:rFonts w:cs="Times New Roman"/>
          <w:color w:val="000000"/>
          <w:kern w:val="0"/>
          <w:lang w:bidi="ar"/>
        </w:rPr>
      </w:pPr>
      <w:r>
        <w:rPr>
          <w:rFonts w:hint="eastAsia" w:cs="Times New Roman"/>
          <w:color w:val="000000"/>
          <w:kern w:val="0"/>
          <w:lang w:bidi="ar"/>
        </w:rPr>
        <w:t>评价区整体地层结构变化较小，因而地下水富水性也相对较为均一，区域上属于强富水性分区，以5米降深计算，单井出水2000～5000m</w:t>
      </w:r>
      <w:r>
        <w:rPr>
          <w:rFonts w:hint="eastAsia" w:cs="Times New Roman"/>
          <w:color w:val="000000"/>
          <w:kern w:val="0"/>
          <w:vertAlign w:val="superscript"/>
          <w:lang w:bidi="ar"/>
        </w:rPr>
        <w:t>3</w:t>
      </w:r>
      <w:r>
        <w:rPr>
          <w:rFonts w:hint="eastAsia" w:cs="Times New Roman"/>
          <w:color w:val="000000"/>
          <w:kern w:val="0"/>
          <w:lang w:bidi="ar"/>
        </w:rPr>
        <w:t>/d，浅层地下水含水层主要为第四系上更新统（Q</w:t>
      </w:r>
      <w:r>
        <w:rPr>
          <w:rFonts w:hint="eastAsia" w:cs="Times New Roman"/>
          <w:color w:val="000000"/>
          <w:kern w:val="0"/>
          <w:vertAlign w:val="subscript"/>
          <w:lang w:bidi="ar"/>
        </w:rPr>
        <w:t>3</w:t>
      </w:r>
      <w:r>
        <w:rPr>
          <w:rFonts w:hint="eastAsia" w:cs="Times New Roman"/>
          <w:color w:val="000000"/>
          <w:kern w:val="0"/>
          <w:lang w:bidi="ar"/>
        </w:rPr>
        <w:t>）地层的第五层，含水层厚度约3～5m，岩性以细砂、粉细砂为主，含水层埋深约15～25m。本次调查认为该层位上部岩性以亚砂土、轻亚砂土层为主，下部则以亚粘土、轻亚砂土层，富水性均较弱。根据本次调查，当地居民开凿的灌溉水井一般深约30m，该细砂、粉细砂层应为主要取水层位，因此本次评价的主要含水层位为评价区30m以浅的第四系上更统（Q</w:t>
      </w:r>
      <w:r>
        <w:rPr>
          <w:rFonts w:hint="eastAsia" w:cs="Times New Roman"/>
          <w:color w:val="000000"/>
          <w:kern w:val="0"/>
          <w:vertAlign w:val="subscript"/>
          <w:lang w:bidi="ar"/>
        </w:rPr>
        <w:t>3</w:t>
      </w:r>
      <w:r>
        <w:rPr>
          <w:rFonts w:hint="eastAsia" w:cs="Times New Roman"/>
          <w:color w:val="000000"/>
          <w:kern w:val="0"/>
          <w:lang w:bidi="ar"/>
        </w:rPr>
        <w:t>）的第五层位的细砂、粉细砂含水层。</w:t>
      </w:r>
    </w:p>
    <w:p>
      <w:pPr>
        <w:widowControl/>
        <w:ind w:firstLine="0" w:firstLineChars="0"/>
        <w:jc w:val="center"/>
        <w:rPr>
          <w:rFonts w:ascii="宋体" w:hAnsi="宋体" w:cs="宋体"/>
          <w:color w:val="000000"/>
          <w:kern w:val="0"/>
          <w:lang w:bidi="ar"/>
        </w:rPr>
      </w:pPr>
      <w:r>
        <w:drawing>
          <wp:inline distT="0" distB="0" distL="114300" distR="114300">
            <wp:extent cx="5751830" cy="2367280"/>
            <wp:effectExtent l="0" t="0" r="1270" b="13970"/>
            <wp:docPr id="34"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1"/>
                    <pic:cNvPicPr>
                      <a:picLocks noChangeAspect="1"/>
                    </pic:cNvPicPr>
                  </pic:nvPicPr>
                  <pic:blipFill>
                    <a:blip r:embed="rId100"/>
                    <a:stretch>
                      <a:fillRect/>
                    </a:stretch>
                  </pic:blipFill>
                  <pic:spPr>
                    <a:xfrm>
                      <a:off x="0" y="0"/>
                      <a:ext cx="5751830" cy="236728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b/>
          <w:bCs/>
        </w:rPr>
      </w:pPr>
      <w:r>
        <w:rPr>
          <w:rFonts w:hint="eastAsia"/>
          <w:b/>
          <w:bCs/>
        </w:rPr>
        <w:t>图6.5-5  调查区域水文地质柱状图</w:t>
      </w:r>
    </w:p>
    <w:p>
      <w:pPr>
        <w:widowControl/>
        <w:ind w:firstLine="480"/>
      </w:pPr>
      <w:r>
        <w:rPr>
          <w:rFonts w:hint="eastAsia" w:cs="Times New Roman"/>
          <w:color w:val="000000"/>
          <w:kern w:val="0"/>
          <w:lang w:bidi="ar"/>
        </w:rPr>
        <w:t>3、</w:t>
      </w:r>
      <w:r>
        <w:rPr>
          <w:rFonts w:hint="eastAsia" w:ascii="宋体" w:hAnsi="宋体" w:cs="宋体"/>
          <w:color w:val="000000"/>
          <w:kern w:val="0"/>
          <w:lang w:bidi="ar"/>
        </w:rPr>
        <w:t>地下水补径排特征</w:t>
      </w:r>
    </w:p>
    <w:p>
      <w:pPr>
        <w:widowControl/>
        <w:ind w:firstLine="480"/>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）地下水补给</w:t>
      </w:r>
    </w:p>
    <w:p>
      <w:pPr>
        <w:widowControl/>
        <w:ind w:firstLine="480"/>
      </w:pPr>
      <w:r>
        <w:rPr>
          <w:rFonts w:hint="eastAsia" w:ascii="宋体" w:hAnsi="宋体" w:cs="宋体"/>
          <w:color w:val="000000"/>
          <w:kern w:val="0"/>
          <w:lang w:bidi="ar"/>
        </w:rPr>
        <w:t>浅层水主要靠大气降水入渗和周边侧向径流补给，其次为河渠入渗，湖沟坑塘入渗和农灌回渗补给。</w:t>
      </w:r>
    </w:p>
    <w:p>
      <w:pPr>
        <w:widowControl/>
        <w:ind w:firstLine="480"/>
      </w:pPr>
      <w:r>
        <w:rPr>
          <w:rFonts w:cs="Times New Roman"/>
          <w:color w:val="000000"/>
          <w:kern w:val="0"/>
          <w:lang w:bidi="ar"/>
        </w:rPr>
        <w:t>1</w:t>
      </w:r>
      <w:r>
        <w:rPr>
          <w:rFonts w:hint="eastAsia" w:ascii="宋体" w:hAnsi="宋体" w:cs="宋体"/>
          <w:color w:val="000000"/>
          <w:kern w:val="0"/>
          <w:lang w:bidi="ar"/>
        </w:rPr>
        <w:t>）降水入渗补给</w:t>
      </w:r>
    </w:p>
    <w:p>
      <w:pPr>
        <w:widowControl/>
        <w:ind w:firstLine="480"/>
      </w:pPr>
      <w:r>
        <w:rPr>
          <w:rFonts w:hint="eastAsia" w:ascii="宋体" w:hAnsi="宋体" w:cs="宋体"/>
          <w:color w:val="000000"/>
          <w:kern w:val="0"/>
          <w:lang w:bidi="ar"/>
        </w:rPr>
        <w:t>降水入渗是浅层地下水的主要补给来源之一，其补给量的大小与包气带岩性、结构、地下水位埋深、降水强度及频率有关。</w:t>
      </w:r>
    </w:p>
    <w:p>
      <w:pPr>
        <w:widowControl/>
        <w:ind w:firstLine="480"/>
      </w:pPr>
      <w:r>
        <w:rPr>
          <w:rFonts w:hint="eastAsia" w:ascii="宋体" w:hAnsi="宋体" w:cs="宋体"/>
          <w:color w:val="000000"/>
          <w:kern w:val="0"/>
          <w:lang w:bidi="ar"/>
        </w:rPr>
        <w:t>本区地形平坦，地面坡降一般</w:t>
      </w:r>
      <w:r>
        <w:rPr>
          <w:rFonts w:cs="Times New Roman"/>
          <w:color w:val="000000"/>
          <w:kern w:val="0"/>
          <w:lang w:bidi="ar"/>
        </w:rPr>
        <w:t>1/2000-1/4000</w:t>
      </w:r>
      <w:r>
        <w:rPr>
          <w:rFonts w:hint="eastAsia" w:ascii="宋体" w:hAnsi="宋体" w:cs="宋体"/>
          <w:color w:val="000000"/>
          <w:kern w:val="0"/>
          <w:lang w:bidi="ar"/>
        </w:rPr>
        <w:t>，地表径流迟缓，地下水埋深较浅，且包气带岩性大部分为粉土及粉砂，结构松散，极有利于大气降水渗入补给。特别是降水集中的</w:t>
      </w:r>
      <w:r>
        <w:rPr>
          <w:rFonts w:cs="Times New Roman"/>
          <w:color w:val="000000"/>
          <w:kern w:val="0"/>
          <w:lang w:bidi="ar"/>
        </w:rPr>
        <w:t>7-9</w:t>
      </w:r>
      <w:r>
        <w:rPr>
          <w:rFonts w:hint="eastAsia" w:ascii="宋体" w:hAnsi="宋体" w:cs="宋体"/>
          <w:color w:val="000000"/>
          <w:kern w:val="0"/>
          <w:lang w:bidi="ar"/>
        </w:rPr>
        <w:t>月份，地下水位显著上升。</w:t>
      </w:r>
    </w:p>
    <w:p>
      <w:pPr>
        <w:widowControl/>
        <w:ind w:firstLine="480"/>
      </w:pPr>
      <w:r>
        <w:rPr>
          <w:rFonts w:cs="Times New Roman"/>
          <w:color w:val="000000"/>
          <w:kern w:val="0"/>
          <w:lang w:bidi="ar"/>
        </w:rPr>
        <w:t>2</w:t>
      </w:r>
      <w:r>
        <w:rPr>
          <w:rFonts w:hint="eastAsia" w:ascii="宋体" w:hAnsi="宋体" w:cs="宋体"/>
          <w:color w:val="000000"/>
          <w:kern w:val="0"/>
          <w:lang w:bidi="ar"/>
        </w:rPr>
        <w:t>）灌溉回渗补给</w:t>
      </w:r>
    </w:p>
    <w:p>
      <w:pPr>
        <w:widowControl/>
        <w:ind w:firstLine="480"/>
      </w:pPr>
      <w:r>
        <w:rPr>
          <w:rFonts w:hint="eastAsia" w:ascii="宋体" w:hAnsi="宋体" w:cs="宋体"/>
          <w:color w:val="000000"/>
          <w:kern w:val="0"/>
          <w:lang w:bidi="ar"/>
        </w:rPr>
        <w:t>本区农业水利化程度高，主要是渠灌和井灌。</w:t>
      </w:r>
    </w:p>
    <w:p>
      <w:pPr>
        <w:widowControl/>
        <w:ind w:firstLine="480"/>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）地下水径流</w:t>
      </w:r>
    </w:p>
    <w:p>
      <w:pPr>
        <w:widowControl/>
        <w:ind w:firstLine="480"/>
      </w:pPr>
      <w:r>
        <w:rPr>
          <w:rFonts w:hint="eastAsia" w:ascii="宋体" w:hAnsi="宋体" w:cs="宋体"/>
          <w:color w:val="000000"/>
          <w:kern w:val="0"/>
          <w:lang w:bidi="ar"/>
        </w:rPr>
        <w:t>调查评价区浅层地下水的天然径流方向大部分为自</w:t>
      </w:r>
      <w:r>
        <w:rPr>
          <w:rFonts w:hint="eastAsia" w:ascii="宋体" w:hAnsi="宋体" w:cs="宋体"/>
          <w:color w:val="000000"/>
          <w:kern w:val="0"/>
          <w:lang w:eastAsia="zh-CN" w:bidi="ar"/>
        </w:rPr>
        <w:t>西南向东北</w:t>
      </w:r>
      <w:r>
        <w:rPr>
          <w:rFonts w:hint="eastAsia" w:ascii="宋体" w:hAnsi="宋体" w:cs="宋体"/>
          <w:color w:val="000000"/>
          <w:kern w:val="0"/>
          <w:lang w:bidi="ar"/>
        </w:rPr>
        <w:t>方向补给沙河。</w:t>
      </w:r>
    </w:p>
    <w:p>
      <w:pPr>
        <w:widowControl/>
        <w:ind w:firstLine="480"/>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）地下水排泄</w:t>
      </w:r>
    </w:p>
    <w:p>
      <w:pPr>
        <w:widowControl/>
        <w:ind w:firstLine="480"/>
      </w:pPr>
      <w:r>
        <w:rPr>
          <w:rFonts w:hint="eastAsia" w:ascii="宋体" w:hAnsi="宋体" w:cs="宋体"/>
          <w:color w:val="000000"/>
          <w:kern w:val="0"/>
          <w:lang w:bidi="ar"/>
        </w:rPr>
        <w:t>主要排泄形式为人工开采、少量侧向排泄及向沙河排泄。</w:t>
      </w:r>
    </w:p>
    <w:p>
      <w:pPr>
        <w:widowControl/>
        <w:ind w:firstLine="480"/>
      </w:pPr>
      <w:r>
        <w:rPr>
          <w:rFonts w:hint="eastAsia" w:cs="Times New Roman"/>
          <w:color w:val="000000"/>
          <w:kern w:val="0"/>
          <w:lang w:bidi="ar"/>
        </w:rPr>
        <w:t>4、</w:t>
      </w:r>
      <w:r>
        <w:rPr>
          <w:rFonts w:hint="eastAsia" w:ascii="宋体" w:hAnsi="宋体" w:cs="宋体"/>
          <w:color w:val="000000"/>
          <w:kern w:val="0"/>
          <w:lang w:bidi="ar"/>
        </w:rPr>
        <w:t>评价区浅层地下水流场特征</w:t>
      </w:r>
    </w:p>
    <w:p>
      <w:pPr>
        <w:widowControl/>
        <w:ind w:firstLine="480"/>
      </w:pPr>
      <w:r>
        <w:rPr>
          <w:rFonts w:hint="eastAsia" w:ascii="宋体" w:hAnsi="宋体" w:cs="宋体"/>
          <w:color w:val="000000"/>
          <w:kern w:val="0"/>
          <w:lang w:bidi="ar"/>
        </w:rPr>
        <w:t>地下水整体流向与地形坡度基本保持一致，地下水流向整体自</w:t>
      </w:r>
      <w:r>
        <w:rPr>
          <w:rFonts w:hint="eastAsia" w:ascii="宋体" w:hAnsi="宋体" w:cs="宋体"/>
          <w:color w:val="000000"/>
          <w:kern w:val="0"/>
          <w:lang w:eastAsia="zh-CN" w:bidi="ar"/>
        </w:rPr>
        <w:t>西南向东北</w:t>
      </w:r>
      <w:r>
        <w:rPr>
          <w:rFonts w:hint="eastAsia" w:ascii="宋体" w:hAnsi="宋体" w:cs="宋体"/>
          <w:color w:val="000000"/>
          <w:kern w:val="0"/>
          <w:lang w:bidi="ar"/>
        </w:rPr>
        <w:t>。</w:t>
      </w:r>
    </w:p>
    <w:p>
      <w:pPr>
        <w:ind w:firstLine="482"/>
        <w:rPr>
          <w:b/>
          <w:bCs/>
        </w:rPr>
      </w:pPr>
      <w:r>
        <w:rPr>
          <w:rFonts w:hint="eastAsia"/>
          <w:b/>
          <w:bCs/>
        </w:rPr>
        <w:t xml:space="preserve">6.5.3.5 </w:t>
      </w:r>
      <w:r>
        <w:rPr>
          <w:b/>
          <w:bCs/>
        </w:rPr>
        <w:t>场地水文地质特征</w:t>
      </w:r>
    </w:p>
    <w:p>
      <w:pPr>
        <w:widowControl/>
        <w:ind w:firstLine="480"/>
        <w:jc w:val="left"/>
      </w:pPr>
      <w:r>
        <w:rPr>
          <w:rFonts w:hint="eastAsia" w:cs="Times New Roman"/>
          <w:color w:val="000000"/>
          <w:kern w:val="0"/>
          <w:lang w:bidi="ar"/>
        </w:rPr>
        <w:t>1、</w:t>
      </w:r>
      <w:r>
        <w:rPr>
          <w:rFonts w:hint="eastAsia" w:ascii="宋体" w:hAnsi="宋体" w:cs="宋体"/>
          <w:color w:val="000000"/>
          <w:kern w:val="0"/>
          <w:lang w:bidi="ar"/>
        </w:rPr>
        <w:t>场地地形地貌</w:t>
      </w:r>
    </w:p>
    <w:p>
      <w:pPr>
        <w:widowControl/>
        <w:ind w:firstLine="480"/>
        <w:jc w:val="left"/>
      </w:pPr>
      <w:r>
        <w:rPr>
          <w:rFonts w:hint="eastAsia" w:ascii="宋体" w:hAnsi="宋体" w:cs="宋体"/>
          <w:color w:val="000000"/>
          <w:kern w:val="0"/>
          <w:lang w:bidi="ar"/>
        </w:rPr>
        <w:t>拟建厂区所在地地貌上处于淮河冲洪积平原地带，地貌较为单一，地形较为平坦，地势开阔，自然地面标高在</w:t>
      </w:r>
      <w:r>
        <w:rPr>
          <w:rFonts w:cs="Times New Roman"/>
          <w:color w:val="000000"/>
          <w:kern w:val="0"/>
          <w:lang w:bidi="ar"/>
        </w:rPr>
        <w:t>76</w:t>
      </w:r>
      <w:r>
        <w:rPr>
          <w:rFonts w:hint="eastAsia" w:ascii="宋体" w:hAnsi="宋体" w:cs="宋体"/>
          <w:color w:val="000000"/>
          <w:kern w:val="0"/>
          <w:lang w:bidi="ar"/>
        </w:rPr>
        <w:t>～</w:t>
      </w:r>
      <w:r>
        <w:rPr>
          <w:rFonts w:cs="Times New Roman"/>
          <w:color w:val="000000"/>
          <w:kern w:val="0"/>
          <w:lang w:bidi="ar"/>
        </w:rPr>
        <w:t>81m</w:t>
      </w:r>
      <w:r>
        <w:rPr>
          <w:rFonts w:hint="eastAsia" w:ascii="宋体" w:hAnsi="宋体" w:cs="宋体"/>
          <w:color w:val="000000"/>
          <w:kern w:val="0"/>
          <w:lang w:bidi="ar"/>
        </w:rPr>
        <w:t>之间。</w:t>
      </w:r>
    </w:p>
    <w:p>
      <w:pPr>
        <w:widowControl/>
        <w:ind w:firstLine="480"/>
        <w:jc w:val="left"/>
      </w:pPr>
      <w:r>
        <w:rPr>
          <w:rFonts w:hint="eastAsia" w:cs="Times New Roman"/>
          <w:color w:val="000000"/>
          <w:kern w:val="0"/>
          <w:lang w:bidi="ar"/>
        </w:rPr>
        <w:t>2、</w:t>
      </w:r>
      <w:r>
        <w:rPr>
          <w:rFonts w:hint="eastAsia" w:ascii="宋体" w:hAnsi="宋体" w:cs="宋体"/>
          <w:color w:val="000000"/>
          <w:kern w:val="0"/>
          <w:lang w:bidi="ar"/>
        </w:rPr>
        <w:t>场地地质构造</w:t>
      </w:r>
    </w:p>
    <w:p>
      <w:pPr>
        <w:widowControl/>
        <w:ind w:firstLine="480"/>
        <w:jc w:val="left"/>
        <w:rPr>
          <w:rFonts w:ascii="宋体" w:hAnsi="宋体" w:cs="宋体"/>
          <w:color w:val="000000"/>
          <w:kern w:val="0"/>
          <w:lang w:bidi="ar"/>
        </w:rPr>
      </w:pPr>
      <w:r>
        <w:rPr>
          <w:rFonts w:hint="eastAsia" w:ascii="宋体" w:hAnsi="宋体" w:cs="宋体"/>
          <w:color w:val="000000"/>
          <w:kern w:val="0"/>
          <w:lang w:bidi="ar"/>
        </w:rPr>
        <w:t>拟建厂区场地质构造相对较为简单，未有断层通过。工程地质条件一般，勘探深度内揭露的岩土地层均由第四系冲洪积的粘性土与粉土地层组成；就地层分布而言，上部变化较大，分布有较多夹层、透镜体，工程特性上、下部差异较大，上部较差，下部相对较好。</w:t>
      </w:r>
    </w:p>
    <w:p>
      <w:pPr>
        <w:widowControl/>
        <w:ind w:firstLine="480"/>
        <w:jc w:val="left"/>
        <w:rPr>
          <w:rFonts w:cs="Times New Roman"/>
          <w:color w:val="000000"/>
          <w:kern w:val="0"/>
          <w:lang w:bidi="ar"/>
        </w:rPr>
      </w:pPr>
      <w:r>
        <w:rPr>
          <w:rFonts w:hint="eastAsia" w:cs="Times New Roman"/>
          <w:color w:val="000000"/>
          <w:kern w:val="0"/>
          <w:lang w:bidi="ar"/>
        </w:rPr>
        <w:t>3、场地水文地质勘察</w:t>
      </w:r>
    </w:p>
    <w:p>
      <w:pPr>
        <w:widowControl/>
        <w:ind w:firstLine="480"/>
        <w:rPr>
          <w:rFonts w:cs="Times New Roman"/>
        </w:rPr>
      </w:pPr>
      <w:r>
        <w:rPr>
          <w:rFonts w:cs="Times New Roman"/>
          <w:color w:val="000000"/>
          <w:kern w:val="0"/>
          <w:lang w:bidi="ar"/>
        </w:rPr>
        <w:t>第①层（Q</w:t>
      </w:r>
      <w:r>
        <w:rPr>
          <w:rFonts w:cs="Times New Roman"/>
          <w:color w:val="000000"/>
          <w:kern w:val="0"/>
          <w:vertAlign w:val="subscript"/>
          <w:lang w:bidi="ar"/>
        </w:rPr>
        <w:t>4al+pl</w:t>
      </w:r>
      <w:r>
        <w:rPr>
          <w:rFonts w:cs="Times New Roman"/>
          <w:color w:val="000000"/>
          <w:kern w:val="0"/>
          <w:lang w:bidi="ar"/>
        </w:rPr>
        <w:t>）粉质黏土：褐黄色，可塑，局部硬塑，切面稍有光泽，无摇震反应，干强度及韧性中等，含少量铁锰质氧化物，局部砂感强烈。上部约0.3m-0.5m为</w:t>
      </w:r>
      <w:r>
        <w:rPr>
          <w:rFonts w:hint="eastAsia" w:cs="Times New Roman"/>
          <w:color w:val="000000"/>
          <w:kern w:val="0"/>
          <w:lang w:bidi="ar"/>
        </w:rPr>
        <w:t>耕地</w:t>
      </w:r>
      <w:r>
        <w:rPr>
          <w:rFonts w:cs="Times New Roman"/>
          <w:color w:val="000000"/>
          <w:kern w:val="0"/>
          <w:lang w:bidi="ar"/>
        </w:rPr>
        <w:t>。该层在场地内普遍分布，层底埋深3.70-7.10m，层底标高72.38-76.02m，层厚3.70-7.10m。</w:t>
      </w:r>
    </w:p>
    <w:p>
      <w:pPr>
        <w:widowControl/>
        <w:ind w:firstLine="480"/>
        <w:rPr>
          <w:rFonts w:cs="Times New Roman"/>
        </w:rPr>
      </w:pPr>
      <w:r>
        <w:rPr>
          <w:rFonts w:cs="Times New Roman"/>
          <w:color w:val="000000"/>
          <w:kern w:val="0"/>
          <w:lang w:bidi="ar"/>
        </w:rPr>
        <w:t>第②层（Q</w:t>
      </w:r>
      <w:r>
        <w:rPr>
          <w:rFonts w:cs="Times New Roman"/>
          <w:color w:val="000000"/>
          <w:kern w:val="0"/>
          <w:vertAlign w:val="subscript"/>
          <w:lang w:bidi="ar"/>
        </w:rPr>
        <w:t>4al+pl</w:t>
      </w:r>
      <w:r>
        <w:rPr>
          <w:rFonts w:cs="Times New Roman"/>
          <w:color w:val="000000"/>
          <w:kern w:val="0"/>
          <w:lang w:bidi="ar"/>
        </w:rPr>
        <w:t>）粉质黏土：黄褐色、灰褐色，软～可塑，切面稍有光泽，无摇震反应，干强度及韧性中等，含少量铁锰质氧化物，局部有砂感。该层在场地内普遍分布，层底埋深5.90-10.90m，层底标高68.65-73.73m，层厚1.4-7.0m。</w:t>
      </w:r>
    </w:p>
    <w:p>
      <w:pPr>
        <w:widowControl/>
        <w:ind w:firstLine="480"/>
        <w:rPr>
          <w:rFonts w:cs="Times New Roman"/>
        </w:rPr>
      </w:pPr>
      <w:r>
        <w:rPr>
          <w:rFonts w:cs="Times New Roman"/>
          <w:color w:val="000000"/>
          <w:kern w:val="0"/>
          <w:lang w:bidi="ar"/>
        </w:rPr>
        <w:t>第③层（Q</w:t>
      </w:r>
      <w:r>
        <w:rPr>
          <w:rFonts w:cs="Times New Roman"/>
          <w:color w:val="000000"/>
          <w:kern w:val="0"/>
          <w:vertAlign w:val="subscript"/>
          <w:lang w:bidi="ar"/>
        </w:rPr>
        <w:t>4al+pl</w:t>
      </w:r>
      <w:r>
        <w:rPr>
          <w:rFonts w:cs="Times New Roman"/>
          <w:color w:val="000000"/>
          <w:kern w:val="0"/>
          <w:lang w:bidi="ar"/>
        </w:rPr>
        <w:t>）细砂：褐黄色，稍密，湿～饱和，主要矿物成分由石英，云母组成，颗粒级配良好，空隙充填黏性土。该层在场地内普遍分布，层底埋深8.60-13.50m，层底标高66.06-71.24m，层厚0.80-6.00m。</w:t>
      </w:r>
    </w:p>
    <w:p>
      <w:pPr>
        <w:widowControl/>
        <w:ind w:firstLine="480"/>
        <w:rPr>
          <w:rFonts w:cs="Times New Roman"/>
        </w:rPr>
      </w:pPr>
      <w:r>
        <w:rPr>
          <w:rFonts w:cs="Times New Roman"/>
          <w:color w:val="000000"/>
          <w:kern w:val="0"/>
          <w:lang w:bidi="ar"/>
        </w:rPr>
        <w:t>第④层（Q</w:t>
      </w:r>
      <w:r>
        <w:rPr>
          <w:rFonts w:cs="Times New Roman"/>
          <w:color w:val="000000"/>
          <w:kern w:val="0"/>
          <w:vertAlign w:val="subscript"/>
          <w:lang w:bidi="ar"/>
        </w:rPr>
        <w:t>4al+pl</w:t>
      </w:r>
      <w:r>
        <w:rPr>
          <w:rFonts w:cs="Times New Roman"/>
          <w:color w:val="000000"/>
          <w:kern w:val="0"/>
          <w:lang w:bidi="ar"/>
        </w:rPr>
        <w:t>）粉质黏土：褐黄色，可塑，局部硬塑，切面稍有光泽，无摇震反应，干强度及韧性中等，含少量铁锰质氧化物，局部夹薄层中砂。该层在场地内普遍分布，层底埋深10.20-21.30m，层底标高58.35-69.56，层厚0.40-11.60m。</w:t>
      </w:r>
    </w:p>
    <w:p>
      <w:pPr>
        <w:widowControl/>
        <w:ind w:firstLine="480"/>
        <w:rPr>
          <w:rFonts w:cs="Times New Roman"/>
        </w:rPr>
      </w:pPr>
      <w:r>
        <w:rPr>
          <w:rFonts w:cs="Times New Roman"/>
          <w:color w:val="000000"/>
          <w:kern w:val="0"/>
          <w:lang w:bidi="ar"/>
        </w:rPr>
        <w:t>第④-1层（Q</w:t>
      </w:r>
      <w:r>
        <w:rPr>
          <w:rFonts w:cs="Times New Roman"/>
          <w:color w:val="000000"/>
          <w:kern w:val="0"/>
          <w:vertAlign w:val="subscript"/>
          <w:lang w:bidi="ar"/>
        </w:rPr>
        <w:t>4al+pl</w:t>
      </w:r>
      <w:r>
        <w:rPr>
          <w:rFonts w:cs="Times New Roman"/>
          <w:color w:val="000000"/>
          <w:kern w:val="0"/>
          <w:lang w:bidi="ar"/>
        </w:rPr>
        <w:t>）中砂：灰黄色、黄褐色，稍～中密，饱和，主要由石英</w:t>
      </w:r>
      <w:r>
        <w:rPr>
          <w:rFonts w:hint="eastAsia" w:cs="Times New Roman"/>
          <w:color w:val="000000"/>
          <w:kern w:val="0"/>
          <w:lang w:bidi="ar"/>
        </w:rPr>
        <w:t>，</w:t>
      </w:r>
      <w:r>
        <w:rPr>
          <w:rFonts w:cs="Times New Roman"/>
          <w:color w:val="000000"/>
          <w:kern w:val="0"/>
          <w:lang w:bidi="ar"/>
        </w:rPr>
        <w:t>云母</w:t>
      </w:r>
      <w:r>
        <w:rPr>
          <w:rFonts w:hint="eastAsia" w:cs="Times New Roman"/>
          <w:color w:val="000000"/>
          <w:kern w:val="0"/>
          <w:lang w:bidi="ar"/>
        </w:rPr>
        <w:t>，</w:t>
      </w:r>
      <w:r>
        <w:rPr>
          <w:rFonts w:cs="Times New Roman"/>
          <w:color w:val="000000"/>
          <w:kern w:val="0"/>
          <w:lang w:bidi="ar"/>
        </w:rPr>
        <w:t>长石组成，砂质均匀，充填黏性颗粒。该层局部缺失，层底埋深11.20-16.20m，层底标高63.46-68.82，层厚0.30-4.90m。</w:t>
      </w:r>
    </w:p>
    <w:p>
      <w:pPr>
        <w:widowControl/>
        <w:ind w:firstLine="480"/>
        <w:rPr>
          <w:rFonts w:cs="Times New Roman"/>
        </w:rPr>
      </w:pPr>
      <w:r>
        <w:rPr>
          <w:rFonts w:cs="Times New Roman"/>
          <w:color w:val="000000"/>
          <w:kern w:val="0"/>
          <w:lang w:bidi="ar"/>
        </w:rPr>
        <w:t>第⑤层（Q</w:t>
      </w:r>
      <w:r>
        <w:rPr>
          <w:rFonts w:cs="Times New Roman"/>
          <w:color w:val="000000"/>
          <w:kern w:val="0"/>
          <w:vertAlign w:val="subscript"/>
          <w:lang w:bidi="ar"/>
        </w:rPr>
        <w:t>4al+pl</w:t>
      </w:r>
      <w:r>
        <w:rPr>
          <w:rFonts w:cs="Times New Roman"/>
          <w:color w:val="000000"/>
          <w:kern w:val="0"/>
          <w:lang w:bidi="ar"/>
        </w:rPr>
        <w:t>）粗砂：灰黄色、黄褐色，中密，饱和，主要由石英</w:t>
      </w:r>
      <w:r>
        <w:rPr>
          <w:rFonts w:hint="eastAsia" w:cs="Times New Roman"/>
          <w:color w:val="000000"/>
          <w:kern w:val="0"/>
          <w:lang w:bidi="ar"/>
        </w:rPr>
        <w:t>，</w:t>
      </w:r>
      <w:r>
        <w:rPr>
          <w:rFonts w:cs="Times New Roman"/>
          <w:color w:val="000000"/>
          <w:kern w:val="0"/>
          <w:lang w:bidi="ar"/>
        </w:rPr>
        <w:t>云母</w:t>
      </w:r>
      <w:r>
        <w:rPr>
          <w:rFonts w:hint="eastAsia" w:cs="Times New Roman"/>
          <w:color w:val="000000"/>
          <w:kern w:val="0"/>
          <w:lang w:bidi="ar"/>
        </w:rPr>
        <w:t>，</w:t>
      </w:r>
      <w:r>
        <w:rPr>
          <w:rFonts w:cs="Times New Roman"/>
          <w:color w:val="000000"/>
          <w:kern w:val="0"/>
          <w:lang w:bidi="ar"/>
        </w:rPr>
        <w:t>长石组成，砂质均匀，充填粘性颗粒，局部胶结 。该层在场地内普遍分布，层底埋深20.00-23.50m，层底标高55.95-59.69，层厚1.40-5.10m。</w:t>
      </w:r>
    </w:p>
    <w:p>
      <w:pPr>
        <w:widowControl/>
        <w:ind w:firstLine="480"/>
        <w:rPr>
          <w:rFonts w:cs="Times New Roman"/>
        </w:rPr>
      </w:pPr>
      <w:r>
        <w:rPr>
          <w:rFonts w:cs="Times New Roman"/>
          <w:color w:val="000000"/>
          <w:kern w:val="0"/>
          <w:lang w:bidi="ar"/>
        </w:rPr>
        <w:t>第⑥层（Q</w:t>
      </w:r>
      <w:r>
        <w:rPr>
          <w:rFonts w:cs="Times New Roman"/>
          <w:color w:val="000000"/>
          <w:kern w:val="0"/>
          <w:vertAlign w:val="subscript"/>
          <w:lang w:bidi="ar"/>
        </w:rPr>
        <w:t>3al+pl</w:t>
      </w:r>
      <w:r>
        <w:rPr>
          <w:rFonts w:cs="Times New Roman"/>
          <w:color w:val="000000"/>
          <w:kern w:val="0"/>
          <w:lang w:bidi="ar"/>
        </w:rPr>
        <w:t>）圆砾：杂色，中密，饱和，亚圆形，分选性一般，颗粒级配一般，母岩成分为石英岩、砂岩，一般粒径2-18mm，个别大于20mm，质量占总质量的</w:t>
      </w:r>
      <w:r>
        <w:rPr>
          <w:rFonts w:hint="eastAsia" w:cs="Times New Roman"/>
          <w:color w:val="000000"/>
          <w:kern w:val="0"/>
          <w:lang w:bidi="ar"/>
        </w:rPr>
        <w:t>50%-60%</w:t>
      </w:r>
      <w:r>
        <w:rPr>
          <w:rFonts w:cs="Times New Roman"/>
          <w:color w:val="000000"/>
          <w:kern w:val="0"/>
          <w:lang w:bidi="ar"/>
        </w:rPr>
        <w:t>，充填粘性土及粗砂。该层在场地内普遍分布，层底埋深25.00-27.10m，层底标高52.57-54.68，层厚1.50-5.10m。</w:t>
      </w:r>
    </w:p>
    <w:p>
      <w:pPr>
        <w:widowControl/>
        <w:ind w:firstLine="480"/>
        <w:rPr>
          <w:rFonts w:cs="Times New Roman"/>
        </w:rPr>
      </w:pPr>
      <w:r>
        <w:rPr>
          <w:rFonts w:cs="Times New Roman"/>
          <w:color w:val="000000"/>
          <w:kern w:val="0"/>
          <w:lang w:bidi="ar"/>
        </w:rPr>
        <w:t>第⑦层（Q</w:t>
      </w:r>
      <w:r>
        <w:rPr>
          <w:rFonts w:cs="Times New Roman"/>
          <w:color w:val="000000"/>
          <w:kern w:val="0"/>
          <w:vertAlign w:val="subscript"/>
          <w:lang w:bidi="ar"/>
        </w:rPr>
        <w:t>3al+pl</w:t>
      </w:r>
      <w:r>
        <w:rPr>
          <w:rFonts w:cs="Times New Roman"/>
          <w:color w:val="000000"/>
          <w:kern w:val="0"/>
          <w:lang w:bidi="ar"/>
        </w:rPr>
        <w:t>）黏土：棕红、棕黄色，硬塑，切面光滑，无摇震反应，干强度及韧性高，含少量铁锰质氧化物，含少量风化岩屑及碎石，局部富集。该层在场地内普遍分布，勘探深度范围内未揭穿，最大揭露厚度4.00m。</w:t>
      </w:r>
    </w:p>
    <w:p>
      <w:pPr>
        <w:widowControl/>
        <w:ind w:firstLine="480"/>
        <w:jc w:val="left"/>
        <w:rPr>
          <w:rFonts w:cs="Times New Roman"/>
          <w:color w:val="000000"/>
          <w:kern w:val="0"/>
          <w:lang w:bidi="ar"/>
        </w:rPr>
      </w:pPr>
      <w:r>
        <w:rPr>
          <w:rFonts w:hint="eastAsia" w:cs="Times New Roman"/>
          <w:color w:val="000000"/>
          <w:kern w:val="0"/>
          <w:lang w:bidi="ar"/>
        </w:rPr>
        <w:t>4、厂区水文地质条件</w:t>
      </w:r>
    </w:p>
    <w:p>
      <w:pPr>
        <w:widowControl/>
        <w:ind w:firstLine="480"/>
        <w:rPr>
          <w:rFonts w:cs="Times New Roman"/>
          <w:color w:val="000000"/>
          <w:kern w:val="0"/>
          <w:lang w:bidi="ar"/>
        </w:rPr>
      </w:pPr>
      <w:r>
        <w:rPr>
          <w:rFonts w:hint="eastAsia" w:cs="Times New Roman"/>
          <w:color w:val="000000"/>
          <w:kern w:val="0"/>
          <w:lang w:bidi="ar"/>
        </w:rPr>
        <w:t>厂址浅层地下水属松散岩类孔隙水，浅层地下水主要赋存于第三层中细砂及第五层中细砂夹砾卵石中的弱承压水。本场地地下水类型为潜水，勘察期间测</w:t>
      </w:r>
      <w:r>
        <w:rPr>
          <w:rFonts w:hint="eastAsia" w:cs="Times New Roman"/>
          <w:color w:val="000000"/>
          <w:kern w:val="0"/>
          <w:lang w:eastAsia="zh-CN" w:bidi="ar"/>
        </w:rPr>
        <w:t>的</w:t>
      </w:r>
      <w:r>
        <w:rPr>
          <w:rFonts w:hint="eastAsia" w:cs="Times New Roman"/>
          <w:color w:val="000000"/>
          <w:kern w:val="0"/>
          <w:lang w:bidi="ar"/>
        </w:rPr>
        <w:t>地下水稳定水位</w:t>
      </w:r>
      <w:r>
        <w:rPr>
          <w:rFonts w:cs="Times New Roman"/>
          <w:color w:val="000000"/>
          <w:kern w:val="0"/>
          <w:lang w:bidi="ar"/>
        </w:rPr>
        <w:t>6.7-7.8m</w:t>
      </w:r>
      <w:r>
        <w:rPr>
          <w:rFonts w:hint="eastAsia" w:cs="Times New Roman"/>
          <w:color w:val="000000"/>
          <w:kern w:val="0"/>
          <w:lang w:bidi="ar"/>
        </w:rPr>
        <w:t>，地下水位标高为</w:t>
      </w:r>
      <w:r>
        <w:rPr>
          <w:rFonts w:cs="Times New Roman"/>
          <w:color w:val="000000"/>
          <w:kern w:val="0"/>
          <w:lang w:bidi="ar"/>
        </w:rPr>
        <w:t>72.24-72.96m</w:t>
      </w:r>
      <w:r>
        <w:rPr>
          <w:rFonts w:hint="eastAsia" w:cs="Times New Roman"/>
          <w:color w:val="000000"/>
          <w:kern w:val="0"/>
          <w:lang w:bidi="ar"/>
        </w:rPr>
        <w:t>，其补给来源主要为侧向径流及大气降水，人工抽水及侧向径流的方式排泄；地下水受季节变化及地表水影响较大，水位年变幅在</w:t>
      </w:r>
      <w:r>
        <w:rPr>
          <w:rFonts w:cs="Times New Roman"/>
          <w:color w:val="000000"/>
          <w:kern w:val="0"/>
          <w:lang w:bidi="ar"/>
        </w:rPr>
        <w:t>3.00m</w:t>
      </w:r>
      <w:r>
        <w:rPr>
          <w:rFonts w:hint="eastAsia" w:cs="Times New Roman"/>
          <w:color w:val="000000"/>
          <w:kern w:val="0"/>
          <w:lang w:bidi="ar"/>
        </w:rPr>
        <w:t>左右，</w:t>
      </w:r>
      <w:r>
        <w:rPr>
          <w:rFonts w:cs="Times New Roman"/>
          <w:color w:val="000000"/>
          <w:kern w:val="0"/>
          <w:lang w:bidi="ar"/>
        </w:rPr>
        <w:t>3-5</w:t>
      </w:r>
      <w:r>
        <w:rPr>
          <w:rFonts w:hint="eastAsia" w:cs="Times New Roman"/>
          <w:color w:val="000000"/>
          <w:kern w:val="0"/>
          <w:lang w:bidi="ar"/>
        </w:rPr>
        <w:t>年最大水位标高为</w:t>
      </w:r>
      <w:r>
        <w:rPr>
          <w:rFonts w:cs="Times New Roman"/>
          <w:color w:val="000000"/>
          <w:kern w:val="0"/>
          <w:lang w:bidi="ar"/>
        </w:rPr>
        <w:t>76.00m</w:t>
      </w:r>
      <w:r>
        <w:rPr>
          <w:rFonts w:hint="eastAsia" w:cs="Times New Roman"/>
          <w:color w:val="000000"/>
          <w:kern w:val="0"/>
          <w:lang w:bidi="ar"/>
        </w:rPr>
        <w:t>。本区地下水总体由</w:t>
      </w:r>
      <w:r>
        <w:rPr>
          <w:rFonts w:hint="eastAsia" w:cs="Times New Roman"/>
          <w:color w:val="000000"/>
          <w:kern w:val="0"/>
          <w:lang w:eastAsia="zh-CN" w:bidi="ar"/>
        </w:rPr>
        <w:t>西南向东北</w:t>
      </w:r>
      <w:r>
        <w:rPr>
          <w:rFonts w:hint="eastAsia" w:cs="Times New Roman"/>
          <w:color w:val="000000"/>
          <w:kern w:val="0"/>
          <w:lang w:bidi="ar"/>
        </w:rPr>
        <w:t>径流。</w:t>
      </w:r>
    </w:p>
    <w:p>
      <w:pPr>
        <w:autoSpaceDE w:val="0"/>
        <w:autoSpaceDN w:val="0"/>
        <w:ind w:firstLine="482"/>
        <w:rPr>
          <w:b/>
          <w:snapToGrid w:val="0"/>
          <w:kern w:val="0"/>
        </w:rPr>
      </w:pPr>
      <w:r>
        <w:rPr>
          <w:rFonts w:hint="eastAsia"/>
          <w:b/>
          <w:snapToGrid w:val="0"/>
          <w:kern w:val="0"/>
        </w:rPr>
        <w:t xml:space="preserve">6.5.3.6 </w:t>
      </w:r>
      <w:r>
        <w:rPr>
          <w:b/>
          <w:snapToGrid w:val="0"/>
          <w:kern w:val="0"/>
        </w:rPr>
        <w:t>地下水环境影响识别</w:t>
      </w:r>
    </w:p>
    <w:p>
      <w:pPr>
        <w:autoSpaceDE w:val="0"/>
        <w:autoSpaceDN w:val="0"/>
        <w:ind w:firstLine="480"/>
        <w:rPr>
          <w:snapToGrid w:val="0"/>
          <w:kern w:val="0"/>
          <w:u w:val="single"/>
        </w:rPr>
      </w:pPr>
      <w:r>
        <w:rPr>
          <w:snapToGrid w:val="0"/>
          <w:kern w:val="0"/>
          <w:u w:val="single"/>
        </w:rPr>
        <w:t>本项目运营期废水主要为</w:t>
      </w:r>
      <w:r>
        <w:rPr>
          <w:rFonts w:hint="eastAsia"/>
          <w:snapToGrid w:val="0"/>
          <w:kern w:val="0"/>
          <w:u w:val="single"/>
        </w:rPr>
        <w:t>生活污水、餐饮废水、清洗废水、循环冷却水</w:t>
      </w:r>
      <w:r>
        <w:rPr>
          <w:snapToGrid w:val="0"/>
          <w:kern w:val="0"/>
          <w:u w:val="single"/>
        </w:rPr>
        <w:t>，废水水质复杂程度属简单，</w:t>
      </w:r>
      <w:r>
        <w:rPr>
          <w:rFonts w:hint="eastAsia"/>
          <w:snapToGrid w:val="0"/>
          <w:kern w:val="0"/>
          <w:u w:val="single"/>
        </w:rPr>
        <w:t>普通生活污水经隔油池、三级化粪池预处理后排入污水站与生产废水一同经污水站处理，然后经市政污水管网引至平顶山第三污水处理厂。</w:t>
      </w:r>
    </w:p>
    <w:p>
      <w:pPr>
        <w:pStyle w:val="46"/>
        <w:spacing w:after="0"/>
        <w:rPr>
          <w:snapToGrid w:val="0"/>
        </w:rPr>
      </w:pPr>
      <w:r>
        <w:rPr>
          <w:snapToGrid w:val="0"/>
        </w:rPr>
        <w:t>本项目废水综合利用，污染物对地下水的影响主要是由于降雨、废水收集处理系统防渗措施不足或非正常工况下，废水通过垂直渗透进入包气带，进入包气带的污染物在物理、化学和生物作用下，经吸附、转化、迁移和分解后输入地下水。因此，包气带是连接地面污染物与地下含水层的主要通道和过渡带，既是污染物媒介体，又是污染物的净化场所和防护层。一般来说，土壤粒细而紧密，渗透性差，则污染慢；反之，颗粒大松散，渗透性良好则污染重。</w:t>
      </w:r>
    </w:p>
    <w:p>
      <w:pPr>
        <w:ind w:firstLine="482"/>
        <w:rPr>
          <w:b/>
          <w:snapToGrid w:val="0"/>
          <w:kern w:val="0"/>
        </w:rPr>
      </w:pPr>
      <w:r>
        <w:rPr>
          <w:rFonts w:hint="eastAsia"/>
          <w:b/>
          <w:snapToGrid w:val="0"/>
          <w:kern w:val="0"/>
        </w:rPr>
        <w:t xml:space="preserve">6.5.3.7 </w:t>
      </w:r>
      <w:r>
        <w:rPr>
          <w:b/>
          <w:snapToGrid w:val="0"/>
          <w:kern w:val="0"/>
        </w:rPr>
        <w:t>地下水污染防治措施</w:t>
      </w:r>
    </w:p>
    <w:p>
      <w:pPr>
        <w:ind w:firstLine="480"/>
        <w:rPr>
          <w:snapToGrid w:val="0"/>
          <w:kern w:val="0"/>
        </w:rPr>
      </w:pPr>
      <w:r>
        <w:rPr>
          <w:snapToGrid w:val="0"/>
          <w:kern w:val="0"/>
        </w:rPr>
        <w:t>根据建设项目场地天然包气带防污性能、污染控制难易程度和污染物特性确定防渗级别。污染控制难易程度分级和天然包气带防污性能分级参照表</w:t>
      </w:r>
      <w:r>
        <w:rPr>
          <w:rFonts w:hint="eastAsia"/>
          <w:snapToGrid w:val="0"/>
          <w:kern w:val="0"/>
        </w:rPr>
        <w:t>6</w:t>
      </w:r>
      <w:r>
        <w:rPr>
          <w:snapToGrid w:val="0"/>
          <w:kern w:val="0"/>
        </w:rPr>
        <w:t>.</w:t>
      </w:r>
      <w:r>
        <w:rPr>
          <w:rFonts w:hint="eastAsia"/>
          <w:snapToGrid w:val="0"/>
          <w:kern w:val="0"/>
        </w:rPr>
        <w:t>5-5</w:t>
      </w:r>
      <w:r>
        <w:rPr>
          <w:snapToGrid w:val="0"/>
          <w:kern w:val="0"/>
        </w:rPr>
        <w:t>和表</w:t>
      </w:r>
      <w:r>
        <w:rPr>
          <w:rFonts w:hint="eastAsia"/>
          <w:snapToGrid w:val="0"/>
          <w:kern w:val="0"/>
        </w:rPr>
        <w:t>6</w:t>
      </w:r>
      <w:r>
        <w:rPr>
          <w:snapToGrid w:val="0"/>
          <w:kern w:val="0"/>
        </w:rPr>
        <w:t>.</w:t>
      </w:r>
      <w:r>
        <w:rPr>
          <w:rFonts w:hint="eastAsia"/>
          <w:snapToGrid w:val="0"/>
          <w:kern w:val="0"/>
        </w:rPr>
        <w:t>5-6</w:t>
      </w:r>
      <w:r>
        <w:rPr>
          <w:snapToGrid w:val="0"/>
          <w:kern w:val="0"/>
        </w:rPr>
        <w:t>进行相关等级的确定。参照表</w:t>
      </w:r>
      <w:r>
        <w:rPr>
          <w:rFonts w:hint="eastAsia"/>
          <w:snapToGrid w:val="0"/>
          <w:kern w:val="0"/>
        </w:rPr>
        <w:t>6.5-7</w:t>
      </w:r>
      <w:r>
        <w:rPr>
          <w:snapToGrid w:val="0"/>
          <w:kern w:val="0"/>
        </w:rPr>
        <w:t>提出防渗技术要求。</w:t>
      </w:r>
    </w:p>
    <w:p>
      <w:pPr>
        <w:spacing w:line="240" w:lineRule="auto"/>
        <w:ind w:firstLine="482"/>
        <w:jc w:val="center"/>
        <w:rPr>
          <w:b/>
        </w:rPr>
      </w:pPr>
      <w:r>
        <w:rPr>
          <w:b/>
        </w:rPr>
        <w:t>表</w:t>
      </w:r>
      <w:r>
        <w:rPr>
          <w:rFonts w:hint="eastAsia"/>
          <w:b/>
        </w:rPr>
        <w:t>6.5-5</w:t>
      </w:r>
      <w:r>
        <w:rPr>
          <w:b/>
        </w:rPr>
        <w:t xml:space="preserve">   污染控制难易程度分级参照表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1"/>
        <w:gridCol w:w="6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276" w:type="pct"/>
            <w:vAlign w:val="center"/>
          </w:tcPr>
          <w:p>
            <w:pPr>
              <w:widowControl/>
              <w:spacing w:line="240" w:lineRule="auto"/>
              <w:ind w:firstLine="420"/>
              <w:jc w:val="center"/>
              <w:rPr>
                <w:kern w:val="0"/>
                <w:sz w:val="21"/>
                <w:szCs w:val="21"/>
              </w:rPr>
            </w:pPr>
            <w:r>
              <w:rPr>
                <w:kern w:val="0"/>
                <w:sz w:val="21"/>
                <w:szCs w:val="21"/>
              </w:rPr>
              <w:t>污染控制难易程度</w:t>
            </w:r>
          </w:p>
        </w:tc>
        <w:tc>
          <w:tcPr>
            <w:tcW w:w="3723" w:type="pct"/>
            <w:vAlign w:val="center"/>
          </w:tcPr>
          <w:p>
            <w:pPr>
              <w:widowControl/>
              <w:spacing w:line="240" w:lineRule="auto"/>
              <w:ind w:firstLine="420"/>
              <w:jc w:val="center"/>
              <w:rPr>
                <w:kern w:val="0"/>
                <w:sz w:val="21"/>
                <w:szCs w:val="21"/>
              </w:rPr>
            </w:pPr>
            <w:r>
              <w:rPr>
                <w:kern w:val="0"/>
                <w:sz w:val="21"/>
                <w:szCs w:val="21"/>
              </w:rPr>
              <w:t>主要特征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1276" w:type="pct"/>
            <w:vAlign w:val="center"/>
          </w:tcPr>
          <w:p>
            <w:pPr>
              <w:widowControl/>
              <w:spacing w:line="240" w:lineRule="auto"/>
              <w:ind w:firstLine="420"/>
              <w:jc w:val="center"/>
              <w:rPr>
                <w:kern w:val="0"/>
                <w:sz w:val="21"/>
                <w:szCs w:val="21"/>
              </w:rPr>
            </w:pPr>
            <w:r>
              <w:rPr>
                <w:kern w:val="0"/>
                <w:sz w:val="21"/>
                <w:szCs w:val="21"/>
              </w:rPr>
              <w:t>难</w:t>
            </w:r>
          </w:p>
        </w:tc>
        <w:tc>
          <w:tcPr>
            <w:tcW w:w="3723" w:type="pct"/>
            <w:vAlign w:val="center"/>
          </w:tcPr>
          <w:p>
            <w:pPr>
              <w:widowControl/>
              <w:spacing w:line="240" w:lineRule="auto"/>
              <w:ind w:firstLine="420"/>
              <w:jc w:val="center"/>
              <w:rPr>
                <w:kern w:val="0"/>
                <w:sz w:val="21"/>
                <w:szCs w:val="21"/>
              </w:rPr>
            </w:pPr>
            <w:r>
              <w:rPr>
                <w:kern w:val="0"/>
                <w:sz w:val="21"/>
                <w:szCs w:val="21"/>
              </w:rPr>
              <w:t>对地下水环境有污染的物料或污染物泄漏后，不能及时发现和处理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1276" w:type="pct"/>
            <w:vAlign w:val="center"/>
          </w:tcPr>
          <w:p>
            <w:pPr>
              <w:widowControl/>
              <w:spacing w:line="240" w:lineRule="auto"/>
              <w:ind w:firstLine="420"/>
              <w:jc w:val="center"/>
              <w:rPr>
                <w:kern w:val="0"/>
                <w:sz w:val="21"/>
                <w:szCs w:val="21"/>
              </w:rPr>
            </w:pPr>
            <w:r>
              <w:rPr>
                <w:kern w:val="0"/>
                <w:sz w:val="21"/>
                <w:szCs w:val="21"/>
              </w:rPr>
              <w:t>易</w:t>
            </w:r>
          </w:p>
        </w:tc>
        <w:tc>
          <w:tcPr>
            <w:tcW w:w="3723" w:type="pct"/>
            <w:vAlign w:val="center"/>
          </w:tcPr>
          <w:p>
            <w:pPr>
              <w:widowControl/>
              <w:spacing w:line="240" w:lineRule="auto"/>
              <w:ind w:firstLine="420"/>
              <w:jc w:val="center"/>
              <w:rPr>
                <w:kern w:val="0"/>
                <w:sz w:val="21"/>
                <w:szCs w:val="21"/>
              </w:rPr>
            </w:pPr>
            <w:r>
              <w:rPr>
                <w:kern w:val="0"/>
                <w:sz w:val="21"/>
                <w:szCs w:val="21"/>
              </w:rPr>
              <w:t>对地下水环境有污染的物料或污染物泄漏后，可及时发现和处理</w:t>
            </w:r>
          </w:p>
        </w:tc>
      </w:tr>
    </w:tbl>
    <w:p>
      <w:pPr>
        <w:spacing w:line="240" w:lineRule="auto"/>
        <w:ind w:firstLine="482"/>
        <w:jc w:val="center"/>
        <w:rPr>
          <w:b/>
        </w:rPr>
      </w:pPr>
      <w:r>
        <w:rPr>
          <w:b/>
        </w:rPr>
        <w:t>表</w:t>
      </w:r>
      <w:r>
        <w:rPr>
          <w:rFonts w:hint="eastAsia"/>
          <w:b/>
        </w:rPr>
        <w:t>6.5-6</w:t>
      </w:r>
      <w:r>
        <w:rPr>
          <w:b/>
        </w:rPr>
        <w:t xml:space="preserve">    天然包气带防污性能分级参照表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2"/>
        <w:gridCol w:w="83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507" w:type="pct"/>
            <w:vAlign w:val="center"/>
          </w:tcPr>
          <w:p>
            <w:pPr>
              <w:widowControl/>
              <w:spacing w:line="240" w:lineRule="auto"/>
              <w:ind w:firstLine="0" w:firstLineChars="0"/>
              <w:jc w:val="center"/>
              <w:rPr>
                <w:bCs/>
                <w:kern w:val="0"/>
                <w:sz w:val="21"/>
                <w:szCs w:val="21"/>
              </w:rPr>
            </w:pPr>
            <w:r>
              <w:rPr>
                <w:kern w:val="0"/>
                <w:sz w:val="21"/>
                <w:szCs w:val="21"/>
              </w:rPr>
              <w:t>分级</w:t>
            </w:r>
          </w:p>
        </w:tc>
        <w:tc>
          <w:tcPr>
            <w:tcW w:w="4492" w:type="pct"/>
            <w:vAlign w:val="center"/>
          </w:tcPr>
          <w:p>
            <w:pPr>
              <w:widowControl/>
              <w:spacing w:line="240" w:lineRule="auto"/>
              <w:ind w:firstLine="0" w:firstLineChars="0"/>
              <w:jc w:val="center"/>
              <w:rPr>
                <w:kern w:val="0"/>
                <w:sz w:val="21"/>
                <w:szCs w:val="21"/>
              </w:rPr>
            </w:pPr>
            <w:r>
              <w:rPr>
                <w:kern w:val="0"/>
                <w:sz w:val="21"/>
                <w:szCs w:val="21"/>
              </w:rPr>
              <w:t>包气带岩土的渗透性能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507" w:type="pct"/>
            <w:vAlign w:val="center"/>
          </w:tcPr>
          <w:p>
            <w:pPr>
              <w:widowControl/>
              <w:spacing w:line="240" w:lineRule="auto"/>
              <w:ind w:firstLine="0" w:firstLineChars="0"/>
              <w:jc w:val="center"/>
              <w:rPr>
                <w:bCs/>
                <w:kern w:val="0"/>
                <w:sz w:val="21"/>
                <w:szCs w:val="21"/>
              </w:rPr>
            </w:pPr>
            <w:r>
              <w:rPr>
                <w:kern w:val="0"/>
                <w:sz w:val="21"/>
                <w:szCs w:val="21"/>
              </w:rPr>
              <w:t>强</w:t>
            </w:r>
          </w:p>
        </w:tc>
        <w:tc>
          <w:tcPr>
            <w:tcW w:w="4492" w:type="pct"/>
            <w:vAlign w:val="center"/>
          </w:tcPr>
          <w:p>
            <w:pPr>
              <w:widowControl/>
              <w:spacing w:line="240" w:lineRule="auto"/>
              <w:ind w:firstLine="0" w:firstLineChars="0"/>
              <w:jc w:val="center"/>
              <w:rPr>
                <w:bCs/>
                <w:kern w:val="0"/>
                <w:sz w:val="21"/>
                <w:szCs w:val="21"/>
              </w:rPr>
            </w:pPr>
            <w:r>
              <w:rPr>
                <w:kern w:val="0"/>
                <w:sz w:val="21"/>
                <w:szCs w:val="21"/>
              </w:rPr>
              <w:t>Mb≥1.0m，K≤1.0×10</w:t>
            </w:r>
            <w:r>
              <w:rPr>
                <w:kern w:val="0"/>
                <w:sz w:val="21"/>
                <w:szCs w:val="21"/>
                <w:vertAlign w:val="superscript"/>
              </w:rPr>
              <w:t>-6</w:t>
            </w:r>
            <w:r>
              <w:rPr>
                <w:kern w:val="0"/>
                <w:sz w:val="21"/>
                <w:szCs w:val="21"/>
              </w:rPr>
              <w:t>cm/s，且分布连续、稳定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exact"/>
          <w:jc w:val="center"/>
        </w:trPr>
        <w:tc>
          <w:tcPr>
            <w:tcW w:w="507" w:type="pct"/>
            <w:vAlign w:val="center"/>
          </w:tcPr>
          <w:p>
            <w:pPr>
              <w:widowControl/>
              <w:spacing w:line="240" w:lineRule="auto"/>
              <w:ind w:firstLine="0" w:firstLineChars="0"/>
              <w:jc w:val="center"/>
              <w:rPr>
                <w:bCs/>
                <w:kern w:val="0"/>
                <w:sz w:val="21"/>
                <w:szCs w:val="21"/>
              </w:rPr>
            </w:pPr>
            <w:r>
              <w:rPr>
                <w:kern w:val="0"/>
                <w:sz w:val="21"/>
                <w:szCs w:val="21"/>
              </w:rPr>
              <w:t>中</w:t>
            </w:r>
          </w:p>
        </w:tc>
        <w:tc>
          <w:tcPr>
            <w:tcW w:w="4492" w:type="pct"/>
            <w:vAlign w:val="center"/>
          </w:tcPr>
          <w:p>
            <w:pPr>
              <w:widowControl/>
              <w:spacing w:line="240" w:lineRule="auto"/>
              <w:ind w:firstLine="0" w:firstLineChars="0"/>
              <w:jc w:val="center"/>
              <w:rPr>
                <w:bCs/>
                <w:kern w:val="0"/>
                <w:sz w:val="21"/>
                <w:szCs w:val="21"/>
              </w:rPr>
            </w:pPr>
            <w:r>
              <w:rPr>
                <w:kern w:val="0"/>
                <w:sz w:val="21"/>
                <w:szCs w:val="21"/>
              </w:rPr>
              <w:t>0.5m≤Mb&lt;1.0m，K≤1.0×10</w:t>
            </w:r>
            <w:r>
              <w:rPr>
                <w:kern w:val="0"/>
                <w:sz w:val="21"/>
                <w:szCs w:val="21"/>
                <w:vertAlign w:val="superscript"/>
              </w:rPr>
              <w:t>-6</w:t>
            </w:r>
            <w:r>
              <w:rPr>
                <w:kern w:val="0"/>
                <w:sz w:val="21"/>
                <w:szCs w:val="21"/>
              </w:rPr>
              <w:t>cm/s，且分布连续、稳定</w:t>
            </w:r>
          </w:p>
          <w:p>
            <w:pPr>
              <w:widowControl/>
              <w:spacing w:line="240" w:lineRule="auto"/>
              <w:ind w:firstLine="0" w:firstLineChars="0"/>
              <w:jc w:val="center"/>
              <w:rPr>
                <w:kern w:val="0"/>
                <w:sz w:val="21"/>
                <w:szCs w:val="21"/>
              </w:rPr>
            </w:pPr>
            <w:r>
              <w:rPr>
                <w:kern w:val="0"/>
                <w:sz w:val="21"/>
                <w:szCs w:val="21"/>
              </w:rPr>
              <w:t>Mb≥1.0m，1.0×10</w:t>
            </w:r>
            <w:r>
              <w:rPr>
                <w:kern w:val="0"/>
                <w:sz w:val="21"/>
                <w:szCs w:val="21"/>
                <w:vertAlign w:val="superscript"/>
              </w:rPr>
              <w:t>-6</w:t>
            </w:r>
            <w:r>
              <w:rPr>
                <w:kern w:val="0"/>
                <w:sz w:val="21"/>
                <w:szCs w:val="21"/>
              </w:rPr>
              <w:t>cm/s&lt;K≤1.0×10</w:t>
            </w:r>
            <w:r>
              <w:rPr>
                <w:kern w:val="0"/>
                <w:sz w:val="21"/>
                <w:szCs w:val="21"/>
                <w:vertAlign w:val="superscript"/>
              </w:rPr>
              <w:t>-4</w:t>
            </w:r>
            <w:r>
              <w:rPr>
                <w:kern w:val="0"/>
                <w:sz w:val="21"/>
                <w:szCs w:val="21"/>
              </w:rPr>
              <w:t>cm/s，且分布连续、稳定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507" w:type="pct"/>
            <w:vAlign w:val="center"/>
          </w:tcPr>
          <w:p>
            <w:pPr>
              <w:widowControl/>
              <w:spacing w:line="240" w:lineRule="auto"/>
              <w:ind w:firstLine="0" w:firstLineChars="0"/>
              <w:jc w:val="center"/>
              <w:rPr>
                <w:bCs/>
                <w:kern w:val="0"/>
                <w:sz w:val="21"/>
                <w:szCs w:val="21"/>
              </w:rPr>
            </w:pPr>
            <w:r>
              <w:rPr>
                <w:kern w:val="0"/>
                <w:sz w:val="21"/>
                <w:szCs w:val="21"/>
              </w:rPr>
              <w:t>弱</w:t>
            </w:r>
          </w:p>
        </w:tc>
        <w:tc>
          <w:tcPr>
            <w:tcW w:w="4492" w:type="pct"/>
            <w:vAlign w:val="center"/>
          </w:tcPr>
          <w:p>
            <w:pPr>
              <w:widowControl/>
              <w:spacing w:line="240" w:lineRule="auto"/>
              <w:ind w:firstLine="0" w:firstLineChars="0"/>
              <w:jc w:val="center"/>
              <w:rPr>
                <w:bCs/>
                <w:kern w:val="0"/>
                <w:sz w:val="21"/>
                <w:szCs w:val="21"/>
              </w:rPr>
            </w:pPr>
            <w:r>
              <w:rPr>
                <w:kern w:val="0"/>
                <w:sz w:val="21"/>
                <w:szCs w:val="21"/>
              </w:rPr>
              <w:t>岩（土）层不满足上述</w:t>
            </w:r>
            <w:r>
              <w:rPr>
                <w:rFonts w:hint="eastAsia"/>
                <w:kern w:val="0"/>
                <w:sz w:val="21"/>
                <w:szCs w:val="21"/>
                <w:lang w:eastAsia="zh-CN"/>
              </w:rPr>
              <w:t>“</w:t>
            </w:r>
            <w:r>
              <w:rPr>
                <w:kern w:val="0"/>
                <w:sz w:val="21"/>
                <w:szCs w:val="21"/>
              </w:rPr>
              <w:t>强</w:t>
            </w:r>
            <w:r>
              <w:rPr>
                <w:rFonts w:hint="eastAsia"/>
                <w:kern w:val="0"/>
                <w:sz w:val="21"/>
                <w:szCs w:val="21"/>
                <w:lang w:eastAsia="zh-CN"/>
              </w:rPr>
              <w:t>”</w:t>
            </w:r>
            <w:r>
              <w:rPr>
                <w:kern w:val="0"/>
                <w:sz w:val="21"/>
                <w:szCs w:val="21"/>
              </w:rPr>
              <w:t>和</w:t>
            </w:r>
            <w:r>
              <w:rPr>
                <w:rFonts w:hint="eastAsia"/>
                <w:kern w:val="0"/>
                <w:sz w:val="21"/>
                <w:szCs w:val="21"/>
                <w:lang w:eastAsia="zh-CN"/>
              </w:rPr>
              <w:t>“</w:t>
            </w:r>
            <w:r>
              <w:rPr>
                <w:kern w:val="0"/>
                <w:sz w:val="21"/>
                <w:szCs w:val="21"/>
              </w:rPr>
              <w:t>中</w:t>
            </w:r>
            <w:r>
              <w:rPr>
                <w:rFonts w:hint="eastAsia"/>
                <w:kern w:val="0"/>
                <w:sz w:val="21"/>
                <w:szCs w:val="21"/>
                <w:lang w:eastAsia="zh-CN"/>
              </w:rPr>
              <w:t>”</w:t>
            </w:r>
            <w:r>
              <w:rPr>
                <w:kern w:val="0"/>
                <w:sz w:val="21"/>
                <w:szCs w:val="21"/>
              </w:rPr>
              <w:t>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5000" w:type="pct"/>
            <w:gridSpan w:val="2"/>
            <w:vAlign w:val="center"/>
          </w:tcPr>
          <w:p>
            <w:pPr>
              <w:widowControl/>
              <w:spacing w:line="240" w:lineRule="auto"/>
              <w:ind w:firstLine="0" w:firstLineChars="0"/>
              <w:jc w:val="center"/>
              <w:rPr>
                <w:kern w:val="0"/>
                <w:sz w:val="21"/>
                <w:szCs w:val="21"/>
              </w:rPr>
            </w:pPr>
            <w:r>
              <w:rPr>
                <w:kern w:val="0"/>
                <w:sz w:val="21"/>
                <w:szCs w:val="21"/>
              </w:rPr>
              <w:t>注</w:t>
            </w:r>
            <w:r>
              <w:rPr>
                <w:rFonts w:hint="eastAsia"/>
                <w:kern w:val="0"/>
                <w:sz w:val="21"/>
                <w:szCs w:val="21"/>
              </w:rPr>
              <w:t>：</w:t>
            </w:r>
            <w:r>
              <w:rPr>
                <w:kern w:val="0"/>
                <w:sz w:val="21"/>
                <w:szCs w:val="21"/>
              </w:rPr>
              <w:t>Mb：岩土层单层厚度。K：渗透系数。</w:t>
            </w:r>
          </w:p>
        </w:tc>
      </w:tr>
    </w:tbl>
    <w:p>
      <w:pPr>
        <w:spacing w:line="240" w:lineRule="auto"/>
        <w:ind w:firstLine="482"/>
        <w:jc w:val="center"/>
        <w:rPr>
          <w:b/>
        </w:rPr>
      </w:pPr>
      <w:r>
        <w:rPr>
          <w:b/>
        </w:rPr>
        <w:t>表</w:t>
      </w:r>
      <w:r>
        <w:rPr>
          <w:rFonts w:hint="eastAsia"/>
          <w:b/>
        </w:rPr>
        <w:t>6</w:t>
      </w:r>
      <w:r>
        <w:rPr>
          <w:b/>
        </w:rPr>
        <w:t>.</w:t>
      </w:r>
      <w:r>
        <w:rPr>
          <w:rFonts w:hint="eastAsia"/>
          <w:b/>
        </w:rPr>
        <w:t>5-7</w:t>
      </w:r>
      <w:r>
        <w:rPr>
          <w:b/>
        </w:rPr>
        <w:t xml:space="preserve">  场地防渗等级一览表</w:t>
      </w:r>
    </w:p>
    <w:tbl>
      <w:tblPr>
        <w:tblStyle w:val="28"/>
        <w:tblW w:w="500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77"/>
        <w:gridCol w:w="2203"/>
        <w:gridCol w:w="1959"/>
        <w:gridCol w:w="1229"/>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61" w:type="pct"/>
            <w:tcMar>
              <w:left w:w="0" w:type="dxa"/>
              <w:right w:w="0" w:type="dxa"/>
            </w:tcMar>
            <w:vAlign w:val="center"/>
          </w:tcPr>
          <w:p>
            <w:pPr>
              <w:spacing w:line="240" w:lineRule="auto"/>
              <w:ind w:firstLine="0" w:firstLineChars="0"/>
              <w:jc w:val="center"/>
              <w:rPr>
                <w:sz w:val="21"/>
                <w:szCs w:val="21"/>
              </w:rPr>
            </w:pPr>
            <w:r>
              <w:rPr>
                <w:sz w:val="21"/>
                <w:szCs w:val="21"/>
              </w:rPr>
              <w:t>场地名称</w:t>
            </w:r>
          </w:p>
        </w:tc>
        <w:tc>
          <w:tcPr>
            <w:tcW w:w="1210" w:type="pct"/>
            <w:tcMar>
              <w:left w:w="0" w:type="dxa"/>
              <w:right w:w="0" w:type="dxa"/>
            </w:tcMar>
            <w:vAlign w:val="center"/>
          </w:tcPr>
          <w:p>
            <w:pPr>
              <w:spacing w:line="240" w:lineRule="auto"/>
              <w:ind w:firstLine="0" w:firstLineChars="0"/>
              <w:jc w:val="center"/>
              <w:rPr>
                <w:sz w:val="21"/>
                <w:szCs w:val="21"/>
              </w:rPr>
            </w:pPr>
            <w:r>
              <w:rPr>
                <w:sz w:val="21"/>
                <w:szCs w:val="21"/>
              </w:rPr>
              <w:t>天然包气带防污性能</w:t>
            </w:r>
          </w:p>
        </w:tc>
        <w:tc>
          <w:tcPr>
            <w:tcW w:w="1076" w:type="pct"/>
            <w:tcMar>
              <w:left w:w="0" w:type="dxa"/>
              <w:right w:w="0" w:type="dxa"/>
            </w:tcMar>
            <w:vAlign w:val="center"/>
          </w:tcPr>
          <w:p>
            <w:pPr>
              <w:spacing w:line="240" w:lineRule="auto"/>
              <w:ind w:firstLine="0" w:firstLineChars="0"/>
              <w:jc w:val="center"/>
              <w:rPr>
                <w:sz w:val="21"/>
                <w:szCs w:val="21"/>
              </w:rPr>
            </w:pPr>
            <w:r>
              <w:rPr>
                <w:sz w:val="21"/>
                <w:szCs w:val="21"/>
              </w:rPr>
              <w:t>污染控制难易程度</w:t>
            </w:r>
          </w:p>
        </w:tc>
        <w:tc>
          <w:tcPr>
            <w:tcW w:w="675" w:type="pct"/>
            <w:tcMar>
              <w:left w:w="0" w:type="dxa"/>
              <w:right w:w="0" w:type="dxa"/>
            </w:tcMar>
            <w:vAlign w:val="center"/>
          </w:tcPr>
          <w:p>
            <w:pPr>
              <w:spacing w:line="240" w:lineRule="auto"/>
              <w:ind w:firstLine="0" w:firstLineChars="0"/>
              <w:jc w:val="center"/>
              <w:rPr>
                <w:sz w:val="21"/>
                <w:szCs w:val="21"/>
              </w:rPr>
            </w:pPr>
            <w:r>
              <w:rPr>
                <w:sz w:val="21"/>
                <w:szCs w:val="21"/>
              </w:rPr>
              <w:t>污染物类型</w:t>
            </w:r>
          </w:p>
        </w:tc>
        <w:tc>
          <w:tcPr>
            <w:tcW w:w="675" w:type="pct"/>
            <w:tcMar>
              <w:left w:w="0" w:type="dxa"/>
              <w:right w:w="0" w:type="dxa"/>
            </w:tcMar>
            <w:vAlign w:val="center"/>
          </w:tcPr>
          <w:p>
            <w:pPr>
              <w:spacing w:line="240" w:lineRule="auto"/>
              <w:ind w:firstLine="0" w:firstLineChars="0"/>
              <w:jc w:val="center"/>
              <w:rPr>
                <w:sz w:val="21"/>
                <w:szCs w:val="21"/>
              </w:rPr>
            </w:pPr>
            <w:r>
              <w:rPr>
                <w:sz w:val="21"/>
                <w:szCs w:val="21"/>
              </w:rPr>
              <w:t>防渗分区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61" w:type="pct"/>
            <w:tcMar>
              <w:left w:w="0" w:type="dxa"/>
              <w:right w:w="0" w:type="dxa"/>
            </w:tcMar>
            <w:vAlign w:val="center"/>
          </w:tcPr>
          <w:p>
            <w:pPr>
              <w:spacing w:line="240" w:lineRule="auto"/>
              <w:ind w:firstLine="0" w:firstLineChars="0"/>
              <w:jc w:val="center"/>
              <w:rPr>
                <w:sz w:val="21"/>
                <w:szCs w:val="21"/>
              </w:rPr>
            </w:pPr>
            <w:r>
              <w:rPr>
                <w:sz w:val="21"/>
                <w:szCs w:val="21"/>
              </w:rPr>
              <w:t>化粪池</w:t>
            </w:r>
          </w:p>
        </w:tc>
        <w:tc>
          <w:tcPr>
            <w:tcW w:w="1210" w:type="pct"/>
            <w:tcMar>
              <w:left w:w="0" w:type="dxa"/>
              <w:right w:w="0" w:type="dxa"/>
            </w:tcMar>
            <w:vAlign w:val="center"/>
          </w:tcPr>
          <w:p>
            <w:pPr>
              <w:spacing w:line="240" w:lineRule="auto"/>
              <w:ind w:firstLine="0" w:firstLineChars="0"/>
              <w:jc w:val="center"/>
              <w:rPr>
                <w:sz w:val="21"/>
                <w:szCs w:val="21"/>
              </w:rPr>
            </w:pPr>
            <w:r>
              <w:rPr>
                <w:rFonts w:hint="eastAsia"/>
                <w:sz w:val="21"/>
                <w:szCs w:val="21"/>
              </w:rPr>
              <w:t>弱</w:t>
            </w:r>
          </w:p>
        </w:tc>
        <w:tc>
          <w:tcPr>
            <w:tcW w:w="1076" w:type="pct"/>
            <w:tcMar>
              <w:left w:w="0" w:type="dxa"/>
              <w:right w:w="0" w:type="dxa"/>
            </w:tcMar>
            <w:vAlign w:val="center"/>
          </w:tcPr>
          <w:p>
            <w:pPr>
              <w:spacing w:line="240" w:lineRule="auto"/>
              <w:ind w:firstLine="0" w:firstLineChars="0"/>
              <w:jc w:val="center"/>
              <w:rPr>
                <w:sz w:val="21"/>
                <w:szCs w:val="21"/>
              </w:rPr>
            </w:pPr>
            <w:r>
              <w:rPr>
                <w:sz w:val="21"/>
                <w:szCs w:val="21"/>
              </w:rPr>
              <w:t>难</w:t>
            </w:r>
          </w:p>
        </w:tc>
        <w:tc>
          <w:tcPr>
            <w:tcW w:w="675" w:type="pct"/>
            <w:tcMar>
              <w:left w:w="0" w:type="dxa"/>
              <w:right w:w="0" w:type="dxa"/>
            </w:tcMar>
            <w:vAlign w:val="center"/>
          </w:tcPr>
          <w:p>
            <w:pPr>
              <w:spacing w:line="240" w:lineRule="auto"/>
              <w:ind w:firstLine="0" w:firstLineChars="0"/>
              <w:jc w:val="center"/>
              <w:rPr>
                <w:sz w:val="21"/>
                <w:szCs w:val="21"/>
              </w:rPr>
            </w:pPr>
            <w:r>
              <w:rPr>
                <w:sz w:val="21"/>
                <w:szCs w:val="21"/>
              </w:rPr>
              <w:t>其他类型</w:t>
            </w:r>
          </w:p>
        </w:tc>
        <w:tc>
          <w:tcPr>
            <w:tcW w:w="675" w:type="pct"/>
            <w:tcMar>
              <w:left w:w="0" w:type="dxa"/>
              <w:right w:w="0" w:type="dxa"/>
            </w:tcMar>
            <w:vAlign w:val="center"/>
          </w:tcPr>
          <w:p>
            <w:pPr>
              <w:spacing w:line="240" w:lineRule="auto"/>
              <w:ind w:firstLine="0" w:firstLineChars="0"/>
              <w:jc w:val="center"/>
              <w:rPr>
                <w:sz w:val="21"/>
                <w:szCs w:val="21"/>
              </w:rPr>
            </w:pPr>
            <w:r>
              <w:rPr>
                <w:sz w:val="21"/>
                <w:szCs w:val="21"/>
              </w:rPr>
              <w:t>一般防渗区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 w:hRule="atLeast"/>
          <w:jc w:val="center"/>
        </w:trPr>
        <w:tc>
          <w:tcPr>
            <w:tcW w:w="1361" w:type="pct"/>
            <w:tcMar>
              <w:left w:w="0" w:type="dxa"/>
              <w:right w:w="0" w:type="dxa"/>
            </w:tcMar>
            <w:vAlign w:val="center"/>
          </w:tcPr>
          <w:p>
            <w:pPr>
              <w:spacing w:line="240" w:lineRule="auto"/>
              <w:ind w:firstLine="0" w:firstLineChars="0"/>
              <w:jc w:val="center"/>
              <w:rPr>
                <w:sz w:val="21"/>
                <w:szCs w:val="21"/>
              </w:rPr>
            </w:pPr>
            <w:r>
              <w:rPr>
                <w:rFonts w:hint="eastAsia"/>
                <w:sz w:val="21"/>
                <w:szCs w:val="21"/>
              </w:rPr>
              <w:t>污水处理站</w:t>
            </w:r>
          </w:p>
        </w:tc>
        <w:tc>
          <w:tcPr>
            <w:tcW w:w="1210" w:type="pct"/>
            <w:tcMar>
              <w:left w:w="0" w:type="dxa"/>
              <w:right w:w="0" w:type="dxa"/>
            </w:tcMar>
            <w:vAlign w:val="center"/>
          </w:tcPr>
          <w:p>
            <w:pPr>
              <w:spacing w:line="240" w:lineRule="auto"/>
              <w:ind w:firstLine="0" w:firstLineChars="0"/>
              <w:jc w:val="center"/>
              <w:rPr>
                <w:sz w:val="21"/>
                <w:szCs w:val="21"/>
              </w:rPr>
            </w:pPr>
            <w:r>
              <w:rPr>
                <w:rFonts w:hint="eastAsia"/>
                <w:sz w:val="21"/>
                <w:szCs w:val="21"/>
              </w:rPr>
              <w:t>弱</w:t>
            </w:r>
          </w:p>
        </w:tc>
        <w:tc>
          <w:tcPr>
            <w:tcW w:w="1076" w:type="pct"/>
            <w:tcMar>
              <w:left w:w="0" w:type="dxa"/>
              <w:right w:w="0" w:type="dxa"/>
            </w:tcMar>
            <w:vAlign w:val="center"/>
          </w:tcPr>
          <w:p>
            <w:pPr>
              <w:spacing w:line="240" w:lineRule="auto"/>
              <w:ind w:firstLine="0" w:firstLineChars="0"/>
              <w:jc w:val="center"/>
              <w:rPr>
                <w:sz w:val="21"/>
                <w:szCs w:val="21"/>
              </w:rPr>
            </w:pPr>
            <w:r>
              <w:rPr>
                <w:sz w:val="21"/>
                <w:szCs w:val="21"/>
              </w:rPr>
              <w:t>难</w:t>
            </w:r>
          </w:p>
        </w:tc>
        <w:tc>
          <w:tcPr>
            <w:tcW w:w="675" w:type="pct"/>
            <w:tcMar>
              <w:left w:w="0" w:type="dxa"/>
              <w:right w:w="0" w:type="dxa"/>
            </w:tcMar>
            <w:vAlign w:val="center"/>
          </w:tcPr>
          <w:p>
            <w:pPr>
              <w:spacing w:line="240" w:lineRule="auto"/>
              <w:ind w:firstLine="0" w:firstLineChars="0"/>
              <w:jc w:val="center"/>
              <w:rPr>
                <w:sz w:val="21"/>
                <w:szCs w:val="21"/>
              </w:rPr>
            </w:pPr>
            <w:r>
              <w:rPr>
                <w:sz w:val="21"/>
                <w:szCs w:val="21"/>
              </w:rPr>
              <w:t>其他类型</w:t>
            </w:r>
          </w:p>
        </w:tc>
        <w:tc>
          <w:tcPr>
            <w:tcW w:w="675" w:type="pct"/>
            <w:tcMar>
              <w:left w:w="0" w:type="dxa"/>
              <w:right w:w="0" w:type="dxa"/>
            </w:tcMar>
            <w:vAlign w:val="center"/>
          </w:tcPr>
          <w:p>
            <w:pPr>
              <w:spacing w:line="240" w:lineRule="auto"/>
              <w:ind w:firstLine="0" w:firstLineChars="0"/>
              <w:jc w:val="center"/>
              <w:rPr>
                <w:sz w:val="21"/>
                <w:szCs w:val="21"/>
              </w:rPr>
            </w:pPr>
            <w:r>
              <w:rPr>
                <w:rFonts w:hint="eastAsia"/>
                <w:sz w:val="21"/>
                <w:szCs w:val="21"/>
              </w:rPr>
              <w:t>重点</w:t>
            </w:r>
            <w:r>
              <w:rPr>
                <w:sz w:val="21"/>
                <w:szCs w:val="21"/>
              </w:rPr>
              <w:t>防渗区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 w:hRule="atLeast"/>
          <w:jc w:val="center"/>
        </w:trPr>
        <w:tc>
          <w:tcPr>
            <w:tcW w:w="1361" w:type="pct"/>
            <w:tcMar>
              <w:left w:w="0" w:type="dxa"/>
              <w:right w:w="0" w:type="dxa"/>
            </w:tcMar>
            <w:vAlign w:val="center"/>
          </w:tcPr>
          <w:p>
            <w:pPr>
              <w:spacing w:line="240" w:lineRule="auto"/>
              <w:ind w:firstLine="0" w:firstLineChars="0"/>
              <w:jc w:val="center"/>
              <w:rPr>
                <w:sz w:val="21"/>
                <w:szCs w:val="21"/>
              </w:rPr>
            </w:pPr>
            <w:r>
              <w:rPr>
                <w:rFonts w:hint="eastAsia"/>
                <w:sz w:val="21"/>
                <w:szCs w:val="21"/>
              </w:rPr>
              <w:t>生产车间</w:t>
            </w:r>
          </w:p>
        </w:tc>
        <w:tc>
          <w:tcPr>
            <w:tcW w:w="1210" w:type="pct"/>
            <w:tcMar>
              <w:left w:w="0" w:type="dxa"/>
              <w:right w:w="0" w:type="dxa"/>
            </w:tcMar>
            <w:vAlign w:val="center"/>
          </w:tcPr>
          <w:p>
            <w:pPr>
              <w:spacing w:line="240" w:lineRule="auto"/>
              <w:ind w:firstLine="0" w:firstLineChars="0"/>
              <w:jc w:val="center"/>
              <w:rPr>
                <w:sz w:val="21"/>
                <w:szCs w:val="21"/>
              </w:rPr>
            </w:pPr>
            <w:r>
              <w:rPr>
                <w:rFonts w:hint="eastAsia"/>
                <w:sz w:val="21"/>
                <w:szCs w:val="21"/>
              </w:rPr>
              <w:t>弱</w:t>
            </w:r>
          </w:p>
        </w:tc>
        <w:tc>
          <w:tcPr>
            <w:tcW w:w="1076" w:type="pct"/>
            <w:tcMar>
              <w:left w:w="0" w:type="dxa"/>
              <w:right w:w="0" w:type="dxa"/>
            </w:tcMar>
            <w:vAlign w:val="center"/>
          </w:tcPr>
          <w:p>
            <w:pPr>
              <w:spacing w:line="240" w:lineRule="auto"/>
              <w:ind w:firstLine="0" w:firstLineChars="0"/>
              <w:jc w:val="center"/>
              <w:rPr>
                <w:sz w:val="21"/>
                <w:szCs w:val="21"/>
              </w:rPr>
            </w:pPr>
            <w:r>
              <w:rPr>
                <w:sz w:val="21"/>
                <w:szCs w:val="21"/>
              </w:rPr>
              <w:t>难</w:t>
            </w:r>
          </w:p>
        </w:tc>
        <w:tc>
          <w:tcPr>
            <w:tcW w:w="675" w:type="pct"/>
            <w:tcMar>
              <w:left w:w="0" w:type="dxa"/>
              <w:right w:w="0" w:type="dxa"/>
            </w:tcMar>
            <w:vAlign w:val="center"/>
          </w:tcPr>
          <w:p>
            <w:pPr>
              <w:spacing w:line="240" w:lineRule="auto"/>
              <w:ind w:firstLine="0" w:firstLineChars="0"/>
              <w:jc w:val="center"/>
              <w:rPr>
                <w:sz w:val="21"/>
                <w:szCs w:val="21"/>
              </w:rPr>
            </w:pPr>
            <w:r>
              <w:rPr>
                <w:sz w:val="21"/>
                <w:szCs w:val="21"/>
              </w:rPr>
              <w:t>其他类型</w:t>
            </w:r>
          </w:p>
        </w:tc>
        <w:tc>
          <w:tcPr>
            <w:tcW w:w="675" w:type="pct"/>
            <w:tcMar>
              <w:left w:w="0" w:type="dxa"/>
              <w:right w:w="0" w:type="dxa"/>
            </w:tcMar>
            <w:vAlign w:val="center"/>
          </w:tcPr>
          <w:p>
            <w:pPr>
              <w:spacing w:line="240" w:lineRule="auto"/>
              <w:ind w:firstLine="0" w:firstLineChars="0"/>
              <w:jc w:val="center"/>
              <w:rPr>
                <w:sz w:val="21"/>
                <w:szCs w:val="21"/>
              </w:rPr>
            </w:pPr>
            <w:r>
              <w:rPr>
                <w:rFonts w:hint="eastAsia"/>
                <w:sz w:val="21"/>
                <w:szCs w:val="21"/>
              </w:rPr>
              <w:t>重点</w:t>
            </w:r>
            <w:r>
              <w:rPr>
                <w:sz w:val="21"/>
                <w:szCs w:val="21"/>
              </w:rPr>
              <w:t>防渗区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61" w:type="pct"/>
            <w:tcMar>
              <w:left w:w="0" w:type="dxa"/>
              <w:right w:w="0" w:type="dxa"/>
            </w:tcMar>
            <w:vAlign w:val="center"/>
          </w:tcPr>
          <w:p>
            <w:pPr>
              <w:spacing w:line="240" w:lineRule="auto"/>
              <w:ind w:firstLine="0" w:firstLineChars="0"/>
              <w:jc w:val="center"/>
              <w:rPr>
                <w:sz w:val="21"/>
                <w:szCs w:val="21"/>
              </w:rPr>
            </w:pPr>
            <w:r>
              <w:rPr>
                <w:sz w:val="21"/>
                <w:szCs w:val="21"/>
              </w:rPr>
              <w:t>危废暂存间</w:t>
            </w:r>
          </w:p>
        </w:tc>
        <w:tc>
          <w:tcPr>
            <w:tcW w:w="1210" w:type="pct"/>
            <w:tcMar>
              <w:left w:w="0" w:type="dxa"/>
              <w:right w:w="0" w:type="dxa"/>
            </w:tcMar>
            <w:vAlign w:val="center"/>
          </w:tcPr>
          <w:p>
            <w:pPr>
              <w:spacing w:line="240" w:lineRule="auto"/>
              <w:ind w:firstLine="0" w:firstLineChars="0"/>
              <w:jc w:val="center"/>
              <w:rPr>
                <w:sz w:val="21"/>
                <w:szCs w:val="21"/>
              </w:rPr>
            </w:pPr>
            <w:r>
              <w:rPr>
                <w:rFonts w:hint="eastAsia"/>
                <w:sz w:val="21"/>
                <w:szCs w:val="21"/>
              </w:rPr>
              <w:t>弱</w:t>
            </w:r>
          </w:p>
        </w:tc>
        <w:tc>
          <w:tcPr>
            <w:tcW w:w="1076" w:type="pct"/>
            <w:tcMar>
              <w:left w:w="0" w:type="dxa"/>
              <w:right w:w="0" w:type="dxa"/>
            </w:tcMar>
            <w:vAlign w:val="center"/>
          </w:tcPr>
          <w:p>
            <w:pPr>
              <w:spacing w:line="240" w:lineRule="auto"/>
              <w:ind w:firstLine="0" w:firstLineChars="0"/>
              <w:jc w:val="center"/>
              <w:rPr>
                <w:sz w:val="21"/>
                <w:szCs w:val="21"/>
              </w:rPr>
            </w:pPr>
            <w:r>
              <w:rPr>
                <w:sz w:val="21"/>
                <w:szCs w:val="21"/>
              </w:rPr>
              <w:t>难</w:t>
            </w:r>
          </w:p>
        </w:tc>
        <w:tc>
          <w:tcPr>
            <w:tcW w:w="675" w:type="pct"/>
            <w:tcMar>
              <w:left w:w="0" w:type="dxa"/>
              <w:right w:w="0" w:type="dxa"/>
            </w:tcMar>
            <w:vAlign w:val="center"/>
          </w:tcPr>
          <w:p>
            <w:pPr>
              <w:spacing w:line="240" w:lineRule="auto"/>
              <w:ind w:firstLine="0" w:firstLineChars="0"/>
              <w:jc w:val="center"/>
              <w:rPr>
                <w:sz w:val="21"/>
                <w:szCs w:val="21"/>
              </w:rPr>
            </w:pPr>
            <w:r>
              <w:rPr>
                <w:sz w:val="21"/>
                <w:szCs w:val="21"/>
              </w:rPr>
              <w:t>其他类型</w:t>
            </w:r>
          </w:p>
        </w:tc>
        <w:tc>
          <w:tcPr>
            <w:tcW w:w="675" w:type="pct"/>
            <w:tcMar>
              <w:left w:w="0" w:type="dxa"/>
              <w:right w:w="0" w:type="dxa"/>
            </w:tcMar>
            <w:vAlign w:val="center"/>
          </w:tcPr>
          <w:p>
            <w:pPr>
              <w:spacing w:line="240" w:lineRule="auto"/>
              <w:ind w:firstLine="0" w:firstLineChars="0"/>
              <w:jc w:val="center"/>
              <w:rPr>
                <w:sz w:val="21"/>
                <w:szCs w:val="21"/>
              </w:rPr>
            </w:pPr>
            <w:r>
              <w:rPr>
                <w:rFonts w:hint="eastAsia"/>
                <w:sz w:val="21"/>
                <w:szCs w:val="21"/>
              </w:rPr>
              <w:t>重点</w:t>
            </w:r>
            <w:r>
              <w:rPr>
                <w:sz w:val="21"/>
                <w:szCs w:val="21"/>
              </w:rPr>
              <w:t>防渗区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61" w:type="pct"/>
            <w:tcMar>
              <w:left w:w="0" w:type="dxa"/>
              <w:right w:w="0" w:type="dxa"/>
            </w:tcMar>
            <w:vAlign w:val="center"/>
          </w:tcPr>
          <w:p>
            <w:pPr>
              <w:spacing w:line="240" w:lineRule="auto"/>
              <w:ind w:firstLine="0" w:firstLineChars="0"/>
              <w:jc w:val="center"/>
              <w:rPr>
                <w:sz w:val="21"/>
                <w:szCs w:val="21"/>
              </w:rPr>
            </w:pPr>
            <w:r>
              <w:rPr>
                <w:rFonts w:hint="eastAsia"/>
                <w:sz w:val="21"/>
                <w:szCs w:val="21"/>
              </w:rPr>
              <w:t>应急事故池</w:t>
            </w:r>
          </w:p>
        </w:tc>
        <w:tc>
          <w:tcPr>
            <w:tcW w:w="1210" w:type="pct"/>
            <w:tcMar>
              <w:left w:w="0" w:type="dxa"/>
              <w:right w:w="0" w:type="dxa"/>
            </w:tcMar>
            <w:vAlign w:val="center"/>
          </w:tcPr>
          <w:p>
            <w:pPr>
              <w:spacing w:line="240" w:lineRule="auto"/>
              <w:ind w:firstLine="0" w:firstLineChars="0"/>
              <w:jc w:val="center"/>
              <w:rPr>
                <w:sz w:val="21"/>
                <w:szCs w:val="21"/>
              </w:rPr>
            </w:pPr>
            <w:r>
              <w:rPr>
                <w:rFonts w:hint="eastAsia"/>
                <w:sz w:val="21"/>
                <w:szCs w:val="21"/>
              </w:rPr>
              <w:t>弱</w:t>
            </w:r>
          </w:p>
        </w:tc>
        <w:tc>
          <w:tcPr>
            <w:tcW w:w="1076" w:type="pct"/>
            <w:tcMar>
              <w:left w:w="0" w:type="dxa"/>
              <w:right w:w="0" w:type="dxa"/>
            </w:tcMar>
            <w:vAlign w:val="center"/>
          </w:tcPr>
          <w:p>
            <w:pPr>
              <w:spacing w:line="240" w:lineRule="auto"/>
              <w:ind w:firstLine="0" w:firstLineChars="0"/>
              <w:jc w:val="center"/>
              <w:rPr>
                <w:sz w:val="21"/>
                <w:szCs w:val="21"/>
              </w:rPr>
            </w:pPr>
            <w:r>
              <w:rPr>
                <w:sz w:val="21"/>
                <w:szCs w:val="21"/>
              </w:rPr>
              <w:t>难</w:t>
            </w:r>
          </w:p>
        </w:tc>
        <w:tc>
          <w:tcPr>
            <w:tcW w:w="675" w:type="pct"/>
            <w:tcMar>
              <w:left w:w="0" w:type="dxa"/>
              <w:right w:w="0" w:type="dxa"/>
            </w:tcMar>
            <w:vAlign w:val="center"/>
          </w:tcPr>
          <w:p>
            <w:pPr>
              <w:spacing w:line="240" w:lineRule="auto"/>
              <w:ind w:firstLine="0" w:firstLineChars="0"/>
              <w:jc w:val="center"/>
              <w:rPr>
                <w:sz w:val="21"/>
                <w:szCs w:val="21"/>
              </w:rPr>
            </w:pPr>
            <w:r>
              <w:rPr>
                <w:sz w:val="21"/>
                <w:szCs w:val="21"/>
              </w:rPr>
              <w:t>其他类型</w:t>
            </w:r>
          </w:p>
        </w:tc>
        <w:tc>
          <w:tcPr>
            <w:tcW w:w="675" w:type="pct"/>
            <w:tcMar>
              <w:left w:w="0" w:type="dxa"/>
              <w:right w:w="0" w:type="dxa"/>
            </w:tcMar>
            <w:vAlign w:val="center"/>
          </w:tcPr>
          <w:p>
            <w:pPr>
              <w:spacing w:line="240" w:lineRule="auto"/>
              <w:ind w:firstLine="0" w:firstLineChars="0"/>
              <w:jc w:val="center"/>
              <w:rPr>
                <w:sz w:val="21"/>
                <w:szCs w:val="21"/>
              </w:rPr>
            </w:pPr>
            <w:r>
              <w:rPr>
                <w:rFonts w:hint="eastAsia"/>
                <w:sz w:val="21"/>
                <w:szCs w:val="21"/>
              </w:rPr>
              <w:t>重点</w:t>
            </w:r>
            <w:r>
              <w:rPr>
                <w:sz w:val="21"/>
                <w:szCs w:val="21"/>
              </w:rPr>
              <w:t>防渗区</w:t>
            </w:r>
          </w:p>
        </w:tc>
      </w:tr>
    </w:tbl>
    <w:p>
      <w:pPr>
        <w:ind w:firstLine="480"/>
      </w:pPr>
      <w:r>
        <w:t>综合上述防渗内容，本项目各场地分区防渗要求见表</w:t>
      </w:r>
      <w:r>
        <w:rPr>
          <w:rFonts w:hint="eastAsia"/>
        </w:rPr>
        <w:t>6</w:t>
      </w:r>
      <w:r>
        <w:t>.</w:t>
      </w:r>
      <w:r>
        <w:rPr>
          <w:rFonts w:hint="eastAsia"/>
        </w:rPr>
        <w:t>5-12</w:t>
      </w:r>
      <w:r>
        <w:t>。</w:t>
      </w:r>
    </w:p>
    <w:p>
      <w:pPr>
        <w:spacing w:line="240" w:lineRule="auto"/>
        <w:ind w:firstLine="482"/>
        <w:jc w:val="center"/>
        <w:rPr>
          <w:b/>
        </w:rPr>
      </w:pPr>
    </w:p>
    <w:p>
      <w:pPr>
        <w:spacing w:line="240" w:lineRule="auto"/>
        <w:ind w:firstLine="482"/>
        <w:jc w:val="center"/>
        <w:rPr>
          <w:b/>
        </w:rPr>
      </w:pPr>
      <w:r>
        <w:rPr>
          <w:b/>
        </w:rPr>
        <w:t>表</w:t>
      </w:r>
      <w:r>
        <w:rPr>
          <w:rFonts w:hint="eastAsia"/>
          <w:b/>
        </w:rPr>
        <w:t>6</w:t>
      </w:r>
      <w:r>
        <w:rPr>
          <w:b/>
        </w:rPr>
        <w:t>.</w:t>
      </w:r>
      <w:r>
        <w:rPr>
          <w:rFonts w:hint="eastAsia"/>
          <w:b/>
        </w:rPr>
        <w:t>5-8</w:t>
      </w:r>
      <w:r>
        <w:rPr>
          <w:b/>
        </w:rPr>
        <w:t xml:space="preserve">  地下水污染分区防渗要求</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97"/>
        <w:gridCol w:w="1786"/>
        <w:gridCol w:w="4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505" w:type="pct"/>
            <w:shd w:val="clear" w:color="92D050" w:fill="auto"/>
            <w:vAlign w:val="center"/>
          </w:tcPr>
          <w:p>
            <w:pPr>
              <w:spacing w:line="240" w:lineRule="auto"/>
              <w:ind w:firstLine="0" w:firstLineChars="0"/>
              <w:jc w:val="center"/>
              <w:rPr>
                <w:kern w:val="0"/>
                <w:sz w:val="21"/>
                <w:szCs w:val="21"/>
              </w:rPr>
            </w:pPr>
            <w:r>
              <w:rPr>
                <w:kern w:val="0"/>
                <w:sz w:val="21"/>
                <w:szCs w:val="21"/>
              </w:rPr>
              <w:t>场地名称</w:t>
            </w:r>
          </w:p>
        </w:tc>
        <w:tc>
          <w:tcPr>
            <w:tcW w:w="961" w:type="pct"/>
            <w:shd w:val="clear" w:color="92D050" w:fill="auto"/>
            <w:vAlign w:val="center"/>
          </w:tcPr>
          <w:p>
            <w:pPr>
              <w:spacing w:line="240" w:lineRule="auto"/>
              <w:ind w:firstLine="0" w:firstLineChars="0"/>
              <w:jc w:val="center"/>
              <w:rPr>
                <w:sz w:val="21"/>
                <w:szCs w:val="21"/>
              </w:rPr>
            </w:pPr>
            <w:r>
              <w:rPr>
                <w:kern w:val="0"/>
                <w:sz w:val="21"/>
                <w:szCs w:val="21"/>
              </w:rPr>
              <w:t>防渗分区</w:t>
            </w:r>
          </w:p>
        </w:tc>
        <w:tc>
          <w:tcPr>
            <w:tcW w:w="2532" w:type="pct"/>
            <w:shd w:val="clear" w:color="92D050" w:fill="auto"/>
            <w:vAlign w:val="center"/>
          </w:tcPr>
          <w:p>
            <w:pPr>
              <w:spacing w:line="240" w:lineRule="auto"/>
              <w:ind w:firstLine="0" w:firstLineChars="0"/>
              <w:jc w:val="center"/>
              <w:rPr>
                <w:kern w:val="0"/>
                <w:sz w:val="21"/>
                <w:szCs w:val="21"/>
              </w:rPr>
            </w:pPr>
            <w:r>
              <w:rPr>
                <w:kern w:val="0"/>
                <w:sz w:val="21"/>
                <w:szCs w:val="21"/>
              </w:rPr>
              <w:t>防渗具体要求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505" w:type="pct"/>
            <w:vAlign w:val="center"/>
          </w:tcPr>
          <w:p>
            <w:pPr>
              <w:spacing w:line="240" w:lineRule="auto"/>
              <w:ind w:firstLine="0" w:firstLineChars="0"/>
              <w:jc w:val="center"/>
              <w:rPr>
                <w:sz w:val="21"/>
                <w:szCs w:val="21"/>
              </w:rPr>
            </w:pPr>
            <w:r>
              <w:rPr>
                <w:sz w:val="21"/>
                <w:szCs w:val="21"/>
              </w:rPr>
              <w:t>化粪池</w:t>
            </w:r>
          </w:p>
        </w:tc>
        <w:tc>
          <w:tcPr>
            <w:tcW w:w="961" w:type="pct"/>
            <w:vAlign w:val="center"/>
          </w:tcPr>
          <w:p>
            <w:pPr>
              <w:spacing w:line="240" w:lineRule="auto"/>
              <w:ind w:firstLine="0" w:firstLineChars="0"/>
              <w:jc w:val="center"/>
              <w:rPr>
                <w:sz w:val="21"/>
                <w:szCs w:val="21"/>
              </w:rPr>
            </w:pPr>
            <w:r>
              <w:rPr>
                <w:sz w:val="21"/>
                <w:szCs w:val="21"/>
              </w:rPr>
              <w:t>一般防渗区</w:t>
            </w:r>
          </w:p>
        </w:tc>
        <w:tc>
          <w:tcPr>
            <w:tcW w:w="2532" w:type="pct"/>
            <w:vAlign w:val="center"/>
          </w:tcPr>
          <w:p>
            <w:pPr>
              <w:spacing w:line="240" w:lineRule="auto"/>
              <w:ind w:firstLine="0" w:firstLineChars="0"/>
              <w:jc w:val="center"/>
              <w:rPr>
                <w:sz w:val="21"/>
                <w:szCs w:val="21"/>
              </w:rPr>
            </w:pPr>
            <w:r>
              <w:rPr>
                <w:kern w:val="0"/>
                <w:sz w:val="21"/>
                <w:szCs w:val="21"/>
              </w:rPr>
              <w:t>等效黏土防渗层Mb≥1.5m，K≤1.0×10</w:t>
            </w:r>
            <w:r>
              <w:rPr>
                <w:kern w:val="0"/>
                <w:sz w:val="21"/>
                <w:szCs w:val="21"/>
                <w:vertAlign w:val="superscript"/>
              </w:rPr>
              <w:t>-7</w:t>
            </w:r>
            <w:r>
              <w:rPr>
                <w:kern w:val="0"/>
                <w:sz w:val="21"/>
                <w:szCs w:val="21"/>
              </w:rPr>
              <w:t>cm/s；或参照GB16889执行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1505" w:type="pct"/>
            <w:vAlign w:val="center"/>
          </w:tcPr>
          <w:p>
            <w:pPr>
              <w:spacing w:line="240" w:lineRule="auto"/>
              <w:ind w:firstLine="0" w:firstLineChars="0"/>
              <w:jc w:val="center"/>
              <w:rPr>
                <w:sz w:val="21"/>
                <w:szCs w:val="21"/>
              </w:rPr>
            </w:pPr>
            <w:r>
              <w:rPr>
                <w:rFonts w:hint="eastAsia"/>
                <w:sz w:val="21"/>
                <w:szCs w:val="21"/>
              </w:rPr>
              <w:t>污水处理站</w:t>
            </w:r>
          </w:p>
        </w:tc>
        <w:tc>
          <w:tcPr>
            <w:tcW w:w="961" w:type="pct"/>
            <w:vMerge w:val="restart"/>
            <w:vAlign w:val="center"/>
          </w:tcPr>
          <w:p>
            <w:pPr>
              <w:spacing w:line="240" w:lineRule="auto"/>
              <w:ind w:firstLine="0" w:firstLineChars="0"/>
              <w:jc w:val="center"/>
              <w:rPr>
                <w:sz w:val="21"/>
                <w:szCs w:val="21"/>
              </w:rPr>
            </w:pPr>
            <w:r>
              <w:rPr>
                <w:rFonts w:hint="eastAsia"/>
                <w:sz w:val="21"/>
                <w:szCs w:val="21"/>
              </w:rPr>
              <w:t>重点</w:t>
            </w:r>
            <w:r>
              <w:rPr>
                <w:sz w:val="21"/>
                <w:szCs w:val="21"/>
              </w:rPr>
              <w:t>防渗区</w:t>
            </w:r>
          </w:p>
        </w:tc>
        <w:tc>
          <w:tcPr>
            <w:tcW w:w="2532" w:type="pct"/>
            <w:vMerge w:val="restart"/>
            <w:vAlign w:val="center"/>
          </w:tcPr>
          <w:p>
            <w:pPr>
              <w:spacing w:line="240" w:lineRule="auto"/>
              <w:ind w:firstLine="0" w:firstLineChars="0"/>
              <w:jc w:val="center"/>
              <w:rPr>
                <w:kern w:val="0"/>
                <w:sz w:val="21"/>
                <w:szCs w:val="21"/>
              </w:rPr>
            </w:pPr>
            <w:r>
              <w:rPr>
                <w:kern w:val="0"/>
                <w:sz w:val="21"/>
                <w:szCs w:val="21"/>
              </w:rPr>
              <w:t>或参照GB16889执行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1505" w:type="pct"/>
            <w:vAlign w:val="center"/>
          </w:tcPr>
          <w:p>
            <w:pPr>
              <w:spacing w:line="240" w:lineRule="auto"/>
              <w:ind w:firstLine="0" w:firstLineChars="0"/>
              <w:jc w:val="center"/>
              <w:rPr>
                <w:sz w:val="21"/>
                <w:szCs w:val="21"/>
              </w:rPr>
            </w:pPr>
            <w:r>
              <w:rPr>
                <w:rFonts w:hint="eastAsia"/>
                <w:sz w:val="21"/>
                <w:szCs w:val="21"/>
              </w:rPr>
              <w:t>应急事故池</w:t>
            </w:r>
          </w:p>
        </w:tc>
        <w:tc>
          <w:tcPr>
            <w:tcW w:w="961" w:type="pct"/>
            <w:vMerge w:val="continue"/>
            <w:vAlign w:val="center"/>
          </w:tcPr>
          <w:p>
            <w:pPr>
              <w:spacing w:line="240" w:lineRule="auto"/>
              <w:ind w:firstLine="0" w:firstLineChars="0"/>
              <w:jc w:val="center"/>
              <w:rPr>
                <w:sz w:val="21"/>
                <w:szCs w:val="21"/>
              </w:rPr>
            </w:pPr>
          </w:p>
        </w:tc>
        <w:tc>
          <w:tcPr>
            <w:tcW w:w="2532" w:type="pct"/>
            <w:vMerge w:val="continue"/>
            <w:vAlign w:val="center"/>
          </w:tcPr>
          <w:p>
            <w:pPr>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 w:hRule="atLeast"/>
          <w:jc w:val="center"/>
        </w:trPr>
        <w:tc>
          <w:tcPr>
            <w:tcW w:w="1505" w:type="pct"/>
            <w:vAlign w:val="center"/>
          </w:tcPr>
          <w:p>
            <w:pPr>
              <w:spacing w:line="240" w:lineRule="auto"/>
              <w:ind w:firstLine="0" w:firstLineChars="0"/>
              <w:jc w:val="center"/>
              <w:rPr>
                <w:sz w:val="21"/>
                <w:szCs w:val="21"/>
              </w:rPr>
            </w:pPr>
            <w:r>
              <w:rPr>
                <w:rFonts w:hint="eastAsia"/>
                <w:sz w:val="21"/>
                <w:szCs w:val="21"/>
              </w:rPr>
              <w:t>生产车间</w:t>
            </w:r>
          </w:p>
        </w:tc>
        <w:tc>
          <w:tcPr>
            <w:tcW w:w="961" w:type="pct"/>
            <w:vMerge w:val="continue"/>
            <w:vAlign w:val="center"/>
          </w:tcPr>
          <w:p>
            <w:pPr>
              <w:spacing w:line="240" w:lineRule="auto"/>
              <w:ind w:firstLine="0" w:firstLineChars="0"/>
              <w:jc w:val="center"/>
              <w:rPr>
                <w:sz w:val="21"/>
                <w:szCs w:val="21"/>
              </w:rPr>
            </w:pPr>
          </w:p>
        </w:tc>
        <w:tc>
          <w:tcPr>
            <w:tcW w:w="2532" w:type="pct"/>
            <w:vMerge w:val="continue"/>
            <w:vAlign w:val="center"/>
          </w:tcPr>
          <w:p>
            <w:pPr>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5" w:type="pct"/>
            <w:vAlign w:val="center"/>
          </w:tcPr>
          <w:p>
            <w:pPr>
              <w:spacing w:line="240" w:lineRule="auto"/>
              <w:ind w:firstLine="0" w:firstLineChars="0"/>
              <w:jc w:val="center"/>
              <w:rPr>
                <w:sz w:val="21"/>
                <w:szCs w:val="21"/>
              </w:rPr>
            </w:pPr>
            <w:r>
              <w:rPr>
                <w:sz w:val="21"/>
                <w:szCs w:val="21"/>
              </w:rPr>
              <w:t>危废暂存间</w:t>
            </w:r>
          </w:p>
        </w:tc>
        <w:tc>
          <w:tcPr>
            <w:tcW w:w="961" w:type="pct"/>
            <w:vMerge w:val="continue"/>
            <w:vAlign w:val="center"/>
          </w:tcPr>
          <w:p>
            <w:pPr>
              <w:spacing w:line="240" w:lineRule="auto"/>
              <w:ind w:firstLine="0" w:firstLineChars="0"/>
              <w:jc w:val="center"/>
              <w:rPr>
                <w:sz w:val="21"/>
                <w:szCs w:val="21"/>
              </w:rPr>
            </w:pPr>
          </w:p>
        </w:tc>
        <w:tc>
          <w:tcPr>
            <w:tcW w:w="2532" w:type="pct"/>
            <w:vMerge w:val="continue"/>
            <w:vAlign w:val="center"/>
          </w:tcPr>
          <w:p>
            <w:pPr>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505" w:type="pct"/>
            <w:vAlign w:val="center"/>
          </w:tcPr>
          <w:p>
            <w:pPr>
              <w:spacing w:line="240" w:lineRule="auto"/>
              <w:ind w:firstLine="0" w:firstLineChars="0"/>
              <w:jc w:val="center"/>
              <w:rPr>
                <w:sz w:val="21"/>
                <w:szCs w:val="21"/>
              </w:rPr>
            </w:pPr>
            <w:r>
              <w:rPr>
                <w:sz w:val="21"/>
                <w:szCs w:val="21"/>
              </w:rPr>
              <w:t>其他场地</w:t>
            </w:r>
          </w:p>
        </w:tc>
        <w:tc>
          <w:tcPr>
            <w:tcW w:w="961" w:type="pct"/>
            <w:vAlign w:val="center"/>
          </w:tcPr>
          <w:p>
            <w:pPr>
              <w:spacing w:line="240" w:lineRule="auto"/>
              <w:ind w:firstLine="0" w:firstLineChars="0"/>
              <w:jc w:val="center"/>
              <w:rPr>
                <w:sz w:val="21"/>
                <w:szCs w:val="21"/>
              </w:rPr>
            </w:pPr>
            <w:r>
              <w:rPr>
                <w:sz w:val="21"/>
                <w:szCs w:val="21"/>
              </w:rPr>
              <w:t>简单防渗区</w:t>
            </w:r>
          </w:p>
        </w:tc>
        <w:tc>
          <w:tcPr>
            <w:tcW w:w="2532" w:type="pct"/>
            <w:vAlign w:val="center"/>
          </w:tcPr>
          <w:p>
            <w:pPr>
              <w:spacing w:line="240" w:lineRule="auto"/>
              <w:ind w:firstLine="0" w:firstLineChars="0"/>
              <w:jc w:val="center"/>
              <w:rPr>
                <w:kern w:val="0"/>
                <w:sz w:val="21"/>
                <w:szCs w:val="21"/>
              </w:rPr>
            </w:pPr>
            <w:r>
              <w:rPr>
                <w:kern w:val="0"/>
                <w:sz w:val="21"/>
                <w:szCs w:val="21"/>
              </w:rPr>
              <w:t>一般地面硬化</w:t>
            </w:r>
          </w:p>
        </w:tc>
      </w:tr>
    </w:tbl>
    <w:p>
      <w:pPr>
        <w:tabs>
          <w:tab w:val="left" w:pos="2709"/>
        </w:tabs>
        <w:ind w:firstLine="482"/>
        <w:jc w:val="left"/>
        <w:rPr>
          <w:b/>
        </w:rPr>
      </w:pPr>
      <w:r>
        <w:rPr>
          <w:rFonts w:hint="eastAsia"/>
          <w:b/>
          <w:snapToGrid w:val="0"/>
          <w:kern w:val="0"/>
        </w:rPr>
        <w:t xml:space="preserve">6.5.3.8 </w:t>
      </w:r>
      <w:r>
        <w:rPr>
          <w:b/>
        </w:rPr>
        <w:t>地下水环境影响</w:t>
      </w:r>
      <w:r>
        <w:rPr>
          <w:rFonts w:hint="eastAsia"/>
          <w:b/>
        </w:rPr>
        <w:t>预测</w:t>
      </w:r>
      <w:r>
        <w:rPr>
          <w:b/>
        </w:rPr>
        <w:t>分析</w:t>
      </w:r>
    </w:p>
    <w:p>
      <w:pPr>
        <w:ind w:firstLine="480"/>
        <w:rPr>
          <w:color w:val="000000"/>
          <w:u w:val="single"/>
        </w:rPr>
      </w:pPr>
      <w:r>
        <w:rPr>
          <w:u w:val="single"/>
        </w:rPr>
        <w:t>根据《环境影响评价技术导则 地下水环境》</w:t>
      </w:r>
      <w:r>
        <w:rPr>
          <w:rFonts w:hint="eastAsia"/>
          <w:u w:val="single"/>
        </w:rPr>
        <w:t>（</w:t>
      </w:r>
      <w:r>
        <w:rPr>
          <w:u w:val="single"/>
        </w:rPr>
        <w:t>HJ 610-2016</w:t>
      </w:r>
      <w:r>
        <w:rPr>
          <w:rFonts w:hint="eastAsia"/>
          <w:u w:val="single"/>
        </w:rPr>
        <w:t>）</w:t>
      </w:r>
      <w:r>
        <w:rPr>
          <w:u w:val="single"/>
        </w:rPr>
        <w:t>中附录A地下水环境影响评价行业分类表，确定</w:t>
      </w:r>
      <w:r>
        <w:rPr>
          <w:rFonts w:hint="eastAsia"/>
          <w:u w:val="single"/>
        </w:rPr>
        <w:t>项目</w:t>
      </w:r>
      <w:r>
        <w:rPr>
          <w:u w:val="single"/>
        </w:rPr>
        <w:t>为</w:t>
      </w:r>
      <w:r>
        <w:rPr>
          <w:u w:val="single"/>
        </w:rPr>
        <w:fldChar w:fldCharType="begin"/>
      </w:r>
      <w:r>
        <w:rPr>
          <w:u w:val="single"/>
        </w:rPr>
        <w:instrText xml:space="preserve"> = 3 \* ROMAN </w:instrText>
      </w:r>
      <w:r>
        <w:rPr>
          <w:u w:val="single"/>
        </w:rPr>
        <w:fldChar w:fldCharType="separate"/>
      </w:r>
      <w:r>
        <w:rPr>
          <w:u w:val="single"/>
        </w:rPr>
        <w:t>I</w:t>
      </w:r>
      <w:r>
        <w:rPr>
          <w:u w:val="single"/>
        </w:rPr>
        <w:fldChar w:fldCharType="end"/>
      </w:r>
      <w:r>
        <w:rPr>
          <w:u w:val="single"/>
        </w:rPr>
        <w:t>类项目，</w:t>
      </w:r>
      <w:r>
        <w:rPr>
          <w:rFonts w:hint="eastAsia"/>
          <w:u w:val="single"/>
        </w:rPr>
        <w:t>本项目位于</w:t>
      </w:r>
      <w:r>
        <w:rPr>
          <w:rFonts w:hint="eastAsia"/>
          <w:u w:val="single"/>
          <w:lang w:eastAsia="zh-CN"/>
        </w:rPr>
        <w:t>平顶山市尼龙新材料产业集聚区</w:t>
      </w:r>
      <w:r>
        <w:rPr>
          <w:rFonts w:hint="eastAsia"/>
          <w:u w:val="single"/>
        </w:rPr>
        <w:t>，项目所在区域不属于集中式饮用水水源准保护区以及其以外的补给径流区，也不属于特殊地下水资源保护区，同时根据现场调查，项目区域</w:t>
      </w:r>
      <w:r>
        <w:rPr>
          <w:rFonts w:hint="eastAsia"/>
          <w:u w:val="single"/>
          <w:lang w:eastAsia="zh-CN"/>
        </w:rPr>
        <w:t>无地下水敏感点</w:t>
      </w:r>
      <w:r>
        <w:rPr>
          <w:rFonts w:hint="eastAsia"/>
          <w:u w:val="single"/>
        </w:rPr>
        <w:t>，因此，地下水评价范围内地下水敏感程度为</w:t>
      </w:r>
      <w:r>
        <w:rPr>
          <w:rFonts w:hint="eastAsia"/>
          <w:u w:val="single"/>
          <w:lang w:eastAsia="zh-CN"/>
        </w:rPr>
        <w:t>“</w:t>
      </w:r>
      <w:r>
        <w:rPr>
          <w:rFonts w:hint="eastAsia"/>
          <w:u w:val="single"/>
        </w:rPr>
        <w:t>不敏感</w:t>
      </w:r>
      <w:r>
        <w:rPr>
          <w:rFonts w:hint="eastAsia"/>
          <w:u w:val="single"/>
          <w:lang w:eastAsia="zh-CN"/>
        </w:rPr>
        <w:t>”</w:t>
      </w:r>
      <w:r>
        <w:rPr>
          <w:u w:val="single"/>
        </w:rPr>
        <w:t>。评价工作等级为</w:t>
      </w:r>
      <w:r>
        <w:rPr>
          <w:rFonts w:hint="eastAsia"/>
          <w:u w:val="single"/>
        </w:rPr>
        <w:t>二</w:t>
      </w:r>
      <w:r>
        <w:rPr>
          <w:u w:val="single"/>
        </w:rPr>
        <w:t>级。</w:t>
      </w:r>
      <w:r>
        <w:rPr>
          <w:rFonts w:hint="eastAsia"/>
          <w:color w:val="000000"/>
          <w:u w:val="single"/>
        </w:rPr>
        <w:t>因此，本次环境影响评价主要采用类比定性方法分析项目运营过程中对地下水的影响。</w:t>
      </w:r>
    </w:p>
    <w:p>
      <w:pPr>
        <w:ind w:firstLine="480"/>
        <w:rPr>
          <w:color w:val="000000"/>
        </w:rPr>
      </w:pPr>
      <w:r>
        <w:rPr>
          <w:rFonts w:hint="eastAsia"/>
          <w:color w:val="000000"/>
        </w:rPr>
        <w:t>（1）污染途径</w:t>
      </w:r>
    </w:p>
    <w:p>
      <w:pPr>
        <w:ind w:firstLine="480"/>
      </w:pPr>
      <w:r>
        <w:rPr>
          <w:rFonts w:hint="eastAsia"/>
        </w:rPr>
        <w:t>污染物从污染源进入地下水所经过路径称为地下水污染途径，地下水污染途径是多种多样的。根据工程所处区域的地质情况，拟建项目可能对</w:t>
      </w:r>
      <w:r>
        <w:rPr>
          <w:rFonts w:hint="eastAsia"/>
          <w:lang w:eastAsia="zh-CN"/>
        </w:rPr>
        <w:t>地下水</w:t>
      </w:r>
      <w:r>
        <w:rPr>
          <w:rFonts w:hint="eastAsia"/>
        </w:rPr>
        <w:t>造成污染的途径主要有：废水处理设施（包括生活污水收集设施、生产废水收集设施）渗漏对地下水造成的污染。</w:t>
      </w:r>
    </w:p>
    <w:p>
      <w:pPr>
        <w:ind w:firstLine="480"/>
        <w:rPr>
          <w:color w:val="000000"/>
        </w:rPr>
      </w:pPr>
      <w:r>
        <w:rPr>
          <w:rFonts w:hint="eastAsia"/>
          <w:color w:val="000000"/>
        </w:rPr>
        <w:t>（2）预测范围</w:t>
      </w:r>
    </w:p>
    <w:p>
      <w:pPr>
        <w:ind w:firstLine="480"/>
        <w:rPr>
          <w:color w:val="000000"/>
        </w:rPr>
      </w:pPr>
      <w:r>
        <w:rPr>
          <w:rFonts w:hint="eastAsia"/>
          <w:color w:val="000000"/>
        </w:rPr>
        <w:t>本次评价采用查表法确定地下水调查范围。本次地下水预测范围与现状调查范围一致。根据本项目所在区域的地下水含水组的岩性特征与埋藏规律可知，地下水整体流向为由</w:t>
      </w:r>
      <w:r>
        <w:rPr>
          <w:rFonts w:hint="eastAsia"/>
          <w:color w:val="000000"/>
          <w:lang w:eastAsia="zh-CN"/>
        </w:rPr>
        <w:t>西南向东北</w:t>
      </w:r>
      <w:r>
        <w:rPr>
          <w:rFonts w:hint="eastAsia"/>
          <w:color w:val="000000"/>
        </w:rPr>
        <w:t>方向，</w:t>
      </w:r>
      <w:r>
        <w:rPr>
          <w:rFonts w:hint="eastAsia"/>
          <w:color w:val="000000"/>
          <w:lang w:eastAsia="zh-CN"/>
        </w:rPr>
        <w:t>二</w:t>
      </w:r>
      <w:r>
        <w:rPr>
          <w:rFonts w:hint="eastAsia"/>
          <w:color w:val="000000"/>
        </w:rPr>
        <w:t>级评价范围划定为</w:t>
      </w:r>
      <w:r>
        <w:rPr>
          <w:rFonts w:hint="eastAsia"/>
          <w:color w:val="000000"/>
          <w:lang w:eastAsia="zh-CN"/>
        </w:rPr>
        <w:t>10.623</w:t>
      </w:r>
      <w:r>
        <w:rPr>
          <w:rFonts w:hint="eastAsia"/>
          <w:color w:val="000000"/>
        </w:rPr>
        <w:t>km</w:t>
      </w:r>
      <w:r>
        <w:rPr>
          <w:rFonts w:hint="eastAsia"/>
          <w:color w:val="000000"/>
          <w:vertAlign w:val="superscript"/>
        </w:rPr>
        <w:t>2</w:t>
      </w:r>
      <w:r>
        <w:rPr>
          <w:rFonts w:hint="eastAsia"/>
          <w:color w:val="000000"/>
        </w:rPr>
        <w:t>。</w:t>
      </w:r>
    </w:p>
    <w:p>
      <w:pPr>
        <w:ind w:firstLine="480"/>
        <w:rPr>
          <w:color w:val="000000"/>
        </w:rPr>
      </w:pPr>
      <w:r>
        <w:rPr>
          <w:rFonts w:hint="eastAsia"/>
          <w:color w:val="000000"/>
        </w:rPr>
        <w:t>（3）预测时段</w:t>
      </w:r>
    </w:p>
    <w:p>
      <w:pPr>
        <w:ind w:firstLine="480"/>
        <w:rPr>
          <w:color w:val="000000"/>
        </w:rPr>
      </w:pPr>
      <w:r>
        <w:rPr>
          <w:rFonts w:hint="eastAsia"/>
          <w:color w:val="000000"/>
        </w:rPr>
        <w:t>本次工程地下水影响预测时段：废水下渗100d、500d、1000d、3000d、5000d时间点（典型时间节点）。</w:t>
      </w:r>
    </w:p>
    <w:p>
      <w:pPr>
        <w:spacing w:before="39" w:line="185" w:lineRule="auto"/>
        <w:ind w:firstLine="468"/>
        <w:rPr>
          <w:rFonts w:ascii="宋体" w:hAnsi="宋体" w:cs="宋体"/>
        </w:rPr>
      </w:pPr>
      <w:r>
        <w:rPr>
          <w:rFonts w:ascii="宋体" w:hAnsi="宋体" w:cs="宋体"/>
          <w:spacing w:val="-3"/>
        </w:rPr>
        <w:t>（</w:t>
      </w:r>
      <w:r>
        <w:rPr>
          <w:rFonts w:hint="eastAsia" w:cs="Times New Roman"/>
          <w:spacing w:val="-3"/>
        </w:rPr>
        <w:t>4</w:t>
      </w:r>
      <w:r>
        <w:rPr>
          <w:rFonts w:ascii="宋体" w:hAnsi="宋体" w:cs="宋体"/>
          <w:spacing w:val="-3"/>
        </w:rPr>
        <w:t>）情景设置</w:t>
      </w:r>
    </w:p>
    <w:p>
      <w:pPr>
        <w:ind w:firstLine="480"/>
        <w:rPr>
          <w:rFonts w:hint="eastAsia"/>
          <w:color w:val="000000"/>
        </w:rPr>
      </w:pPr>
      <w:r>
        <w:rPr>
          <w:rFonts w:hint="eastAsia" w:ascii="宋体" w:hAnsi="宋体" w:eastAsia="宋体" w:cs="宋体"/>
          <w:color w:val="000000"/>
        </w:rPr>
        <w:t>①</w:t>
      </w:r>
      <w:r>
        <w:rPr>
          <w:rFonts w:hint="eastAsia"/>
          <w:color w:val="000000"/>
        </w:rPr>
        <w:t>正常状况</w:t>
      </w:r>
    </w:p>
    <w:p>
      <w:pPr>
        <w:ind w:firstLine="480"/>
        <w:rPr>
          <w:rFonts w:hint="eastAsia"/>
          <w:color w:val="000000"/>
        </w:rPr>
      </w:pPr>
      <w:r>
        <w:rPr>
          <w:rFonts w:hint="eastAsia"/>
          <w:color w:val="000000"/>
        </w:rPr>
        <w:t>根据项目设计方案，本项目厂区设计有原料仓库，对生产过程中涉及的各类液态物料进行罐装或者桶装储存。生产过程中产生的危险废物按液态和固态进行分类收集，液态危险废物采用密闭废液罐储存，各类危险固废均储存在危废暂存间并委托资质单位进行安全处置。本项目原料仓库、危废暂存间及废水处理站均按照《石油化工工程防渗技术规范》（GB/T50934）、《危险废物贮存污染控制标准》（GB18597）、《一般工业固体废物贮存和填埋污染控制标准》（GB18599）等相关规范设计地下水污染防渗措施，正常状况下厂区防渗达到相关规定要求，不会因生产装置或其它物料暴露而发生渗漏至地下水的情景发生。因此，预计正常情况下本项目不会造成地下水污染。</w:t>
      </w:r>
    </w:p>
    <w:p>
      <w:pPr>
        <w:ind w:firstLine="480"/>
        <w:rPr>
          <w:rFonts w:hint="eastAsia"/>
          <w:color w:val="000000"/>
        </w:rPr>
      </w:pPr>
      <w:r>
        <w:rPr>
          <w:rFonts w:hint="eastAsia" w:ascii="宋体" w:hAnsi="宋体" w:eastAsia="宋体" w:cs="宋体"/>
          <w:color w:val="000000"/>
        </w:rPr>
        <w:t>②</w:t>
      </w:r>
      <w:r>
        <w:rPr>
          <w:rFonts w:hint="eastAsia"/>
          <w:color w:val="000000"/>
        </w:rPr>
        <w:t>非正常状况</w:t>
      </w:r>
    </w:p>
    <w:p>
      <w:pPr>
        <w:ind w:firstLine="480"/>
        <w:rPr>
          <w:rFonts w:hint="eastAsia"/>
          <w:color w:val="000000"/>
        </w:rPr>
      </w:pPr>
      <w:r>
        <w:rPr>
          <w:rFonts w:hint="eastAsia"/>
          <w:color w:val="000000"/>
        </w:rPr>
        <w:t>本项目在生产运营一段时间后，原料仓库、危废暂存间、废水处理站构筑物等防渗设施可能有少量因老化、腐蚀而发生破损，在容器或管道内物料发生跑、冒、滴、漏的非正常状况下，如处理不当，污染物可能下渗影响地下水。故本次评价仅预测非正常情况下的影响结果。</w:t>
      </w:r>
    </w:p>
    <w:p>
      <w:pPr>
        <w:ind w:firstLine="480"/>
        <w:rPr>
          <w:rFonts w:hint="eastAsia"/>
          <w:color w:val="000000"/>
        </w:rPr>
      </w:pPr>
      <w:r>
        <w:rPr>
          <w:rFonts w:hint="eastAsia"/>
          <w:color w:val="000000"/>
        </w:rPr>
        <w:t>由于固态物质发生泄漏可能性低，包装物破损泄漏极易被发现，经清扫后可及时进行回收，因此本次评价主要考虑可能对地下水造成影响的液体物料。</w:t>
      </w:r>
    </w:p>
    <w:p>
      <w:pPr>
        <w:ind w:firstLine="480"/>
        <w:rPr>
          <w:color w:val="000000"/>
          <w:u w:val="single"/>
        </w:rPr>
      </w:pPr>
      <w:r>
        <w:rPr>
          <w:rFonts w:hint="eastAsia"/>
          <w:color w:val="000000"/>
          <w:u w:val="single"/>
        </w:rPr>
        <w:t>（5）预测因子及评价标准</w:t>
      </w:r>
    </w:p>
    <w:p>
      <w:pPr>
        <w:ind w:firstLine="480"/>
        <w:rPr>
          <w:color w:val="000000"/>
          <w:u w:val="single"/>
        </w:rPr>
      </w:pPr>
      <w:r>
        <w:rPr>
          <w:rFonts w:hint="eastAsia"/>
          <w:color w:val="000000"/>
          <w:u w:val="single"/>
        </w:rPr>
        <w:t>本次地下水影响预测选取COD、氨氮为预测因子，评价标准执行《地下水质量标准》（GB/T14848-2017）Ⅲ类。本项目需将COD转化为耗氧量，经查阅《COD、BOD与耗氧量理论内涵及倍率关系研究》（东北水利水电，2009年第9期），COD：耗氧量=3.3：1。</w:t>
      </w:r>
    </w:p>
    <w:p>
      <w:pPr>
        <w:ind w:firstLine="480"/>
        <w:rPr>
          <w:color w:val="000000"/>
          <w:u w:val="single"/>
        </w:rPr>
      </w:pPr>
      <w:r>
        <w:rPr>
          <w:rFonts w:hint="eastAsia"/>
          <w:color w:val="000000"/>
          <w:u w:val="single"/>
        </w:rPr>
        <w:t>（6）预测源强</w:t>
      </w:r>
    </w:p>
    <w:p>
      <w:pPr>
        <w:ind w:firstLine="480"/>
        <w:rPr>
          <w:rFonts w:hint="eastAsia" w:eastAsia="宋体"/>
          <w:color w:val="000000"/>
          <w:u w:val="single"/>
          <w:lang w:eastAsia="zh-CN"/>
        </w:rPr>
      </w:pPr>
      <w:r>
        <w:rPr>
          <w:rFonts w:hint="eastAsia"/>
          <w:color w:val="000000"/>
          <w:u w:val="single"/>
        </w:rPr>
        <w:t>本次评价主要分析非正常状况下污水处理站废水下渗对地下水环境的影响。本项目采取污水站进口浓度进行预测COD：</w:t>
      </w:r>
      <w:r>
        <w:rPr>
          <w:rFonts w:hint="eastAsia"/>
          <w:color w:val="000000"/>
          <w:u w:val="single"/>
          <w:lang w:val="en-US" w:eastAsia="zh-CN"/>
        </w:rPr>
        <w:t>264.21</w:t>
      </w:r>
      <w:r>
        <w:rPr>
          <w:rFonts w:hint="eastAsia"/>
          <w:color w:val="000000"/>
          <w:u w:val="single"/>
        </w:rPr>
        <w:t>mg/L、氨氮：</w:t>
      </w:r>
      <w:r>
        <w:rPr>
          <w:rFonts w:hint="eastAsia"/>
          <w:color w:val="000000"/>
          <w:u w:val="single"/>
          <w:lang w:val="en-US" w:eastAsia="zh-CN"/>
        </w:rPr>
        <w:t>28.03</w:t>
      </w:r>
      <w:r>
        <w:rPr>
          <w:rFonts w:hint="eastAsia"/>
          <w:color w:val="000000"/>
          <w:u w:val="single"/>
        </w:rPr>
        <w:t>mg/L</w:t>
      </w:r>
      <w:r>
        <w:rPr>
          <w:rFonts w:hint="eastAsia"/>
          <w:color w:val="000000"/>
          <w:u w:val="single"/>
          <w:lang w:eastAsia="zh-CN"/>
        </w:rPr>
        <w:t>，折合后源强为</w:t>
      </w:r>
      <w:r>
        <w:rPr>
          <w:rFonts w:hint="eastAsia"/>
          <w:color w:val="000000"/>
          <w:u w:val="single"/>
        </w:rPr>
        <w:t>耗氧量：</w:t>
      </w:r>
      <w:r>
        <w:rPr>
          <w:rFonts w:hint="eastAsia"/>
          <w:color w:val="000000"/>
          <w:u w:val="single"/>
          <w:lang w:val="en-US" w:eastAsia="zh-CN"/>
        </w:rPr>
        <w:t>871.893</w:t>
      </w:r>
      <w:r>
        <w:rPr>
          <w:rFonts w:hint="eastAsia"/>
          <w:color w:val="000000"/>
          <w:u w:val="single"/>
        </w:rPr>
        <w:t>mg/L、氨氮：</w:t>
      </w:r>
      <w:r>
        <w:rPr>
          <w:rFonts w:hint="eastAsia"/>
          <w:color w:val="000000"/>
          <w:u w:val="single"/>
          <w:lang w:val="en-US" w:eastAsia="zh-CN"/>
        </w:rPr>
        <w:t>28.03</w:t>
      </w:r>
      <w:r>
        <w:rPr>
          <w:rFonts w:hint="eastAsia"/>
          <w:color w:val="000000"/>
          <w:u w:val="single"/>
        </w:rPr>
        <w:t>mg/L</w:t>
      </w:r>
      <w:r>
        <w:rPr>
          <w:rFonts w:hint="eastAsia"/>
          <w:color w:val="000000"/>
          <w:u w:val="single"/>
          <w:lang w:eastAsia="zh-CN"/>
        </w:rPr>
        <w:t>。</w:t>
      </w:r>
    </w:p>
    <w:p>
      <w:pPr>
        <w:ind w:firstLine="480"/>
        <w:rPr>
          <w:color w:val="000000"/>
        </w:rPr>
      </w:pPr>
      <w:r>
        <w:rPr>
          <w:rFonts w:hint="eastAsia"/>
          <w:color w:val="000000"/>
        </w:rPr>
        <w:t>（7）预测方法</w:t>
      </w:r>
    </w:p>
    <w:p>
      <w:pPr>
        <w:ind w:firstLine="480"/>
        <w:rPr>
          <w:color w:val="000000"/>
        </w:rPr>
      </w:pPr>
      <w:r>
        <w:rPr>
          <w:rFonts w:hint="eastAsia"/>
          <w:color w:val="000000"/>
        </w:rPr>
        <w:t>本次工程污水处理站非正常排放源强采用地下水水溶质运移解析法中的一维稳定流动一维水动力弥散模式进行预测与评价。</w:t>
      </w:r>
    </w:p>
    <w:p>
      <w:pPr>
        <w:ind w:firstLine="480"/>
        <w:rPr>
          <w:color w:val="000000"/>
        </w:rPr>
      </w:pPr>
      <w:r>
        <w:rPr>
          <w:rFonts w:hint="eastAsia"/>
          <w:color w:val="000000"/>
        </w:rPr>
        <w:t>一维稳定流动一维水动力弥散模式预测模型如下：</w:t>
      </w:r>
    </w:p>
    <w:p>
      <w:pPr>
        <w:ind w:firstLine="0" w:firstLineChars="0"/>
        <w:jc w:val="center"/>
        <w:rPr>
          <w:color w:val="000000"/>
        </w:rPr>
      </w:pPr>
      <w:r>
        <w:drawing>
          <wp:inline distT="0" distB="0" distL="114300" distR="114300">
            <wp:extent cx="2447925" cy="438150"/>
            <wp:effectExtent l="0" t="0" r="9525" b="0"/>
            <wp:docPr id="9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
                    <pic:cNvPicPr>
                      <a:picLocks noChangeAspect="1"/>
                    </pic:cNvPicPr>
                  </pic:nvPicPr>
                  <pic:blipFill>
                    <a:blip r:embed="rId101"/>
                    <a:stretch>
                      <a:fillRect/>
                    </a:stretch>
                  </pic:blipFill>
                  <pic:spPr>
                    <a:xfrm>
                      <a:off x="0" y="0"/>
                      <a:ext cx="2447925" cy="438150"/>
                    </a:xfrm>
                    <a:prstGeom prst="rect">
                      <a:avLst/>
                    </a:prstGeom>
                    <a:noFill/>
                    <a:ln>
                      <a:noFill/>
                    </a:ln>
                  </pic:spPr>
                </pic:pic>
              </a:graphicData>
            </a:graphic>
          </wp:inline>
        </w:drawing>
      </w:r>
    </w:p>
    <w:p>
      <w:pPr>
        <w:adjustRightInd w:val="0"/>
        <w:snapToGrid w:val="0"/>
        <w:ind w:firstLine="436"/>
        <w:rPr>
          <w:rFonts w:cs="Times New Roman"/>
        </w:rPr>
      </w:pPr>
      <w:r>
        <w:rPr>
          <w:rFonts w:cs="Times New Roman"/>
          <w:spacing w:val="-11"/>
        </w:rPr>
        <w:t>式中：x—预测点至污染源强距离（m</w:t>
      </w:r>
      <w:r>
        <w:rPr>
          <w:rFonts w:cs="Times New Roman"/>
          <w:spacing w:val="-16"/>
        </w:rPr>
        <w:t>）；</w:t>
      </w:r>
    </w:p>
    <w:p>
      <w:pPr>
        <w:adjustRightInd w:val="0"/>
        <w:snapToGrid w:val="0"/>
        <w:ind w:firstLine="468"/>
        <w:rPr>
          <w:rFonts w:cs="Times New Roman"/>
        </w:rPr>
      </w:pPr>
      <w:r>
        <w:rPr>
          <w:rFonts w:cs="Times New Roman"/>
          <w:spacing w:val="-3"/>
          <w:position w:val="12"/>
        </w:rPr>
        <w:t>C-t时刻</w:t>
      </w:r>
      <w:r>
        <w:rPr>
          <w:rFonts w:cs="Times New Roman"/>
          <w:spacing w:val="-57"/>
          <w:position w:val="12"/>
        </w:rPr>
        <w:t xml:space="preserve"> </w:t>
      </w:r>
      <w:r>
        <w:rPr>
          <w:rFonts w:cs="Times New Roman"/>
          <w:spacing w:val="-3"/>
          <w:position w:val="12"/>
        </w:rPr>
        <w:t>x处的地下水浓度（mg/L</w:t>
      </w:r>
      <w:r>
        <w:rPr>
          <w:rFonts w:cs="Times New Roman"/>
          <w:spacing w:val="3"/>
          <w:position w:val="12"/>
        </w:rPr>
        <w:t>）；</w:t>
      </w:r>
    </w:p>
    <w:p>
      <w:pPr>
        <w:adjustRightInd w:val="0"/>
        <w:snapToGrid w:val="0"/>
        <w:ind w:firstLine="472"/>
        <w:rPr>
          <w:rFonts w:cs="Times New Roman"/>
          <w:color w:val="000000"/>
        </w:rPr>
      </w:pPr>
      <w:r>
        <w:rPr>
          <w:rFonts w:cs="Times New Roman"/>
          <w:spacing w:val="-2"/>
        </w:rPr>
        <w:t>C</w:t>
      </w:r>
      <w:r>
        <w:rPr>
          <w:rFonts w:cs="Times New Roman"/>
          <w:spacing w:val="-2"/>
          <w:position w:val="-1"/>
        </w:rPr>
        <w:t>0—</w:t>
      </w:r>
      <w:r>
        <w:rPr>
          <w:rFonts w:cs="Times New Roman"/>
          <w:spacing w:val="-2"/>
        </w:rPr>
        <w:t>废水浓度（mg/L</w:t>
      </w:r>
      <w:r>
        <w:rPr>
          <w:rFonts w:cs="Times New Roman"/>
          <w:spacing w:val="6"/>
        </w:rPr>
        <w:t>）</w:t>
      </w:r>
    </w:p>
    <w:p>
      <w:pPr>
        <w:adjustRightInd w:val="0"/>
        <w:snapToGrid w:val="0"/>
        <w:ind w:firstLine="476"/>
        <w:rPr>
          <w:rFonts w:cs="Times New Roman"/>
        </w:rPr>
      </w:pPr>
      <w:r>
        <w:rPr>
          <w:rFonts w:cs="Times New Roman"/>
          <w:spacing w:val="-1"/>
          <w:position w:val="12"/>
        </w:rPr>
        <w:t>D—纵向弥散系数（m</w:t>
      </w:r>
      <w:r>
        <w:rPr>
          <w:rFonts w:hint="eastAsia" w:cs="Times New Roman"/>
          <w:spacing w:val="-1"/>
          <w:position w:val="12"/>
          <w:vertAlign w:val="superscript"/>
        </w:rPr>
        <w:t>2</w:t>
      </w:r>
      <w:r>
        <w:rPr>
          <w:rFonts w:cs="Times New Roman"/>
          <w:spacing w:val="-1"/>
          <w:position w:val="12"/>
        </w:rPr>
        <w:t>/d</w:t>
      </w:r>
      <w:r>
        <w:rPr>
          <w:rFonts w:cs="Times New Roman"/>
          <w:spacing w:val="3"/>
          <w:position w:val="12"/>
        </w:rPr>
        <w:t>）；</w:t>
      </w:r>
    </w:p>
    <w:p>
      <w:pPr>
        <w:adjustRightInd w:val="0"/>
        <w:snapToGrid w:val="0"/>
        <w:ind w:firstLine="476"/>
        <w:rPr>
          <w:rFonts w:cs="Times New Roman"/>
        </w:rPr>
      </w:pPr>
      <w:r>
        <w:rPr>
          <w:rFonts w:cs="Times New Roman"/>
          <w:spacing w:val="-1"/>
        </w:rPr>
        <w:t>t—预测时段（d</w:t>
      </w:r>
      <w:r>
        <w:rPr>
          <w:rFonts w:cs="Times New Roman"/>
          <w:spacing w:val="3"/>
        </w:rPr>
        <w:t>）；</w:t>
      </w:r>
    </w:p>
    <w:p>
      <w:pPr>
        <w:adjustRightInd w:val="0"/>
        <w:snapToGrid w:val="0"/>
        <w:ind w:firstLine="480"/>
        <w:rPr>
          <w:rFonts w:cs="Times New Roman"/>
        </w:rPr>
      </w:pPr>
      <w:r>
        <w:rPr>
          <w:rFonts w:cs="Times New Roman"/>
          <w:position w:val="13"/>
        </w:rPr>
        <w:t>u—地下水流速（m/d）；</w:t>
      </w:r>
    </w:p>
    <w:p>
      <w:pPr>
        <w:adjustRightInd w:val="0"/>
        <w:snapToGrid w:val="0"/>
        <w:ind w:firstLine="464"/>
        <w:rPr>
          <w:rFonts w:cs="Times New Roman"/>
        </w:rPr>
      </w:pPr>
      <w:r>
        <w:rPr>
          <w:rFonts w:cs="Times New Roman"/>
          <w:spacing w:val="-4"/>
        </w:rPr>
        <w:t>erfc</w:t>
      </w:r>
      <w:r>
        <w:rPr>
          <w:rFonts w:cs="Times New Roman"/>
          <w:spacing w:val="-49"/>
        </w:rPr>
        <w:t xml:space="preserve"> </w:t>
      </w:r>
      <w:r>
        <w:rPr>
          <w:rFonts w:cs="Times New Roman"/>
          <w:spacing w:val="-4"/>
        </w:rPr>
        <w:t>（x）—余误差函数。</w:t>
      </w:r>
    </w:p>
    <w:p>
      <w:pPr>
        <w:adjustRightInd w:val="0"/>
        <w:snapToGrid w:val="0"/>
        <w:ind w:firstLine="472"/>
        <w:rPr>
          <w:rFonts w:ascii="宋体" w:hAnsi="宋体" w:cs="宋体"/>
        </w:rPr>
      </w:pPr>
      <w:r>
        <w:rPr>
          <w:rFonts w:ascii="宋体" w:hAnsi="宋体" w:cs="宋体"/>
          <w:spacing w:val="-2"/>
          <w:position w:val="16"/>
        </w:rPr>
        <w:t>（</w:t>
      </w:r>
      <w:r>
        <w:rPr>
          <w:rFonts w:hint="eastAsia" w:cs="Times New Roman"/>
          <w:spacing w:val="-2"/>
          <w:position w:val="16"/>
        </w:rPr>
        <w:t>8</w:t>
      </w:r>
      <w:r>
        <w:rPr>
          <w:rFonts w:ascii="宋体" w:hAnsi="宋体" w:cs="宋体"/>
          <w:spacing w:val="-2"/>
          <w:position w:val="16"/>
        </w:rPr>
        <w:t>）预测参数确定</w:t>
      </w:r>
    </w:p>
    <w:p>
      <w:pPr>
        <w:adjustRightInd w:val="0"/>
        <w:snapToGrid w:val="0"/>
        <w:ind w:firstLine="476"/>
        <w:rPr>
          <w:rFonts w:cs="Times New Roman"/>
        </w:rPr>
      </w:pPr>
      <w:r>
        <w:rPr>
          <w:rFonts w:cs="Times New Roman"/>
          <w:spacing w:val="-1"/>
        </w:rPr>
        <w:t>①纵向弥散系数确定</w:t>
      </w:r>
    </w:p>
    <w:p>
      <w:pPr>
        <w:adjustRightInd w:val="0"/>
        <w:snapToGrid w:val="0"/>
        <w:ind w:firstLine="476"/>
        <w:rPr>
          <w:rFonts w:cs="Times New Roman"/>
        </w:rPr>
      </w:pPr>
      <w:r>
        <w:rPr>
          <w:rFonts w:cs="Times New Roman"/>
          <w:spacing w:val="-1"/>
        </w:rPr>
        <w:t>根据类比分析，纵向弥散系数为</w:t>
      </w:r>
      <w:r>
        <w:rPr>
          <w:rFonts w:hint="eastAsia" w:cs="Times New Roman"/>
          <w:spacing w:val="-1"/>
        </w:rPr>
        <w:t>0.01</w:t>
      </w:r>
      <w:r>
        <w:rPr>
          <w:rFonts w:cs="Times New Roman"/>
          <w:spacing w:val="-1"/>
        </w:rPr>
        <w:t>m</w:t>
      </w:r>
      <w:r>
        <w:rPr>
          <w:rFonts w:hint="eastAsia" w:cs="Times New Roman"/>
          <w:spacing w:val="-1"/>
          <w:vertAlign w:val="superscript"/>
        </w:rPr>
        <w:t>2</w:t>
      </w:r>
      <w:r>
        <w:rPr>
          <w:rFonts w:cs="Times New Roman"/>
          <w:spacing w:val="-1"/>
        </w:rPr>
        <w:t>/d。</w:t>
      </w:r>
    </w:p>
    <w:p>
      <w:pPr>
        <w:adjustRightInd w:val="0"/>
        <w:snapToGrid w:val="0"/>
        <w:ind w:firstLine="472"/>
        <w:rPr>
          <w:rFonts w:cs="Times New Roman"/>
        </w:rPr>
      </w:pPr>
      <w:r>
        <w:rPr>
          <w:rFonts w:cs="Times New Roman"/>
          <w:spacing w:val="-2"/>
        </w:rPr>
        <w:t>②地下水流速</w:t>
      </w:r>
    </w:p>
    <w:p>
      <w:pPr>
        <w:adjustRightInd w:val="0"/>
        <w:snapToGrid w:val="0"/>
        <w:ind w:firstLine="476"/>
        <w:rPr>
          <w:rFonts w:cs="Times New Roman"/>
        </w:rPr>
      </w:pPr>
      <w:r>
        <w:rPr>
          <w:rFonts w:cs="Times New Roman"/>
          <w:spacing w:val="-1"/>
        </w:rPr>
        <w:t>地下水流速可以利用水利坡度及渗透系数求出，具体计算公式为：</w:t>
      </w:r>
    </w:p>
    <w:p>
      <w:pPr>
        <w:adjustRightInd w:val="0"/>
        <w:snapToGrid w:val="0"/>
        <w:ind w:firstLine="480"/>
        <w:jc w:val="center"/>
        <w:rPr>
          <w:rFonts w:cs="Times New Roman"/>
        </w:rPr>
      </w:pPr>
      <w:r>
        <w:rPr>
          <w:rFonts w:cs="Times New Roman"/>
        </w:rPr>
        <w:t>u=kI</w:t>
      </w:r>
    </w:p>
    <w:p>
      <w:pPr>
        <w:ind w:firstLine="476"/>
        <w:rPr>
          <w:rFonts w:cs="Times New Roman"/>
          <w:spacing w:val="-1"/>
          <w:position w:val="12"/>
        </w:rPr>
      </w:pPr>
      <w:r>
        <w:rPr>
          <w:rFonts w:cs="Times New Roman"/>
          <w:spacing w:val="-1"/>
          <w:position w:val="12"/>
        </w:rPr>
        <w:t>式中：u—地下水流速（m/d）；</w:t>
      </w:r>
    </w:p>
    <w:p>
      <w:pPr>
        <w:ind w:firstLine="476"/>
        <w:rPr>
          <w:rFonts w:cs="Times New Roman"/>
          <w:spacing w:val="-1"/>
          <w:position w:val="12"/>
        </w:rPr>
      </w:pPr>
      <w:r>
        <w:rPr>
          <w:rFonts w:cs="Times New Roman"/>
          <w:spacing w:val="-1"/>
          <w:position w:val="12"/>
        </w:rPr>
        <w:t>k—渗透系数（m/d），取0.0052m/d（根据场地包气带渗水试验资料，基础底面以下垂向渗透系数平均值6.01×10-6cm/s）；</w:t>
      </w:r>
    </w:p>
    <w:p>
      <w:pPr>
        <w:ind w:firstLine="476"/>
        <w:rPr>
          <w:rFonts w:cs="Times New Roman"/>
          <w:spacing w:val="-1"/>
          <w:position w:val="12"/>
        </w:rPr>
      </w:pPr>
      <w:r>
        <w:rPr>
          <w:rFonts w:cs="Times New Roman"/>
          <w:spacing w:val="-1"/>
          <w:position w:val="12"/>
        </w:rPr>
        <w:t>I—水利坡度，本次工程水利坡度取值0.</w:t>
      </w:r>
      <w:r>
        <w:rPr>
          <w:rFonts w:hint="eastAsia" w:cs="Times New Roman"/>
          <w:spacing w:val="-1"/>
          <w:position w:val="12"/>
        </w:rPr>
        <w:t>18</w:t>
      </w:r>
      <w:r>
        <w:rPr>
          <w:rFonts w:cs="Times New Roman"/>
          <w:spacing w:val="-1"/>
          <w:position w:val="12"/>
        </w:rPr>
        <w:t>。</w:t>
      </w:r>
    </w:p>
    <w:p>
      <w:pPr>
        <w:ind w:firstLine="476"/>
        <w:rPr>
          <w:rFonts w:cs="Times New Roman"/>
          <w:spacing w:val="-1"/>
          <w:position w:val="12"/>
        </w:rPr>
      </w:pPr>
      <w:r>
        <w:rPr>
          <w:rFonts w:cs="Times New Roman"/>
          <w:spacing w:val="-1"/>
          <w:position w:val="12"/>
        </w:rPr>
        <w:t>经计算，工程所在区域地下水流速为0.00036m/d。</w:t>
      </w:r>
    </w:p>
    <w:p>
      <w:pPr>
        <w:ind w:firstLine="476"/>
        <w:rPr>
          <w:rFonts w:cs="Times New Roman"/>
          <w:spacing w:val="-1"/>
          <w:position w:val="12"/>
        </w:rPr>
      </w:pPr>
      <w:r>
        <w:rPr>
          <w:rFonts w:cs="Times New Roman"/>
          <w:spacing w:val="-1"/>
          <w:position w:val="12"/>
        </w:rPr>
        <w:t>③有效孔隙度、横截面积</w:t>
      </w:r>
    </w:p>
    <w:p>
      <w:pPr>
        <w:ind w:firstLine="476"/>
        <w:rPr>
          <w:rFonts w:cs="Times New Roman"/>
          <w:spacing w:val="-1"/>
          <w:position w:val="12"/>
        </w:rPr>
      </w:pPr>
      <w:r>
        <w:rPr>
          <w:rFonts w:cs="Times New Roman"/>
          <w:spacing w:val="-1"/>
          <w:position w:val="12"/>
        </w:rPr>
        <w:t>横截面面积：本次评价取50m</w:t>
      </w:r>
      <w:r>
        <w:rPr>
          <w:rFonts w:cs="Times New Roman"/>
          <w:spacing w:val="-1"/>
          <w:position w:val="12"/>
          <w:vertAlign w:val="superscript"/>
        </w:rPr>
        <w:t>2</w:t>
      </w:r>
      <w:r>
        <w:rPr>
          <w:rFonts w:cs="Times New Roman"/>
          <w:spacing w:val="-1"/>
          <w:position w:val="12"/>
        </w:rPr>
        <w:t>。</w:t>
      </w:r>
    </w:p>
    <w:p>
      <w:pPr>
        <w:ind w:firstLine="476"/>
        <w:rPr>
          <w:rFonts w:cs="Times New Roman"/>
          <w:spacing w:val="-1"/>
          <w:position w:val="12"/>
        </w:rPr>
      </w:pPr>
      <w:r>
        <w:rPr>
          <w:rFonts w:cs="Times New Roman"/>
          <w:spacing w:val="-1"/>
          <w:position w:val="12"/>
        </w:rPr>
        <w:t>有效孔隙度：评价区域潜水含水介质以细砂、砂砾石为主，孔隙度为0.26~0.53，有效孔隙度比孔隙度少5~10%，因此评价区域潜水含水层有效孔隙度约为0.23~0.50。因此确定评价区域有效孔隙度取值0.35。</w:t>
      </w:r>
    </w:p>
    <w:p>
      <w:pPr>
        <w:ind w:firstLine="476"/>
        <w:rPr>
          <w:rFonts w:cs="Times New Roman"/>
          <w:spacing w:val="-1"/>
          <w:position w:val="12"/>
        </w:rPr>
      </w:pPr>
      <w:r>
        <w:rPr>
          <w:rFonts w:cs="Times New Roman"/>
          <w:spacing w:val="-1"/>
          <w:position w:val="12"/>
        </w:rPr>
        <w:t>③参数汇总</w:t>
      </w:r>
    </w:p>
    <w:p>
      <w:pPr>
        <w:ind w:firstLine="476"/>
        <w:rPr>
          <w:rFonts w:cs="Times New Roman"/>
          <w:spacing w:val="-1"/>
          <w:position w:val="12"/>
        </w:rPr>
      </w:pPr>
      <w:r>
        <w:rPr>
          <w:rFonts w:cs="Times New Roman"/>
          <w:spacing w:val="-1"/>
          <w:position w:val="12"/>
        </w:rPr>
        <w:t>本次地下水预测参数，见表</w:t>
      </w:r>
      <w:r>
        <w:rPr>
          <w:rFonts w:hint="eastAsia" w:cs="Times New Roman"/>
          <w:spacing w:val="-1"/>
          <w:position w:val="12"/>
        </w:rPr>
        <w:t>6.5-9</w:t>
      </w:r>
    </w:p>
    <w:p>
      <w:pPr>
        <w:ind w:firstLine="0" w:firstLineChars="0"/>
        <w:jc w:val="center"/>
        <w:rPr>
          <w:b/>
        </w:rPr>
      </w:pPr>
      <w:r>
        <w:rPr>
          <w:b/>
        </w:rPr>
        <w:t>表</w:t>
      </w:r>
      <w:r>
        <w:rPr>
          <w:rFonts w:hint="eastAsia"/>
          <w:b/>
        </w:rPr>
        <w:t>6.5-9</w:t>
      </w:r>
      <w:r>
        <w:rPr>
          <w:b/>
        </w:rPr>
        <w:t xml:space="preserve">  污水处理站非正常排放地下水预测参数选取一览表</w:t>
      </w:r>
    </w:p>
    <w:tbl>
      <w:tblPr>
        <w:tblStyle w:val="51"/>
        <w:tblW w:w="4997"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864"/>
        <w:gridCol w:w="1155"/>
        <w:gridCol w:w="2709"/>
        <w:gridCol w:w="1610"/>
        <w:gridCol w:w="1284"/>
        <w:gridCol w:w="145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 w:hRule="atLeast"/>
          <w:jc w:val="center"/>
        </w:trPr>
        <w:tc>
          <w:tcPr>
            <w:tcW w:w="476" w:type="pct"/>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参数</w:t>
            </w:r>
          </w:p>
        </w:tc>
        <w:tc>
          <w:tcPr>
            <w:tcW w:w="636" w:type="pct"/>
            <w:vAlign w:val="center"/>
          </w:tcPr>
          <w:p>
            <w:pPr>
              <w:spacing w:line="240" w:lineRule="auto"/>
              <w:ind w:firstLine="0" w:firstLineChars="0"/>
              <w:jc w:val="center"/>
              <w:rPr>
                <w:rFonts w:cs="Times New Roman"/>
                <w:sz w:val="21"/>
                <w:szCs w:val="21"/>
              </w:rPr>
            </w:pPr>
            <w:r>
              <w:rPr>
                <w:rFonts w:eastAsia="Times New Roman" w:cs="Times New Roman"/>
                <w:spacing w:val="-10"/>
                <w:w w:val="98"/>
                <w:sz w:val="21"/>
                <w:szCs w:val="21"/>
              </w:rPr>
              <w:t>x</w:t>
            </w:r>
            <w:r>
              <w:rPr>
                <w:rFonts w:cs="Times New Roman"/>
                <w:spacing w:val="-10"/>
                <w:w w:val="98"/>
                <w:sz w:val="21"/>
                <w:szCs w:val="21"/>
              </w:rPr>
              <w:t>（</w:t>
            </w:r>
            <w:r>
              <w:rPr>
                <w:rFonts w:eastAsia="Times New Roman" w:cs="Times New Roman"/>
                <w:spacing w:val="-10"/>
                <w:w w:val="98"/>
                <w:sz w:val="21"/>
                <w:szCs w:val="21"/>
              </w:rPr>
              <w:t>m</w:t>
            </w:r>
            <w:r>
              <w:rPr>
                <w:rFonts w:cs="Times New Roman"/>
                <w:spacing w:val="-10"/>
                <w:w w:val="98"/>
                <w:sz w:val="21"/>
                <w:szCs w:val="21"/>
              </w:rPr>
              <w:t>）</w:t>
            </w:r>
          </w:p>
        </w:tc>
        <w:tc>
          <w:tcPr>
            <w:tcW w:w="1492" w:type="pct"/>
            <w:vAlign w:val="center"/>
          </w:tcPr>
          <w:p>
            <w:pPr>
              <w:spacing w:line="240" w:lineRule="auto"/>
              <w:ind w:firstLine="0" w:firstLineChars="0"/>
              <w:jc w:val="center"/>
              <w:rPr>
                <w:rFonts w:cs="Times New Roman"/>
                <w:sz w:val="21"/>
                <w:szCs w:val="21"/>
              </w:rPr>
            </w:pPr>
            <w:r>
              <w:rPr>
                <w:rFonts w:eastAsia="Times New Roman" w:cs="Times New Roman"/>
                <w:spacing w:val="-2"/>
                <w:sz w:val="21"/>
                <w:szCs w:val="21"/>
              </w:rPr>
              <w:t>C</w:t>
            </w:r>
            <w:r>
              <w:rPr>
                <w:rFonts w:eastAsia="Times New Roman" w:cs="Times New Roman"/>
                <w:spacing w:val="-2"/>
                <w:position w:val="-1"/>
                <w:sz w:val="21"/>
                <w:szCs w:val="21"/>
              </w:rPr>
              <w:t>0</w:t>
            </w:r>
            <w:r>
              <w:rPr>
                <w:rFonts w:cs="Times New Roman"/>
                <w:spacing w:val="-2"/>
                <w:sz w:val="21"/>
                <w:szCs w:val="21"/>
              </w:rPr>
              <w:t>（</w:t>
            </w:r>
            <w:r>
              <w:rPr>
                <w:rFonts w:eastAsia="Times New Roman" w:cs="Times New Roman"/>
                <w:spacing w:val="-2"/>
                <w:sz w:val="21"/>
                <w:szCs w:val="21"/>
              </w:rPr>
              <w:t>mg/L</w:t>
            </w:r>
            <w:r>
              <w:rPr>
                <w:rFonts w:cs="Times New Roman"/>
                <w:spacing w:val="-2"/>
                <w:sz w:val="21"/>
                <w:szCs w:val="21"/>
              </w:rPr>
              <w:t>）</w:t>
            </w:r>
          </w:p>
        </w:tc>
        <w:tc>
          <w:tcPr>
            <w:tcW w:w="887" w:type="pct"/>
            <w:vAlign w:val="center"/>
          </w:tcPr>
          <w:p>
            <w:pPr>
              <w:spacing w:line="240" w:lineRule="auto"/>
              <w:ind w:firstLine="0" w:firstLineChars="0"/>
              <w:jc w:val="center"/>
              <w:rPr>
                <w:rFonts w:cs="Times New Roman"/>
                <w:sz w:val="21"/>
                <w:szCs w:val="21"/>
              </w:rPr>
            </w:pPr>
            <w:r>
              <w:rPr>
                <w:rFonts w:eastAsia="Times New Roman" w:cs="Times New Roman"/>
                <w:spacing w:val="-1"/>
                <w:sz w:val="21"/>
                <w:szCs w:val="21"/>
              </w:rPr>
              <w:t>D</w:t>
            </w:r>
            <w:r>
              <w:rPr>
                <w:rFonts w:cs="Times New Roman"/>
                <w:spacing w:val="-1"/>
                <w:sz w:val="21"/>
                <w:szCs w:val="21"/>
              </w:rPr>
              <w:t>（</w:t>
            </w:r>
            <w:r>
              <w:rPr>
                <w:rFonts w:eastAsia="Times New Roman" w:cs="Times New Roman"/>
                <w:spacing w:val="-1"/>
                <w:sz w:val="21"/>
                <w:szCs w:val="21"/>
              </w:rPr>
              <w:t>m/d</w:t>
            </w:r>
            <w:r>
              <w:rPr>
                <w:rFonts w:cs="Times New Roman"/>
                <w:spacing w:val="-1"/>
                <w:sz w:val="21"/>
                <w:szCs w:val="21"/>
              </w:rPr>
              <w:t>）</w:t>
            </w:r>
          </w:p>
        </w:tc>
        <w:tc>
          <w:tcPr>
            <w:tcW w:w="707" w:type="pct"/>
            <w:vAlign w:val="center"/>
          </w:tcPr>
          <w:p>
            <w:pPr>
              <w:spacing w:line="240" w:lineRule="auto"/>
              <w:ind w:firstLine="0" w:firstLineChars="0"/>
              <w:jc w:val="center"/>
              <w:rPr>
                <w:rFonts w:cs="Times New Roman"/>
                <w:sz w:val="21"/>
                <w:szCs w:val="21"/>
              </w:rPr>
            </w:pPr>
            <w:r>
              <w:rPr>
                <w:rFonts w:eastAsia="Times New Roman" w:cs="Times New Roman"/>
                <w:spacing w:val="-1"/>
                <w:sz w:val="21"/>
                <w:szCs w:val="21"/>
              </w:rPr>
              <w:t>t</w:t>
            </w:r>
            <w:r>
              <w:rPr>
                <w:rFonts w:cs="Times New Roman"/>
                <w:spacing w:val="-1"/>
                <w:sz w:val="21"/>
                <w:szCs w:val="21"/>
              </w:rPr>
              <w:t>（</w:t>
            </w:r>
            <w:r>
              <w:rPr>
                <w:rFonts w:eastAsia="Times New Roman" w:cs="Times New Roman"/>
                <w:spacing w:val="-1"/>
                <w:sz w:val="21"/>
                <w:szCs w:val="21"/>
              </w:rPr>
              <w:t>d</w:t>
            </w:r>
            <w:r>
              <w:rPr>
                <w:rFonts w:cs="Times New Roman"/>
                <w:spacing w:val="-1"/>
                <w:sz w:val="21"/>
                <w:szCs w:val="21"/>
              </w:rPr>
              <w:t>）</w:t>
            </w:r>
          </w:p>
        </w:tc>
        <w:tc>
          <w:tcPr>
            <w:tcW w:w="799" w:type="pct"/>
            <w:vAlign w:val="center"/>
          </w:tcPr>
          <w:p>
            <w:pPr>
              <w:spacing w:line="240" w:lineRule="auto"/>
              <w:ind w:firstLine="0" w:firstLineChars="0"/>
              <w:jc w:val="center"/>
              <w:rPr>
                <w:rFonts w:cs="Times New Roman"/>
                <w:sz w:val="21"/>
                <w:szCs w:val="21"/>
              </w:rPr>
            </w:pPr>
            <w:r>
              <w:rPr>
                <w:rFonts w:eastAsia="Times New Roman" w:cs="Times New Roman"/>
                <w:spacing w:val="-1"/>
                <w:sz w:val="21"/>
                <w:szCs w:val="21"/>
              </w:rPr>
              <w:t>u</w:t>
            </w:r>
            <w:r>
              <w:rPr>
                <w:rFonts w:cs="Times New Roman"/>
                <w:spacing w:val="-1"/>
                <w:sz w:val="21"/>
                <w:szCs w:val="21"/>
              </w:rPr>
              <w:t>（</w:t>
            </w:r>
            <w:r>
              <w:rPr>
                <w:rFonts w:eastAsia="Times New Roman" w:cs="Times New Roman"/>
                <w:spacing w:val="-1"/>
                <w:sz w:val="21"/>
                <w:szCs w:val="21"/>
              </w:rPr>
              <w:t>m/d</w:t>
            </w:r>
            <w:r>
              <w:rPr>
                <w:rFonts w:cs="Times New Roman"/>
                <w:spacing w:val="-1"/>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 w:hRule="atLeast"/>
          <w:jc w:val="center"/>
        </w:trPr>
        <w:tc>
          <w:tcPr>
            <w:tcW w:w="476" w:type="pct"/>
            <w:vAlign w:val="center"/>
          </w:tcPr>
          <w:p>
            <w:pPr>
              <w:spacing w:line="240" w:lineRule="auto"/>
              <w:ind w:firstLine="0" w:firstLineChars="0"/>
              <w:jc w:val="center"/>
              <w:rPr>
                <w:rFonts w:ascii="宋体" w:hAnsi="宋体" w:cs="宋体"/>
                <w:sz w:val="21"/>
                <w:szCs w:val="21"/>
              </w:rPr>
            </w:pPr>
            <w:r>
              <w:rPr>
                <w:rFonts w:hint="eastAsia" w:ascii="宋体" w:hAnsi="宋体" w:cs="宋体"/>
                <w:sz w:val="21"/>
                <w:szCs w:val="21"/>
              </w:rPr>
              <w:t>数值</w:t>
            </w:r>
          </w:p>
        </w:tc>
        <w:tc>
          <w:tcPr>
            <w:tcW w:w="636" w:type="pct"/>
            <w:vAlign w:val="center"/>
          </w:tcPr>
          <w:p>
            <w:pPr>
              <w:spacing w:line="240" w:lineRule="auto"/>
              <w:ind w:firstLine="0" w:firstLineChars="0"/>
              <w:jc w:val="center"/>
              <w:rPr>
                <w:rFonts w:cs="Times New Roman"/>
                <w:sz w:val="21"/>
                <w:szCs w:val="21"/>
              </w:rPr>
            </w:pPr>
            <w:r>
              <w:rPr>
                <w:rFonts w:hint="eastAsia" w:cs="Times New Roman"/>
                <w:sz w:val="21"/>
                <w:szCs w:val="21"/>
              </w:rPr>
              <w:t>0~500</w:t>
            </w:r>
          </w:p>
        </w:tc>
        <w:tc>
          <w:tcPr>
            <w:tcW w:w="1492" w:type="pct"/>
            <w:vAlign w:val="center"/>
          </w:tcPr>
          <w:p>
            <w:pPr>
              <w:spacing w:line="240" w:lineRule="auto"/>
              <w:ind w:firstLine="0" w:firstLineChars="0"/>
              <w:jc w:val="center"/>
              <w:rPr>
                <w:rFonts w:eastAsia="Times New Roman" w:cs="Times New Roman"/>
                <w:sz w:val="21"/>
                <w:szCs w:val="21"/>
              </w:rPr>
            </w:pPr>
            <w:r>
              <w:rPr>
                <w:rFonts w:hint="eastAsia" w:eastAsia="Times New Roman" w:cs="Times New Roman"/>
                <w:sz w:val="21"/>
                <w:szCs w:val="21"/>
              </w:rPr>
              <w:t>耗氧量：</w:t>
            </w:r>
            <w:r>
              <w:rPr>
                <w:rFonts w:hint="eastAsia" w:eastAsia="宋体" w:cs="Times New Roman"/>
                <w:sz w:val="21"/>
                <w:szCs w:val="21"/>
                <w:lang w:val="en-US" w:eastAsia="zh-CN"/>
              </w:rPr>
              <w:t>871.873</w:t>
            </w:r>
            <w:r>
              <w:rPr>
                <w:rFonts w:hint="eastAsia" w:eastAsia="Times New Roman" w:cs="Times New Roman"/>
                <w:sz w:val="21"/>
                <w:szCs w:val="21"/>
              </w:rPr>
              <w:t>mg/L</w:t>
            </w:r>
          </w:p>
          <w:p>
            <w:pPr>
              <w:spacing w:line="240" w:lineRule="auto"/>
              <w:ind w:firstLine="0" w:firstLineChars="0"/>
              <w:jc w:val="center"/>
              <w:rPr>
                <w:rFonts w:eastAsia="Times New Roman" w:cs="Times New Roman"/>
                <w:sz w:val="21"/>
                <w:szCs w:val="21"/>
              </w:rPr>
            </w:pPr>
            <w:r>
              <w:rPr>
                <w:rFonts w:hint="eastAsia" w:eastAsia="Times New Roman" w:cs="Times New Roman"/>
                <w:sz w:val="21"/>
                <w:szCs w:val="21"/>
              </w:rPr>
              <w:t>氨氮：</w:t>
            </w:r>
            <w:r>
              <w:rPr>
                <w:rFonts w:hint="eastAsia" w:eastAsia="宋体" w:cs="Times New Roman"/>
                <w:sz w:val="21"/>
                <w:szCs w:val="21"/>
                <w:lang w:val="en-US" w:eastAsia="zh-CN"/>
              </w:rPr>
              <w:t>28.03</w:t>
            </w:r>
            <w:r>
              <w:rPr>
                <w:rFonts w:hint="eastAsia" w:eastAsia="Times New Roman" w:cs="Times New Roman"/>
                <w:sz w:val="21"/>
                <w:szCs w:val="21"/>
              </w:rPr>
              <w:t>mg/L</w:t>
            </w:r>
          </w:p>
        </w:tc>
        <w:tc>
          <w:tcPr>
            <w:tcW w:w="887"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0.01</w:t>
            </w:r>
          </w:p>
        </w:tc>
        <w:tc>
          <w:tcPr>
            <w:tcW w:w="707"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0~5000</w:t>
            </w:r>
          </w:p>
        </w:tc>
        <w:tc>
          <w:tcPr>
            <w:tcW w:w="79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0.00036</w:t>
            </w:r>
          </w:p>
        </w:tc>
      </w:tr>
    </w:tbl>
    <w:p>
      <w:pPr>
        <w:adjustRightInd w:val="0"/>
        <w:snapToGrid w:val="0"/>
        <w:ind w:firstLine="476"/>
        <w:rPr>
          <w:rFonts w:cs="Times New Roman"/>
          <w:spacing w:val="-1"/>
          <w:position w:val="12"/>
        </w:rPr>
      </w:pPr>
      <w:r>
        <w:rPr>
          <w:rFonts w:cs="Times New Roman"/>
          <w:spacing w:val="-1"/>
          <w:position w:val="12"/>
        </w:rPr>
        <w:t>（10）预测内容</w:t>
      </w:r>
    </w:p>
    <w:p>
      <w:pPr>
        <w:adjustRightInd w:val="0"/>
        <w:snapToGrid w:val="0"/>
        <w:ind w:firstLine="476"/>
        <w:rPr>
          <w:rFonts w:cs="Times New Roman"/>
          <w:spacing w:val="-1"/>
          <w:position w:val="12"/>
        </w:rPr>
      </w:pPr>
      <w:r>
        <w:rPr>
          <w:rFonts w:cs="Times New Roman"/>
          <w:spacing w:val="-1"/>
          <w:position w:val="12"/>
        </w:rPr>
        <w:t>本次工程地下水预测内容如下：非正常工况下，</w:t>
      </w:r>
      <w:r>
        <w:rPr>
          <w:rFonts w:hint="eastAsia" w:cs="Times New Roman"/>
          <w:spacing w:val="-1"/>
          <w:position w:val="12"/>
        </w:rPr>
        <w:t>耗氧量</w:t>
      </w:r>
      <w:r>
        <w:rPr>
          <w:rFonts w:cs="Times New Roman"/>
          <w:spacing w:val="-1"/>
          <w:position w:val="12"/>
        </w:rPr>
        <w:t>、氨氮不同时段的影响范围、程度，最大迁移距离。</w:t>
      </w:r>
    </w:p>
    <w:p>
      <w:pPr>
        <w:adjustRightInd w:val="0"/>
        <w:snapToGrid w:val="0"/>
        <w:ind w:firstLine="476"/>
        <w:rPr>
          <w:rFonts w:cs="Times New Roman"/>
          <w:spacing w:val="-1"/>
          <w:position w:val="12"/>
        </w:rPr>
      </w:pPr>
      <w:r>
        <w:rPr>
          <w:rFonts w:cs="Times New Roman"/>
          <w:spacing w:val="-1"/>
          <w:position w:val="12"/>
        </w:rPr>
        <w:t>（11）预测结果与评价</w:t>
      </w:r>
    </w:p>
    <w:p>
      <w:pPr>
        <w:adjustRightInd w:val="0"/>
        <w:snapToGrid w:val="0"/>
        <w:ind w:firstLine="476"/>
        <w:rPr>
          <w:rFonts w:cs="Times New Roman"/>
          <w:spacing w:val="-1"/>
          <w:position w:val="12"/>
        </w:rPr>
      </w:pPr>
      <w:r>
        <w:rPr>
          <w:rFonts w:cs="Times New Roman"/>
          <w:spacing w:val="-1"/>
          <w:position w:val="12"/>
        </w:rPr>
        <w:t>非正常状况下污水处理站废水下渗对</w:t>
      </w:r>
      <w:r>
        <w:rPr>
          <w:rFonts w:hint="eastAsia" w:cs="Times New Roman"/>
          <w:spacing w:val="-1"/>
          <w:position w:val="12"/>
        </w:rPr>
        <w:t>厂址</w:t>
      </w:r>
      <w:r>
        <w:rPr>
          <w:rFonts w:cs="Times New Roman"/>
          <w:spacing w:val="-1"/>
          <w:position w:val="12"/>
        </w:rPr>
        <w:t>下游地下水影响预测结果见表</w:t>
      </w:r>
      <w:r>
        <w:rPr>
          <w:rFonts w:hint="eastAsia" w:cs="Times New Roman"/>
          <w:spacing w:val="-1"/>
          <w:position w:val="12"/>
        </w:rPr>
        <w:t>6.5-10</w:t>
      </w:r>
      <w:r>
        <w:rPr>
          <w:rFonts w:cs="Times New Roman"/>
          <w:spacing w:val="-1"/>
          <w:position w:val="12"/>
        </w:rPr>
        <w:t>。</w:t>
      </w:r>
    </w:p>
    <w:p>
      <w:pPr>
        <w:ind w:firstLine="0" w:firstLineChars="0"/>
        <w:jc w:val="center"/>
        <w:rPr>
          <w:b/>
        </w:rPr>
      </w:pPr>
      <w:r>
        <w:rPr>
          <w:b/>
        </w:rPr>
        <w:t>表</w:t>
      </w:r>
      <w:r>
        <w:rPr>
          <w:rFonts w:hint="eastAsia"/>
          <w:b/>
        </w:rPr>
        <w:t>6.5-10</w:t>
      </w:r>
      <w:r>
        <w:rPr>
          <w:b/>
        </w:rPr>
        <w:t xml:space="preserve">  污水站非正常状况下</w:t>
      </w:r>
      <w:r>
        <w:rPr>
          <w:rFonts w:hint="eastAsia"/>
          <w:b/>
        </w:rPr>
        <w:t>厂址</w:t>
      </w:r>
      <w:r>
        <w:rPr>
          <w:b/>
        </w:rPr>
        <w:t>下游地下水影响预测一览表  单位：mg/L</w:t>
      </w:r>
    </w:p>
    <w:tbl>
      <w:tblPr>
        <w:tblStyle w:val="51"/>
        <w:tblW w:w="4998"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594"/>
        <w:gridCol w:w="535"/>
        <w:gridCol w:w="214"/>
        <w:gridCol w:w="292"/>
        <w:gridCol w:w="976"/>
        <w:gridCol w:w="872"/>
        <w:gridCol w:w="1079"/>
        <w:gridCol w:w="1088"/>
        <w:gridCol w:w="1182"/>
        <w:gridCol w:w="1079"/>
        <w:gridCol w:w="116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restart"/>
            <w:tcBorders>
              <w:bottom w:val="nil"/>
            </w:tcBorders>
            <w:vAlign w:val="center"/>
          </w:tcPr>
          <w:p>
            <w:pPr>
              <w:spacing w:line="240" w:lineRule="auto"/>
              <w:ind w:firstLine="0" w:firstLineChars="0"/>
              <w:jc w:val="center"/>
              <w:rPr>
                <w:rFonts w:ascii="宋体" w:hAnsi="宋体" w:cs="宋体"/>
                <w:sz w:val="21"/>
                <w:szCs w:val="21"/>
              </w:rPr>
            </w:pPr>
            <w:r>
              <w:rPr>
                <w:rFonts w:ascii="宋体" w:hAnsi="宋体" w:cs="宋体"/>
                <w:spacing w:val="-13"/>
                <w:sz w:val="21"/>
                <w:szCs w:val="21"/>
              </w:rPr>
              <w:t>因子</w:t>
            </w:r>
          </w:p>
        </w:tc>
        <w:tc>
          <w:tcPr>
            <w:tcW w:w="329" w:type="pct"/>
            <w:vMerge w:val="restart"/>
            <w:tcBorders>
              <w:bottom w:val="nil"/>
            </w:tcBorders>
            <w:vAlign w:val="center"/>
          </w:tcPr>
          <w:p>
            <w:pPr>
              <w:spacing w:line="240" w:lineRule="auto"/>
              <w:ind w:firstLine="0" w:firstLineChars="0"/>
              <w:jc w:val="center"/>
              <w:rPr>
                <w:rFonts w:cs="Times New Roman"/>
                <w:sz w:val="21"/>
                <w:szCs w:val="21"/>
              </w:rPr>
            </w:pPr>
            <w:r>
              <w:rPr>
                <w:rFonts w:cs="Times New Roman"/>
                <w:spacing w:val="-6"/>
                <w:sz w:val="21"/>
                <w:szCs w:val="21"/>
              </w:rPr>
              <w:t>距离</w:t>
            </w:r>
            <w:r>
              <w:rPr>
                <w:rFonts w:cs="Times New Roman"/>
                <w:spacing w:val="-10"/>
                <w:sz w:val="21"/>
                <w:szCs w:val="21"/>
              </w:rPr>
              <w:t>（</w:t>
            </w:r>
            <w:r>
              <w:rPr>
                <w:rFonts w:eastAsia="Times New Roman" w:cs="Times New Roman"/>
                <w:spacing w:val="-10"/>
                <w:sz w:val="21"/>
                <w:szCs w:val="21"/>
              </w:rPr>
              <w:t>m</w:t>
            </w:r>
            <w:r>
              <w:rPr>
                <w:rFonts w:cs="Times New Roman"/>
                <w:spacing w:val="-10"/>
                <w:sz w:val="21"/>
                <w:szCs w:val="21"/>
              </w:rPr>
              <w:t>）</w:t>
            </w:r>
          </w:p>
        </w:tc>
        <w:tc>
          <w:tcPr>
            <w:tcW w:w="4335" w:type="pct"/>
            <w:gridSpan w:val="9"/>
            <w:vAlign w:val="center"/>
          </w:tcPr>
          <w:p>
            <w:pPr>
              <w:spacing w:line="240" w:lineRule="auto"/>
              <w:ind w:firstLine="0" w:firstLineChars="0"/>
              <w:jc w:val="center"/>
              <w:rPr>
                <w:rFonts w:cs="Times New Roman"/>
                <w:sz w:val="21"/>
                <w:szCs w:val="21"/>
              </w:rPr>
            </w:pPr>
            <w:r>
              <w:rPr>
                <w:rFonts w:cs="Times New Roman"/>
                <w:spacing w:val="-4"/>
                <w:sz w:val="21"/>
                <w:szCs w:val="21"/>
              </w:rPr>
              <w:t>时间（</w:t>
            </w:r>
            <w:r>
              <w:rPr>
                <w:rFonts w:eastAsia="Times New Roman" w:cs="Times New Roman"/>
                <w:spacing w:val="-4"/>
                <w:sz w:val="21"/>
                <w:szCs w:val="21"/>
              </w:rPr>
              <w:t>d</w:t>
            </w:r>
            <w:r>
              <w:rPr>
                <w:rFonts w:cs="Times New Roman"/>
                <w:spacing w:val="-4"/>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tcBorders>
            <w:vAlign w:val="center"/>
          </w:tcPr>
          <w:p>
            <w:pPr>
              <w:spacing w:line="240" w:lineRule="auto"/>
              <w:ind w:firstLine="0" w:firstLineChars="0"/>
              <w:jc w:val="center"/>
              <w:rPr>
                <w:rFonts w:ascii="宋体"/>
                <w:sz w:val="21"/>
                <w:szCs w:val="21"/>
              </w:rPr>
            </w:pPr>
          </w:p>
        </w:tc>
        <w:tc>
          <w:tcPr>
            <w:tcW w:w="329" w:type="pct"/>
            <w:vMerge w:val="continue"/>
            <w:tcBorders>
              <w:top w:val="nil"/>
            </w:tcBorders>
            <w:vAlign w:val="center"/>
          </w:tcPr>
          <w:p>
            <w:pPr>
              <w:spacing w:line="240" w:lineRule="auto"/>
              <w:ind w:firstLine="0" w:firstLineChars="0"/>
              <w:jc w:val="center"/>
              <w:rPr>
                <w:rFonts w:cs="Times New Roman"/>
                <w:sz w:val="21"/>
                <w:szCs w:val="21"/>
              </w:rPr>
            </w:pP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10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0"/>
                <w:w w:val="97"/>
                <w:sz w:val="21"/>
                <w:szCs w:val="21"/>
              </w:rPr>
              <w:t>10</w:t>
            </w: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300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4"/>
                <w:sz w:val="21"/>
                <w:szCs w:val="21"/>
              </w:rPr>
              <w:t>500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6"/>
                <w:sz w:val="21"/>
                <w:szCs w:val="21"/>
              </w:rPr>
              <w:t>1000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2000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3000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4000</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5000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restart"/>
            <w:tcBorders>
              <w:bottom w:val="nil"/>
            </w:tcBorders>
            <w:vAlign w:val="center"/>
          </w:tcPr>
          <w:p>
            <w:pPr>
              <w:spacing w:line="240" w:lineRule="auto"/>
              <w:ind w:firstLine="0" w:firstLineChars="0"/>
              <w:jc w:val="center"/>
              <w:rPr>
                <w:rFonts w:ascii="宋体" w:hAnsi="宋体" w:cs="宋体"/>
                <w:sz w:val="21"/>
                <w:szCs w:val="21"/>
              </w:rPr>
            </w:pPr>
            <w:r>
              <w:rPr>
                <w:rFonts w:hint="eastAsia" w:ascii="宋体" w:hAnsi="宋体" w:cs="宋体"/>
                <w:spacing w:val="-8"/>
                <w:sz w:val="21"/>
                <w:szCs w:val="21"/>
              </w:rPr>
              <w:t>耗氧量</w:t>
            </w: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0"/>
                <w:w w:val="97"/>
                <w:sz w:val="21"/>
                <w:szCs w:val="21"/>
              </w:rPr>
              <w:t>10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cs="Times New Roman"/>
                <w:sz w:val="21"/>
                <w:szCs w:val="21"/>
              </w:rPr>
            </w:pPr>
            <w:r>
              <w:rPr>
                <w:rFonts w:eastAsia="Times New Roman" w:cs="Times New Roman"/>
                <w:spacing w:val="-1"/>
                <w:sz w:val="21"/>
                <w:szCs w:val="21"/>
              </w:rPr>
              <w:t>0.01</w:t>
            </w:r>
            <w:r>
              <w:rPr>
                <w:rFonts w:cs="Times New Roman"/>
                <w:spacing w:val="-1"/>
                <w:sz w:val="21"/>
                <w:szCs w:val="21"/>
              </w:rPr>
              <w:t>4672</w:t>
            </w:r>
          </w:p>
        </w:tc>
        <w:tc>
          <w:tcPr>
            <w:tcW w:w="470" w:type="pct"/>
            <w:vAlign w:val="center"/>
          </w:tcPr>
          <w:p>
            <w:pPr>
              <w:spacing w:line="240" w:lineRule="auto"/>
              <w:ind w:firstLine="0" w:firstLineChars="0"/>
              <w:jc w:val="center"/>
              <w:rPr>
                <w:rFonts w:cs="Times New Roman"/>
                <w:sz w:val="21"/>
                <w:szCs w:val="21"/>
              </w:rPr>
            </w:pPr>
            <w:r>
              <w:rPr>
                <w:rFonts w:eastAsia="Times New Roman" w:cs="Times New Roman"/>
                <w:spacing w:val="-2"/>
                <w:sz w:val="21"/>
                <w:szCs w:val="21"/>
              </w:rPr>
              <w:t>0.</w:t>
            </w:r>
            <w:r>
              <w:rPr>
                <w:rFonts w:cs="Times New Roman"/>
                <w:spacing w:val="-2"/>
                <w:sz w:val="21"/>
                <w:szCs w:val="21"/>
              </w:rPr>
              <w:t>445122</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7.503881</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3</w:t>
            </w:r>
            <w:r>
              <w:rPr>
                <w:rFonts w:cs="Times New Roman"/>
                <w:spacing w:val="-1"/>
                <w:sz w:val="21"/>
                <w:szCs w:val="21"/>
              </w:rPr>
              <w:t>4</w:t>
            </w:r>
            <w:r>
              <w:rPr>
                <w:rFonts w:eastAsia="Times New Roman" w:cs="Times New Roman"/>
                <w:spacing w:val="-1"/>
                <w:sz w:val="21"/>
                <w:szCs w:val="21"/>
              </w:rPr>
              <w:t>.641</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58.03582</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77.65279</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93.37759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bottom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20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w:t>
            </w:r>
            <w:r>
              <w:rPr>
                <w:rFonts w:cs="Times New Roman"/>
                <w:spacing w:val="-1"/>
                <w:sz w:val="21"/>
                <w:szCs w:val="21"/>
              </w:rPr>
              <w:t>325</w:t>
            </w:r>
            <w:r>
              <w:rPr>
                <w:rFonts w:eastAsia="Times New Roman" w:cs="Times New Roman"/>
                <w:spacing w:val="-1"/>
                <w:sz w:val="21"/>
                <w:szCs w:val="21"/>
              </w:rPr>
              <w:t>59</w:t>
            </w:r>
            <w:r>
              <w:rPr>
                <w:rFonts w:eastAsia="Times New Roman" w:cs="Times New Roman"/>
                <w:spacing w:val="-5"/>
                <w:sz w:val="21"/>
                <w:szCs w:val="21"/>
              </w:rPr>
              <w:t>6</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0.553178</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3.462923</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8.916144</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15.97296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bottom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30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0.000</w:t>
            </w:r>
            <w:r>
              <w:rPr>
                <w:rFonts w:cs="Times New Roman"/>
                <w:spacing w:val="-1"/>
                <w:sz w:val="21"/>
                <w:szCs w:val="21"/>
              </w:rPr>
              <w:t>57</w:t>
            </w:r>
            <w:r>
              <w:rPr>
                <w:rFonts w:eastAsia="Times New Roman" w:cs="Times New Roman"/>
                <w:spacing w:val="-1"/>
                <w:sz w:val="21"/>
                <w:szCs w:val="21"/>
              </w:rPr>
              <w:t>9</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0.04535536</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0.3349566</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w w:val="97"/>
                <w:sz w:val="21"/>
                <w:szCs w:val="21"/>
              </w:rPr>
              <w:t>1.13286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bottom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40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0.00012223</w:t>
            </w:r>
            <w:r>
              <w:rPr>
                <w:rFonts w:eastAsia="Times New Roman" w:cs="Times New Roman"/>
                <w:spacing w:val="-5"/>
                <w:sz w:val="21"/>
                <w:szCs w:val="21"/>
              </w:rPr>
              <w:t>55</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0.0039008</w:t>
            </w:r>
            <w:r>
              <w:rPr>
                <w:rFonts w:eastAsia="Times New Roman" w:cs="Times New Roman"/>
                <w:spacing w:val="-5"/>
                <w:sz w:val="21"/>
                <w:szCs w:val="21"/>
              </w:rPr>
              <w:t>98</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0.03180683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bottom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50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0.00034486</w:t>
            </w:r>
            <w:r>
              <w:rPr>
                <w:rFonts w:eastAsia="Times New Roman" w:cs="Times New Roman"/>
                <w:spacing w:val="2"/>
                <w:sz w:val="21"/>
                <w:szCs w:val="21"/>
              </w:rPr>
              <w:t xml:space="preserve"> </w:t>
            </w:r>
            <w:r>
              <w:rPr>
                <w:rFonts w:eastAsia="Times New Roman" w:cs="Times New Roman"/>
                <w:spacing w:val="-7"/>
                <w:sz w:val="21"/>
                <w:szCs w:val="21"/>
              </w:rPr>
              <w:t>88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60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restart"/>
            <w:tcBorders>
              <w:bottom w:val="nil"/>
            </w:tcBorders>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NH</w:t>
            </w:r>
            <w:r>
              <w:rPr>
                <w:rFonts w:hint="eastAsia" w:cs="Times New Roman"/>
                <w:sz w:val="21"/>
                <w:szCs w:val="21"/>
                <w:vertAlign w:val="subscript"/>
              </w:rPr>
              <w:t>3</w:t>
            </w:r>
            <w:r>
              <w:rPr>
                <w:rFonts w:eastAsia="Times New Roman" w:cs="Times New Roman"/>
                <w:sz w:val="21"/>
                <w:szCs w:val="21"/>
              </w:rPr>
              <w:t>-</w:t>
            </w:r>
            <w:r>
              <w:rPr>
                <w:rFonts w:eastAsia="Times New Roman" w:cs="Times New Roman"/>
                <w:spacing w:val="1"/>
                <w:sz w:val="21"/>
                <w:szCs w:val="21"/>
              </w:rPr>
              <w:t>N</w:t>
            </w: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0"/>
                <w:w w:val="97"/>
                <w:sz w:val="21"/>
                <w:szCs w:val="21"/>
              </w:rPr>
              <w:t>10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0.012456</w:t>
            </w:r>
            <w:r>
              <w:rPr>
                <w:rFonts w:eastAsia="Times New Roman" w:cs="Times New Roman"/>
                <w:spacing w:val="-5"/>
                <w:sz w:val="21"/>
                <w:szCs w:val="21"/>
              </w:rPr>
              <w:t>37</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0.4372045</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7.07072</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31.69913</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54.6857</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4"/>
                <w:sz w:val="21"/>
                <w:szCs w:val="21"/>
              </w:rPr>
              <w:t>73.</w:t>
            </w:r>
            <w:r>
              <w:rPr>
                <w:rFonts w:eastAsia="Times New Roman" w:cs="Times New Roman"/>
                <w:spacing w:val="-28"/>
                <w:sz w:val="21"/>
                <w:szCs w:val="21"/>
              </w:rPr>
              <w:t xml:space="preserve"> </w:t>
            </w:r>
            <w:r>
              <w:rPr>
                <w:rFonts w:eastAsia="Times New Roman" w:cs="Times New Roman"/>
                <w:spacing w:val="-4"/>
                <w:sz w:val="21"/>
                <w:szCs w:val="21"/>
              </w:rPr>
              <w:t>17029</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87.98738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bottom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20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0.0025874</w:t>
            </w:r>
            <w:r>
              <w:rPr>
                <w:rFonts w:eastAsia="Times New Roman" w:cs="Times New Roman"/>
                <w:spacing w:val="-5"/>
                <w:sz w:val="21"/>
                <w:szCs w:val="21"/>
              </w:rPr>
              <w:t>52</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0.5212458</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3.263026</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8.401461</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15.05093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bottom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30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0.00083832</w:t>
            </w:r>
            <w:r>
              <w:rPr>
                <w:rFonts w:eastAsia="Times New Roman" w:cs="Times New Roman"/>
                <w:sz w:val="21"/>
                <w:szCs w:val="21"/>
              </w:rPr>
              <w:t>3</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0.04273723</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0.3156213</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3"/>
                <w:sz w:val="21"/>
                <w:szCs w:val="21"/>
              </w:rPr>
              <w:t>1.067465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bottom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2"/>
                <w:sz w:val="21"/>
                <w:szCs w:val="21"/>
              </w:rPr>
              <w:t>40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0.00011517</w:t>
            </w:r>
            <w:r>
              <w:rPr>
                <w:rFonts w:eastAsia="Times New Roman" w:cs="Times New Roman"/>
                <w:spacing w:val="-5"/>
                <w:sz w:val="21"/>
                <w:szCs w:val="21"/>
              </w:rPr>
              <w:t>94</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0.0036757</w:t>
            </w:r>
            <w:r>
              <w:rPr>
                <w:rFonts w:eastAsia="Times New Roman" w:cs="Times New Roman"/>
                <w:spacing w:val="-10"/>
                <w:w w:val="97"/>
                <w:sz w:val="21"/>
                <w:szCs w:val="21"/>
              </w:rPr>
              <w:t>19</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0.02997079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bottom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50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1"/>
                <w:sz w:val="21"/>
                <w:szCs w:val="21"/>
              </w:rPr>
              <w:t>0.00032496</w:t>
            </w:r>
            <w:r>
              <w:rPr>
                <w:rFonts w:eastAsia="Times New Roman" w:cs="Times New Roman"/>
                <w:spacing w:val="-10"/>
                <w:w w:val="97"/>
                <w:sz w:val="21"/>
                <w:szCs w:val="21"/>
              </w:rPr>
              <w:t>13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5" w:type="pct"/>
            <w:vMerge w:val="continue"/>
            <w:tcBorders>
              <w:top w:val="nil"/>
            </w:tcBorders>
            <w:vAlign w:val="center"/>
          </w:tcPr>
          <w:p>
            <w:pPr>
              <w:spacing w:line="240" w:lineRule="auto"/>
              <w:ind w:firstLine="0" w:firstLineChars="0"/>
              <w:jc w:val="center"/>
              <w:rPr>
                <w:rFonts w:ascii="宋体"/>
                <w:sz w:val="21"/>
                <w:szCs w:val="21"/>
              </w:rPr>
            </w:pPr>
          </w:p>
        </w:tc>
        <w:tc>
          <w:tcPr>
            <w:tcW w:w="329" w:type="pct"/>
            <w:vAlign w:val="center"/>
          </w:tcPr>
          <w:p>
            <w:pPr>
              <w:spacing w:line="240" w:lineRule="auto"/>
              <w:ind w:firstLine="0" w:firstLineChars="0"/>
              <w:jc w:val="center"/>
              <w:rPr>
                <w:rFonts w:eastAsia="Times New Roman" w:cs="Times New Roman"/>
                <w:sz w:val="21"/>
                <w:szCs w:val="21"/>
              </w:rPr>
            </w:pPr>
            <w:r>
              <w:rPr>
                <w:rFonts w:eastAsia="Times New Roman" w:cs="Times New Roman"/>
                <w:spacing w:val="-5"/>
                <w:sz w:val="21"/>
                <w:szCs w:val="21"/>
              </w:rPr>
              <w:t>60</w:t>
            </w:r>
          </w:p>
        </w:tc>
        <w:tc>
          <w:tcPr>
            <w:tcW w:w="158"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31"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393"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47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14"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566"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c>
          <w:tcPr>
            <w:tcW w:w="620" w:type="pct"/>
            <w:vAlign w:val="center"/>
          </w:tcPr>
          <w:p>
            <w:pPr>
              <w:spacing w:line="240" w:lineRule="auto"/>
              <w:ind w:firstLine="0" w:firstLineChars="0"/>
              <w:jc w:val="center"/>
              <w:rPr>
                <w:rFonts w:eastAsia="Times New Roman" w:cs="Times New Roman"/>
                <w:sz w:val="21"/>
                <w:szCs w:val="21"/>
              </w:rPr>
            </w:pPr>
            <w:r>
              <w:rPr>
                <w:rFonts w:eastAsia="Times New Roman" w:cs="Times New Roman"/>
                <w:sz w:val="21"/>
                <w:szCs w:val="21"/>
              </w:rPr>
              <w:t>0</w:t>
            </w:r>
          </w:p>
        </w:tc>
      </w:tr>
    </w:tbl>
    <w:p>
      <w:pPr>
        <w:ind w:firstLine="480"/>
        <w:rPr>
          <w:color w:val="000000"/>
        </w:rPr>
      </w:pPr>
      <w:r>
        <w:rPr>
          <w:color w:val="000000"/>
        </w:rPr>
        <w:t>根据预测结果可知，</w:t>
      </w:r>
    </w:p>
    <w:p>
      <w:pPr>
        <w:ind w:firstLine="480"/>
        <w:rPr>
          <w:color w:val="000000"/>
        </w:rPr>
      </w:pPr>
      <w:r>
        <w:rPr>
          <w:color w:val="000000"/>
        </w:rPr>
        <w:t>在非正常状况下污水处理站池壁发生渗透，连续下渗5000d后，</w:t>
      </w:r>
      <w:r>
        <w:rPr>
          <w:rFonts w:hint="eastAsia"/>
          <w:color w:val="000000"/>
        </w:rPr>
        <w:t>耗氧量</w:t>
      </w:r>
      <w:r>
        <w:rPr>
          <w:color w:val="000000"/>
        </w:rPr>
        <w:t>达标距离为30m（即30m以外的区域均达标）；最大影响距离为60m（即浓度为0mg/L）。在连续下渗5000d时，氨氮达标距离为40m（即40m以外的区域均达标）；最大影响距离为60m（即浓度为0mg/L）。经调查，本次污水处理站60m以内，没有水源准保护区及其他需要特殊地下水资源保护区、饮用水源准保护区以外的补给径流区、分散式饮用水水源地及特殊地下水资源保护区以外的分布区等其他环境敏感区。</w:t>
      </w:r>
    </w:p>
    <w:p>
      <w:pPr>
        <w:ind w:firstLine="480"/>
        <w:rPr>
          <w:color w:val="000000"/>
        </w:rPr>
      </w:pPr>
      <w:r>
        <w:rPr>
          <w:rFonts w:hint="eastAsia"/>
          <w:color w:val="000000"/>
        </w:rPr>
        <w:t>环评要求项目建设区域地面做好基础防渗，地面采用混凝土结构，厚度不低于150mm，底部做防水层处理，采用防水剂、防冻剂与水泥砂浆混合涂层，厚度不低于3cm；各建筑物地面及墙体侧面地面以上0.3m以下部位应采用人工防渗材料进行防渗，保证防渗材料渗透系数≤10</w:t>
      </w:r>
      <w:r>
        <w:rPr>
          <w:rFonts w:hint="eastAsia"/>
          <w:color w:val="000000"/>
          <w:vertAlign w:val="superscript"/>
        </w:rPr>
        <w:t>-10</w:t>
      </w:r>
      <w:r>
        <w:rPr>
          <w:rFonts w:hint="eastAsia"/>
          <w:color w:val="000000"/>
        </w:rPr>
        <w:t>cm/s。通过以上措施后项目建设不会对项目区域地下水产生明显影响。</w:t>
      </w:r>
    </w:p>
    <w:p>
      <w:pPr>
        <w:ind w:firstLine="480"/>
        <w:rPr>
          <w:color w:val="000000"/>
        </w:rPr>
      </w:pPr>
      <w:r>
        <w:rPr>
          <w:rFonts w:hint="eastAsia"/>
          <w:color w:val="000000"/>
        </w:rPr>
        <w:t>（9）地下水影响评价结论</w:t>
      </w:r>
    </w:p>
    <w:p>
      <w:pPr>
        <w:ind w:firstLine="480"/>
        <w:rPr>
          <w:color w:val="000000"/>
        </w:rPr>
      </w:pPr>
      <w:r>
        <w:rPr>
          <w:rFonts w:hint="eastAsia"/>
          <w:color w:val="000000"/>
        </w:rPr>
        <w:t>本项目根据区域地勘资料，项目所在区域以粉质粘土为主，粉质粘土的渗透系数较小，不利于污染物下渗，因此，项目对地下水影响较小，应充分做好污水管道的防渗处理，杜绝污水渗漏，确保污水收集处理系统衔接良好，严格用水管理，防止污水</w:t>
      </w:r>
      <w:r>
        <w:rPr>
          <w:rFonts w:hint="eastAsia"/>
          <w:color w:val="000000"/>
          <w:lang w:eastAsia="zh-CN"/>
        </w:rPr>
        <w:t>“</w:t>
      </w:r>
      <w:r>
        <w:rPr>
          <w:rFonts w:hint="eastAsia"/>
          <w:color w:val="000000"/>
        </w:rPr>
        <w:t>跑、冒、滴、漏</w:t>
      </w:r>
      <w:r>
        <w:rPr>
          <w:rFonts w:hint="eastAsia"/>
          <w:color w:val="000000"/>
          <w:lang w:eastAsia="zh-CN"/>
        </w:rPr>
        <w:t>”</w:t>
      </w:r>
      <w:r>
        <w:rPr>
          <w:rFonts w:hint="eastAsia"/>
          <w:color w:val="000000"/>
        </w:rPr>
        <w:t>现象的发生，可以很大程度</w:t>
      </w:r>
      <w:r>
        <w:rPr>
          <w:rFonts w:hint="eastAsia"/>
          <w:color w:val="000000"/>
          <w:lang w:eastAsia="zh-CN"/>
        </w:rPr>
        <w:t>地</w:t>
      </w:r>
      <w:r>
        <w:rPr>
          <w:rFonts w:hint="eastAsia"/>
          <w:color w:val="000000"/>
        </w:rPr>
        <w:t>消除周边地区污染物排放对地下水环境的影响。建设项目厂区在落实好防渗、防污措施后，本项目污染物能得到有效处理，对地下水水质影响较小，项目的建设不会产生其他环境地质问题。</w:t>
      </w:r>
    </w:p>
    <w:p>
      <w:pPr>
        <w:pStyle w:val="6"/>
        <w:ind w:firstLine="643"/>
      </w:pPr>
      <w:bookmarkStart w:id="168" w:name="_Toc8272"/>
      <w:bookmarkStart w:id="169" w:name="_Toc5247"/>
      <w:bookmarkStart w:id="170" w:name="_Toc10154"/>
      <w:r>
        <w:rPr>
          <w:rFonts w:hint="eastAsia"/>
          <w:lang w:val="en-US"/>
        </w:rPr>
        <w:t xml:space="preserve">6.6 </w:t>
      </w:r>
      <w:r>
        <w:rPr>
          <w:lang w:val="en-US"/>
        </w:rPr>
        <w:t>土壤环境影响分析</w:t>
      </w:r>
      <w:bookmarkEnd w:id="168"/>
      <w:bookmarkEnd w:id="169"/>
      <w:bookmarkEnd w:id="170"/>
    </w:p>
    <w:p>
      <w:pPr>
        <w:ind w:firstLine="480"/>
      </w:pPr>
      <w:r>
        <w:rPr>
          <w:rFonts w:hint="eastAsia"/>
        </w:rPr>
        <w:t>根据2.5.4，本项目土壤环境影响评价等级为</w:t>
      </w:r>
      <w:r>
        <w:rPr>
          <w:rFonts w:hint="eastAsia" w:cs="Times New Roman"/>
          <w:lang w:eastAsia="zh-CN"/>
        </w:rPr>
        <w:t>“</w:t>
      </w:r>
      <w:r>
        <w:rPr>
          <w:rFonts w:hint="eastAsia" w:cs="Times New Roman"/>
        </w:rPr>
        <w:t>三级</w:t>
      </w:r>
      <w:r>
        <w:rPr>
          <w:rFonts w:hint="eastAsia"/>
          <w:lang w:eastAsia="zh-CN"/>
        </w:rPr>
        <w:t>”</w:t>
      </w:r>
      <w:r>
        <w:rPr>
          <w:rFonts w:hint="eastAsia"/>
        </w:rPr>
        <w:t>。</w:t>
      </w:r>
    </w:p>
    <w:p>
      <w:pPr>
        <w:widowControl/>
        <w:ind w:firstLine="480"/>
      </w:pPr>
      <w:r>
        <w:rPr>
          <w:rFonts w:hint="eastAsia" w:ascii="宋体" w:hAnsi="宋体" w:cs="宋体"/>
          <w:color w:val="000000"/>
          <w:kern w:val="0"/>
          <w:lang w:bidi="ar"/>
        </w:rPr>
        <w:t>本项目土壤现状调查范围按照建设场址及厂界外</w:t>
      </w:r>
      <w:r>
        <w:rPr>
          <w:rFonts w:cs="Times New Roman"/>
          <w:color w:val="000000"/>
          <w:kern w:val="0"/>
          <w:lang w:bidi="ar"/>
        </w:rPr>
        <w:t>0.</w:t>
      </w:r>
      <w:r>
        <w:rPr>
          <w:rFonts w:hint="eastAsia" w:cs="Times New Roman"/>
          <w:color w:val="000000"/>
          <w:kern w:val="0"/>
          <w:lang w:val="en-US" w:eastAsia="zh-CN" w:bidi="ar"/>
        </w:rPr>
        <w:t>2</w:t>
      </w:r>
      <w:r>
        <w:rPr>
          <w:rFonts w:cs="Times New Roman"/>
          <w:color w:val="000000"/>
          <w:kern w:val="0"/>
          <w:lang w:bidi="ar"/>
        </w:rPr>
        <w:t>km</w:t>
      </w:r>
      <w:r>
        <w:rPr>
          <w:rFonts w:hint="eastAsia" w:ascii="宋体" w:hAnsi="宋体" w:cs="宋体"/>
          <w:color w:val="000000"/>
          <w:kern w:val="0"/>
          <w:lang w:bidi="ar"/>
        </w:rPr>
        <w:t>范围，土壤环境调查范围示意图见图</w:t>
      </w:r>
      <w:r>
        <w:rPr>
          <w:rFonts w:cs="Times New Roman"/>
          <w:color w:val="000000"/>
          <w:kern w:val="0"/>
          <w:lang w:bidi="ar"/>
        </w:rPr>
        <w:t>6.</w:t>
      </w:r>
      <w:r>
        <w:rPr>
          <w:rFonts w:hint="eastAsia" w:cs="Times New Roman"/>
          <w:color w:val="000000"/>
          <w:kern w:val="0"/>
          <w:lang w:bidi="ar"/>
        </w:rPr>
        <w:t>6</w:t>
      </w:r>
      <w:r>
        <w:rPr>
          <w:rFonts w:cs="Times New Roman"/>
          <w:color w:val="000000"/>
          <w:kern w:val="0"/>
          <w:lang w:bidi="ar"/>
        </w:rPr>
        <w:t>-1</w:t>
      </w:r>
      <w:r>
        <w:rPr>
          <w:rFonts w:hint="eastAsia" w:ascii="宋体" w:hAnsi="宋体" w:cs="宋体"/>
          <w:color w:val="000000"/>
          <w:kern w:val="0"/>
          <w:lang w:bidi="ar"/>
        </w:rPr>
        <w:t>。</w:t>
      </w:r>
    </w:p>
    <w:p>
      <w:pPr>
        <w:ind w:firstLine="0" w:firstLineChars="0"/>
        <w:jc w:val="center"/>
      </w:pPr>
      <w:r>
        <mc:AlternateContent>
          <mc:Choice Requires="wps">
            <w:drawing>
              <wp:anchor distT="0" distB="0" distL="114300" distR="114300" simplePos="0" relativeHeight="251669504" behindDoc="0" locked="0" layoutInCell="1" allowOverlap="1">
                <wp:simplePos x="0" y="0"/>
                <wp:positionH relativeFrom="column">
                  <wp:posOffset>2095500</wp:posOffset>
                </wp:positionH>
                <wp:positionV relativeFrom="paragraph">
                  <wp:posOffset>2235200</wp:posOffset>
                </wp:positionV>
                <wp:extent cx="666750" cy="285750"/>
                <wp:effectExtent l="0" t="0" r="0" b="0"/>
                <wp:wrapNone/>
                <wp:docPr id="99" name="文本框 99"/>
                <wp:cNvGraphicFramePr/>
                <a:graphic xmlns:a="http://schemas.openxmlformats.org/drawingml/2006/main">
                  <a:graphicData uri="http://schemas.microsoft.com/office/word/2010/wordprocessingShape">
                    <wps:wsp>
                      <wps:cNvSpPr txBox="1"/>
                      <wps:spPr>
                        <a:xfrm rot="600000">
                          <a:off x="0" y="0"/>
                          <a:ext cx="666750" cy="2857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240" w:lineRule="auto"/>
                              <w:ind w:firstLine="0" w:firstLineChars="0"/>
                              <w:rPr>
                                <w:color w:val="FFFF00"/>
                              </w:rPr>
                            </w:pPr>
                            <w:r>
                              <w:rPr>
                                <w:rFonts w:hint="eastAsia"/>
                                <w:color w:val="FFFF00"/>
                              </w:rPr>
                              <w:t>0.</w:t>
                            </w:r>
                            <w:r>
                              <w:rPr>
                                <w:rFonts w:hint="eastAsia"/>
                                <w:color w:val="FFFF00"/>
                                <w:lang w:val="en-US" w:eastAsia="zh-CN"/>
                              </w:rPr>
                              <w:t>2</w:t>
                            </w:r>
                            <w:r>
                              <w:rPr>
                                <w:rFonts w:hint="eastAsia"/>
                                <w:color w:val="FFFF00"/>
                              </w:rPr>
                              <w:t>km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65pt;margin-top:176pt;height:22.5pt;width:52.5pt;rotation:655360f;z-index:251669504;mso-width-relative:page;mso-height-relative:page;" filled="f" stroked="f" coordsize="21600,21600" o:gfxdata="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B+sFeL2AAAAAsBAAAPAAAAAAAAAAEAIAAAACIAAABk&#10;cnMvZG93bnJldi54bWxQSwECFAAUAAAACACHTuJAIG/2wz8CAAB0BAAADgAAAAAAAAABACAAAAAn&#10;AQAAZHJzL2Uyb0RvYy54bWxQSwUGAAAAAAYABgBZAQAA2AUAAAAA&#10;">
                <v:fill on="f" focussize="0,0"/>
                <v:stroke on="f" weight="0.5pt"/>
                <v:imagedata o:title=""/>
                <o:lock v:ext="edit" aspectratio="f"/>
                <v:textbox>
                  <w:txbxContent>
                    <w:p>
                      <w:pPr>
                        <w:spacing w:line="240" w:lineRule="auto"/>
                        <w:ind w:firstLine="0" w:firstLineChars="0"/>
                        <w:rPr>
                          <w:color w:val="FFFF00"/>
                        </w:rPr>
                      </w:pPr>
                      <w:r>
                        <w:rPr>
                          <w:rFonts w:hint="eastAsia"/>
                          <w:color w:val="FFFF00"/>
                        </w:rPr>
                        <w:t>0.</w:t>
                      </w:r>
                      <w:r>
                        <w:rPr>
                          <w:rFonts w:hint="eastAsia"/>
                          <w:color w:val="FFFF00"/>
                          <w:lang w:val="en-US" w:eastAsia="zh-CN"/>
                        </w:rPr>
                        <w:t>2</w:t>
                      </w:r>
                      <w:r>
                        <w:rPr>
                          <w:rFonts w:hint="eastAsia"/>
                          <w:color w:val="FFFF00"/>
                        </w:rPr>
                        <w:t>km</w:t>
                      </w:r>
                    </w:p>
                  </w:txbxContent>
                </v:textbox>
              </v:shape>
            </w:pict>
          </mc:Fallback>
        </mc:AlternateContent>
      </w:r>
      <w:r>
        <mc:AlternateContent>
          <mc:Choice Requires="wps">
            <w:drawing>
              <wp:anchor distT="0" distB="0" distL="114300" distR="114300" simplePos="0" relativeHeight="251671552" behindDoc="0" locked="0" layoutInCell="1" allowOverlap="1">
                <wp:simplePos x="0" y="0"/>
                <wp:positionH relativeFrom="column">
                  <wp:posOffset>2971800</wp:posOffset>
                </wp:positionH>
                <wp:positionV relativeFrom="paragraph">
                  <wp:posOffset>1672590</wp:posOffset>
                </wp:positionV>
                <wp:extent cx="666750" cy="285750"/>
                <wp:effectExtent l="0" t="0" r="0" b="0"/>
                <wp:wrapNone/>
                <wp:docPr id="101" name="文本框 101"/>
                <wp:cNvGraphicFramePr/>
                <a:graphic xmlns:a="http://schemas.openxmlformats.org/drawingml/2006/main">
                  <a:graphicData uri="http://schemas.microsoft.com/office/word/2010/wordprocessingShape">
                    <wps:wsp>
                      <wps:cNvSpPr txBox="1"/>
                      <wps:spPr>
                        <a:xfrm rot="600000">
                          <a:off x="0" y="0"/>
                          <a:ext cx="666750" cy="2857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240" w:lineRule="auto"/>
                              <w:ind w:firstLine="0" w:firstLineChars="0"/>
                              <w:rPr>
                                <w:color w:val="FFFF00"/>
                              </w:rPr>
                            </w:pPr>
                            <w:r>
                              <w:rPr>
                                <w:rFonts w:hint="eastAsia"/>
                                <w:color w:val="FFFF00"/>
                              </w:rPr>
                              <w:t>0.</w:t>
                            </w:r>
                            <w:r>
                              <w:rPr>
                                <w:rFonts w:hint="eastAsia"/>
                                <w:color w:val="FFFF00"/>
                                <w:lang w:val="en-US" w:eastAsia="zh-CN"/>
                              </w:rPr>
                              <w:t>2</w:t>
                            </w:r>
                            <w:r>
                              <w:rPr>
                                <w:rFonts w:hint="eastAsia"/>
                                <w:color w:val="FFFF00"/>
                              </w:rPr>
                              <w:t>km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34pt;margin-top:131.7pt;height:22.5pt;width:52.5pt;rotation:655360f;z-index:251671552;mso-width-relative:page;mso-height-relative:page;" filled="f" stroked="f" coordsize="21600,21600" o:gfxdata="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CEfv3naAAAACwEAAA8AAAAAAAAAAQAgAAAAIgAA&#10;AGRycy9kb3ducmV2LnhtbFBLAQIUABQAAAAIAIdO4kDTkjVPPwIAAHYEAAAOAAAAAAAAAAEAIAAA&#10;ACkBAABkcnMvZTJvRG9jLnhtbFBLBQYAAAAABgAGAFkBAADaBQAAAAA=&#10;">
                <v:fill on="f" focussize="0,0"/>
                <v:stroke on="f" weight="0.5pt"/>
                <v:imagedata o:title=""/>
                <o:lock v:ext="edit" aspectratio="f"/>
                <v:textbox>
                  <w:txbxContent>
                    <w:p>
                      <w:pPr>
                        <w:spacing w:line="240" w:lineRule="auto"/>
                        <w:ind w:firstLine="0" w:firstLineChars="0"/>
                        <w:rPr>
                          <w:color w:val="FFFF00"/>
                        </w:rPr>
                      </w:pPr>
                      <w:r>
                        <w:rPr>
                          <w:rFonts w:hint="eastAsia"/>
                          <w:color w:val="FFFF00"/>
                        </w:rPr>
                        <w:t>0.</w:t>
                      </w:r>
                      <w:r>
                        <w:rPr>
                          <w:rFonts w:hint="eastAsia"/>
                          <w:color w:val="FFFF00"/>
                          <w:lang w:val="en-US" w:eastAsia="zh-CN"/>
                        </w:rPr>
                        <w:t>2</w:t>
                      </w:r>
                      <w:r>
                        <w:rPr>
                          <w:rFonts w:hint="eastAsia"/>
                          <w:color w:val="FFFF00"/>
                        </w:rPr>
                        <w:t>km</w:t>
                      </w:r>
                    </w:p>
                  </w:txbxContent>
                </v:textbox>
              </v:shape>
            </w:pict>
          </mc:Fallback>
        </mc:AlternateContent>
      </w:r>
      <w:r>
        <mc:AlternateContent>
          <mc:Choice Requires="wps">
            <w:drawing>
              <wp:anchor distT="0" distB="0" distL="114300" distR="114300" simplePos="0" relativeHeight="251666432" behindDoc="0" locked="0" layoutInCell="1" allowOverlap="1">
                <wp:simplePos x="0" y="0"/>
                <wp:positionH relativeFrom="column">
                  <wp:posOffset>2986405</wp:posOffset>
                </wp:positionH>
                <wp:positionV relativeFrom="paragraph">
                  <wp:posOffset>1563370</wp:posOffset>
                </wp:positionV>
                <wp:extent cx="33655" cy="419100"/>
                <wp:effectExtent l="43180" t="0" r="56515" b="0"/>
                <wp:wrapNone/>
                <wp:docPr id="93" name="直接箭头连接符 93"/>
                <wp:cNvGraphicFramePr/>
                <a:graphic xmlns:a="http://schemas.openxmlformats.org/drawingml/2006/main">
                  <a:graphicData uri="http://schemas.microsoft.com/office/word/2010/wordprocessingShape">
                    <wps:wsp>
                      <wps:cNvCnPr/>
                      <wps:spPr>
                        <a:xfrm flipV="1">
                          <a:off x="0" y="0"/>
                          <a:ext cx="33655" cy="419100"/>
                        </a:xfrm>
                        <a:prstGeom prst="straightConnector1">
                          <a:avLst/>
                        </a:prstGeom>
                        <a:ln w="12700">
                          <a:solidFill>
                            <a:srgbClr val="FFFF00"/>
                          </a:solidFill>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235.15pt;margin-top:123.1pt;height:33pt;width:2.65pt;z-index:251666432;mso-width-relative:page;mso-height-relative:page;" filled="f" stroked="t" coordsize="21600,21600" o:gfxdata="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DqhNi2QAAAAsBAAAP&#10;AAAAAAAAAAEAIAAAACIAAABkcnMvZG93bnJldi54bWxQSwECFAAUAAAACACHTuJAykTk+xcCAAAH&#10;BAAADgAAAAAAAAABACAAAAAoAQAAZHJzL2Uyb0RvYy54bWxQSwUGAAAAAAYABgBZAQAAsQUAAAAA&#10;">
                <v:fill on="f" focussize="0,0"/>
                <v:stroke weight="1pt" color="#FFFF00 [3204]" miterlimit="8" joinstyle="miter" startarrow="open" endarrow="open"/>
                <v:imagedata o:title=""/>
                <o:lock v:ext="edit" aspectratio="f"/>
              </v:shape>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2131060</wp:posOffset>
                </wp:positionH>
                <wp:positionV relativeFrom="paragraph">
                  <wp:posOffset>2506345</wp:posOffset>
                </wp:positionV>
                <wp:extent cx="482600" cy="50800"/>
                <wp:effectExtent l="0" t="41275" r="12700" b="41275"/>
                <wp:wrapNone/>
                <wp:docPr id="54" name="直接箭头连接符 54"/>
                <wp:cNvGraphicFramePr/>
                <a:graphic xmlns:a="http://schemas.openxmlformats.org/drawingml/2006/main">
                  <a:graphicData uri="http://schemas.microsoft.com/office/word/2010/wordprocessingShape">
                    <wps:wsp>
                      <wps:cNvCnPr/>
                      <wps:spPr>
                        <a:xfrm>
                          <a:off x="0" y="0"/>
                          <a:ext cx="482600" cy="50800"/>
                        </a:xfrm>
                        <a:prstGeom prst="straightConnector1">
                          <a:avLst/>
                        </a:prstGeom>
                        <a:ln w="12700">
                          <a:solidFill>
                            <a:srgbClr val="FFFF00"/>
                          </a:solidFill>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67.8pt;margin-top:197.35pt;height:4pt;width:38pt;z-index:251665408;mso-width-relative:page;mso-height-relative:page;" filled="f" stroked="t" coordsize="21600,21600" o:gfxdata="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geOYz2gAAAAsBAAAPAAAAAAAAAAEA&#10;IAAAACIAAABkcnMvZG93bnJldi54bWxQSwECFAAUAAAACACHTuJAhgBUCQ0CAAD9AwAADgAAAAAA&#10;AAABACAAAAApAQAAZHJzL2Uyb0RvYy54bWxQSwUGAAAAAAYABgBZAQAAqAUAAAAA&#10;">
                <v:fill on="f" focussize="0,0"/>
                <v:stroke weight="1pt" color="#FFFF00 [3204]" miterlimit="8" joinstyle="miter" startarrow="open" endarrow="open"/>
                <v:imagedata o:title=""/>
                <o:lock v:ext="edit" aspectratio="f"/>
              </v:shape>
            </w:pict>
          </mc:Fallback>
        </mc:AlternateContent>
      </w:r>
      <w:r>
        <mc:AlternateContent>
          <mc:Choice Requires="wps">
            <w:drawing>
              <wp:anchor distT="0" distB="0" distL="114300" distR="114300" simplePos="0" relativeHeight="251667456" behindDoc="0" locked="0" layoutInCell="1" allowOverlap="1">
                <wp:simplePos x="0" y="0"/>
                <wp:positionH relativeFrom="column">
                  <wp:posOffset>2894965</wp:posOffset>
                </wp:positionH>
                <wp:positionV relativeFrom="paragraph">
                  <wp:posOffset>3102610</wp:posOffset>
                </wp:positionV>
                <wp:extent cx="45085" cy="402590"/>
                <wp:effectExtent l="40640" t="0" r="47625" b="16510"/>
                <wp:wrapNone/>
                <wp:docPr id="95" name="直接箭头连接符 95"/>
                <wp:cNvGraphicFramePr/>
                <a:graphic xmlns:a="http://schemas.openxmlformats.org/drawingml/2006/main">
                  <a:graphicData uri="http://schemas.microsoft.com/office/word/2010/wordprocessingShape">
                    <wps:wsp>
                      <wps:cNvCnPr/>
                      <wps:spPr>
                        <a:xfrm flipV="1">
                          <a:off x="0" y="0"/>
                          <a:ext cx="45085" cy="402590"/>
                        </a:xfrm>
                        <a:prstGeom prst="straightConnector1">
                          <a:avLst/>
                        </a:prstGeom>
                        <a:ln w="12700">
                          <a:solidFill>
                            <a:srgbClr val="FFFF00"/>
                          </a:solidFill>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y;margin-left:227.95pt;margin-top:244.3pt;height:31.7pt;width:3.55pt;z-index:251667456;mso-width-relative:page;mso-height-relative:page;" filled="f" stroked="t" coordsize="21600,21600" o:gfxdata="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u2O16tkAAAALAQAA&#10;DwAAAAAAAAABACAAAAAiAAAAZHJzL2Rvd25yZXYueG1sUEsBAhQAFAAAAAgAh07iQIp4iK8YAgAA&#10;BwQAAA4AAAAAAAAAAQAgAAAAKAEAAGRycy9lMm9Eb2MueG1sUEsFBgAAAAAGAAYAWQEAALIFAAAA&#10;AA==&#10;">
                <v:fill on="f" focussize="0,0"/>
                <v:stroke weight="1pt" color="#FFFF00 [3204]" miterlimit="8" joinstyle="miter" startarrow="open" endarrow="open"/>
                <v:imagedata o:title=""/>
                <o:lock v:ext="edit" aspectratio="f"/>
              </v:shape>
            </w:pict>
          </mc:Fallback>
        </mc:AlternateContent>
      </w:r>
      <w:r>
        <mc:AlternateContent>
          <mc:Choice Requires="wps">
            <w:drawing>
              <wp:anchor distT="0" distB="0" distL="114300" distR="114300" simplePos="0" relativeHeight="251670528" behindDoc="0" locked="0" layoutInCell="1" allowOverlap="1">
                <wp:simplePos x="0" y="0"/>
                <wp:positionH relativeFrom="column">
                  <wp:posOffset>2830830</wp:posOffset>
                </wp:positionH>
                <wp:positionV relativeFrom="paragraph">
                  <wp:posOffset>3237865</wp:posOffset>
                </wp:positionV>
                <wp:extent cx="666750" cy="285750"/>
                <wp:effectExtent l="0" t="0" r="0" b="0"/>
                <wp:wrapNone/>
                <wp:docPr id="100" name="文本框 100"/>
                <wp:cNvGraphicFramePr/>
                <a:graphic xmlns:a="http://schemas.openxmlformats.org/drawingml/2006/main">
                  <a:graphicData uri="http://schemas.microsoft.com/office/word/2010/wordprocessingShape">
                    <wps:wsp>
                      <wps:cNvSpPr txBox="1"/>
                      <wps:spPr>
                        <a:xfrm rot="600000">
                          <a:off x="0" y="0"/>
                          <a:ext cx="666750" cy="2857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240" w:lineRule="auto"/>
                              <w:ind w:firstLine="0" w:firstLineChars="0"/>
                              <w:rPr>
                                <w:color w:val="FFFF00"/>
                              </w:rPr>
                            </w:pPr>
                            <w:r>
                              <w:rPr>
                                <w:rFonts w:hint="eastAsia"/>
                                <w:color w:val="FFFF00"/>
                              </w:rPr>
                              <w:t>0.</w:t>
                            </w:r>
                            <w:r>
                              <w:rPr>
                                <w:rFonts w:hint="eastAsia"/>
                                <w:color w:val="FFFF00"/>
                                <w:lang w:val="en-US" w:eastAsia="zh-CN"/>
                              </w:rPr>
                              <w:t>2</w:t>
                            </w:r>
                            <w:r>
                              <w:rPr>
                                <w:rFonts w:hint="eastAsia"/>
                                <w:color w:val="FFFF00"/>
                              </w:rPr>
                              <w:t>km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22.9pt;margin-top:254.95pt;height:22.5pt;width:52.5pt;rotation:655360f;z-index:251670528;mso-width-relative:page;mso-height-relative:page;" filled="f" stroked="f" coordsize="21600,21600" o:gfxdata="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UXNjqNcAAAALAQAADwAAAAAAAAABACAAAAAiAAAAZHJz&#10;L2Rvd25yZXYueG1sUEsBAhQAFAAAAAgAh07iQDqfP6s+AgAAdgQAAA4AAAAAAAAAAQAgAAAAJgEA&#10;AGRycy9lMm9Eb2MueG1sUEsFBgAAAAAGAAYAWQEAANYFAAAAAA==&#10;">
                <v:fill on="f" focussize="0,0"/>
                <v:stroke on="f" weight="0.5pt"/>
                <v:imagedata o:title=""/>
                <o:lock v:ext="edit" aspectratio="f"/>
                <v:textbox>
                  <w:txbxContent>
                    <w:p>
                      <w:pPr>
                        <w:spacing w:line="240" w:lineRule="auto"/>
                        <w:ind w:firstLine="0" w:firstLineChars="0"/>
                        <w:rPr>
                          <w:color w:val="FFFF00"/>
                        </w:rPr>
                      </w:pPr>
                      <w:r>
                        <w:rPr>
                          <w:rFonts w:hint="eastAsia"/>
                          <w:color w:val="FFFF00"/>
                        </w:rPr>
                        <w:t>0.</w:t>
                      </w:r>
                      <w:r>
                        <w:rPr>
                          <w:rFonts w:hint="eastAsia"/>
                          <w:color w:val="FFFF00"/>
                          <w:lang w:val="en-US" w:eastAsia="zh-CN"/>
                        </w:rPr>
                        <w:t>2</w:t>
                      </w:r>
                      <w:r>
                        <w:rPr>
                          <w:rFonts w:hint="eastAsia"/>
                          <w:color w:val="FFFF00"/>
                        </w:rPr>
                        <w:t>km</w:t>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column">
                  <wp:posOffset>3357245</wp:posOffset>
                </wp:positionH>
                <wp:positionV relativeFrom="paragraph">
                  <wp:posOffset>2510790</wp:posOffset>
                </wp:positionV>
                <wp:extent cx="482600" cy="50800"/>
                <wp:effectExtent l="0" t="41275" r="12700" b="41275"/>
                <wp:wrapNone/>
                <wp:docPr id="21" name="直接箭头连接符 21"/>
                <wp:cNvGraphicFramePr/>
                <a:graphic xmlns:a="http://schemas.openxmlformats.org/drawingml/2006/main">
                  <a:graphicData uri="http://schemas.microsoft.com/office/word/2010/wordprocessingShape">
                    <wps:wsp>
                      <wps:cNvCnPr/>
                      <wps:spPr>
                        <a:xfrm>
                          <a:off x="5476240" y="3258820"/>
                          <a:ext cx="482600" cy="50800"/>
                        </a:xfrm>
                        <a:prstGeom prst="straightConnector1">
                          <a:avLst/>
                        </a:prstGeom>
                        <a:ln w="12700">
                          <a:solidFill>
                            <a:srgbClr val="FFFF00"/>
                          </a:solidFill>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264.35pt;margin-top:197.7pt;height:4pt;width:38pt;z-index:251664384;mso-width-relative:page;mso-height-relative:page;" filled="f" stroked="t" coordsize="21600,21600" o:gfxdata="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CyncEL2wAA&#10;AAsBAAAPAAAAAAAAAAEAIAAAACIAAABkcnMvZG93bnJldi54bWxQSwECFAAUAAAACACHTuJAaJOM&#10;TxsCAAAJBAAADgAAAAAAAAABACAAAAAqAQAAZHJzL2Uyb0RvYy54bWxQSwUGAAAAAAYABgBZAQAA&#10;twUAAAAA&#10;">
                <v:fill on="f" focussize="0,0"/>
                <v:stroke weight="1pt" color="#FFFF00 [3204]" miterlimit="8" joinstyle="miter" startarrow="open" endarrow="open"/>
                <v:imagedata o:title=""/>
                <o:lock v:ext="edit" aspectratio="f"/>
              </v:shape>
            </w:pict>
          </mc:Fallback>
        </mc:AlternateContent>
      </w:r>
      <w:r>
        <mc:AlternateContent>
          <mc:Choice Requires="wps">
            <w:drawing>
              <wp:anchor distT="0" distB="0" distL="114300" distR="114300" simplePos="0" relativeHeight="251668480" behindDoc="0" locked="0" layoutInCell="1" allowOverlap="1">
                <wp:simplePos x="0" y="0"/>
                <wp:positionH relativeFrom="column">
                  <wp:posOffset>3409950</wp:posOffset>
                </wp:positionH>
                <wp:positionV relativeFrom="paragraph">
                  <wp:posOffset>2255520</wp:posOffset>
                </wp:positionV>
                <wp:extent cx="666750" cy="285750"/>
                <wp:effectExtent l="0" t="0" r="0" b="0"/>
                <wp:wrapNone/>
                <wp:docPr id="96" name="文本框 96"/>
                <wp:cNvGraphicFramePr/>
                <a:graphic xmlns:a="http://schemas.openxmlformats.org/drawingml/2006/main">
                  <a:graphicData uri="http://schemas.microsoft.com/office/word/2010/wordprocessingShape">
                    <wps:wsp>
                      <wps:cNvSpPr txBox="1"/>
                      <wps:spPr>
                        <a:xfrm rot="300000">
                          <a:off x="4752340" y="4465320"/>
                          <a:ext cx="666750" cy="2857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pacing w:line="240" w:lineRule="auto"/>
                              <w:ind w:firstLine="0" w:firstLineChars="0"/>
                              <w:rPr>
                                <w:color w:val="FFFF00"/>
                              </w:rPr>
                            </w:pPr>
                            <w:r>
                              <w:rPr>
                                <w:rFonts w:hint="eastAsia"/>
                                <w:color w:val="FFFF00"/>
                              </w:rPr>
                              <w:t>0.</w:t>
                            </w:r>
                            <w:r>
                              <w:rPr>
                                <w:rFonts w:hint="eastAsia"/>
                                <w:color w:val="FFFF00"/>
                                <w:lang w:val="en-US" w:eastAsia="zh-CN"/>
                              </w:rPr>
                              <w:t>2</w:t>
                            </w:r>
                            <w:r>
                              <w:rPr>
                                <w:rFonts w:hint="eastAsia"/>
                                <w:color w:val="FFFF00"/>
                              </w:rPr>
                              <w:t>km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68.5pt;margin-top:177.6pt;height:22.5pt;width:52.5pt;rotation:327680f;z-index:251668480;mso-width-relative:page;mso-height-relative:page;" filled="f" stroked="f" coordsize="21600,21600" o:gfxdata="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pcCY/2gAAAAsBAAAPAAAAAAAA&#10;AAEAIAAAACIAAABkcnMvZG93bnJldi54bWxQSwECFAAUAAAACACHTuJAdgRA9kkCAACABAAADgAA&#10;AAAAAAABACAAAAApAQAAZHJzL2Uyb0RvYy54bWxQSwUGAAAAAAYABgBZAQAA5AUAAAAA&#10;">
                <v:fill on="f" focussize="0,0"/>
                <v:stroke on="f" weight="0.5pt"/>
                <v:imagedata o:title=""/>
                <o:lock v:ext="edit" aspectratio="f"/>
                <v:textbox>
                  <w:txbxContent>
                    <w:p>
                      <w:pPr>
                        <w:spacing w:line="240" w:lineRule="auto"/>
                        <w:ind w:firstLine="0" w:firstLineChars="0"/>
                        <w:rPr>
                          <w:color w:val="FFFF00"/>
                        </w:rPr>
                      </w:pPr>
                      <w:r>
                        <w:rPr>
                          <w:rFonts w:hint="eastAsia"/>
                          <w:color w:val="FFFF00"/>
                        </w:rPr>
                        <w:t>0.</w:t>
                      </w:r>
                      <w:r>
                        <w:rPr>
                          <w:rFonts w:hint="eastAsia"/>
                          <w:color w:val="FFFF00"/>
                          <w:lang w:val="en-US" w:eastAsia="zh-CN"/>
                        </w:rPr>
                        <w:t>2</w:t>
                      </w:r>
                      <w:r>
                        <w:rPr>
                          <w:rFonts w:hint="eastAsia"/>
                          <w:color w:val="FFFF00"/>
                        </w:rPr>
                        <w:t>km</w:t>
                      </w:r>
                    </w:p>
                  </w:txbxContent>
                </v:textbox>
              </v:shape>
            </w:pict>
          </mc:Fallback>
        </mc:AlternateContent>
      </w:r>
      <w:r>
        <mc:AlternateContent>
          <mc:Choice Requires="wps">
            <w:drawing>
              <wp:anchor distT="0" distB="0" distL="114300" distR="114300" simplePos="0" relativeHeight="251678720" behindDoc="0" locked="0" layoutInCell="1" allowOverlap="1">
                <wp:simplePos x="0" y="0"/>
                <wp:positionH relativeFrom="column">
                  <wp:posOffset>2624455</wp:posOffset>
                </wp:positionH>
                <wp:positionV relativeFrom="paragraph">
                  <wp:posOffset>1988185</wp:posOffset>
                </wp:positionV>
                <wp:extent cx="728345" cy="1096645"/>
                <wp:effectExtent l="9525" t="9525" r="24130" b="17780"/>
                <wp:wrapNone/>
                <wp:docPr id="39" name="矩形 39"/>
                <wp:cNvGraphicFramePr/>
                <a:graphic xmlns:a="http://schemas.openxmlformats.org/drawingml/2006/main">
                  <a:graphicData uri="http://schemas.microsoft.com/office/word/2010/wordprocessingShape">
                    <wps:wsp>
                      <wps:cNvSpPr/>
                      <wps:spPr>
                        <a:xfrm>
                          <a:off x="3524250" y="2887980"/>
                          <a:ext cx="728345" cy="1096645"/>
                        </a:xfrm>
                        <a:prstGeom prst="rect">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ind w:firstLine="480"/>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06.65pt;margin-top:156.55pt;height:86.35pt;width:57.35pt;z-index:251678720;v-text-anchor:middle;mso-width-relative:page;mso-height-relative:page;" filled="f" stroked="t" coordsize="21600,21600" o:gfxdata="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LEYIUXZAAAACwEAAA8AAAAAAAAAAQAg&#10;AAAAIgAAAGRycy9kb3ducmV2LnhtbFBLAQIUABQAAAAIAIdO4kCnBGOIfwIAAOQEAAAOAAAAAAAA&#10;AAEAIAAAACgBAABkcnMvZTJvRG9jLnhtbFBLBQYAAAAABgAGAFkBAAAZBgAAAAA=&#10;">
                <v:fill on="f" focussize="0,0"/>
                <v:stroke weight="1.5pt" color="#FF0000 [3204]" miterlimit="8" joinstyle="miter"/>
                <v:imagedata o:title=""/>
                <o:lock v:ext="edit" aspectratio="f"/>
                <v:textbox>
                  <w:txbxContent>
                    <w:p>
                      <w:pPr>
                        <w:ind w:firstLine="480"/>
                        <w:jc w:val="center"/>
                      </w:pPr>
                    </w:p>
                  </w:txbxContent>
                </v:textbox>
              </v:rect>
            </w:pict>
          </mc:Fallback>
        </mc:AlternateContent>
      </w:r>
      <w:r>
        <w:drawing>
          <wp:inline distT="0" distB="0" distL="114300" distR="114300">
            <wp:extent cx="5278120" cy="4437380"/>
            <wp:effectExtent l="0" t="0" r="17780" b="1270"/>
            <wp:docPr id="3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6"/>
                    <pic:cNvPicPr>
                      <a:picLocks noChangeAspect="1"/>
                    </pic:cNvPicPr>
                  </pic:nvPicPr>
                  <pic:blipFill>
                    <a:blip r:embed="rId102"/>
                    <a:stretch>
                      <a:fillRect/>
                    </a:stretch>
                  </pic:blipFill>
                  <pic:spPr>
                    <a:xfrm>
                      <a:off x="0" y="0"/>
                      <a:ext cx="5278120" cy="4437380"/>
                    </a:xfrm>
                    <a:prstGeom prst="rect">
                      <a:avLst/>
                    </a:prstGeom>
                    <a:noFill/>
                    <a:ln>
                      <a:noFill/>
                    </a:ln>
                  </pic:spPr>
                </pic:pic>
              </a:graphicData>
            </a:graphic>
          </wp:inline>
        </w:drawing>
      </w:r>
    </w:p>
    <w:p>
      <w:pPr>
        <w:ind w:firstLine="482"/>
        <w:jc w:val="center"/>
        <w:rPr>
          <w:b/>
          <w:bCs/>
        </w:rPr>
      </w:pPr>
      <w:r>
        <w:rPr>
          <w:rFonts w:hint="eastAsia"/>
          <w:b/>
          <w:bCs/>
        </w:rPr>
        <w:t>图</w:t>
      </w:r>
      <w:r>
        <w:rPr>
          <w:b/>
          <w:bCs/>
        </w:rPr>
        <w:t>6.</w:t>
      </w:r>
      <w:r>
        <w:rPr>
          <w:rFonts w:hint="eastAsia"/>
          <w:b/>
          <w:bCs/>
        </w:rPr>
        <w:t>6</w:t>
      </w:r>
      <w:r>
        <w:rPr>
          <w:b/>
          <w:bCs/>
        </w:rPr>
        <w:t xml:space="preserve">-1 </w:t>
      </w:r>
      <w:r>
        <w:rPr>
          <w:rFonts w:hint="eastAsia"/>
          <w:b/>
          <w:bCs/>
        </w:rPr>
        <w:t xml:space="preserve"> 土壤环境影响评价范围示意图</w:t>
      </w:r>
    </w:p>
    <w:p>
      <w:pPr>
        <w:pStyle w:val="7"/>
        <w:ind w:firstLine="562"/>
      </w:pPr>
      <w:r>
        <w:rPr>
          <w:rFonts w:hint="eastAsia"/>
        </w:rPr>
        <w:t>6.6.1 土壤环境影响类型与影响途径识别</w:t>
      </w:r>
    </w:p>
    <w:p>
      <w:pPr>
        <w:widowControl/>
        <w:ind w:firstLine="480"/>
      </w:pPr>
      <w:r>
        <w:rPr>
          <w:rFonts w:hint="eastAsia" w:ascii="宋体" w:hAnsi="宋体" w:cs="宋体"/>
          <w:color w:val="000000"/>
          <w:kern w:val="0"/>
          <w:lang w:bidi="ar"/>
        </w:rPr>
        <w:t>土壤污染是指人类活动所产生的物质（污染物），通过各种途径进入土壤，其数量和速度超过了土壤的容纳能力和净化速度的现象。土壤污染可使土壤的性质、组成及性状等发生变化，使污染物质的积累过程逐渐占据优势，破坏土壤的自然动态平衡，从而导致土壤自然正常功能失调，土壤质量恶化，影响作物的生长发育，以致造成产量和质量的下降，并可通过食物链危害生物和人类健康。</w:t>
      </w:r>
    </w:p>
    <w:p>
      <w:pPr>
        <w:widowControl/>
        <w:ind w:firstLine="480"/>
        <w:rPr>
          <w:rFonts w:cs="Times New Roman"/>
          <w:color w:val="000000"/>
          <w:kern w:val="0"/>
          <w:lang w:bidi="ar"/>
        </w:rPr>
      </w:pPr>
      <w:r>
        <w:rPr>
          <w:rFonts w:cs="Times New Roman"/>
          <w:color w:val="000000"/>
          <w:kern w:val="0"/>
          <w:lang w:bidi="ar"/>
        </w:rPr>
        <w:t>（1）大气沉降</w:t>
      </w:r>
    </w:p>
    <w:p>
      <w:pPr>
        <w:widowControl/>
        <w:ind w:firstLine="480"/>
        <w:rPr>
          <w:rFonts w:ascii="宋体" w:hAnsi="宋体" w:cs="宋体"/>
          <w:color w:val="000000"/>
          <w:kern w:val="0"/>
          <w:lang w:bidi="ar"/>
        </w:rPr>
      </w:pPr>
      <w:r>
        <w:rPr>
          <w:rFonts w:cs="Times New Roman"/>
          <w:color w:val="000000"/>
          <w:kern w:val="0"/>
          <w:lang w:bidi="ar"/>
        </w:rPr>
        <w:t>本项目排放气体污染物有：颗粒</w:t>
      </w:r>
      <w:r>
        <w:rPr>
          <w:rFonts w:hint="eastAsia" w:ascii="宋体" w:hAnsi="宋体" w:cs="宋体"/>
          <w:color w:val="000000"/>
          <w:kern w:val="0"/>
          <w:lang w:bidi="ar"/>
        </w:rPr>
        <w:t>物、非甲烷总烃、氨和硫化氢。根据工程分析内容及大气环境预测评价，本项目颗粒物采袋式除尘器处理，有机废气进入吸附浓缩+催化燃烧装置处理；新增无组织废气能够达到相关排放标准。根据本项目排放废气物质理化性质以及大气环境预测结论，本项目通过大气沉降进入地表土壤的影响很小。</w:t>
      </w:r>
    </w:p>
    <w:p>
      <w:pPr>
        <w:spacing w:line="204" w:lineRule="auto"/>
        <w:ind w:firstLine="468"/>
        <w:rPr>
          <w:rFonts w:ascii="宋体" w:hAnsi="宋体" w:cs="宋体"/>
        </w:rPr>
      </w:pPr>
      <w:r>
        <w:rPr>
          <w:rFonts w:ascii="宋体" w:hAnsi="宋体" w:cs="宋体"/>
          <w:spacing w:val="-3"/>
        </w:rPr>
        <w:t>（</w:t>
      </w:r>
      <w:r>
        <w:rPr>
          <w:rFonts w:eastAsia="Times New Roman" w:cs="Times New Roman"/>
          <w:spacing w:val="-3"/>
        </w:rPr>
        <w:t>2</w:t>
      </w:r>
      <w:r>
        <w:rPr>
          <w:rFonts w:ascii="宋体" w:hAnsi="宋体" w:cs="宋体"/>
          <w:spacing w:val="-3"/>
        </w:rPr>
        <w:t>）地面漫流</w:t>
      </w:r>
    </w:p>
    <w:p>
      <w:pPr>
        <w:widowControl/>
        <w:ind w:firstLine="480"/>
        <w:rPr>
          <w:rFonts w:ascii="宋体" w:hAnsi="宋体" w:cs="宋体"/>
          <w:color w:val="000000"/>
          <w:kern w:val="0"/>
          <w:lang w:bidi="ar"/>
        </w:rPr>
      </w:pPr>
      <w:r>
        <w:rPr>
          <w:rFonts w:hint="eastAsia" w:ascii="宋体" w:hAnsi="宋体" w:cs="宋体"/>
          <w:color w:val="000000"/>
          <w:kern w:val="0"/>
          <w:lang w:bidi="ar"/>
        </w:rPr>
        <w:t>本对于运营期污水处理站、事故储池以及污水管道等地上设施，在事故情况和降雨情况下产生的废水会发生地面漫流，进一步污染土壤。厂区地面硬化且有初期雨污水收集设施；危废暂存库全密闭，且暂存库按照相关要求进行了防渗；企业设置废水防控系统，保证可能受污染的雨排水截留至雨水明沟，最终进入初期雨水池。全面防控事故废水和可能受污染的雨水发生地面漫流，进入土壤。在全面落实三级防控措施的情况下，物料或污染物的地面漫流对土壤影响较小。</w:t>
      </w:r>
    </w:p>
    <w:p>
      <w:pPr>
        <w:widowControl/>
        <w:ind w:firstLine="480"/>
        <w:rPr>
          <w:rFonts w:cs="Times New Roman"/>
          <w:color w:val="000000"/>
          <w:kern w:val="0"/>
          <w:lang w:bidi="ar"/>
        </w:rPr>
      </w:pPr>
      <w:r>
        <w:rPr>
          <w:rFonts w:cs="Times New Roman"/>
          <w:color w:val="000000"/>
          <w:kern w:val="0"/>
          <w:lang w:bidi="ar"/>
        </w:rPr>
        <w:t>（3）垂直入渗</w:t>
      </w:r>
    </w:p>
    <w:p>
      <w:pPr>
        <w:widowControl/>
        <w:ind w:firstLine="480"/>
        <w:rPr>
          <w:rFonts w:cs="Times New Roman"/>
          <w:color w:val="000000"/>
          <w:kern w:val="0"/>
          <w:lang w:bidi="ar"/>
        </w:rPr>
      </w:pPr>
      <w:r>
        <w:rPr>
          <w:rFonts w:cs="Times New Roman"/>
          <w:color w:val="000000"/>
          <w:kern w:val="0"/>
          <w:lang w:bidi="ar"/>
        </w:rPr>
        <w:t>但在事故情形下，污染物存在垂直入渗影响土壤的途径。本项目运营期内从大气沉降、地面漫流、垂直入渗等方面分析污染途径进行土壤环境影响分析。</w:t>
      </w:r>
    </w:p>
    <w:p>
      <w:pPr>
        <w:widowControl/>
        <w:ind w:firstLine="480"/>
        <w:rPr>
          <w:rFonts w:cs="Times New Roman"/>
          <w:color w:val="000000"/>
          <w:kern w:val="0"/>
          <w:lang w:bidi="ar"/>
        </w:rPr>
      </w:pPr>
      <w:r>
        <w:rPr>
          <w:rFonts w:cs="Times New Roman"/>
          <w:color w:val="000000"/>
          <w:kern w:val="0"/>
          <w:lang w:bidi="ar"/>
        </w:rPr>
        <w:t>本项目生产装置、储罐均地上布设，热媒站等布设在室内，地面硬化，地面设有导流沟。仅初期事故水收集池、初期雨水收集池、污水站为地下式构筑物，事故水池、污水站采取重点防渗措施。在全面落实分区防渗措施的情况下，正常工况下运营期污染物不会造成土壤污染。非正常工况下，污水站泄漏可能造成土壤污染。</w:t>
      </w:r>
    </w:p>
    <w:p>
      <w:pPr>
        <w:widowControl/>
        <w:ind w:firstLine="480"/>
        <w:rPr>
          <w:rFonts w:cs="Times New Roman"/>
          <w:color w:val="000000"/>
          <w:kern w:val="0"/>
          <w:lang w:bidi="ar"/>
        </w:rPr>
      </w:pPr>
      <w:r>
        <w:rPr>
          <w:rFonts w:cs="Times New Roman"/>
          <w:color w:val="000000"/>
          <w:kern w:val="0"/>
          <w:lang w:bidi="ar"/>
        </w:rPr>
        <w:t>综上，对照《环境影响评价技术导则 土壤环境（试行）》（HJ964-2018）附录B，本项目土壤环境影响类型与影响途径见表</w:t>
      </w:r>
      <w:r>
        <w:rPr>
          <w:rFonts w:hint="eastAsia" w:cs="Times New Roman"/>
          <w:color w:val="000000"/>
          <w:kern w:val="0"/>
          <w:lang w:bidi="ar"/>
        </w:rPr>
        <w:t>6.6-1</w:t>
      </w:r>
      <w:r>
        <w:rPr>
          <w:rFonts w:cs="Times New Roman"/>
          <w:color w:val="000000"/>
          <w:kern w:val="0"/>
          <w:lang w:bidi="ar"/>
        </w:rPr>
        <w:t>，本项目土壤环境影响源及影响因子识别见表</w:t>
      </w:r>
      <w:r>
        <w:rPr>
          <w:rFonts w:hint="eastAsia" w:cs="Times New Roman"/>
          <w:color w:val="000000"/>
          <w:kern w:val="0"/>
          <w:lang w:bidi="ar"/>
        </w:rPr>
        <w:t>6.6-2</w:t>
      </w:r>
      <w:r>
        <w:rPr>
          <w:rFonts w:cs="Times New Roman"/>
          <w:color w:val="000000"/>
          <w:kern w:val="0"/>
          <w:lang w:bidi="ar"/>
        </w:rPr>
        <w:t>。</w:t>
      </w:r>
    </w:p>
    <w:p>
      <w:pPr>
        <w:ind w:firstLine="0" w:firstLineChars="0"/>
        <w:jc w:val="center"/>
        <w:rPr>
          <w:b/>
        </w:rPr>
      </w:pPr>
      <w:r>
        <w:rPr>
          <w:b/>
        </w:rPr>
        <w:t>表</w:t>
      </w:r>
      <w:r>
        <w:rPr>
          <w:rFonts w:hint="eastAsia"/>
          <w:b/>
        </w:rPr>
        <w:t>6.6-1</w:t>
      </w:r>
      <w:r>
        <w:rPr>
          <w:b/>
        </w:rPr>
        <w:t xml:space="preserve">  建设项目土壤环境影响类型与影响途径表</w:t>
      </w:r>
    </w:p>
    <w:p>
      <w:pPr>
        <w:spacing w:line="35" w:lineRule="exact"/>
        <w:ind w:firstLine="480"/>
      </w:pPr>
    </w:p>
    <w:tbl>
      <w:tblPr>
        <w:tblStyle w:val="51"/>
        <w:tblW w:w="895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12"/>
        <w:gridCol w:w="1658"/>
        <w:gridCol w:w="1660"/>
        <w:gridCol w:w="1658"/>
        <w:gridCol w:w="166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8" w:hRule="atLeast"/>
          <w:jc w:val="center"/>
        </w:trPr>
        <w:tc>
          <w:tcPr>
            <w:tcW w:w="2312" w:type="dxa"/>
            <w:vAlign w:val="center"/>
          </w:tcPr>
          <w:p>
            <w:pPr>
              <w:spacing w:line="360" w:lineRule="exact"/>
              <w:ind w:firstLine="0" w:firstLineChars="0"/>
              <w:jc w:val="center"/>
              <w:rPr>
                <w:rFonts w:cs="Times New Roman"/>
                <w:sz w:val="21"/>
                <w:szCs w:val="21"/>
              </w:rPr>
            </w:pPr>
            <w:r>
              <w:rPr>
                <w:rFonts w:cs="Times New Roman"/>
                <w:spacing w:val="-4"/>
                <w:sz w:val="21"/>
                <w:szCs w:val="21"/>
              </w:rPr>
              <w:t>不同时段</w:t>
            </w:r>
          </w:p>
        </w:tc>
        <w:tc>
          <w:tcPr>
            <w:tcW w:w="1658" w:type="dxa"/>
            <w:vAlign w:val="center"/>
          </w:tcPr>
          <w:p>
            <w:pPr>
              <w:spacing w:line="360" w:lineRule="exact"/>
              <w:ind w:firstLine="0" w:firstLineChars="0"/>
              <w:jc w:val="center"/>
              <w:rPr>
                <w:rFonts w:cs="Times New Roman"/>
                <w:sz w:val="21"/>
                <w:szCs w:val="21"/>
              </w:rPr>
            </w:pPr>
            <w:r>
              <w:rPr>
                <w:rFonts w:cs="Times New Roman"/>
                <w:spacing w:val="-3"/>
                <w:sz w:val="21"/>
                <w:szCs w:val="21"/>
              </w:rPr>
              <w:t>大气沉降</w:t>
            </w:r>
          </w:p>
        </w:tc>
        <w:tc>
          <w:tcPr>
            <w:tcW w:w="1660" w:type="dxa"/>
            <w:vAlign w:val="center"/>
          </w:tcPr>
          <w:p>
            <w:pPr>
              <w:spacing w:line="360" w:lineRule="exact"/>
              <w:ind w:firstLine="0" w:firstLineChars="0"/>
              <w:jc w:val="center"/>
              <w:rPr>
                <w:rFonts w:cs="Times New Roman"/>
                <w:sz w:val="21"/>
                <w:szCs w:val="21"/>
              </w:rPr>
            </w:pPr>
            <w:r>
              <w:rPr>
                <w:rFonts w:cs="Times New Roman"/>
                <w:spacing w:val="-3"/>
                <w:sz w:val="21"/>
                <w:szCs w:val="21"/>
              </w:rPr>
              <w:t>地面漫流</w:t>
            </w:r>
          </w:p>
        </w:tc>
        <w:tc>
          <w:tcPr>
            <w:tcW w:w="1658" w:type="dxa"/>
            <w:vAlign w:val="center"/>
          </w:tcPr>
          <w:p>
            <w:pPr>
              <w:spacing w:line="360" w:lineRule="exact"/>
              <w:ind w:firstLine="0" w:firstLineChars="0"/>
              <w:jc w:val="center"/>
              <w:rPr>
                <w:rFonts w:cs="Times New Roman"/>
                <w:sz w:val="21"/>
                <w:szCs w:val="21"/>
              </w:rPr>
            </w:pPr>
            <w:r>
              <w:rPr>
                <w:rFonts w:cs="Times New Roman"/>
                <w:spacing w:val="-3"/>
                <w:sz w:val="21"/>
                <w:szCs w:val="21"/>
              </w:rPr>
              <w:t>垂直入渗</w:t>
            </w:r>
          </w:p>
        </w:tc>
        <w:tc>
          <w:tcPr>
            <w:tcW w:w="1663" w:type="dxa"/>
            <w:vAlign w:val="center"/>
          </w:tcPr>
          <w:p>
            <w:pPr>
              <w:spacing w:line="360" w:lineRule="exact"/>
              <w:ind w:firstLine="0" w:firstLineChars="0"/>
              <w:jc w:val="center"/>
              <w:rPr>
                <w:rFonts w:cs="Times New Roman"/>
                <w:sz w:val="21"/>
                <w:szCs w:val="21"/>
              </w:rPr>
            </w:pPr>
            <w:r>
              <w:rPr>
                <w:rFonts w:cs="Times New Roman"/>
                <w:spacing w:val="-5"/>
                <w:sz w:val="21"/>
                <w:szCs w:val="21"/>
              </w:rPr>
              <w:t>其他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4" w:hRule="atLeast"/>
          <w:jc w:val="center"/>
        </w:trPr>
        <w:tc>
          <w:tcPr>
            <w:tcW w:w="2312" w:type="dxa"/>
            <w:vAlign w:val="center"/>
          </w:tcPr>
          <w:p>
            <w:pPr>
              <w:spacing w:line="360" w:lineRule="exact"/>
              <w:ind w:firstLine="0" w:firstLineChars="0"/>
              <w:jc w:val="center"/>
              <w:rPr>
                <w:rFonts w:cs="Times New Roman"/>
                <w:sz w:val="21"/>
                <w:szCs w:val="21"/>
              </w:rPr>
            </w:pPr>
            <w:r>
              <w:rPr>
                <w:rFonts w:cs="Times New Roman"/>
                <w:spacing w:val="-4"/>
                <w:sz w:val="21"/>
                <w:szCs w:val="21"/>
              </w:rPr>
              <w:t>建设期</w:t>
            </w:r>
          </w:p>
        </w:tc>
        <w:tc>
          <w:tcPr>
            <w:tcW w:w="1658" w:type="dxa"/>
            <w:vAlign w:val="center"/>
          </w:tcPr>
          <w:p>
            <w:pPr>
              <w:spacing w:line="360" w:lineRule="exact"/>
              <w:ind w:firstLine="0" w:firstLineChars="0"/>
              <w:jc w:val="center"/>
              <w:rPr>
                <w:rFonts w:eastAsia="Times New Roman" w:cs="Times New Roman"/>
                <w:sz w:val="21"/>
                <w:szCs w:val="21"/>
              </w:rPr>
            </w:pPr>
            <w:r>
              <w:rPr>
                <w:rFonts w:eastAsia="Times New Roman" w:cs="Times New Roman"/>
                <w:sz w:val="21"/>
                <w:szCs w:val="21"/>
              </w:rPr>
              <w:t>√</w:t>
            </w:r>
          </w:p>
        </w:tc>
        <w:tc>
          <w:tcPr>
            <w:tcW w:w="1660" w:type="dxa"/>
            <w:vAlign w:val="center"/>
          </w:tcPr>
          <w:p>
            <w:pPr>
              <w:spacing w:line="360" w:lineRule="exact"/>
              <w:ind w:firstLine="0" w:firstLineChars="0"/>
              <w:jc w:val="center"/>
              <w:rPr>
                <w:rFonts w:eastAsia="Times New Roman" w:cs="Times New Roman"/>
                <w:sz w:val="21"/>
                <w:szCs w:val="21"/>
              </w:rPr>
            </w:pPr>
            <w:r>
              <w:rPr>
                <w:rFonts w:eastAsia="Times New Roman" w:cs="Times New Roman"/>
                <w:sz w:val="21"/>
                <w:szCs w:val="21"/>
              </w:rPr>
              <w:t>√</w:t>
            </w:r>
          </w:p>
        </w:tc>
        <w:tc>
          <w:tcPr>
            <w:tcW w:w="1658" w:type="dxa"/>
            <w:vAlign w:val="center"/>
          </w:tcPr>
          <w:p>
            <w:pPr>
              <w:spacing w:line="360" w:lineRule="exact"/>
              <w:ind w:firstLine="0" w:firstLineChars="0"/>
              <w:jc w:val="center"/>
              <w:rPr>
                <w:rFonts w:eastAsia="Times New Roman" w:cs="Times New Roman"/>
                <w:sz w:val="21"/>
                <w:szCs w:val="21"/>
              </w:rPr>
            </w:pPr>
            <w:r>
              <w:rPr>
                <w:rFonts w:eastAsia="Times New Roman" w:cs="Times New Roman"/>
                <w:sz w:val="21"/>
                <w:szCs w:val="21"/>
              </w:rPr>
              <w:t>√</w:t>
            </w:r>
          </w:p>
        </w:tc>
        <w:tc>
          <w:tcPr>
            <w:tcW w:w="1663" w:type="dxa"/>
            <w:vAlign w:val="center"/>
          </w:tcPr>
          <w:p>
            <w:pPr>
              <w:spacing w:line="360" w:lineRule="exact"/>
              <w:ind w:firstLine="0" w:firstLineChars="0"/>
              <w:jc w:val="center"/>
              <w:rPr>
                <w:rFonts w:eastAsia="Times New Roman" w:cs="Times New Roman"/>
                <w:sz w:val="21"/>
                <w:szCs w:val="21"/>
              </w:rPr>
            </w:pPr>
            <w:r>
              <w:rPr>
                <w:rFonts w:eastAsia="Times New Roman" w:cs="Times New Roman"/>
                <w:spacing w:val="2"/>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4" w:hRule="atLeast"/>
          <w:jc w:val="center"/>
        </w:trPr>
        <w:tc>
          <w:tcPr>
            <w:tcW w:w="2312" w:type="dxa"/>
            <w:vAlign w:val="center"/>
          </w:tcPr>
          <w:p>
            <w:pPr>
              <w:spacing w:line="360" w:lineRule="exact"/>
              <w:ind w:firstLine="0" w:firstLineChars="0"/>
              <w:jc w:val="center"/>
              <w:rPr>
                <w:rFonts w:cs="Times New Roman"/>
                <w:sz w:val="21"/>
                <w:szCs w:val="21"/>
              </w:rPr>
            </w:pPr>
            <w:r>
              <w:rPr>
                <w:rFonts w:cs="Times New Roman"/>
                <w:spacing w:val="-4"/>
                <w:sz w:val="21"/>
                <w:szCs w:val="21"/>
              </w:rPr>
              <w:t>运营期</w:t>
            </w:r>
          </w:p>
        </w:tc>
        <w:tc>
          <w:tcPr>
            <w:tcW w:w="1658" w:type="dxa"/>
            <w:vAlign w:val="center"/>
          </w:tcPr>
          <w:p>
            <w:pPr>
              <w:spacing w:line="360" w:lineRule="exact"/>
              <w:ind w:firstLine="0" w:firstLineChars="0"/>
              <w:jc w:val="center"/>
              <w:rPr>
                <w:rFonts w:eastAsia="Times New Roman" w:cs="Times New Roman"/>
                <w:sz w:val="21"/>
                <w:szCs w:val="21"/>
              </w:rPr>
            </w:pPr>
            <w:r>
              <w:rPr>
                <w:rFonts w:eastAsia="Times New Roman" w:cs="Times New Roman"/>
                <w:sz w:val="21"/>
                <w:szCs w:val="21"/>
              </w:rPr>
              <w:t>√</w:t>
            </w:r>
          </w:p>
        </w:tc>
        <w:tc>
          <w:tcPr>
            <w:tcW w:w="1660" w:type="dxa"/>
            <w:vAlign w:val="center"/>
          </w:tcPr>
          <w:p>
            <w:pPr>
              <w:spacing w:line="360" w:lineRule="exact"/>
              <w:ind w:firstLine="0" w:firstLineChars="0"/>
              <w:jc w:val="center"/>
              <w:rPr>
                <w:rFonts w:eastAsia="Times New Roman" w:cs="Times New Roman"/>
                <w:sz w:val="21"/>
                <w:szCs w:val="21"/>
              </w:rPr>
            </w:pPr>
            <w:r>
              <w:rPr>
                <w:rFonts w:eastAsia="Times New Roman" w:cs="Times New Roman"/>
                <w:sz w:val="21"/>
                <w:szCs w:val="21"/>
              </w:rPr>
              <w:t>√</w:t>
            </w:r>
          </w:p>
        </w:tc>
        <w:tc>
          <w:tcPr>
            <w:tcW w:w="1658" w:type="dxa"/>
            <w:vAlign w:val="center"/>
          </w:tcPr>
          <w:p>
            <w:pPr>
              <w:spacing w:line="360" w:lineRule="exact"/>
              <w:ind w:firstLine="0" w:firstLineChars="0"/>
              <w:jc w:val="center"/>
              <w:rPr>
                <w:rFonts w:eastAsia="Times New Roman" w:cs="Times New Roman"/>
                <w:sz w:val="21"/>
                <w:szCs w:val="21"/>
              </w:rPr>
            </w:pPr>
            <w:r>
              <w:rPr>
                <w:rFonts w:eastAsia="Times New Roman" w:cs="Times New Roman"/>
                <w:sz w:val="21"/>
                <w:szCs w:val="21"/>
              </w:rPr>
              <w:t>√</w:t>
            </w:r>
          </w:p>
        </w:tc>
        <w:tc>
          <w:tcPr>
            <w:tcW w:w="1663" w:type="dxa"/>
            <w:vAlign w:val="center"/>
          </w:tcPr>
          <w:p>
            <w:pPr>
              <w:spacing w:line="360" w:lineRule="exact"/>
              <w:ind w:firstLine="0" w:firstLineChars="0"/>
              <w:jc w:val="center"/>
              <w:rPr>
                <w:rFonts w:eastAsia="Times New Roman" w:cs="Times New Roman"/>
                <w:sz w:val="21"/>
                <w:szCs w:val="21"/>
              </w:rPr>
            </w:pPr>
            <w:r>
              <w:rPr>
                <w:rFonts w:eastAsia="Times New Roman" w:cs="Times New Roman"/>
                <w:spacing w:val="2"/>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8" w:hRule="atLeast"/>
          <w:jc w:val="center"/>
        </w:trPr>
        <w:tc>
          <w:tcPr>
            <w:tcW w:w="8951" w:type="dxa"/>
            <w:gridSpan w:val="5"/>
            <w:vAlign w:val="center"/>
          </w:tcPr>
          <w:p>
            <w:pPr>
              <w:spacing w:line="360" w:lineRule="exact"/>
              <w:ind w:firstLine="0" w:firstLineChars="0"/>
              <w:jc w:val="center"/>
              <w:rPr>
                <w:rFonts w:cs="Times New Roman"/>
                <w:sz w:val="21"/>
                <w:szCs w:val="21"/>
              </w:rPr>
            </w:pPr>
            <w:r>
              <w:rPr>
                <w:rFonts w:cs="Times New Roman"/>
                <w:spacing w:val="-6"/>
                <w:sz w:val="21"/>
                <w:szCs w:val="21"/>
              </w:rPr>
              <w:t>注：在可能产生的土壤影响类型处打</w:t>
            </w:r>
            <w:r>
              <w:rPr>
                <w:rFonts w:hint="eastAsia" w:cs="Times New Roman"/>
                <w:spacing w:val="-6"/>
                <w:sz w:val="21"/>
                <w:szCs w:val="21"/>
                <w:lang w:eastAsia="zh-CN"/>
              </w:rPr>
              <w:t>“</w:t>
            </w:r>
            <w:r>
              <w:rPr>
                <w:rFonts w:eastAsia="Times New Roman" w:cs="Times New Roman"/>
                <w:spacing w:val="-6"/>
                <w:sz w:val="21"/>
                <w:szCs w:val="21"/>
              </w:rPr>
              <w:t>√</w:t>
            </w:r>
            <w:r>
              <w:rPr>
                <w:rFonts w:hint="eastAsia" w:eastAsia="宋体" w:cs="Times New Roman"/>
                <w:spacing w:val="-6"/>
                <w:sz w:val="21"/>
                <w:szCs w:val="21"/>
                <w:lang w:eastAsia="zh-CN"/>
              </w:rPr>
              <w:t>”</w:t>
            </w:r>
            <w:r>
              <w:rPr>
                <w:rFonts w:cs="Times New Roman"/>
                <w:spacing w:val="-6"/>
                <w:sz w:val="21"/>
                <w:szCs w:val="21"/>
              </w:rPr>
              <w:t>，列表未涵盖的可自行设计。</w:t>
            </w:r>
          </w:p>
        </w:tc>
      </w:tr>
    </w:tbl>
    <w:p>
      <w:pPr>
        <w:ind w:firstLine="0" w:firstLineChars="0"/>
        <w:jc w:val="center"/>
        <w:rPr>
          <w:b/>
        </w:rPr>
      </w:pPr>
      <w:r>
        <w:rPr>
          <w:b/>
        </w:rPr>
        <w:t>表</w:t>
      </w:r>
      <w:r>
        <w:rPr>
          <w:rFonts w:hint="eastAsia"/>
          <w:b/>
        </w:rPr>
        <w:t>6.6-2</w:t>
      </w:r>
      <w:r>
        <w:rPr>
          <w:b/>
        </w:rPr>
        <w:t xml:space="preserve">  建设项目土壤环境影响源及影响因子识别表</w:t>
      </w:r>
    </w:p>
    <w:p>
      <w:pPr>
        <w:spacing w:line="62" w:lineRule="exact"/>
        <w:ind w:firstLine="480"/>
      </w:pPr>
    </w:p>
    <w:tbl>
      <w:tblPr>
        <w:tblStyle w:val="51"/>
        <w:tblW w:w="8951" w:type="dxa"/>
        <w:jc w:val="center"/>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Layout w:type="fixed"/>
        <w:tblCellMar>
          <w:top w:w="0" w:type="dxa"/>
          <w:left w:w="0" w:type="dxa"/>
          <w:bottom w:w="0" w:type="dxa"/>
          <w:right w:w="0" w:type="dxa"/>
        </w:tblCellMar>
      </w:tblPr>
      <w:tblGrid>
        <w:gridCol w:w="926"/>
        <w:gridCol w:w="1379"/>
        <w:gridCol w:w="1796"/>
        <w:gridCol w:w="2490"/>
        <w:gridCol w:w="1515"/>
        <w:gridCol w:w="845"/>
      </w:tblGrid>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2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污染源</w:t>
            </w:r>
          </w:p>
        </w:tc>
        <w:tc>
          <w:tcPr>
            <w:tcW w:w="1379"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工艺流程</w:t>
            </w:r>
            <w:r>
              <w:rPr>
                <w:rFonts w:eastAsia="Times New Roman" w:cs="Times New Roman"/>
                <w:kern w:val="21"/>
                <w:sz w:val="21"/>
                <w:szCs w:val="21"/>
              </w:rPr>
              <w:t>/</w:t>
            </w:r>
            <w:r>
              <w:rPr>
                <w:rFonts w:ascii="宋体" w:hAnsi="宋体" w:cs="宋体"/>
                <w:kern w:val="21"/>
                <w:sz w:val="21"/>
                <w:szCs w:val="21"/>
              </w:rPr>
              <w:t>节点</w:t>
            </w:r>
          </w:p>
        </w:tc>
        <w:tc>
          <w:tcPr>
            <w:tcW w:w="179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污染途径</w:t>
            </w:r>
          </w:p>
        </w:tc>
        <w:tc>
          <w:tcPr>
            <w:tcW w:w="2490" w:type="dxa"/>
            <w:vAlign w:val="center"/>
          </w:tcPr>
          <w:p>
            <w:pPr>
              <w:spacing w:line="360" w:lineRule="exact"/>
              <w:ind w:firstLine="0" w:firstLineChars="0"/>
              <w:jc w:val="center"/>
              <w:rPr>
                <w:rFonts w:eastAsia="Times New Roman" w:cs="Times New Roman"/>
                <w:kern w:val="21"/>
                <w:sz w:val="21"/>
                <w:szCs w:val="21"/>
              </w:rPr>
            </w:pPr>
            <w:r>
              <w:rPr>
                <w:rFonts w:ascii="宋体" w:hAnsi="宋体" w:cs="宋体"/>
                <w:kern w:val="21"/>
                <w:sz w:val="21"/>
                <w:szCs w:val="21"/>
              </w:rPr>
              <w:t>全部污染物指标</w:t>
            </w:r>
            <w:r>
              <w:rPr>
                <w:rFonts w:eastAsia="Times New Roman" w:cs="Times New Roman"/>
                <w:kern w:val="21"/>
                <w:sz w:val="21"/>
                <w:szCs w:val="21"/>
              </w:rPr>
              <w:t>a</w:t>
            </w:r>
          </w:p>
        </w:tc>
        <w:tc>
          <w:tcPr>
            <w:tcW w:w="151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特征因子</w:t>
            </w:r>
          </w:p>
        </w:tc>
        <w:tc>
          <w:tcPr>
            <w:tcW w:w="845" w:type="dxa"/>
            <w:vAlign w:val="center"/>
          </w:tcPr>
          <w:p>
            <w:pPr>
              <w:spacing w:line="360" w:lineRule="exact"/>
              <w:ind w:firstLine="0" w:firstLineChars="0"/>
              <w:jc w:val="center"/>
              <w:rPr>
                <w:rFonts w:eastAsia="Times New Roman" w:cs="Times New Roman"/>
                <w:kern w:val="21"/>
                <w:sz w:val="21"/>
                <w:szCs w:val="21"/>
              </w:rPr>
            </w:pPr>
            <w:r>
              <w:rPr>
                <w:rFonts w:ascii="宋体" w:hAnsi="宋体" w:cs="宋体"/>
                <w:kern w:val="21"/>
                <w:sz w:val="21"/>
                <w:szCs w:val="21"/>
              </w:rPr>
              <w:t>备注</w:t>
            </w:r>
            <w:r>
              <w:rPr>
                <w:rFonts w:eastAsia="Times New Roman" w:cs="Times New Roman"/>
                <w:kern w:val="21"/>
                <w:sz w:val="21"/>
                <w:szCs w:val="21"/>
              </w:rPr>
              <w:t>b</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951" w:type="dxa"/>
            <w:gridSpan w:val="6"/>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施工期</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2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施工场地</w:t>
            </w:r>
          </w:p>
        </w:tc>
        <w:tc>
          <w:tcPr>
            <w:tcW w:w="1379"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初期雨水</w:t>
            </w:r>
          </w:p>
        </w:tc>
        <w:tc>
          <w:tcPr>
            <w:tcW w:w="179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地面漫流、垂直入渗</w:t>
            </w:r>
          </w:p>
        </w:tc>
        <w:tc>
          <w:tcPr>
            <w:tcW w:w="2490" w:type="dxa"/>
            <w:vAlign w:val="center"/>
          </w:tcPr>
          <w:p>
            <w:pPr>
              <w:spacing w:line="360" w:lineRule="exact"/>
              <w:ind w:firstLine="0" w:firstLineChars="0"/>
              <w:jc w:val="center"/>
              <w:rPr>
                <w:rFonts w:ascii="宋体" w:hAnsi="宋体" w:cs="宋体"/>
                <w:kern w:val="21"/>
                <w:sz w:val="21"/>
                <w:szCs w:val="21"/>
              </w:rPr>
            </w:pPr>
            <w:r>
              <w:rPr>
                <w:rFonts w:eastAsia="Times New Roman" w:cs="Times New Roman"/>
                <w:kern w:val="21"/>
                <w:sz w:val="21"/>
                <w:szCs w:val="21"/>
              </w:rPr>
              <w:t>COD</w:t>
            </w:r>
            <w:r>
              <w:rPr>
                <w:rFonts w:ascii="宋体" w:hAnsi="宋体" w:cs="宋体"/>
                <w:kern w:val="21"/>
                <w:sz w:val="21"/>
                <w:szCs w:val="21"/>
              </w:rPr>
              <w:t>、</w:t>
            </w:r>
            <w:r>
              <w:rPr>
                <w:rFonts w:eastAsia="Times New Roman" w:cs="Times New Roman"/>
                <w:kern w:val="21"/>
                <w:sz w:val="21"/>
                <w:szCs w:val="21"/>
              </w:rPr>
              <w:t>SS</w:t>
            </w:r>
          </w:p>
        </w:tc>
        <w:tc>
          <w:tcPr>
            <w:tcW w:w="1515" w:type="dxa"/>
            <w:vAlign w:val="center"/>
          </w:tcPr>
          <w:p>
            <w:pPr>
              <w:spacing w:line="360" w:lineRule="exact"/>
              <w:ind w:firstLine="0" w:firstLineChars="0"/>
              <w:jc w:val="center"/>
              <w:rPr>
                <w:rFonts w:hint="eastAsia" w:ascii="宋体" w:hAnsi="宋体" w:eastAsia="宋体" w:cs="宋体"/>
                <w:kern w:val="21"/>
                <w:sz w:val="21"/>
                <w:szCs w:val="21"/>
                <w:lang w:eastAsia="zh-CN"/>
              </w:rPr>
            </w:pPr>
            <w:r>
              <w:rPr>
                <w:rFonts w:hint="eastAsia" w:ascii="宋体" w:hAnsi="宋体" w:cs="宋体"/>
                <w:kern w:val="21"/>
                <w:sz w:val="21"/>
                <w:szCs w:val="21"/>
                <w:lang w:val="en-US" w:eastAsia="zh-CN"/>
              </w:rPr>
              <w:t>/</w:t>
            </w:r>
          </w:p>
        </w:tc>
        <w:tc>
          <w:tcPr>
            <w:tcW w:w="84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事故</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2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施工场地</w:t>
            </w:r>
          </w:p>
        </w:tc>
        <w:tc>
          <w:tcPr>
            <w:tcW w:w="1379"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施工人员产生的生活污水</w:t>
            </w:r>
          </w:p>
        </w:tc>
        <w:tc>
          <w:tcPr>
            <w:tcW w:w="179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地面漫流垂直入渗</w:t>
            </w:r>
          </w:p>
        </w:tc>
        <w:tc>
          <w:tcPr>
            <w:tcW w:w="2490" w:type="dxa"/>
            <w:vAlign w:val="center"/>
          </w:tcPr>
          <w:p>
            <w:pPr>
              <w:spacing w:line="360" w:lineRule="exact"/>
              <w:ind w:firstLine="0" w:firstLineChars="0"/>
              <w:jc w:val="center"/>
              <w:rPr>
                <w:rFonts w:ascii="宋体" w:hAnsi="宋体" w:cs="宋体"/>
                <w:kern w:val="21"/>
                <w:sz w:val="21"/>
                <w:szCs w:val="21"/>
              </w:rPr>
            </w:pPr>
            <w:r>
              <w:rPr>
                <w:rFonts w:eastAsia="Times New Roman" w:cs="Times New Roman"/>
                <w:kern w:val="21"/>
                <w:sz w:val="21"/>
                <w:szCs w:val="21"/>
              </w:rPr>
              <w:t>COD</w:t>
            </w:r>
            <w:r>
              <w:rPr>
                <w:rFonts w:ascii="宋体" w:hAnsi="宋体" w:cs="宋体"/>
                <w:kern w:val="21"/>
                <w:sz w:val="21"/>
                <w:szCs w:val="21"/>
              </w:rPr>
              <w:t>、氨氮等</w:t>
            </w:r>
          </w:p>
        </w:tc>
        <w:tc>
          <w:tcPr>
            <w:tcW w:w="1515" w:type="dxa"/>
            <w:vAlign w:val="center"/>
          </w:tcPr>
          <w:p>
            <w:pPr>
              <w:spacing w:line="360" w:lineRule="exact"/>
              <w:ind w:firstLine="0" w:firstLineChars="0"/>
              <w:jc w:val="center"/>
              <w:rPr>
                <w:rFonts w:hint="eastAsia" w:ascii="宋体" w:hAnsi="宋体" w:eastAsia="宋体" w:cs="宋体"/>
                <w:kern w:val="21"/>
                <w:sz w:val="21"/>
                <w:szCs w:val="21"/>
                <w:lang w:eastAsia="zh-CN"/>
              </w:rPr>
            </w:pPr>
            <w:r>
              <w:rPr>
                <w:rFonts w:hint="eastAsia" w:eastAsia="宋体" w:cs="Times New Roman"/>
                <w:kern w:val="21"/>
                <w:sz w:val="21"/>
                <w:szCs w:val="21"/>
                <w:lang w:val="en-US" w:eastAsia="zh-CN"/>
              </w:rPr>
              <w:t>/</w:t>
            </w:r>
          </w:p>
        </w:tc>
        <w:tc>
          <w:tcPr>
            <w:tcW w:w="84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事故</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951" w:type="dxa"/>
            <w:gridSpan w:val="6"/>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运营期</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26" w:type="dxa"/>
            <w:vMerge w:val="restart"/>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生产装置</w:t>
            </w:r>
          </w:p>
        </w:tc>
        <w:tc>
          <w:tcPr>
            <w:tcW w:w="1379"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原料</w:t>
            </w:r>
            <w:r>
              <w:rPr>
                <w:rFonts w:hint="eastAsia" w:ascii="宋体" w:hAnsi="宋体" w:cs="宋体"/>
                <w:kern w:val="21"/>
                <w:sz w:val="21"/>
                <w:szCs w:val="21"/>
              </w:rPr>
              <w:t>上料</w:t>
            </w:r>
          </w:p>
        </w:tc>
        <w:tc>
          <w:tcPr>
            <w:tcW w:w="179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大气沉降</w:t>
            </w:r>
          </w:p>
        </w:tc>
        <w:tc>
          <w:tcPr>
            <w:tcW w:w="2490"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颗粒物</w:t>
            </w:r>
          </w:p>
        </w:tc>
        <w:tc>
          <w:tcPr>
            <w:tcW w:w="151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颗粒物</w:t>
            </w:r>
          </w:p>
        </w:tc>
        <w:tc>
          <w:tcPr>
            <w:tcW w:w="84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正常</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26" w:type="dxa"/>
            <w:vMerge w:val="continue"/>
            <w:vAlign w:val="center"/>
          </w:tcPr>
          <w:p>
            <w:pPr>
              <w:spacing w:line="360" w:lineRule="exact"/>
              <w:ind w:firstLine="0" w:firstLineChars="0"/>
              <w:jc w:val="center"/>
              <w:rPr>
                <w:rFonts w:ascii="宋体"/>
                <w:kern w:val="21"/>
                <w:sz w:val="21"/>
                <w:szCs w:val="21"/>
              </w:rPr>
            </w:pPr>
          </w:p>
        </w:tc>
        <w:tc>
          <w:tcPr>
            <w:tcW w:w="1379"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原料储存、</w:t>
            </w:r>
            <w:r>
              <w:rPr>
                <w:rFonts w:hint="eastAsia" w:ascii="宋体" w:hAnsi="宋体" w:cs="宋体"/>
                <w:kern w:val="21"/>
                <w:sz w:val="21"/>
                <w:szCs w:val="21"/>
              </w:rPr>
              <w:t>反应</w:t>
            </w:r>
            <w:r>
              <w:rPr>
                <w:rFonts w:ascii="宋体" w:hAnsi="宋体" w:cs="宋体"/>
                <w:kern w:val="21"/>
                <w:sz w:val="21"/>
                <w:szCs w:val="21"/>
              </w:rPr>
              <w:t>等</w:t>
            </w:r>
          </w:p>
        </w:tc>
        <w:tc>
          <w:tcPr>
            <w:tcW w:w="179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大气沉降</w:t>
            </w:r>
          </w:p>
        </w:tc>
        <w:tc>
          <w:tcPr>
            <w:tcW w:w="2490" w:type="dxa"/>
            <w:vAlign w:val="center"/>
          </w:tcPr>
          <w:p>
            <w:pPr>
              <w:spacing w:line="360" w:lineRule="exact"/>
              <w:ind w:firstLine="0" w:firstLineChars="0"/>
              <w:jc w:val="center"/>
              <w:rPr>
                <w:rFonts w:ascii="宋体" w:hAnsi="宋体" w:cs="宋体"/>
                <w:kern w:val="21"/>
                <w:sz w:val="21"/>
                <w:szCs w:val="21"/>
              </w:rPr>
            </w:pPr>
            <w:r>
              <w:rPr>
                <w:rFonts w:eastAsia="Times New Roman" w:cs="Times New Roman"/>
                <w:kern w:val="21"/>
                <w:sz w:val="21"/>
                <w:szCs w:val="21"/>
              </w:rPr>
              <w:t>VOCs</w:t>
            </w:r>
          </w:p>
        </w:tc>
        <w:tc>
          <w:tcPr>
            <w:tcW w:w="1515" w:type="dxa"/>
            <w:vAlign w:val="center"/>
          </w:tcPr>
          <w:p>
            <w:pPr>
              <w:spacing w:line="360" w:lineRule="exact"/>
              <w:ind w:firstLine="0" w:firstLineChars="0"/>
              <w:jc w:val="center"/>
              <w:rPr>
                <w:rFonts w:ascii="宋体" w:hAnsi="宋体" w:cs="宋体"/>
                <w:kern w:val="21"/>
                <w:sz w:val="21"/>
                <w:szCs w:val="21"/>
              </w:rPr>
            </w:pPr>
            <w:r>
              <w:rPr>
                <w:rFonts w:hint="eastAsia" w:ascii="宋体" w:hAnsi="宋体" w:cs="宋体"/>
                <w:kern w:val="21"/>
                <w:sz w:val="21"/>
                <w:szCs w:val="21"/>
              </w:rPr>
              <w:t>丙烯酸</w:t>
            </w:r>
          </w:p>
        </w:tc>
        <w:tc>
          <w:tcPr>
            <w:tcW w:w="84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正常</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26" w:type="dxa"/>
            <w:vMerge w:val="continue"/>
            <w:vAlign w:val="center"/>
          </w:tcPr>
          <w:p>
            <w:pPr>
              <w:spacing w:line="360" w:lineRule="exact"/>
              <w:ind w:firstLine="0" w:firstLineChars="0"/>
              <w:jc w:val="center"/>
              <w:rPr>
                <w:rFonts w:ascii="宋体"/>
                <w:kern w:val="21"/>
                <w:sz w:val="21"/>
                <w:szCs w:val="21"/>
              </w:rPr>
            </w:pPr>
          </w:p>
        </w:tc>
        <w:tc>
          <w:tcPr>
            <w:tcW w:w="1379" w:type="dxa"/>
            <w:vAlign w:val="center"/>
          </w:tcPr>
          <w:p>
            <w:pPr>
              <w:spacing w:line="360" w:lineRule="exact"/>
              <w:ind w:firstLine="0" w:firstLineChars="0"/>
              <w:jc w:val="center"/>
              <w:rPr>
                <w:rFonts w:hint="eastAsia" w:ascii="宋体" w:hAnsi="宋体" w:eastAsia="宋体" w:cs="宋体"/>
                <w:kern w:val="21"/>
                <w:sz w:val="21"/>
                <w:szCs w:val="21"/>
                <w:lang w:eastAsia="zh-CN"/>
              </w:rPr>
            </w:pPr>
            <w:r>
              <w:rPr>
                <w:rFonts w:ascii="宋体" w:hAnsi="宋体" w:cs="宋体"/>
                <w:kern w:val="21"/>
                <w:sz w:val="21"/>
                <w:szCs w:val="21"/>
              </w:rPr>
              <w:t>储</w:t>
            </w:r>
            <w:r>
              <w:rPr>
                <w:rFonts w:hint="eastAsia" w:ascii="宋体" w:hAnsi="宋体" w:cs="宋体"/>
                <w:kern w:val="21"/>
                <w:sz w:val="21"/>
                <w:szCs w:val="21"/>
                <w:lang w:eastAsia="zh-CN"/>
              </w:rPr>
              <w:t>桶</w:t>
            </w:r>
          </w:p>
        </w:tc>
        <w:tc>
          <w:tcPr>
            <w:tcW w:w="179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垂直入渗</w:t>
            </w:r>
          </w:p>
        </w:tc>
        <w:tc>
          <w:tcPr>
            <w:tcW w:w="2490" w:type="dxa"/>
            <w:vAlign w:val="center"/>
          </w:tcPr>
          <w:p>
            <w:pPr>
              <w:spacing w:line="360" w:lineRule="exact"/>
              <w:ind w:firstLine="0" w:firstLineChars="0"/>
              <w:jc w:val="center"/>
              <w:rPr>
                <w:rFonts w:ascii="宋体" w:hAnsi="宋体" w:cs="宋体"/>
                <w:kern w:val="21"/>
                <w:sz w:val="21"/>
                <w:szCs w:val="21"/>
              </w:rPr>
            </w:pPr>
            <w:r>
              <w:rPr>
                <w:rFonts w:hint="eastAsia" w:ascii="宋体" w:hAnsi="宋体" w:cs="宋体"/>
                <w:kern w:val="21"/>
                <w:sz w:val="21"/>
                <w:szCs w:val="21"/>
              </w:rPr>
              <w:t>丙烯酸</w:t>
            </w:r>
          </w:p>
        </w:tc>
        <w:tc>
          <w:tcPr>
            <w:tcW w:w="1515" w:type="dxa"/>
            <w:vAlign w:val="center"/>
          </w:tcPr>
          <w:p>
            <w:pPr>
              <w:spacing w:line="360" w:lineRule="exact"/>
              <w:ind w:firstLine="0" w:firstLineChars="0"/>
              <w:jc w:val="center"/>
              <w:rPr>
                <w:rFonts w:ascii="宋体" w:hAnsi="宋体" w:cs="宋体"/>
                <w:kern w:val="21"/>
                <w:sz w:val="21"/>
                <w:szCs w:val="21"/>
              </w:rPr>
            </w:pPr>
            <w:r>
              <w:rPr>
                <w:rFonts w:hint="eastAsia" w:ascii="宋体" w:hAnsi="宋体" w:cs="宋体"/>
                <w:kern w:val="21"/>
                <w:sz w:val="21"/>
                <w:szCs w:val="21"/>
              </w:rPr>
              <w:t>丙烯酸</w:t>
            </w:r>
          </w:p>
        </w:tc>
        <w:tc>
          <w:tcPr>
            <w:tcW w:w="84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事故</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2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公用工程排水</w:t>
            </w:r>
          </w:p>
        </w:tc>
        <w:tc>
          <w:tcPr>
            <w:tcW w:w="1379"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软化废水、循环冷却水排水</w:t>
            </w:r>
          </w:p>
        </w:tc>
        <w:tc>
          <w:tcPr>
            <w:tcW w:w="179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地面漫流、垂直入 渗</w:t>
            </w:r>
          </w:p>
        </w:tc>
        <w:tc>
          <w:tcPr>
            <w:tcW w:w="2490" w:type="dxa"/>
            <w:vAlign w:val="center"/>
          </w:tcPr>
          <w:p>
            <w:pPr>
              <w:spacing w:line="360" w:lineRule="exact"/>
              <w:ind w:firstLine="0" w:firstLineChars="0"/>
              <w:jc w:val="center"/>
              <w:rPr>
                <w:rFonts w:ascii="宋体" w:hAnsi="宋体" w:cs="宋体"/>
                <w:kern w:val="21"/>
                <w:sz w:val="21"/>
                <w:szCs w:val="21"/>
              </w:rPr>
            </w:pPr>
            <w:r>
              <w:rPr>
                <w:rFonts w:eastAsia="Times New Roman" w:cs="Times New Roman"/>
                <w:kern w:val="21"/>
                <w:sz w:val="21"/>
                <w:szCs w:val="21"/>
              </w:rPr>
              <w:t>COD</w:t>
            </w:r>
            <w:r>
              <w:rPr>
                <w:rFonts w:ascii="宋体" w:hAnsi="宋体" w:cs="宋体"/>
                <w:kern w:val="21"/>
                <w:sz w:val="21"/>
                <w:szCs w:val="21"/>
              </w:rPr>
              <w:t>、氨氮等</w:t>
            </w:r>
          </w:p>
        </w:tc>
        <w:tc>
          <w:tcPr>
            <w:tcW w:w="1515" w:type="dxa"/>
            <w:vAlign w:val="center"/>
          </w:tcPr>
          <w:p>
            <w:pPr>
              <w:spacing w:line="360" w:lineRule="exact"/>
              <w:ind w:firstLine="0" w:firstLineChars="0"/>
              <w:jc w:val="center"/>
              <w:rPr>
                <w:rFonts w:ascii="宋体" w:hAnsi="宋体" w:cs="宋体"/>
                <w:kern w:val="21"/>
                <w:sz w:val="21"/>
                <w:szCs w:val="21"/>
              </w:rPr>
            </w:pPr>
            <w:r>
              <w:rPr>
                <w:rFonts w:eastAsia="Times New Roman" w:cs="Times New Roman"/>
                <w:kern w:val="21"/>
                <w:sz w:val="21"/>
                <w:szCs w:val="21"/>
              </w:rPr>
              <w:t>COD</w:t>
            </w:r>
            <w:r>
              <w:rPr>
                <w:rFonts w:ascii="宋体" w:hAnsi="宋体" w:cs="宋体"/>
                <w:kern w:val="21"/>
                <w:sz w:val="21"/>
                <w:szCs w:val="21"/>
              </w:rPr>
              <w:t>、氨氮等</w:t>
            </w:r>
          </w:p>
        </w:tc>
        <w:tc>
          <w:tcPr>
            <w:tcW w:w="84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事故</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92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污水处理站</w:t>
            </w:r>
          </w:p>
        </w:tc>
        <w:tc>
          <w:tcPr>
            <w:tcW w:w="1379"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污水处理</w:t>
            </w:r>
          </w:p>
        </w:tc>
        <w:tc>
          <w:tcPr>
            <w:tcW w:w="1796"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地面漫流、垂直入渗</w:t>
            </w:r>
          </w:p>
        </w:tc>
        <w:tc>
          <w:tcPr>
            <w:tcW w:w="2490" w:type="dxa"/>
            <w:vAlign w:val="center"/>
          </w:tcPr>
          <w:p>
            <w:pPr>
              <w:spacing w:line="360" w:lineRule="exact"/>
              <w:ind w:firstLine="0" w:firstLineChars="0"/>
              <w:jc w:val="center"/>
              <w:rPr>
                <w:rFonts w:ascii="宋体" w:hAnsi="宋体" w:cs="宋体"/>
                <w:kern w:val="21"/>
                <w:sz w:val="21"/>
                <w:szCs w:val="21"/>
              </w:rPr>
            </w:pPr>
            <w:r>
              <w:rPr>
                <w:rFonts w:eastAsia="Times New Roman" w:cs="Times New Roman"/>
                <w:kern w:val="21"/>
                <w:sz w:val="21"/>
                <w:szCs w:val="21"/>
              </w:rPr>
              <w:t>COD</w:t>
            </w:r>
            <w:r>
              <w:rPr>
                <w:rFonts w:ascii="宋体" w:hAnsi="宋体" w:cs="宋体"/>
                <w:kern w:val="21"/>
                <w:sz w:val="21"/>
                <w:szCs w:val="21"/>
              </w:rPr>
              <w:t>、氨氮、总氮</w:t>
            </w:r>
          </w:p>
        </w:tc>
        <w:tc>
          <w:tcPr>
            <w:tcW w:w="151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总氮</w:t>
            </w:r>
          </w:p>
        </w:tc>
        <w:tc>
          <w:tcPr>
            <w:tcW w:w="845" w:type="dxa"/>
            <w:vAlign w:val="center"/>
          </w:tcPr>
          <w:p>
            <w:pPr>
              <w:spacing w:line="360" w:lineRule="exact"/>
              <w:ind w:firstLine="0" w:firstLineChars="0"/>
              <w:jc w:val="center"/>
              <w:rPr>
                <w:rFonts w:ascii="宋体" w:hAnsi="宋体" w:cs="宋体"/>
                <w:kern w:val="21"/>
                <w:sz w:val="21"/>
                <w:szCs w:val="21"/>
              </w:rPr>
            </w:pPr>
            <w:r>
              <w:rPr>
                <w:rFonts w:ascii="宋体" w:hAnsi="宋体" w:cs="宋体"/>
                <w:kern w:val="21"/>
                <w:sz w:val="21"/>
                <w:szCs w:val="21"/>
              </w:rPr>
              <w:t>事故</w:t>
            </w:r>
          </w:p>
        </w:tc>
      </w:tr>
      <w:tr>
        <w:tblPrEx>
          <w:tblBorders>
            <w:top w:val="single" w:color="000000" w:sz="2" w:space="0"/>
            <w:left w:val="single" w:color="000000" w:sz="2" w:space="0"/>
            <w:bottom w:val="single" w:color="000000" w:sz="2" w:space="0"/>
            <w:right w:val="single" w:color="000000" w:sz="2"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951" w:type="dxa"/>
            <w:gridSpan w:val="6"/>
            <w:vAlign w:val="center"/>
          </w:tcPr>
          <w:p>
            <w:pPr>
              <w:spacing w:line="360" w:lineRule="exact"/>
              <w:ind w:firstLine="0" w:firstLineChars="0"/>
              <w:rPr>
                <w:rFonts w:ascii="宋体" w:hAnsi="宋体" w:cs="宋体"/>
                <w:kern w:val="21"/>
                <w:sz w:val="21"/>
                <w:szCs w:val="21"/>
              </w:rPr>
            </w:pPr>
            <w:r>
              <w:rPr>
                <w:rFonts w:eastAsia="Times New Roman" w:cs="Times New Roman"/>
                <w:kern w:val="21"/>
                <w:sz w:val="21"/>
                <w:szCs w:val="21"/>
              </w:rPr>
              <w:t>a</w:t>
            </w:r>
            <w:r>
              <w:rPr>
                <w:rFonts w:ascii="宋体" w:hAnsi="宋体" w:cs="宋体"/>
                <w:kern w:val="21"/>
                <w:sz w:val="21"/>
                <w:szCs w:val="21"/>
              </w:rPr>
              <w:t>根据工程分析结果填写。</w:t>
            </w:r>
          </w:p>
          <w:p>
            <w:pPr>
              <w:spacing w:line="360" w:lineRule="exact"/>
              <w:ind w:firstLine="0" w:firstLineChars="0"/>
              <w:rPr>
                <w:rFonts w:ascii="宋体" w:hAnsi="宋体" w:cs="宋体"/>
                <w:kern w:val="21"/>
                <w:sz w:val="21"/>
                <w:szCs w:val="21"/>
              </w:rPr>
            </w:pPr>
            <w:r>
              <w:rPr>
                <w:rFonts w:eastAsia="Times New Roman" w:cs="Times New Roman"/>
                <w:kern w:val="21"/>
                <w:sz w:val="21"/>
                <w:szCs w:val="21"/>
              </w:rPr>
              <w:t>b</w:t>
            </w:r>
            <w:r>
              <w:rPr>
                <w:rFonts w:ascii="宋体" w:hAnsi="宋体" w:cs="宋体"/>
                <w:kern w:val="21"/>
                <w:sz w:val="21"/>
                <w:szCs w:val="21"/>
              </w:rPr>
              <w:t>应描述污染源特征，如连续、间断、正常、事故等，涉及大气沉降途径的，应识别建设项目周边的土壤环境敏感目标。</w:t>
            </w:r>
          </w:p>
        </w:tc>
      </w:tr>
    </w:tbl>
    <w:p>
      <w:pPr>
        <w:pStyle w:val="7"/>
        <w:ind w:firstLine="562"/>
      </w:pPr>
      <w:r>
        <w:rPr>
          <w:rFonts w:hint="eastAsia"/>
        </w:rPr>
        <w:t>6.6.2</w:t>
      </w:r>
      <w:r>
        <w:t xml:space="preserve"> </w:t>
      </w:r>
      <w:r>
        <w:rPr>
          <w:rFonts w:hint="eastAsia"/>
        </w:rPr>
        <w:t>评价标准</w:t>
      </w:r>
    </w:p>
    <w:p>
      <w:pPr>
        <w:widowControl/>
        <w:ind w:firstLine="480"/>
        <w:jc w:val="left"/>
      </w:pPr>
      <w:r>
        <w:rPr>
          <w:rFonts w:hint="eastAsia" w:ascii="宋体" w:hAnsi="宋体" w:cs="宋体"/>
          <w:color w:val="000000"/>
          <w:kern w:val="0"/>
          <w:lang w:bidi="ar"/>
        </w:rPr>
        <w:t>本次项目土壤环境质量评价标准参照《土壤环境质量 建设用地土壤污染风险管控标准（试行）》（</w:t>
      </w:r>
      <w:r>
        <w:rPr>
          <w:rFonts w:cs="Times New Roman"/>
          <w:color w:val="000000"/>
          <w:kern w:val="0"/>
          <w:lang w:bidi="ar"/>
        </w:rPr>
        <w:t>GB36600-2018</w:t>
      </w:r>
      <w:r>
        <w:rPr>
          <w:rFonts w:hint="eastAsia" w:ascii="宋体" w:hAnsi="宋体" w:cs="宋体"/>
          <w:color w:val="000000"/>
          <w:kern w:val="0"/>
          <w:lang w:bidi="ar"/>
        </w:rPr>
        <w:t>）建设用地第二类用地风险筛选值。</w:t>
      </w:r>
    </w:p>
    <w:p>
      <w:pPr>
        <w:pStyle w:val="7"/>
        <w:ind w:firstLine="562"/>
      </w:pPr>
      <w:r>
        <w:rPr>
          <w:rFonts w:hint="eastAsia"/>
        </w:rPr>
        <w:t>6.6.3 预测方法</w:t>
      </w:r>
    </w:p>
    <w:p>
      <w:pPr>
        <w:widowControl/>
        <w:ind w:firstLine="480"/>
        <w:jc w:val="left"/>
        <w:rPr>
          <w:rFonts w:cs="Times New Roman"/>
          <w:color w:val="000000"/>
          <w:kern w:val="0"/>
          <w:lang w:bidi="ar"/>
        </w:rPr>
      </w:pPr>
      <w:r>
        <w:rPr>
          <w:rFonts w:cs="Times New Roman"/>
          <w:color w:val="000000"/>
          <w:kern w:val="0"/>
          <w:lang w:bidi="ar"/>
        </w:rPr>
        <w:t>根据《环境影响评价技术导则土壤环境》（试行）（HJ964-2018），评价等级为</w:t>
      </w:r>
      <w:r>
        <w:rPr>
          <w:rFonts w:hint="eastAsia" w:cs="Times New Roman"/>
          <w:lang w:eastAsia="zh-CN"/>
        </w:rPr>
        <w:t>“</w:t>
      </w:r>
      <w:r>
        <w:rPr>
          <w:rFonts w:hint="eastAsia" w:cs="Times New Roman"/>
        </w:rPr>
        <w:t>可不开展土壤环境影响评价工作</w:t>
      </w:r>
      <w:r>
        <w:rPr>
          <w:rFonts w:hint="eastAsia"/>
          <w:lang w:eastAsia="zh-CN"/>
        </w:rPr>
        <w:t>”</w:t>
      </w:r>
      <w:r>
        <w:rPr>
          <w:rFonts w:cs="Times New Roman"/>
          <w:color w:val="000000"/>
          <w:kern w:val="0"/>
          <w:lang w:bidi="ar"/>
        </w:rPr>
        <w:t>，仅定性说明本项目对土壤环境产生的影响。</w:t>
      </w:r>
    </w:p>
    <w:p>
      <w:pPr>
        <w:pStyle w:val="7"/>
        <w:ind w:firstLine="562"/>
      </w:pPr>
      <w:r>
        <w:rPr>
          <w:rFonts w:hint="eastAsia"/>
        </w:rPr>
        <w:t>6.6.4 土壤环境影响分析</w:t>
      </w:r>
    </w:p>
    <w:p>
      <w:pPr>
        <w:ind w:firstLine="480"/>
        <w:rPr>
          <w:u w:val="single"/>
        </w:rPr>
      </w:pPr>
      <w:r>
        <w:rPr>
          <w:rFonts w:hint="eastAsia"/>
          <w:u w:val="single"/>
        </w:rPr>
        <w:t>本项目属于化学原料和化学制品制造业</w:t>
      </w:r>
      <w:r>
        <w:rPr>
          <w:rFonts w:hint="eastAsia"/>
          <w:u w:val="single"/>
          <w:lang w:eastAsia="zh-CN"/>
        </w:rPr>
        <w:t>行业</w:t>
      </w:r>
      <w:r>
        <w:rPr>
          <w:rFonts w:hint="eastAsia"/>
          <w:u w:val="single"/>
        </w:rPr>
        <w:t>和橡胶和塑料制品业，主要原料为化学品</w:t>
      </w:r>
      <w:r>
        <w:rPr>
          <w:rFonts w:hint="eastAsia"/>
          <w:u w:val="single"/>
          <w:lang w:eastAsia="zh-CN"/>
        </w:rPr>
        <w:t>、橡胶和塑料原料</w:t>
      </w:r>
      <w:r>
        <w:rPr>
          <w:rFonts w:hint="eastAsia"/>
          <w:u w:val="single"/>
        </w:rPr>
        <w:t>，项目污染物均无对应评价标准，因此不进行定量预测，仅进行定性分析与类比评价。对比《福建瑞升体育科技有限公司瑞升体育地坪材料生产项目》厂区土壤验收监测结果废气污染因子含有《土壤环境质量 建设用地土壤污染风险管控标准（试行）》（</w:t>
      </w:r>
      <w:r>
        <w:rPr>
          <w:u w:val="single"/>
        </w:rPr>
        <w:t>GB36600-2018</w:t>
      </w:r>
      <w:r>
        <w:rPr>
          <w:rFonts w:hint="eastAsia"/>
          <w:u w:val="single"/>
        </w:rPr>
        <w:t>）中的土壤污染因子经预测落地浓度对土壤影响较小。在正常运营过程中不会造成土壤污染。非正常情况下主要是污水处理设施渗漏，污水处理量为</w:t>
      </w:r>
      <w:r>
        <w:rPr>
          <w:rFonts w:hint="eastAsia"/>
          <w:u w:val="single"/>
          <w:lang w:val="en-US" w:eastAsia="zh-CN"/>
        </w:rPr>
        <w:t>39.70</w:t>
      </w:r>
      <w:r>
        <w:rPr>
          <w:rFonts w:hint="eastAsia"/>
          <w:u w:val="single"/>
        </w:rPr>
        <w:t>t/d，处理量较小，项目废水污染物主要为COD、</w:t>
      </w:r>
      <w:r>
        <w:rPr>
          <w:rFonts w:hint="eastAsia"/>
          <w:u w:val="single"/>
          <w:lang w:val="en-US" w:eastAsia="zh-CN"/>
        </w:rPr>
        <w:t>BOD</w:t>
      </w:r>
      <w:r>
        <w:rPr>
          <w:rFonts w:hint="eastAsia"/>
          <w:u w:val="single"/>
          <w:vertAlign w:val="subscript"/>
          <w:lang w:val="en-US" w:eastAsia="zh-CN"/>
        </w:rPr>
        <w:t>5</w:t>
      </w:r>
      <w:r>
        <w:rPr>
          <w:rFonts w:hint="eastAsia"/>
          <w:u w:val="single"/>
          <w:lang w:val="en-US" w:eastAsia="zh-CN"/>
        </w:rPr>
        <w:t>、</w:t>
      </w:r>
      <w:r>
        <w:rPr>
          <w:rFonts w:hint="eastAsia"/>
          <w:u w:val="single"/>
        </w:rPr>
        <w:t>SS、氨氮、</w:t>
      </w:r>
      <w:r>
        <w:rPr>
          <w:rFonts w:hint="eastAsia"/>
          <w:u w:val="single"/>
          <w:lang w:eastAsia="zh-CN"/>
        </w:rPr>
        <w:t>动植物油、</w:t>
      </w:r>
      <w:r>
        <w:rPr>
          <w:rFonts w:hint="eastAsia"/>
          <w:u w:val="single"/>
        </w:rPr>
        <w:t>总氮、总磷。污水处理设施发生故障时，及时停止运行，且污染物成分简单，污水量小，企业设置有1000m</w:t>
      </w:r>
      <w:r>
        <w:rPr>
          <w:rFonts w:hint="eastAsia"/>
          <w:u w:val="single"/>
          <w:vertAlign w:val="superscript"/>
        </w:rPr>
        <w:t>3</w:t>
      </w:r>
      <w:r>
        <w:rPr>
          <w:rFonts w:hint="eastAsia"/>
          <w:u w:val="single"/>
        </w:rPr>
        <w:t>应急事故池，可储存事故污水保障不会渗透到厂界外。因此，本项目运营期和事故期对土壤环境的影响很小。</w:t>
      </w:r>
    </w:p>
    <w:p>
      <w:pPr>
        <w:pStyle w:val="27"/>
        <w:spacing w:after="0"/>
        <w:ind w:left="0" w:leftChars="0" w:firstLine="480"/>
      </w:pPr>
      <w:r>
        <w:rPr>
          <w:rFonts w:hint="eastAsia"/>
        </w:rPr>
        <w:t>另外企业拟从以下方面采取措施：</w:t>
      </w:r>
    </w:p>
    <w:p>
      <w:pPr>
        <w:widowControl/>
        <w:ind w:firstLine="480"/>
      </w:pPr>
      <w:r>
        <w:rPr>
          <w:rFonts w:hint="eastAsia" w:ascii="宋体" w:hAnsi="宋体" w:cs="宋体"/>
          <w:color w:val="000000"/>
          <w:kern w:val="0"/>
          <w:lang w:bidi="ar"/>
        </w:rPr>
        <w:t>①从源头采用控制措施，本项目采取先进的</w:t>
      </w:r>
      <w:r>
        <w:rPr>
          <w:rFonts w:cs="Times New Roman"/>
          <w:color w:val="000000"/>
          <w:kern w:val="0"/>
          <w:lang w:bidi="ar"/>
        </w:rPr>
        <w:t>DCS</w:t>
      </w:r>
      <w:r>
        <w:rPr>
          <w:rFonts w:hint="eastAsia" w:ascii="宋体" w:hAnsi="宋体" w:cs="宋体"/>
          <w:color w:val="000000"/>
          <w:kern w:val="0"/>
          <w:lang w:bidi="ar"/>
        </w:rPr>
        <w:t>控制系统，发生泄漏时，可以在较短时间内有效切断泄漏源，从而有效地从源头控制了污染物的排放源，大幅降低土壤污染的风险。</w:t>
      </w:r>
    </w:p>
    <w:p>
      <w:pPr>
        <w:widowControl/>
        <w:ind w:firstLine="480"/>
      </w:pPr>
      <w:r>
        <w:rPr>
          <w:rFonts w:hint="eastAsia" w:ascii="宋体" w:hAnsi="宋体" w:cs="宋体"/>
          <w:color w:val="000000"/>
          <w:kern w:val="0"/>
          <w:lang w:bidi="ar"/>
        </w:rPr>
        <w:t>②本项目装置区、</w:t>
      </w:r>
      <w:r>
        <w:rPr>
          <w:rFonts w:hint="eastAsia" w:ascii="宋体" w:hAnsi="宋体" w:cs="宋体"/>
          <w:color w:val="000000"/>
          <w:kern w:val="0"/>
          <w:lang w:eastAsia="zh-CN" w:bidi="ar"/>
        </w:rPr>
        <w:t>储存</w:t>
      </w:r>
      <w:r>
        <w:rPr>
          <w:rFonts w:hint="eastAsia" w:ascii="宋体" w:hAnsi="宋体" w:cs="宋体"/>
          <w:color w:val="000000"/>
          <w:kern w:val="0"/>
          <w:lang w:bidi="ar"/>
        </w:rPr>
        <w:t>区和污水处理站等可能会发生污染的区域，均已按照相关要求进行了防渗工程设计，并设置有初期雨水导流系统，配套设置事故水池，初期雨水和事故状态下的废水排放可以有效地截留在相应区域内，从而有效避免了事故状态下的土壤污染风险。</w:t>
      </w:r>
    </w:p>
    <w:p>
      <w:pPr>
        <w:widowControl/>
        <w:ind w:firstLine="480"/>
        <w:rPr>
          <w:rFonts w:ascii="宋体" w:hAnsi="宋体" w:cs="宋体"/>
          <w:color w:val="000000"/>
          <w:kern w:val="0"/>
          <w:lang w:bidi="ar"/>
        </w:rPr>
      </w:pPr>
      <w:r>
        <w:rPr>
          <w:rFonts w:hint="eastAsia" w:ascii="宋体" w:hAnsi="宋体" w:cs="宋体"/>
          <w:color w:val="000000"/>
          <w:kern w:val="0"/>
          <w:lang w:bidi="ar"/>
        </w:rPr>
        <w:t>③在正常工况下，各生产环节按照设计参数运行，罐体保护完整，基本无污染物泄漏，本项目已经根据相关防渗设计规范采取严格的防渗、防溢流、防泄漏、防腐蚀等措施，一般情况下污水不会渗漏和进入地下，对土壤不会造成污染。</w:t>
      </w:r>
    </w:p>
    <w:p>
      <w:pPr>
        <w:widowControl/>
        <w:ind w:firstLine="480"/>
      </w:pPr>
      <w:r>
        <w:rPr>
          <w:rFonts w:hint="eastAsia" w:ascii="宋体" w:hAnsi="宋体" w:cs="宋体"/>
          <w:color w:val="000000"/>
          <w:kern w:val="0"/>
          <w:lang w:bidi="ar"/>
        </w:rPr>
        <w:t>④在非正常工况下，易燃易爆物料泄漏引起火灾爆炸，破坏地下防渗层，会导致消防废水通过土层垂直下渗，经过表土，再进入包气带。项目主工艺系统及公用工程系统流程中采用先进的压力、液位、温度传感器及报警装置等，以保证生产的安全性，后续工序也做了相应控制，可以有效减低生产装置区和</w:t>
      </w:r>
      <w:r>
        <w:rPr>
          <w:rFonts w:hint="eastAsia" w:ascii="宋体" w:hAnsi="宋体" w:cs="宋体"/>
          <w:color w:val="000000"/>
          <w:kern w:val="0"/>
          <w:lang w:eastAsia="zh-CN" w:bidi="ar"/>
        </w:rPr>
        <w:t>储存</w:t>
      </w:r>
      <w:r>
        <w:rPr>
          <w:rFonts w:hint="eastAsia" w:ascii="宋体" w:hAnsi="宋体" w:cs="宋体"/>
          <w:color w:val="000000"/>
          <w:kern w:val="0"/>
          <w:lang w:bidi="ar"/>
        </w:rPr>
        <w:t>区的大量泄漏事件概率。</w:t>
      </w:r>
    </w:p>
    <w:p>
      <w:pPr>
        <w:pStyle w:val="6"/>
        <w:ind w:firstLine="643"/>
        <w:rPr>
          <w:rFonts w:hint="eastAsia" w:ascii="Times New Roman" w:hAnsi="Times New Roman"/>
          <w:lang w:val="en-US"/>
        </w:rPr>
      </w:pPr>
      <w:bookmarkStart w:id="171" w:name="_Toc24714"/>
      <w:bookmarkStart w:id="172" w:name="_Toc10194"/>
      <w:r>
        <w:rPr>
          <w:rFonts w:hint="eastAsia" w:ascii="Times New Roman" w:hAnsi="Times New Roman"/>
          <w:lang w:val="en-US"/>
        </w:rPr>
        <w:t>6.7 固体废弃物环境影响分析</w:t>
      </w:r>
      <w:bookmarkEnd w:id="171"/>
      <w:bookmarkEnd w:id="172"/>
    </w:p>
    <w:p>
      <w:pPr>
        <w:pStyle w:val="7"/>
        <w:ind w:firstLine="562"/>
      </w:pPr>
      <w:r>
        <w:rPr>
          <w:rFonts w:hint="eastAsia"/>
        </w:rPr>
        <w:t>6.7.1</w:t>
      </w:r>
      <w:r>
        <w:t xml:space="preserve"> </w:t>
      </w:r>
      <w:r>
        <w:rPr>
          <w:rFonts w:hint="eastAsia"/>
        </w:rPr>
        <w:t>固体废物的来源、种类和产生量</w:t>
      </w:r>
    </w:p>
    <w:p>
      <w:pPr>
        <w:widowControl/>
        <w:ind w:firstLine="480"/>
        <w:rPr>
          <w:color w:val="000000"/>
          <w:lang w:bidi="ar"/>
        </w:rPr>
      </w:pPr>
      <w:r>
        <w:rPr>
          <w:rFonts w:hint="eastAsia"/>
        </w:rPr>
        <w:t>本项目产生的固体废物主要有一般工业固废、危险固废和生活垃圾。</w:t>
      </w:r>
    </w:p>
    <w:p>
      <w:pPr>
        <w:widowControl/>
        <w:ind w:firstLine="482"/>
        <w:jc w:val="center"/>
        <w:rPr>
          <w:rFonts w:hint="eastAsia"/>
          <w:b/>
          <w:bCs/>
          <w:color w:val="000000"/>
          <w:lang w:bidi="ar"/>
        </w:rPr>
      </w:pPr>
      <w:r>
        <w:rPr>
          <w:rFonts w:hint="eastAsia"/>
          <w:b/>
          <w:bCs/>
          <w:color w:val="000000"/>
          <w:lang w:bidi="ar"/>
        </w:rPr>
        <w:t>表6.7-1  建设项目固体废物利用处置方式评价表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414"/>
        <w:gridCol w:w="866"/>
        <w:gridCol w:w="564"/>
        <w:gridCol w:w="990"/>
        <w:gridCol w:w="590"/>
        <w:gridCol w:w="713"/>
        <w:gridCol w:w="645"/>
        <w:gridCol w:w="643"/>
        <w:gridCol w:w="988"/>
        <w:gridCol w:w="1086"/>
        <w:gridCol w:w="16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5" w:type="pct"/>
            <w:vAlign w:val="center"/>
          </w:tcPr>
          <w:p>
            <w:pPr>
              <w:widowControl/>
              <w:spacing w:line="240" w:lineRule="auto"/>
              <w:ind w:firstLine="0" w:firstLineChars="0"/>
              <w:jc w:val="center"/>
              <w:rPr>
                <w:kern w:val="0"/>
                <w:sz w:val="21"/>
                <w:szCs w:val="21"/>
              </w:rPr>
            </w:pPr>
            <w:r>
              <w:rPr>
                <w:kern w:val="0"/>
                <w:sz w:val="21"/>
                <w:szCs w:val="21"/>
              </w:rPr>
              <w:t>编号</w:t>
            </w:r>
          </w:p>
        </w:tc>
        <w:tc>
          <w:tcPr>
            <w:tcW w:w="471" w:type="pct"/>
            <w:vAlign w:val="center"/>
          </w:tcPr>
          <w:p>
            <w:pPr>
              <w:widowControl/>
              <w:spacing w:line="240" w:lineRule="auto"/>
              <w:ind w:firstLine="0" w:firstLineChars="0"/>
              <w:jc w:val="center"/>
              <w:rPr>
                <w:kern w:val="0"/>
                <w:sz w:val="21"/>
                <w:szCs w:val="21"/>
              </w:rPr>
            </w:pPr>
            <w:r>
              <w:rPr>
                <w:kern w:val="0"/>
                <w:sz w:val="21"/>
                <w:szCs w:val="21"/>
              </w:rPr>
              <w:t>固废</w:t>
            </w:r>
          </w:p>
          <w:p>
            <w:pPr>
              <w:widowControl/>
              <w:spacing w:line="240" w:lineRule="auto"/>
              <w:ind w:firstLine="0" w:firstLineChars="0"/>
              <w:jc w:val="center"/>
              <w:rPr>
                <w:kern w:val="0"/>
                <w:sz w:val="21"/>
                <w:szCs w:val="21"/>
              </w:rPr>
            </w:pPr>
            <w:r>
              <w:rPr>
                <w:kern w:val="0"/>
                <w:sz w:val="21"/>
                <w:szCs w:val="21"/>
              </w:rPr>
              <w:t>名称</w:t>
            </w:r>
          </w:p>
        </w:tc>
        <w:tc>
          <w:tcPr>
            <w:tcW w:w="306" w:type="pct"/>
            <w:vAlign w:val="center"/>
          </w:tcPr>
          <w:p>
            <w:pPr>
              <w:widowControl/>
              <w:spacing w:line="240" w:lineRule="auto"/>
              <w:ind w:firstLine="0" w:firstLineChars="0"/>
              <w:jc w:val="center"/>
              <w:rPr>
                <w:kern w:val="0"/>
                <w:sz w:val="21"/>
                <w:szCs w:val="21"/>
              </w:rPr>
            </w:pPr>
            <w:r>
              <w:rPr>
                <w:kern w:val="0"/>
                <w:sz w:val="21"/>
                <w:szCs w:val="21"/>
              </w:rPr>
              <w:t>属性</w:t>
            </w:r>
          </w:p>
        </w:tc>
        <w:tc>
          <w:tcPr>
            <w:tcW w:w="538" w:type="pct"/>
            <w:vAlign w:val="center"/>
          </w:tcPr>
          <w:p>
            <w:pPr>
              <w:widowControl/>
              <w:spacing w:line="240" w:lineRule="auto"/>
              <w:ind w:firstLine="0" w:firstLineChars="0"/>
              <w:jc w:val="center"/>
              <w:rPr>
                <w:kern w:val="0"/>
                <w:sz w:val="21"/>
                <w:szCs w:val="21"/>
              </w:rPr>
            </w:pPr>
            <w:r>
              <w:rPr>
                <w:kern w:val="0"/>
                <w:sz w:val="21"/>
                <w:szCs w:val="21"/>
              </w:rPr>
              <w:t>产生工序</w:t>
            </w:r>
          </w:p>
        </w:tc>
        <w:tc>
          <w:tcPr>
            <w:tcW w:w="321" w:type="pct"/>
            <w:vAlign w:val="center"/>
          </w:tcPr>
          <w:p>
            <w:pPr>
              <w:widowControl/>
              <w:spacing w:line="240" w:lineRule="auto"/>
              <w:ind w:firstLine="0" w:firstLineChars="0"/>
              <w:jc w:val="center"/>
              <w:rPr>
                <w:kern w:val="0"/>
                <w:sz w:val="21"/>
                <w:szCs w:val="21"/>
              </w:rPr>
            </w:pPr>
            <w:r>
              <w:rPr>
                <w:kern w:val="0"/>
                <w:sz w:val="21"/>
                <w:szCs w:val="21"/>
              </w:rPr>
              <w:t>形态</w:t>
            </w:r>
          </w:p>
        </w:tc>
        <w:tc>
          <w:tcPr>
            <w:tcW w:w="388" w:type="pct"/>
            <w:vAlign w:val="center"/>
          </w:tcPr>
          <w:p>
            <w:pPr>
              <w:widowControl/>
              <w:spacing w:line="240" w:lineRule="auto"/>
              <w:ind w:firstLine="0" w:firstLineChars="0"/>
              <w:jc w:val="center"/>
              <w:rPr>
                <w:kern w:val="0"/>
                <w:sz w:val="21"/>
                <w:szCs w:val="21"/>
              </w:rPr>
            </w:pPr>
            <w:r>
              <w:rPr>
                <w:kern w:val="0"/>
                <w:sz w:val="21"/>
                <w:szCs w:val="21"/>
              </w:rPr>
              <w:t>主要</w:t>
            </w:r>
          </w:p>
          <w:p>
            <w:pPr>
              <w:widowControl/>
              <w:spacing w:line="240" w:lineRule="auto"/>
              <w:ind w:firstLine="0" w:firstLineChars="0"/>
              <w:jc w:val="center"/>
              <w:rPr>
                <w:kern w:val="0"/>
                <w:sz w:val="21"/>
                <w:szCs w:val="21"/>
              </w:rPr>
            </w:pPr>
            <w:r>
              <w:rPr>
                <w:kern w:val="0"/>
                <w:sz w:val="21"/>
                <w:szCs w:val="21"/>
              </w:rPr>
              <w:t>成分</w:t>
            </w:r>
          </w:p>
        </w:tc>
        <w:tc>
          <w:tcPr>
            <w:tcW w:w="351" w:type="pct"/>
            <w:vAlign w:val="center"/>
          </w:tcPr>
          <w:p>
            <w:pPr>
              <w:widowControl/>
              <w:spacing w:line="240" w:lineRule="auto"/>
              <w:ind w:firstLine="0" w:firstLineChars="0"/>
              <w:jc w:val="center"/>
              <w:rPr>
                <w:kern w:val="0"/>
                <w:sz w:val="21"/>
                <w:szCs w:val="21"/>
              </w:rPr>
            </w:pPr>
            <w:r>
              <w:rPr>
                <w:kern w:val="0"/>
                <w:sz w:val="21"/>
                <w:szCs w:val="21"/>
              </w:rPr>
              <w:t>危险特性</w:t>
            </w:r>
          </w:p>
        </w:tc>
        <w:tc>
          <w:tcPr>
            <w:tcW w:w="349" w:type="pct"/>
            <w:vAlign w:val="center"/>
          </w:tcPr>
          <w:p>
            <w:pPr>
              <w:widowControl/>
              <w:spacing w:line="240" w:lineRule="auto"/>
              <w:ind w:firstLine="0" w:firstLineChars="0"/>
              <w:jc w:val="center"/>
              <w:rPr>
                <w:kern w:val="0"/>
                <w:sz w:val="21"/>
                <w:szCs w:val="21"/>
              </w:rPr>
            </w:pPr>
            <w:r>
              <w:rPr>
                <w:kern w:val="0"/>
                <w:sz w:val="21"/>
                <w:szCs w:val="21"/>
              </w:rPr>
              <w:t>废物</w:t>
            </w:r>
          </w:p>
          <w:p>
            <w:pPr>
              <w:widowControl/>
              <w:spacing w:line="240" w:lineRule="auto"/>
              <w:ind w:firstLine="0" w:firstLineChars="0"/>
              <w:jc w:val="center"/>
              <w:rPr>
                <w:kern w:val="0"/>
                <w:sz w:val="21"/>
                <w:szCs w:val="21"/>
              </w:rPr>
            </w:pPr>
            <w:r>
              <w:rPr>
                <w:kern w:val="0"/>
                <w:sz w:val="21"/>
                <w:szCs w:val="21"/>
              </w:rPr>
              <w:t>类别</w:t>
            </w:r>
          </w:p>
        </w:tc>
        <w:tc>
          <w:tcPr>
            <w:tcW w:w="537" w:type="pct"/>
            <w:vAlign w:val="center"/>
          </w:tcPr>
          <w:p>
            <w:pPr>
              <w:widowControl/>
              <w:spacing w:line="240" w:lineRule="auto"/>
              <w:ind w:firstLine="0" w:firstLineChars="0"/>
              <w:jc w:val="center"/>
              <w:rPr>
                <w:kern w:val="0"/>
                <w:sz w:val="21"/>
                <w:szCs w:val="21"/>
              </w:rPr>
            </w:pPr>
            <w:r>
              <w:rPr>
                <w:kern w:val="0"/>
                <w:sz w:val="21"/>
                <w:szCs w:val="21"/>
              </w:rPr>
              <w:t>废物代码</w:t>
            </w:r>
          </w:p>
        </w:tc>
        <w:tc>
          <w:tcPr>
            <w:tcW w:w="591" w:type="pct"/>
            <w:vAlign w:val="center"/>
          </w:tcPr>
          <w:p>
            <w:pPr>
              <w:widowControl/>
              <w:spacing w:line="240" w:lineRule="auto"/>
              <w:ind w:firstLine="0" w:firstLineChars="0"/>
              <w:jc w:val="center"/>
              <w:rPr>
                <w:kern w:val="0"/>
                <w:sz w:val="21"/>
                <w:szCs w:val="21"/>
              </w:rPr>
            </w:pPr>
            <w:r>
              <w:rPr>
                <w:kern w:val="0"/>
                <w:sz w:val="21"/>
                <w:szCs w:val="21"/>
              </w:rPr>
              <w:t>产生量</w:t>
            </w:r>
          </w:p>
        </w:tc>
        <w:tc>
          <w:tcPr>
            <w:tcW w:w="918" w:type="pct"/>
            <w:vAlign w:val="center"/>
          </w:tcPr>
          <w:p>
            <w:pPr>
              <w:widowControl/>
              <w:spacing w:line="240" w:lineRule="auto"/>
              <w:ind w:firstLine="0" w:firstLineChars="0"/>
              <w:jc w:val="center"/>
              <w:rPr>
                <w:kern w:val="0"/>
                <w:sz w:val="21"/>
                <w:szCs w:val="21"/>
              </w:rPr>
            </w:pPr>
            <w:r>
              <w:rPr>
                <w:kern w:val="0"/>
                <w:sz w:val="21"/>
                <w:szCs w:val="21"/>
              </w:rPr>
              <w:t>处置方法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5" w:type="pct"/>
            <w:vAlign w:val="center"/>
          </w:tcPr>
          <w:p>
            <w:pPr>
              <w:widowControl/>
              <w:spacing w:line="240" w:lineRule="auto"/>
              <w:ind w:firstLine="0" w:firstLineChars="0"/>
              <w:jc w:val="center"/>
              <w:rPr>
                <w:kern w:val="0"/>
                <w:sz w:val="21"/>
                <w:szCs w:val="21"/>
              </w:rPr>
            </w:pPr>
            <w:r>
              <w:rPr>
                <w:kern w:val="0"/>
                <w:sz w:val="21"/>
                <w:szCs w:val="21"/>
              </w:rPr>
              <w:t>1</w:t>
            </w:r>
          </w:p>
        </w:tc>
        <w:tc>
          <w:tcPr>
            <w:tcW w:w="471" w:type="pct"/>
            <w:vAlign w:val="center"/>
          </w:tcPr>
          <w:p>
            <w:pPr>
              <w:widowControl/>
              <w:spacing w:line="240" w:lineRule="auto"/>
              <w:ind w:firstLine="0" w:firstLineChars="0"/>
              <w:jc w:val="center"/>
              <w:rPr>
                <w:kern w:val="0"/>
                <w:sz w:val="21"/>
                <w:szCs w:val="21"/>
              </w:rPr>
            </w:pPr>
            <w:r>
              <w:rPr>
                <w:rFonts w:hint="eastAsia"/>
                <w:kern w:val="0"/>
                <w:sz w:val="21"/>
                <w:szCs w:val="21"/>
              </w:rPr>
              <w:t>废弃边角料</w:t>
            </w:r>
          </w:p>
        </w:tc>
        <w:tc>
          <w:tcPr>
            <w:tcW w:w="306" w:type="pct"/>
            <w:vMerge w:val="restart"/>
            <w:vAlign w:val="center"/>
          </w:tcPr>
          <w:p>
            <w:pPr>
              <w:widowControl/>
              <w:spacing w:line="240" w:lineRule="auto"/>
              <w:ind w:firstLine="0" w:firstLineChars="0"/>
              <w:jc w:val="center"/>
              <w:rPr>
                <w:kern w:val="0"/>
                <w:sz w:val="21"/>
                <w:szCs w:val="21"/>
              </w:rPr>
            </w:pPr>
            <w:r>
              <w:rPr>
                <w:kern w:val="0"/>
                <w:sz w:val="21"/>
                <w:szCs w:val="21"/>
              </w:rPr>
              <w:t>一般固废</w:t>
            </w:r>
          </w:p>
        </w:tc>
        <w:tc>
          <w:tcPr>
            <w:tcW w:w="538" w:type="pct"/>
            <w:vAlign w:val="center"/>
          </w:tcPr>
          <w:p>
            <w:pPr>
              <w:widowControl/>
              <w:spacing w:line="240" w:lineRule="auto"/>
              <w:ind w:firstLine="0" w:firstLineChars="0"/>
              <w:jc w:val="center"/>
              <w:rPr>
                <w:kern w:val="0"/>
                <w:sz w:val="21"/>
                <w:szCs w:val="21"/>
              </w:rPr>
            </w:pPr>
            <w:r>
              <w:rPr>
                <w:rFonts w:hint="eastAsia"/>
                <w:kern w:val="0"/>
                <w:sz w:val="21"/>
                <w:szCs w:val="21"/>
              </w:rPr>
              <w:t>生产</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kern w:val="0"/>
                <w:sz w:val="21"/>
                <w:szCs w:val="21"/>
              </w:rPr>
            </w:pPr>
            <w:r>
              <w:rPr>
                <w:rFonts w:hint="eastAsia"/>
                <w:kern w:val="0"/>
                <w:sz w:val="21"/>
                <w:szCs w:val="21"/>
              </w:rPr>
              <w:t>塑料</w:t>
            </w:r>
          </w:p>
        </w:tc>
        <w:tc>
          <w:tcPr>
            <w:tcW w:w="351" w:type="pct"/>
            <w:vAlign w:val="center"/>
          </w:tcPr>
          <w:p>
            <w:pPr>
              <w:widowControl/>
              <w:spacing w:line="240" w:lineRule="auto"/>
              <w:ind w:firstLine="0" w:firstLineChars="0"/>
              <w:jc w:val="center"/>
              <w:rPr>
                <w:kern w:val="0"/>
                <w:sz w:val="21"/>
                <w:szCs w:val="21"/>
              </w:rPr>
            </w:pPr>
            <w:r>
              <w:rPr>
                <w:kern w:val="0"/>
                <w:sz w:val="21"/>
                <w:szCs w:val="21"/>
              </w:rPr>
              <w:t>/</w:t>
            </w:r>
          </w:p>
        </w:tc>
        <w:tc>
          <w:tcPr>
            <w:tcW w:w="349" w:type="pct"/>
            <w:vAlign w:val="center"/>
          </w:tcPr>
          <w:p>
            <w:pPr>
              <w:widowControl/>
              <w:spacing w:line="240" w:lineRule="auto"/>
              <w:ind w:firstLine="0" w:firstLineChars="0"/>
              <w:jc w:val="center"/>
              <w:rPr>
                <w:kern w:val="0"/>
                <w:sz w:val="21"/>
                <w:szCs w:val="21"/>
              </w:rPr>
            </w:pPr>
            <w:r>
              <w:rPr>
                <w:kern w:val="0"/>
                <w:sz w:val="21"/>
                <w:szCs w:val="21"/>
              </w:rPr>
              <w:t>/</w:t>
            </w:r>
          </w:p>
        </w:tc>
        <w:tc>
          <w:tcPr>
            <w:tcW w:w="537" w:type="pct"/>
            <w:vAlign w:val="center"/>
          </w:tcPr>
          <w:p>
            <w:pPr>
              <w:widowControl/>
              <w:spacing w:line="240" w:lineRule="auto"/>
              <w:ind w:firstLine="0" w:firstLineChars="0"/>
              <w:jc w:val="center"/>
              <w:rPr>
                <w:kern w:val="0"/>
                <w:sz w:val="21"/>
                <w:szCs w:val="21"/>
              </w:rPr>
            </w:pPr>
            <w:r>
              <w:rPr>
                <w:kern w:val="0"/>
                <w:sz w:val="21"/>
                <w:szCs w:val="21"/>
              </w:rPr>
              <w:t>/</w:t>
            </w:r>
          </w:p>
        </w:tc>
        <w:tc>
          <w:tcPr>
            <w:tcW w:w="591" w:type="pct"/>
            <w:vAlign w:val="center"/>
          </w:tcPr>
          <w:p>
            <w:pPr>
              <w:widowControl/>
              <w:spacing w:line="240" w:lineRule="auto"/>
              <w:ind w:firstLine="0" w:firstLineChars="0"/>
              <w:jc w:val="center"/>
              <w:rPr>
                <w:kern w:val="0"/>
                <w:sz w:val="21"/>
                <w:szCs w:val="21"/>
              </w:rPr>
            </w:pPr>
            <w:r>
              <w:rPr>
                <w:rFonts w:hint="eastAsia"/>
                <w:kern w:val="0"/>
                <w:sz w:val="21"/>
                <w:szCs w:val="21"/>
                <w:lang w:val="en-US" w:eastAsia="zh-CN"/>
              </w:rPr>
              <w:t>26.25</w:t>
            </w:r>
            <w:r>
              <w:rPr>
                <w:kern w:val="0"/>
                <w:sz w:val="21"/>
                <w:szCs w:val="21"/>
              </w:rPr>
              <w:t>t/a</w:t>
            </w:r>
          </w:p>
        </w:tc>
        <w:tc>
          <w:tcPr>
            <w:tcW w:w="918" w:type="pct"/>
            <w:vAlign w:val="center"/>
          </w:tcPr>
          <w:p>
            <w:pPr>
              <w:widowControl/>
              <w:spacing w:line="240" w:lineRule="auto"/>
              <w:ind w:firstLine="0" w:firstLineChars="0"/>
              <w:jc w:val="center"/>
              <w:rPr>
                <w:kern w:val="0"/>
                <w:sz w:val="21"/>
                <w:szCs w:val="21"/>
              </w:rPr>
            </w:pPr>
            <w:r>
              <w:rPr>
                <w:rFonts w:hint="eastAsia"/>
                <w:kern w:val="0"/>
                <w:sz w:val="21"/>
                <w:szCs w:val="21"/>
              </w:rPr>
              <w:t>外售资源部门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5" w:type="pct"/>
            <w:vAlign w:val="center"/>
          </w:tcPr>
          <w:p>
            <w:pPr>
              <w:widowControl/>
              <w:spacing w:line="240" w:lineRule="auto"/>
              <w:ind w:firstLine="0" w:firstLineChars="0"/>
              <w:jc w:val="center"/>
              <w:rPr>
                <w:kern w:val="0"/>
                <w:sz w:val="21"/>
                <w:szCs w:val="21"/>
              </w:rPr>
            </w:pPr>
            <w:r>
              <w:rPr>
                <w:rFonts w:hint="eastAsia"/>
                <w:kern w:val="0"/>
                <w:sz w:val="21"/>
                <w:szCs w:val="21"/>
              </w:rPr>
              <w:t>2</w:t>
            </w:r>
          </w:p>
        </w:tc>
        <w:tc>
          <w:tcPr>
            <w:tcW w:w="471" w:type="pct"/>
            <w:vAlign w:val="center"/>
          </w:tcPr>
          <w:p>
            <w:pPr>
              <w:widowControl/>
              <w:spacing w:line="240" w:lineRule="auto"/>
              <w:ind w:firstLine="0" w:firstLineChars="0"/>
              <w:jc w:val="center"/>
              <w:rPr>
                <w:kern w:val="0"/>
                <w:sz w:val="21"/>
                <w:szCs w:val="21"/>
              </w:rPr>
            </w:pPr>
            <w:r>
              <w:rPr>
                <w:rFonts w:hint="eastAsia"/>
                <w:kern w:val="0"/>
                <w:sz w:val="21"/>
                <w:szCs w:val="21"/>
              </w:rPr>
              <w:t>除尘器卸灰</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widowControl/>
              <w:spacing w:line="240" w:lineRule="auto"/>
              <w:ind w:firstLine="0" w:firstLineChars="0"/>
              <w:jc w:val="center"/>
              <w:rPr>
                <w:kern w:val="0"/>
                <w:sz w:val="21"/>
                <w:szCs w:val="21"/>
              </w:rPr>
            </w:pPr>
            <w:r>
              <w:rPr>
                <w:rFonts w:hint="eastAsia"/>
                <w:kern w:val="0"/>
                <w:sz w:val="21"/>
                <w:szCs w:val="21"/>
              </w:rPr>
              <w:t>废气处理</w:t>
            </w:r>
          </w:p>
        </w:tc>
        <w:tc>
          <w:tcPr>
            <w:tcW w:w="321" w:type="pct"/>
            <w:vAlign w:val="center"/>
          </w:tcPr>
          <w:p>
            <w:pPr>
              <w:widowControl/>
              <w:spacing w:line="240" w:lineRule="auto"/>
              <w:ind w:firstLine="0" w:firstLineChars="0"/>
              <w:jc w:val="center"/>
              <w:rPr>
                <w:kern w:val="0"/>
                <w:sz w:val="21"/>
                <w:szCs w:val="21"/>
              </w:rPr>
            </w:pPr>
            <w:r>
              <w:rPr>
                <w:rFonts w:hint="eastAsia"/>
                <w:kern w:val="0"/>
                <w:sz w:val="21"/>
                <w:szCs w:val="21"/>
              </w:rPr>
              <w:t>固</w:t>
            </w:r>
          </w:p>
        </w:tc>
        <w:tc>
          <w:tcPr>
            <w:tcW w:w="388" w:type="pct"/>
            <w:vAlign w:val="center"/>
          </w:tcPr>
          <w:p>
            <w:pPr>
              <w:widowControl/>
              <w:spacing w:line="240" w:lineRule="auto"/>
              <w:ind w:firstLine="0" w:firstLineChars="0"/>
              <w:jc w:val="center"/>
              <w:rPr>
                <w:kern w:val="0"/>
                <w:sz w:val="21"/>
                <w:szCs w:val="21"/>
              </w:rPr>
            </w:pPr>
            <w:r>
              <w:rPr>
                <w:rFonts w:hint="eastAsia"/>
                <w:kern w:val="0"/>
                <w:sz w:val="21"/>
                <w:szCs w:val="21"/>
              </w:rPr>
              <w:t>粉尘</w:t>
            </w:r>
          </w:p>
        </w:tc>
        <w:tc>
          <w:tcPr>
            <w:tcW w:w="351" w:type="pct"/>
            <w:vAlign w:val="center"/>
          </w:tcPr>
          <w:p>
            <w:pPr>
              <w:widowControl/>
              <w:spacing w:line="240" w:lineRule="auto"/>
              <w:ind w:firstLine="0" w:firstLineChars="0"/>
              <w:jc w:val="center"/>
              <w:rPr>
                <w:kern w:val="0"/>
                <w:sz w:val="21"/>
                <w:szCs w:val="21"/>
              </w:rPr>
            </w:pPr>
            <w:r>
              <w:rPr>
                <w:kern w:val="0"/>
                <w:sz w:val="21"/>
                <w:szCs w:val="21"/>
              </w:rPr>
              <w:t>/</w:t>
            </w:r>
          </w:p>
        </w:tc>
        <w:tc>
          <w:tcPr>
            <w:tcW w:w="349" w:type="pct"/>
            <w:vAlign w:val="center"/>
          </w:tcPr>
          <w:p>
            <w:pPr>
              <w:widowControl/>
              <w:spacing w:line="240" w:lineRule="auto"/>
              <w:ind w:firstLine="0" w:firstLineChars="0"/>
              <w:jc w:val="center"/>
              <w:rPr>
                <w:kern w:val="0"/>
                <w:sz w:val="21"/>
                <w:szCs w:val="21"/>
              </w:rPr>
            </w:pPr>
            <w:r>
              <w:rPr>
                <w:kern w:val="0"/>
                <w:sz w:val="21"/>
                <w:szCs w:val="21"/>
              </w:rPr>
              <w:t>/</w:t>
            </w:r>
          </w:p>
        </w:tc>
        <w:tc>
          <w:tcPr>
            <w:tcW w:w="537" w:type="pct"/>
            <w:vAlign w:val="center"/>
          </w:tcPr>
          <w:p>
            <w:pPr>
              <w:widowControl/>
              <w:spacing w:line="240" w:lineRule="auto"/>
              <w:ind w:firstLine="0" w:firstLineChars="0"/>
              <w:jc w:val="center"/>
              <w:rPr>
                <w:kern w:val="0"/>
                <w:sz w:val="21"/>
                <w:szCs w:val="21"/>
              </w:rPr>
            </w:pPr>
            <w:r>
              <w:rPr>
                <w:kern w:val="0"/>
                <w:sz w:val="21"/>
                <w:szCs w:val="21"/>
              </w:rPr>
              <w:t>/</w:t>
            </w:r>
          </w:p>
        </w:tc>
        <w:tc>
          <w:tcPr>
            <w:tcW w:w="591" w:type="pct"/>
            <w:vAlign w:val="center"/>
          </w:tcPr>
          <w:p>
            <w:pPr>
              <w:widowControl/>
              <w:spacing w:line="240" w:lineRule="auto"/>
              <w:ind w:firstLine="0" w:firstLineChars="0"/>
              <w:jc w:val="center"/>
              <w:rPr>
                <w:kern w:val="0"/>
                <w:sz w:val="21"/>
                <w:szCs w:val="21"/>
              </w:rPr>
            </w:pPr>
            <w:r>
              <w:rPr>
                <w:rFonts w:hint="eastAsia"/>
                <w:kern w:val="0"/>
                <w:sz w:val="21"/>
                <w:szCs w:val="21"/>
                <w:lang w:val="en-US" w:eastAsia="zh-CN"/>
              </w:rPr>
              <w:t>1.1</w:t>
            </w:r>
            <w:r>
              <w:rPr>
                <w:kern w:val="0"/>
                <w:sz w:val="21"/>
                <w:szCs w:val="21"/>
              </w:rPr>
              <w:t>t/a</w:t>
            </w:r>
          </w:p>
        </w:tc>
        <w:tc>
          <w:tcPr>
            <w:tcW w:w="918" w:type="pct"/>
            <w:vMerge w:val="restart"/>
            <w:vAlign w:val="center"/>
          </w:tcPr>
          <w:p>
            <w:pPr>
              <w:pStyle w:val="35"/>
              <w:spacing w:before="0" w:line="240" w:lineRule="auto"/>
              <w:ind w:firstLineChars="0"/>
              <w:jc w:val="center"/>
              <w:rPr>
                <w:kern w:val="0"/>
                <w:sz w:val="21"/>
                <w:szCs w:val="21"/>
              </w:rPr>
            </w:pPr>
            <w:r>
              <w:rPr>
                <w:snapToGrid w:val="0"/>
                <w:kern w:val="0"/>
                <w:sz w:val="21"/>
                <w:szCs w:val="21"/>
              </w:rPr>
              <w:t>集中收集后交由环卫部门处理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71"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eastAsia="zh-CN"/>
              </w:rPr>
            </w:pPr>
            <w:r>
              <w:rPr>
                <w:rFonts w:hint="eastAsia"/>
                <w:kern w:val="0"/>
                <w:sz w:val="21"/>
                <w:szCs w:val="21"/>
                <w:lang w:val="en-US" w:eastAsia="zh-CN"/>
              </w:rPr>
              <w:t>3</w:t>
            </w:r>
          </w:p>
        </w:tc>
        <w:tc>
          <w:tcPr>
            <w:tcW w:w="471" w:type="pct"/>
            <w:vAlign w:val="center"/>
          </w:tcPr>
          <w:p>
            <w:pPr>
              <w:widowControl/>
              <w:spacing w:line="240" w:lineRule="auto"/>
              <w:ind w:firstLine="0" w:firstLineChars="0"/>
              <w:jc w:val="center"/>
              <w:rPr>
                <w:kern w:val="0"/>
                <w:sz w:val="21"/>
                <w:szCs w:val="21"/>
              </w:rPr>
            </w:pPr>
            <w:r>
              <w:rPr>
                <w:kern w:val="0"/>
                <w:sz w:val="21"/>
                <w:szCs w:val="21"/>
              </w:rPr>
              <w:t>生活垃圾</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widowControl/>
              <w:spacing w:line="240" w:lineRule="auto"/>
              <w:ind w:firstLine="0" w:firstLineChars="0"/>
              <w:jc w:val="center"/>
              <w:rPr>
                <w:kern w:val="0"/>
                <w:sz w:val="21"/>
                <w:szCs w:val="21"/>
              </w:rPr>
            </w:pPr>
            <w:r>
              <w:rPr>
                <w:kern w:val="0"/>
                <w:sz w:val="21"/>
                <w:szCs w:val="21"/>
              </w:rPr>
              <w:t>办公生活</w:t>
            </w:r>
          </w:p>
        </w:tc>
        <w:tc>
          <w:tcPr>
            <w:tcW w:w="321" w:type="pct"/>
            <w:vAlign w:val="center"/>
          </w:tcPr>
          <w:p>
            <w:pPr>
              <w:widowControl/>
              <w:spacing w:line="240" w:lineRule="auto"/>
              <w:ind w:firstLine="0" w:firstLineChars="0"/>
              <w:jc w:val="center"/>
              <w:rPr>
                <w:kern w:val="0"/>
                <w:sz w:val="21"/>
                <w:szCs w:val="21"/>
              </w:rPr>
            </w:pPr>
            <w:r>
              <w:rPr>
                <w:rFonts w:hint="eastAsia"/>
                <w:kern w:val="0"/>
                <w:sz w:val="21"/>
                <w:szCs w:val="21"/>
              </w:rPr>
              <w:t>固</w:t>
            </w:r>
          </w:p>
        </w:tc>
        <w:tc>
          <w:tcPr>
            <w:tcW w:w="388" w:type="pct"/>
            <w:vAlign w:val="center"/>
          </w:tcPr>
          <w:p>
            <w:pPr>
              <w:widowControl/>
              <w:spacing w:line="240" w:lineRule="auto"/>
              <w:ind w:firstLine="0" w:firstLineChars="0"/>
              <w:jc w:val="center"/>
              <w:rPr>
                <w:kern w:val="0"/>
                <w:sz w:val="21"/>
                <w:szCs w:val="21"/>
              </w:rPr>
            </w:pPr>
            <w:r>
              <w:rPr>
                <w:rFonts w:hint="eastAsia"/>
                <w:kern w:val="0"/>
                <w:sz w:val="21"/>
                <w:szCs w:val="21"/>
              </w:rPr>
              <w:t>/</w:t>
            </w:r>
          </w:p>
        </w:tc>
        <w:tc>
          <w:tcPr>
            <w:tcW w:w="351" w:type="pct"/>
            <w:vAlign w:val="center"/>
          </w:tcPr>
          <w:p>
            <w:pPr>
              <w:widowControl/>
              <w:spacing w:line="240" w:lineRule="auto"/>
              <w:ind w:firstLine="0" w:firstLineChars="0"/>
              <w:jc w:val="center"/>
              <w:rPr>
                <w:kern w:val="0"/>
                <w:sz w:val="21"/>
                <w:szCs w:val="21"/>
              </w:rPr>
            </w:pPr>
            <w:r>
              <w:rPr>
                <w:rFonts w:hint="eastAsia"/>
                <w:kern w:val="0"/>
                <w:sz w:val="21"/>
                <w:szCs w:val="21"/>
              </w:rPr>
              <w:t>/</w:t>
            </w:r>
          </w:p>
        </w:tc>
        <w:tc>
          <w:tcPr>
            <w:tcW w:w="349" w:type="pct"/>
            <w:vAlign w:val="center"/>
          </w:tcPr>
          <w:p>
            <w:pPr>
              <w:widowControl/>
              <w:spacing w:line="240" w:lineRule="auto"/>
              <w:ind w:firstLine="0" w:firstLineChars="0"/>
              <w:jc w:val="center"/>
              <w:rPr>
                <w:kern w:val="0"/>
                <w:sz w:val="21"/>
                <w:szCs w:val="21"/>
              </w:rPr>
            </w:pPr>
            <w:r>
              <w:rPr>
                <w:rFonts w:hint="eastAsia"/>
                <w:kern w:val="0"/>
                <w:sz w:val="21"/>
                <w:szCs w:val="21"/>
              </w:rPr>
              <w:t>/</w:t>
            </w:r>
          </w:p>
        </w:tc>
        <w:tc>
          <w:tcPr>
            <w:tcW w:w="537" w:type="pct"/>
            <w:vAlign w:val="center"/>
          </w:tcPr>
          <w:p>
            <w:pPr>
              <w:widowControl/>
              <w:spacing w:line="240" w:lineRule="auto"/>
              <w:ind w:firstLine="0" w:firstLineChars="0"/>
              <w:jc w:val="center"/>
              <w:rPr>
                <w:kern w:val="0"/>
                <w:sz w:val="21"/>
                <w:szCs w:val="21"/>
              </w:rPr>
            </w:pPr>
            <w:r>
              <w:rPr>
                <w:rFonts w:hint="eastAsia"/>
                <w:kern w:val="0"/>
                <w:sz w:val="21"/>
                <w:szCs w:val="21"/>
              </w:rPr>
              <w:t>/</w:t>
            </w:r>
          </w:p>
        </w:tc>
        <w:tc>
          <w:tcPr>
            <w:tcW w:w="591" w:type="pct"/>
            <w:vAlign w:val="center"/>
          </w:tcPr>
          <w:p>
            <w:pPr>
              <w:widowControl/>
              <w:spacing w:line="240" w:lineRule="auto"/>
              <w:ind w:firstLine="0" w:firstLineChars="0"/>
              <w:jc w:val="center"/>
              <w:rPr>
                <w:kern w:val="0"/>
                <w:sz w:val="21"/>
                <w:szCs w:val="21"/>
              </w:rPr>
            </w:pPr>
            <w:r>
              <w:rPr>
                <w:rFonts w:hint="eastAsia"/>
                <w:kern w:val="0"/>
                <w:sz w:val="21"/>
                <w:szCs w:val="21"/>
                <w:lang w:val="en-US" w:eastAsia="zh-CN"/>
              </w:rPr>
              <w:t>15</w:t>
            </w:r>
            <w:r>
              <w:rPr>
                <w:kern w:val="0"/>
                <w:sz w:val="21"/>
                <w:szCs w:val="21"/>
              </w:rPr>
              <w:t>t/a</w:t>
            </w:r>
          </w:p>
        </w:tc>
        <w:tc>
          <w:tcPr>
            <w:tcW w:w="918" w:type="pct"/>
            <w:vMerge w:val="continue"/>
            <w:vAlign w:val="center"/>
          </w:tcPr>
          <w:p>
            <w:pPr>
              <w:pStyle w:val="35"/>
              <w:spacing w:before="0" w:line="240" w:lineRule="auto"/>
              <w:ind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0"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eastAsia="zh-CN"/>
              </w:rPr>
            </w:pPr>
            <w:r>
              <w:rPr>
                <w:rFonts w:hint="eastAsia"/>
                <w:kern w:val="0"/>
                <w:sz w:val="21"/>
                <w:szCs w:val="21"/>
                <w:lang w:val="en-US" w:eastAsia="zh-CN"/>
              </w:rPr>
              <w:t>4</w:t>
            </w:r>
          </w:p>
        </w:tc>
        <w:tc>
          <w:tcPr>
            <w:tcW w:w="471" w:type="pct"/>
            <w:vAlign w:val="center"/>
          </w:tcPr>
          <w:p>
            <w:pPr>
              <w:widowControl/>
              <w:spacing w:line="240" w:lineRule="auto"/>
              <w:ind w:firstLine="0" w:firstLineChars="0"/>
              <w:jc w:val="center"/>
              <w:rPr>
                <w:kern w:val="0"/>
                <w:sz w:val="21"/>
                <w:szCs w:val="21"/>
              </w:rPr>
            </w:pPr>
            <w:r>
              <w:rPr>
                <w:rFonts w:hint="eastAsia"/>
                <w:kern w:val="0"/>
                <w:sz w:val="21"/>
                <w:szCs w:val="21"/>
              </w:rPr>
              <w:t>废催化剂</w:t>
            </w:r>
          </w:p>
        </w:tc>
        <w:tc>
          <w:tcPr>
            <w:tcW w:w="306" w:type="pct"/>
            <w:vMerge w:val="restart"/>
            <w:vAlign w:val="center"/>
          </w:tcPr>
          <w:p>
            <w:pPr>
              <w:widowControl/>
              <w:spacing w:line="240" w:lineRule="auto"/>
              <w:ind w:firstLine="0" w:firstLineChars="0"/>
              <w:jc w:val="center"/>
              <w:rPr>
                <w:kern w:val="0"/>
                <w:sz w:val="21"/>
                <w:szCs w:val="21"/>
              </w:rPr>
            </w:pPr>
            <w:r>
              <w:rPr>
                <w:kern w:val="0"/>
                <w:sz w:val="21"/>
                <w:szCs w:val="21"/>
              </w:rPr>
              <w:t>危险废物</w:t>
            </w:r>
          </w:p>
        </w:tc>
        <w:tc>
          <w:tcPr>
            <w:tcW w:w="538" w:type="pct"/>
            <w:vAlign w:val="center"/>
          </w:tcPr>
          <w:p>
            <w:pPr>
              <w:widowControl/>
              <w:spacing w:line="240" w:lineRule="auto"/>
              <w:ind w:firstLine="0" w:firstLineChars="0"/>
              <w:jc w:val="center"/>
              <w:rPr>
                <w:kern w:val="0"/>
                <w:sz w:val="21"/>
                <w:szCs w:val="21"/>
              </w:rPr>
            </w:pPr>
            <w:r>
              <w:rPr>
                <w:rFonts w:hint="eastAsia"/>
                <w:kern w:val="0"/>
                <w:sz w:val="21"/>
                <w:szCs w:val="21"/>
              </w:rPr>
              <w:t>废气处理</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rFonts w:hint="eastAsia" w:eastAsia="宋体"/>
                <w:kern w:val="0"/>
                <w:sz w:val="21"/>
                <w:szCs w:val="21"/>
                <w:lang w:eastAsia="zh-CN"/>
              </w:rPr>
            </w:pPr>
            <w:r>
              <w:rPr>
                <w:rFonts w:hint="eastAsia"/>
                <w:kern w:val="0"/>
                <w:sz w:val="21"/>
                <w:szCs w:val="21"/>
                <w:lang w:eastAsia="zh-CN"/>
              </w:rPr>
              <w:t>沾染有机物</w:t>
            </w:r>
          </w:p>
        </w:tc>
        <w:tc>
          <w:tcPr>
            <w:tcW w:w="351" w:type="pct"/>
            <w:vAlign w:val="center"/>
          </w:tcPr>
          <w:p>
            <w:pPr>
              <w:widowControl/>
              <w:spacing w:line="240" w:lineRule="auto"/>
              <w:ind w:firstLine="0" w:firstLineChars="0"/>
              <w:jc w:val="center"/>
              <w:rPr>
                <w:kern w:val="0"/>
                <w:sz w:val="21"/>
                <w:szCs w:val="21"/>
              </w:rPr>
            </w:pPr>
            <w:r>
              <w:rPr>
                <w:kern w:val="0"/>
                <w:sz w:val="21"/>
                <w:szCs w:val="21"/>
              </w:rPr>
              <w:t>T</w:t>
            </w:r>
          </w:p>
        </w:tc>
        <w:tc>
          <w:tcPr>
            <w:tcW w:w="349" w:type="pct"/>
            <w:vAlign w:val="center"/>
          </w:tcPr>
          <w:p>
            <w:pPr>
              <w:widowControl/>
              <w:spacing w:line="240" w:lineRule="auto"/>
              <w:ind w:firstLine="0" w:firstLineChars="0"/>
              <w:jc w:val="center"/>
              <w:rPr>
                <w:kern w:val="0"/>
                <w:sz w:val="21"/>
                <w:szCs w:val="21"/>
              </w:rPr>
            </w:pPr>
            <w:r>
              <w:rPr>
                <w:kern w:val="0"/>
                <w:sz w:val="21"/>
                <w:szCs w:val="21"/>
              </w:rPr>
              <w:t>HW49</w:t>
            </w:r>
          </w:p>
        </w:tc>
        <w:tc>
          <w:tcPr>
            <w:tcW w:w="537" w:type="pct"/>
            <w:vAlign w:val="center"/>
          </w:tcPr>
          <w:p>
            <w:pPr>
              <w:widowControl/>
              <w:spacing w:line="240" w:lineRule="auto"/>
              <w:ind w:firstLine="0" w:firstLineChars="0"/>
              <w:jc w:val="center"/>
              <w:rPr>
                <w:kern w:val="0"/>
                <w:sz w:val="21"/>
                <w:szCs w:val="21"/>
              </w:rPr>
            </w:pPr>
            <w:r>
              <w:rPr>
                <w:kern w:val="0"/>
                <w:sz w:val="21"/>
                <w:szCs w:val="21"/>
              </w:rPr>
              <w:t>900-039-49</w:t>
            </w:r>
          </w:p>
        </w:tc>
        <w:tc>
          <w:tcPr>
            <w:tcW w:w="591" w:type="pct"/>
            <w:vAlign w:val="center"/>
          </w:tcPr>
          <w:p>
            <w:pPr>
              <w:widowControl/>
              <w:spacing w:line="240" w:lineRule="auto"/>
              <w:ind w:firstLine="0" w:firstLineChars="0"/>
              <w:jc w:val="center"/>
              <w:rPr>
                <w:kern w:val="0"/>
                <w:sz w:val="21"/>
                <w:szCs w:val="21"/>
              </w:rPr>
            </w:pPr>
            <w:r>
              <w:rPr>
                <w:rFonts w:hint="eastAsia"/>
                <w:kern w:val="0"/>
                <w:sz w:val="21"/>
                <w:szCs w:val="21"/>
              </w:rPr>
              <w:t>5</w:t>
            </w:r>
            <w:r>
              <w:rPr>
                <w:kern w:val="0"/>
                <w:sz w:val="21"/>
                <w:szCs w:val="21"/>
              </w:rPr>
              <w:t>t/</w:t>
            </w:r>
            <w:r>
              <w:rPr>
                <w:rFonts w:hint="eastAsia"/>
                <w:kern w:val="0"/>
                <w:sz w:val="21"/>
                <w:szCs w:val="21"/>
              </w:rPr>
              <w:t>（4~5）</w:t>
            </w:r>
            <w:r>
              <w:rPr>
                <w:kern w:val="0"/>
                <w:sz w:val="21"/>
                <w:szCs w:val="21"/>
              </w:rPr>
              <w:t>a</w:t>
            </w:r>
          </w:p>
        </w:tc>
        <w:tc>
          <w:tcPr>
            <w:tcW w:w="918" w:type="pct"/>
            <w:vMerge w:val="restart"/>
            <w:vAlign w:val="center"/>
          </w:tcPr>
          <w:p>
            <w:pPr>
              <w:widowControl/>
              <w:spacing w:line="240" w:lineRule="auto"/>
              <w:ind w:firstLine="0" w:firstLineChars="0"/>
              <w:jc w:val="center"/>
              <w:rPr>
                <w:kern w:val="0"/>
                <w:sz w:val="21"/>
                <w:szCs w:val="21"/>
              </w:rPr>
            </w:pPr>
            <w:r>
              <w:rPr>
                <w:kern w:val="0"/>
                <w:sz w:val="21"/>
                <w:szCs w:val="21"/>
              </w:rPr>
              <w:t>定期交有资质单位处理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5</w:t>
            </w:r>
          </w:p>
        </w:tc>
        <w:tc>
          <w:tcPr>
            <w:tcW w:w="471" w:type="pct"/>
            <w:vAlign w:val="center"/>
          </w:tcPr>
          <w:p>
            <w:pPr>
              <w:widowControl/>
              <w:spacing w:line="240" w:lineRule="auto"/>
              <w:ind w:firstLine="0" w:firstLineChars="0"/>
              <w:jc w:val="center"/>
              <w:rPr>
                <w:kern w:val="0"/>
                <w:sz w:val="21"/>
                <w:szCs w:val="21"/>
              </w:rPr>
            </w:pPr>
            <w:r>
              <w:rPr>
                <w:kern w:val="0"/>
                <w:sz w:val="21"/>
                <w:szCs w:val="21"/>
              </w:rPr>
              <w:t>废</w:t>
            </w:r>
            <w:r>
              <w:rPr>
                <w:rFonts w:hint="eastAsia"/>
                <w:kern w:val="0"/>
                <w:sz w:val="21"/>
                <w:szCs w:val="21"/>
              </w:rPr>
              <w:t>机油</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widowControl/>
              <w:spacing w:line="240" w:lineRule="auto"/>
              <w:ind w:firstLine="0" w:firstLineChars="0"/>
              <w:jc w:val="center"/>
              <w:rPr>
                <w:kern w:val="0"/>
                <w:sz w:val="21"/>
                <w:szCs w:val="21"/>
              </w:rPr>
            </w:pPr>
            <w:r>
              <w:rPr>
                <w:rFonts w:hint="eastAsia"/>
                <w:kern w:val="0"/>
                <w:sz w:val="21"/>
                <w:szCs w:val="21"/>
              </w:rPr>
              <w:t>设备维修</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kern w:val="0"/>
                <w:sz w:val="21"/>
                <w:szCs w:val="21"/>
              </w:rPr>
            </w:pPr>
            <w:r>
              <w:rPr>
                <w:rFonts w:hint="eastAsia" w:cs="Times New Roman"/>
                <w:sz w:val="21"/>
                <w:szCs w:val="21"/>
              </w:rPr>
              <w:t>矿物质油</w:t>
            </w:r>
          </w:p>
        </w:tc>
        <w:tc>
          <w:tcPr>
            <w:tcW w:w="351" w:type="pct"/>
            <w:vAlign w:val="center"/>
          </w:tcPr>
          <w:p>
            <w:pPr>
              <w:widowControl/>
              <w:spacing w:line="240" w:lineRule="auto"/>
              <w:ind w:firstLine="0" w:firstLineChars="0"/>
              <w:jc w:val="center"/>
              <w:rPr>
                <w:kern w:val="0"/>
                <w:sz w:val="21"/>
                <w:szCs w:val="21"/>
              </w:rPr>
            </w:pPr>
            <w:r>
              <w:rPr>
                <w:kern w:val="0"/>
                <w:sz w:val="21"/>
                <w:szCs w:val="21"/>
              </w:rPr>
              <w:t>T</w:t>
            </w:r>
            <w:r>
              <w:rPr>
                <w:rFonts w:hint="eastAsia"/>
                <w:kern w:val="0"/>
                <w:sz w:val="21"/>
                <w:szCs w:val="21"/>
              </w:rPr>
              <w:t>，I</w:t>
            </w:r>
          </w:p>
        </w:tc>
        <w:tc>
          <w:tcPr>
            <w:tcW w:w="349" w:type="pct"/>
            <w:vAlign w:val="center"/>
          </w:tcPr>
          <w:p>
            <w:pPr>
              <w:widowControl/>
              <w:spacing w:line="240" w:lineRule="auto"/>
              <w:ind w:firstLine="0" w:firstLineChars="0"/>
              <w:jc w:val="center"/>
              <w:rPr>
                <w:kern w:val="0"/>
                <w:sz w:val="21"/>
                <w:szCs w:val="21"/>
              </w:rPr>
            </w:pPr>
            <w:r>
              <w:rPr>
                <w:kern w:val="0"/>
                <w:sz w:val="21"/>
                <w:szCs w:val="21"/>
              </w:rPr>
              <w:t>HW</w:t>
            </w:r>
            <w:r>
              <w:rPr>
                <w:rFonts w:hint="eastAsia"/>
                <w:kern w:val="0"/>
                <w:sz w:val="21"/>
                <w:szCs w:val="21"/>
              </w:rPr>
              <w:t>08</w:t>
            </w:r>
          </w:p>
        </w:tc>
        <w:tc>
          <w:tcPr>
            <w:tcW w:w="537" w:type="pct"/>
            <w:vAlign w:val="center"/>
          </w:tcPr>
          <w:p>
            <w:pPr>
              <w:widowControl/>
              <w:spacing w:line="240" w:lineRule="auto"/>
              <w:ind w:firstLine="0" w:firstLineChars="0"/>
              <w:jc w:val="center"/>
              <w:rPr>
                <w:kern w:val="0"/>
                <w:sz w:val="21"/>
                <w:szCs w:val="21"/>
              </w:rPr>
            </w:pPr>
            <w:r>
              <w:rPr>
                <w:rFonts w:hint="eastAsia"/>
                <w:kern w:val="0"/>
                <w:sz w:val="21"/>
                <w:szCs w:val="21"/>
              </w:rPr>
              <w:t>900-214-08</w:t>
            </w:r>
          </w:p>
        </w:tc>
        <w:tc>
          <w:tcPr>
            <w:tcW w:w="591" w:type="pct"/>
            <w:vAlign w:val="center"/>
          </w:tcPr>
          <w:p>
            <w:pPr>
              <w:widowControl/>
              <w:spacing w:line="240" w:lineRule="auto"/>
              <w:ind w:firstLine="0" w:firstLineChars="0"/>
              <w:jc w:val="center"/>
              <w:rPr>
                <w:kern w:val="0"/>
                <w:sz w:val="21"/>
                <w:szCs w:val="21"/>
              </w:rPr>
            </w:pPr>
            <w:r>
              <w:rPr>
                <w:kern w:val="0"/>
                <w:sz w:val="21"/>
                <w:szCs w:val="21"/>
              </w:rPr>
              <w:t>0.</w:t>
            </w:r>
            <w:r>
              <w:rPr>
                <w:rFonts w:hint="eastAsia"/>
                <w:kern w:val="0"/>
                <w:sz w:val="21"/>
                <w:szCs w:val="21"/>
              </w:rPr>
              <w:t>01</w:t>
            </w:r>
            <w:r>
              <w:rPr>
                <w:kern w:val="0"/>
                <w:sz w:val="21"/>
                <w:szCs w:val="21"/>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65"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6</w:t>
            </w:r>
          </w:p>
        </w:tc>
        <w:tc>
          <w:tcPr>
            <w:tcW w:w="471" w:type="pct"/>
            <w:vAlign w:val="center"/>
          </w:tcPr>
          <w:p>
            <w:pPr>
              <w:widowControl/>
              <w:spacing w:line="240" w:lineRule="auto"/>
              <w:ind w:firstLine="0" w:firstLineChars="0"/>
              <w:jc w:val="center"/>
              <w:rPr>
                <w:kern w:val="0"/>
                <w:sz w:val="21"/>
                <w:szCs w:val="21"/>
              </w:rPr>
            </w:pPr>
            <w:r>
              <w:rPr>
                <w:kern w:val="0"/>
                <w:sz w:val="21"/>
                <w:szCs w:val="21"/>
              </w:rPr>
              <w:t>废活性炭</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widowControl/>
              <w:spacing w:line="240" w:lineRule="auto"/>
              <w:ind w:firstLine="0" w:firstLineChars="0"/>
              <w:jc w:val="center"/>
              <w:rPr>
                <w:kern w:val="0"/>
                <w:sz w:val="21"/>
                <w:szCs w:val="21"/>
              </w:rPr>
            </w:pPr>
            <w:r>
              <w:rPr>
                <w:kern w:val="0"/>
                <w:sz w:val="21"/>
                <w:szCs w:val="21"/>
              </w:rPr>
              <w:t>废气处理</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kern w:val="0"/>
                <w:sz w:val="21"/>
                <w:szCs w:val="21"/>
              </w:rPr>
            </w:pPr>
            <w:r>
              <w:rPr>
                <w:kern w:val="0"/>
                <w:sz w:val="21"/>
                <w:szCs w:val="21"/>
              </w:rPr>
              <w:t>活性炭</w:t>
            </w:r>
          </w:p>
        </w:tc>
        <w:tc>
          <w:tcPr>
            <w:tcW w:w="351" w:type="pct"/>
            <w:vAlign w:val="center"/>
          </w:tcPr>
          <w:p>
            <w:pPr>
              <w:widowControl/>
              <w:spacing w:line="240" w:lineRule="auto"/>
              <w:ind w:firstLine="0" w:firstLineChars="0"/>
              <w:jc w:val="center"/>
              <w:rPr>
                <w:kern w:val="0"/>
                <w:sz w:val="21"/>
                <w:szCs w:val="21"/>
              </w:rPr>
            </w:pPr>
            <w:r>
              <w:rPr>
                <w:kern w:val="0"/>
                <w:sz w:val="21"/>
                <w:szCs w:val="21"/>
              </w:rPr>
              <w:t>T</w:t>
            </w:r>
          </w:p>
        </w:tc>
        <w:tc>
          <w:tcPr>
            <w:tcW w:w="349" w:type="pct"/>
            <w:vAlign w:val="center"/>
          </w:tcPr>
          <w:p>
            <w:pPr>
              <w:widowControl/>
              <w:spacing w:line="240" w:lineRule="auto"/>
              <w:ind w:firstLine="0" w:firstLineChars="0"/>
              <w:jc w:val="center"/>
              <w:rPr>
                <w:kern w:val="0"/>
                <w:sz w:val="21"/>
                <w:szCs w:val="21"/>
              </w:rPr>
            </w:pPr>
            <w:r>
              <w:rPr>
                <w:kern w:val="0"/>
                <w:sz w:val="21"/>
                <w:szCs w:val="21"/>
              </w:rPr>
              <w:t>HW49</w:t>
            </w:r>
          </w:p>
        </w:tc>
        <w:tc>
          <w:tcPr>
            <w:tcW w:w="537" w:type="pct"/>
            <w:vAlign w:val="center"/>
          </w:tcPr>
          <w:p>
            <w:pPr>
              <w:widowControl/>
              <w:spacing w:line="240" w:lineRule="auto"/>
              <w:ind w:firstLine="0" w:firstLineChars="0"/>
              <w:jc w:val="center"/>
              <w:rPr>
                <w:kern w:val="0"/>
                <w:sz w:val="21"/>
                <w:szCs w:val="21"/>
              </w:rPr>
            </w:pPr>
            <w:r>
              <w:rPr>
                <w:kern w:val="0"/>
                <w:sz w:val="21"/>
                <w:szCs w:val="21"/>
              </w:rPr>
              <w:t>900-039-49</w:t>
            </w:r>
          </w:p>
        </w:tc>
        <w:tc>
          <w:tcPr>
            <w:tcW w:w="591" w:type="pct"/>
            <w:vAlign w:val="center"/>
          </w:tcPr>
          <w:p>
            <w:pPr>
              <w:widowControl/>
              <w:spacing w:line="240" w:lineRule="auto"/>
              <w:ind w:firstLine="0" w:firstLineChars="0"/>
              <w:jc w:val="center"/>
              <w:rPr>
                <w:kern w:val="0"/>
                <w:sz w:val="21"/>
                <w:szCs w:val="21"/>
              </w:rPr>
            </w:pPr>
            <w:r>
              <w:rPr>
                <w:rFonts w:hint="eastAsia"/>
                <w:kern w:val="0"/>
                <w:sz w:val="21"/>
                <w:szCs w:val="21"/>
              </w:rPr>
              <w:t>1.325</w:t>
            </w:r>
            <w:r>
              <w:rPr>
                <w:kern w:val="0"/>
                <w:sz w:val="21"/>
                <w:szCs w:val="21"/>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6"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7</w:t>
            </w:r>
          </w:p>
        </w:tc>
        <w:tc>
          <w:tcPr>
            <w:tcW w:w="471" w:type="pct"/>
            <w:vAlign w:val="center"/>
          </w:tcPr>
          <w:p>
            <w:pPr>
              <w:widowControl/>
              <w:spacing w:line="240" w:lineRule="auto"/>
              <w:ind w:firstLine="0" w:firstLineChars="0"/>
              <w:jc w:val="center"/>
              <w:rPr>
                <w:kern w:val="0"/>
                <w:sz w:val="21"/>
                <w:szCs w:val="21"/>
                <w:u w:val="single"/>
              </w:rPr>
            </w:pPr>
            <w:r>
              <w:rPr>
                <w:rFonts w:cs="Times New Roman"/>
                <w:sz w:val="21"/>
                <w:szCs w:val="21"/>
                <w:u w:val="single"/>
              </w:rPr>
              <w:t>污水处理站污泥</w:t>
            </w:r>
          </w:p>
        </w:tc>
        <w:tc>
          <w:tcPr>
            <w:tcW w:w="306" w:type="pct"/>
            <w:vMerge w:val="continue"/>
            <w:vAlign w:val="center"/>
          </w:tcPr>
          <w:p>
            <w:pPr>
              <w:widowControl/>
              <w:spacing w:line="240" w:lineRule="auto"/>
              <w:ind w:firstLine="0" w:firstLineChars="0"/>
              <w:jc w:val="center"/>
              <w:rPr>
                <w:kern w:val="0"/>
                <w:sz w:val="21"/>
                <w:szCs w:val="21"/>
                <w:u w:val="single"/>
              </w:rPr>
            </w:pPr>
          </w:p>
        </w:tc>
        <w:tc>
          <w:tcPr>
            <w:tcW w:w="538" w:type="pct"/>
            <w:vAlign w:val="center"/>
          </w:tcPr>
          <w:p>
            <w:pPr>
              <w:spacing w:line="240" w:lineRule="auto"/>
              <w:ind w:firstLine="0" w:firstLineChars="0"/>
              <w:jc w:val="center"/>
              <w:rPr>
                <w:kern w:val="0"/>
                <w:sz w:val="21"/>
                <w:szCs w:val="21"/>
                <w:u w:val="single"/>
              </w:rPr>
            </w:pPr>
            <w:r>
              <w:rPr>
                <w:rFonts w:cs="Times New Roman"/>
                <w:sz w:val="21"/>
                <w:szCs w:val="21"/>
                <w:u w:val="single"/>
              </w:rPr>
              <w:t>废</w:t>
            </w:r>
            <w:r>
              <w:rPr>
                <w:rFonts w:hint="eastAsia" w:cs="Times New Roman"/>
                <w:sz w:val="21"/>
                <w:szCs w:val="21"/>
                <w:u w:val="single"/>
              </w:rPr>
              <w:t>水</w:t>
            </w:r>
            <w:r>
              <w:rPr>
                <w:rFonts w:cs="Times New Roman"/>
                <w:sz w:val="21"/>
                <w:szCs w:val="21"/>
                <w:u w:val="single"/>
              </w:rPr>
              <w:t>处理</w:t>
            </w:r>
          </w:p>
        </w:tc>
        <w:tc>
          <w:tcPr>
            <w:tcW w:w="321" w:type="pct"/>
            <w:vAlign w:val="center"/>
          </w:tcPr>
          <w:p>
            <w:pPr>
              <w:widowControl/>
              <w:spacing w:line="240" w:lineRule="auto"/>
              <w:ind w:firstLine="0" w:firstLineChars="0"/>
              <w:jc w:val="center"/>
              <w:rPr>
                <w:kern w:val="0"/>
                <w:sz w:val="21"/>
                <w:szCs w:val="21"/>
                <w:u w:val="single"/>
              </w:rPr>
            </w:pPr>
            <w:r>
              <w:rPr>
                <w:kern w:val="0"/>
                <w:sz w:val="21"/>
                <w:szCs w:val="21"/>
                <w:u w:val="single"/>
              </w:rPr>
              <w:t>固</w:t>
            </w:r>
          </w:p>
        </w:tc>
        <w:tc>
          <w:tcPr>
            <w:tcW w:w="388" w:type="pct"/>
            <w:vAlign w:val="center"/>
          </w:tcPr>
          <w:p>
            <w:pPr>
              <w:spacing w:line="240" w:lineRule="auto"/>
              <w:ind w:firstLine="0" w:firstLineChars="0"/>
              <w:jc w:val="center"/>
              <w:rPr>
                <w:kern w:val="0"/>
                <w:sz w:val="21"/>
                <w:szCs w:val="21"/>
                <w:u w:val="single"/>
              </w:rPr>
            </w:pPr>
            <w:r>
              <w:rPr>
                <w:rFonts w:hint="eastAsia" w:cs="Times New Roman"/>
                <w:sz w:val="21"/>
                <w:szCs w:val="21"/>
                <w:u w:val="single"/>
              </w:rPr>
              <w:t>树脂污泥</w:t>
            </w:r>
          </w:p>
        </w:tc>
        <w:tc>
          <w:tcPr>
            <w:tcW w:w="351" w:type="pct"/>
            <w:vAlign w:val="center"/>
          </w:tcPr>
          <w:p>
            <w:pPr>
              <w:widowControl/>
              <w:spacing w:line="240" w:lineRule="auto"/>
              <w:ind w:firstLine="0" w:firstLineChars="0"/>
              <w:jc w:val="center"/>
              <w:rPr>
                <w:kern w:val="0"/>
                <w:sz w:val="21"/>
                <w:szCs w:val="21"/>
                <w:u w:val="single"/>
              </w:rPr>
            </w:pPr>
            <w:r>
              <w:rPr>
                <w:kern w:val="0"/>
                <w:sz w:val="21"/>
                <w:szCs w:val="21"/>
                <w:u w:val="single"/>
              </w:rPr>
              <w:t>T</w:t>
            </w:r>
          </w:p>
        </w:tc>
        <w:tc>
          <w:tcPr>
            <w:tcW w:w="349" w:type="pct"/>
            <w:vAlign w:val="center"/>
          </w:tcPr>
          <w:p>
            <w:pPr>
              <w:spacing w:line="240" w:lineRule="auto"/>
              <w:ind w:firstLine="0" w:firstLineChars="0"/>
              <w:jc w:val="center"/>
              <w:rPr>
                <w:kern w:val="0"/>
                <w:sz w:val="21"/>
                <w:szCs w:val="21"/>
                <w:u w:val="single"/>
              </w:rPr>
            </w:pPr>
            <w:r>
              <w:rPr>
                <w:rFonts w:hint="eastAsia" w:cs="Times New Roman"/>
                <w:color w:val="000000"/>
                <w:sz w:val="21"/>
                <w:szCs w:val="21"/>
                <w:u w:val="single"/>
                <w:lang w:bidi="zh-CN"/>
              </w:rPr>
              <w:t>HW13</w:t>
            </w:r>
          </w:p>
        </w:tc>
        <w:tc>
          <w:tcPr>
            <w:tcW w:w="537" w:type="pct"/>
            <w:vAlign w:val="center"/>
          </w:tcPr>
          <w:p>
            <w:pPr>
              <w:spacing w:line="240" w:lineRule="auto"/>
              <w:ind w:firstLine="0" w:firstLineChars="0"/>
              <w:jc w:val="center"/>
              <w:rPr>
                <w:kern w:val="0"/>
                <w:sz w:val="21"/>
                <w:szCs w:val="21"/>
                <w:u w:val="single"/>
              </w:rPr>
            </w:pPr>
            <w:r>
              <w:rPr>
                <w:rFonts w:cs="Times New Roman"/>
                <w:color w:val="000000"/>
                <w:sz w:val="21"/>
                <w:szCs w:val="21"/>
                <w:u w:val="single"/>
                <w:lang w:bidi="zh-CN"/>
              </w:rPr>
              <w:t>265-104-13</w:t>
            </w:r>
          </w:p>
        </w:tc>
        <w:tc>
          <w:tcPr>
            <w:tcW w:w="591" w:type="pct"/>
            <w:vAlign w:val="center"/>
          </w:tcPr>
          <w:p>
            <w:pPr>
              <w:spacing w:line="240" w:lineRule="auto"/>
              <w:ind w:firstLine="0" w:firstLineChars="0"/>
              <w:jc w:val="center"/>
              <w:rPr>
                <w:kern w:val="0"/>
                <w:sz w:val="21"/>
                <w:szCs w:val="21"/>
                <w:u w:val="single"/>
              </w:rPr>
            </w:pPr>
            <w:r>
              <w:rPr>
                <w:rFonts w:hint="eastAsia" w:cs="Times New Roman"/>
                <w:sz w:val="21"/>
                <w:szCs w:val="21"/>
                <w:u w:val="single"/>
                <w:lang w:val="en-US" w:eastAsia="zh-CN"/>
              </w:rPr>
              <w:t>9.273</w:t>
            </w:r>
            <w:r>
              <w:rPr>
                <w:kern w:val="0"/>
                <w:sz w:val="21"/>
                <w:szCs w:val="21"/>
                <w:u w:val="single"/>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6" w:hRule="atLeast"/>
          <w:jc w:val="center"/>
        </w:trPr>
        <w:tc>
          <w:tcPr>
            <w:tcW w:w="225" w:type="pct"/>
            <w:vAlign w:val="center"/>
          </w:tcPr>
          <w:p>
            <w:pPr>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8</w:t>
            </w:r>
          </w:p>
        </w:tc>
        <w:tc>
          <w:tcPr>
            <w:tcW w:w="471" w:type="pct"/>
            <w:vAlign w:val="center"/>
          </w:tcPr>
          <w:p>
            <w:pPr>
              <w:spacing w:line="240" w:lineRule="auto"/>
              <w:ind w:firstLine="0" w:firstLineChars="0"/>
              <w:jc w:val="center"/>
              <w:rPr>
                <w:kern w:val="0"/>
                <w:sz w:val="21"/>
                <w:szCs w:val="21"/>
              </w:rPr>
            </w:pPr>
            <w:r>
              <w:rPr>
                <w:rFonts w:cs="Times New Roman"/>
                <w:sz w:val="21"/>
                <w:szCs w:val="21"/>
              </w:rPr>
              <w:t>产品滤渣</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spacing w:line="240" w:lineRule="auto"/>
              <w:ind w:firstLine="0" w:firstLineChars="0"/>
              <w:jc w:val="center"/>
              <w:rPr>
                <w:kern w:val="0"/>
                <w:sz w:val="21"/>
                <w:szCs w:val="21"/>
              </w:rPr>
            </w:pPr>
            <w:r>
              <w:rPr>
                <w:rFonts w:hint="eastAsia" w:cs="Times New Roman"/>
                <w:sz w:val="21"/>
                <w:szCs w:val="21"/>
              </w:rPr>
              <w:t>生产过滤</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spacing w:line="240" w:lineRule="auto"/>
              <w:ind w:firstLine="0" w:firstLineChars="0"/>
              <w:jc w:val="center"/>
              <w:rPr>
                <w:kern w:val="0"/>
                <w:sz w:val="21"/>
                <w:szCs w:val="21"/>
              </w:rPr>
            </w:pPr>
            <w:r>
              <w:rPr>
                <w:kern w:val="0"/>
                <w:sz w:val="21"/>
                <w:szCs w:val="21"/>
              </w:rPr>
              <w:t>危险化学品</w:t>
            </w:r>
          </w:p>
        </w:tc>
        <w:tc>
          <w:tcPr>
            <w:tcW w:w="351" w:type="pct"/>
            <w:vAlign w:val="center"/>
          </w:tcPr>
          <w:p>
            <w:pPr>
              <w:widowControl/>
              <w:spacing w:line="240" w:lineRule="auto"/>
              <w:ind w:firstLine="0" w:firstLineChars="0"/>
              <w:jc w:val="center"/>
              <w:rPr>
                <w:kern w:val="0"/>
                <w:sz w:val="21"/>
                <w:szCs w:val="21"/>
              </w:rPr>
            </w:pPr>
            <w:r>
              <w:rPr>
                <w:kern w:val="0"/>
                <w:sz w:val="21"/>
                <w:szCs w:val="21"/>
              </w:rPr>
              <w:t>T</w:t>
            </w:r>
          </w:p>
        </w:tc>
        <w:tc>
          <w:tcPr>
            <w:tcW w:w="349" w:type="pct"/>
            <w:vAlign w:val="center"/>
          </w:tcPr>
          <w:p>
            <w:pPr>
              <w:spacing w:line="240" w:lineRule="auto"/>
              <w:ind w:firstLine="0" w:firstLineChars="0"/>
              <w:jc w:val="center"/>
              <w:rPr>
                <w:kern w:val="0"/>
                <w:sz w:val="21"/>
                <w:szCs w:val="21"/>
              </w:rPr>
            </w:pPr>
            <w:r>
              <w:rPr>
                <w:rFonts w:hint="eastAsia" w:cs="Times New Roman"/>
                <w:color w:val="000000"/>
                <w:sz w:val="21"/>
                <w:szCs w:val="21"/>
                <w:lang w:bidi="zh-CN"/>
              </w:rPr>
              <w:t>HW13</w:t>
            </w:r>
          </w:p>
        </w:tc>
        <w:tc>
          <w:tcPr>
            <w:tcW w:w="537" w:type="pct"/>
            <w:vAlign w:val="center"/>
          </w:tcPr>
          <w:p>
            <w:pPr>
              <w:spacing w:line="240" w:lineRule="auto"/>
              <w:ind w:firstLine="0" w:firstLineChars="0"/>
              <w:jc w:val="center"/>
              <w:rPr>
                <w:kern w:val="0"/>
                <w:sz w:val="21"/>
                <w:szCs w:val="21"/>
              </w:rPr>
            </w:pPr>
            <w:r>
              <w:rPr>
                <w:rFonts w:cs="Times New Roman"/>
                <w:color w:val="000000"/>
                <w:sz w:val="21"/>
                <w:szCs w:val="21"/>
                <w:lang w:bidi="zh-CN"/>
              </w:rPr>
              <w:t>265-104-13</w:t>
            </w:r>
          </w:p>
        </w:tc>
        <w:tc>
          <w:tcPr>
            <w:tcW w:w="591" w:type="pct"/>
            <w:vAlign w:val="center"/>
          </w:tcPr>
          <w:p>
            <w:pPr>
              <w:spacing w:line="240" w:lineRule="auto"/>
              <w:ind w:firstLine="0" w:firstLineChars="0"/>
              <w:jc w:val="center"/>
              <w:rPr>
                <w:kern w:val="0"/>
                <w:sz w:val="21"/>
                <w:szCs w:val="21"/>
              </w:rPr>
            </w:pPr>
            <w:r>
              <w:rPr>
                <w:rFonts w:hint="eastAsia"/>
                <w:kern w:val="0"/>
                <w:sz w:val="21"/>
                <w:szCs w:val="21"/>
                <w:lang w:val="en-US" w:eastAsia="zh-CN"/>
              </w:rPr>
              <w:t>45.715</w:t>
            </w:r>
            <w:r>
              <w:rPr>
                <w:kern w:val="0"/>
                <w:sz w:val="21"/>
                <w:szCs w:val="21"/>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6" w:hRule="atLeast"/>
          <w:jc w:val="center"/>
        </w:trPr>
        <w:tc>
          <w:tcPr>
            <w:tcW w:w="225" w:type="pct"/>
            <w:vAlign w:val="center"/>
          </w:tcPr>
          <w:p>
            <w:pPr>
              <w:widowControl/>
              <w:spacing w:line="240" w:lineRule="auto"/>
              <w:ind w:firstLine="0" w:firstLineChars="0"/>
              <w:jc w:val="center"/>
              <w:rPr>
                <w:rFonts w:hint="eastAsia" w:eastAsia="宋体"/>
                <w:kern w:val="0"/>
                <w:sz w:val="21"/>
                <w:szCs w:val="21"/>
                <w:lang w:val="en-US" w:eastAsia="zh-CN"/>
              </w:rPr>
            </w:pPr>
            <w:r>
              <w:rPr>
                <w:rFonts w:hint="eastAsia"/>
                <w:kern w:val="0"/>
                <w:sz w:val="21"/>
                <w:szCs w:val="21"/>
                <w:lang w:val="en-US" w:eastAsia="zh-CN"/>
              </w:rPr>
              <w:t>9</w:t>
            </w:r>
          </w:p>
        </w:tc>
        <w:tc>
          <w:tcPr>
            <w:tcW w:w="471" w:type="pct"/>
            <w:vAlign w:val="center"/>
          </w:tcPr>
          <w:p>
            <w:pPr>
              <w:widowControl/>
              <w:spacing w:line="240" w:lineRule="auto"/>
              <w:ind w:firstLine="0" w:firstLineChars="0"/>
              <w:jc w:val="center"/>
              <w:rPr>
                <w:kern w:val="0"/>
                <w:sz w:val="21"/>
                <w:szCs w:val="21"/>
              </w:rPr>
            </w:pPr>
            <w:r>
              <w:rPr>
                <w:rFonts w:cs="Times New Roman"/>
                <w:sz w:val="21"/>
                <w:szCs w:val="21"/>
              </w:rPr>
              <w:t>废原材料包装</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spacing w:line="240" w:lineRule="auto"/>
              <w:ind w:firstLine="0" w:firstLineChars="0"/>
              <w:jc w:val="center"/>
              <w:rPr>
                <w:kern w:val="0"/>
                <w:sz w:val="21"/>
                <w:szCs w:val="21"/>
              </w:rPr>
            </w:pPr>
            <w:r>
              <w:rPr>
                <w:rFonts w:hint="eastAsia" w:cs="Times New Roman"/>
                <w:sz w:val="21"/>
                <w:szCs w:val="21"/>
              </w:rPr>
              <w:t>原料包装</w:t>
            </w:r>
          </w:p>
        </w:tc>
        <w:tc>
          <w:tcPr>
            <w:tcW w:w="321" w:type="pct"/>
            <w:vAlign w:val="center"/>
          </w:tcPr>
          <w:p>
            <w:pPr>
              <w:widowControl/>
              <w:spacing w:line="240" w:lineRule="auto"/>
              <w:ind w:firstLine="0" w:firstLineChars="0"/>
              <w:jc w:val="center"/>
              <w:rPr>
                <w:kern w:val="0"/>
                <w:sz w:val="21"/>
                <w:szCs w:val="21"/>
              </w:rPr>
            </w:pPr>
            <w:r>
              <w:rPr>
                <w:kern w:val="0"/>
                <w:sz w:val="21"/>
                <w:szCs w:val="21"/>
              </w:rPr>
              <w:t>固</w:t>
            </w:r>
          </w:p>
        </w:tc>
        <w:tc>
          <w:tcPr>
            <w:tcW w:w="388" w:type="pct"/>
            <w:vAlign w:val="center"/>
          </w:tcPr>
          <w:p>
            <w:pPr>
              <w:widowControl/>
              <w:spacing w:line="240" w:lineRule="auto"/>
              <w:ind w:firstLine="0" w:firstLineChars="0"/>
              <w:jc w:val="center"/>
              <w:rPr>
                <w:kern w:val="0"/>
                <w:sz w:val="21"/>
                <w:szCs w:val="21"/>
              </w:rPr>
            </w:pPr>
            <w:r>
              <w:rPr>
                <w:kern w:val="0"/>
                <w:sz w:val="21"/>
                <w:szCs w:val="21"/>
              </w:rPr>
              <w:t>危险化学品</w:t>
            </w:r>
          </w:p>
        </w:tc>
        <w:tc>
          <w:tcPr>
            <w:tcW w:w="351" w:type="pct"/>
            <w:vAlign w:val="center"/>
          </w:tcPr>
          <w:p>
            <w:pPr>
              <w:widowControl/>
              <w:spacing w:line="240" w:lineRule="auto"/>
              <w:ind w:firstLine="0" w:firstLineChars="0"/>
              <w:jc w:val="center"/>
              <w:rPr>
                <w:kern w:val="0"/>
                <w:sz w:val="21"/>
                <w:szCs w:val="21"/>
              </w:rPr>
            </w:pPr>
            <w:r>
              <w:rPr>
                <w:kern w:val="0"/>
                <w:sz w:val="21"/>
                <w:szCs w:val="21"/>
              </w:rPr>
              <w:t>T</w:t>
            </w:r>
          </w:p>
        </w:tc>
        <w:tc>
          <w:tcPr>
            <w:tcW w:w="349" w:type="pct"/>
            <w:vAlign w:val="center"/>
          </w:tcPr>
          <w:p>
            <w:pPr>
              <w:spacing w:line="240" w:lineRule="auto"/>
              <w:ind w:firstLine="0" w:firstLineChars="0"/>
              <w:jc w:val="center"/>
              <w:rPr>
                <w:kern w:val="0"/>
                <w:sz w:val="21"/>
                <w:szCs w:val="21"/>
              </w:rPr>
            </w:pPr>
            <w:r>
              <w:rPr>
                <w:rFonts w:cs="Times New Roman"/>
                <w:color w:val="000000"/>
                <w:sz w:val="21"/>
                <w:szCs w:val="21"/>
                <w:lang w:bidi="zh-CN"/>
              </w:rPr>
              <w:t>HW49</w:t>
            </w:r>
          </w:p>
        </w:tc>
        <w:tc>
          <w:tcPr>
            <w:tcW w:w="537" w:type="pct"/>
            <w:vAlign w:val="center"/>
          </w:tcPr>
          <w:p>
            <w:pPr>
              <w:spacing w:line="240" w:lineRule="auto"/>
              <w:ind w:firstLine="0" w:firstLineChars="0"/>
              <w:jc w:val="center"/>
              <w:rPr>
                <w:kern w:val="0"/>
                <w:sz w:val="21"/>
                <w:szCs w:val="21"/>
              </w:rPr>
            </w:pPr>
            <w:r>
              <w:rPr>
                <w:rFonts w:cs="Times New Roman"/>
                <w:color w:val="000000"/>
                <w:sz w:val="21"/>
                <w:szCs w:val="21"/>
                <w:lang w:bidi="zh-CN"/>
              </w:rPr>
              <w:t>900-047-49</w:t>
            </w:r>
          </w:p>
        </w:tc>
        <w:tc>
          <w:tcPr>
            <w:tcW w:w="591" w:type="pct"/>
            <w:vAlign w:val="center"/>
          </w:tcPr>
          <w:p>
            <w:pPr>
              <w:spacing w:line="240" w:lineRule="auto"/>
              <w:ind w:firstLine="0" w:firstLineChars="0"/>
              <w:jc w:val="center"/>
              <w:rPr>
                <w:kern w:val="0"/>
                <w:sz w:val="21"/>
                <w:szCs w:val="21"/>
              </w:rPr>
            </w:pPr>
            <w:r>
              <w:rPr>
                <w:rFonts w:hint="eastAsia" w:cs="Times New Roman"/>
                <w:sz w:val="21"/>
                <w:szCs w:val="21"/>
              </w:rPr>
              <w:t>3.2</w:t>
            </w:r>
            <w:r>
              <w:rPr>
                <w:kern w:val="0"/>
                <w:sz w:val="21"/>
                <w:szCs w:val="21"/>
              </w:rPr>
              <w:t>t/a</w:t>
            </w:r>
          </w:p>
        </w:tc>
        <w:tc>
          <w:tcPr>
            <w:tcW w:w="918" w:type="pct"/>
            <w:vMerge w:val="continue"/>
            <w:vAlign w:val="center"/>
          </w:tcPr>
          <w:p>
            <w:pPr>
              <w:widowControl/>
              <w:spacing w:line="240" w:lineRule="auto"/>
              <w:ind w:firstLine="0" w:firstLineChars="0"/>
              <w:jc w:val="center"/>
              <w:rPr>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16" w:hRule="atLeast"/>
          <w:jc w:val="center"/>
        </w:trPr>
        <w:tc>
          <w:tcPr>
            <w:tcW w:w="225" w:type="pct"/>
            <w:vAlign w:val="center"/>
          </w:tcPr>
          <w:p>
            <w:pPr>
              <w:widowControl/>
              <w:spacing w:line="240" w:lineRule="auto"/>
              <w:ind w:firstLine="0" w:firstLineChars="0"/>
              <w:jc w:val="center"/>
              <w:rPr>
                <w:rFonts w:hint="default" w:eastAsia="宋体"/>
                <w:kern w:val="0"/>
                <w:sz w:val="21"/>
                <w:szCs w:val="21"/>
                <w:lang w:val="en-US" w:eastAsia="zh-CN"/>
              </w:rPr>
            </w:pPr>
            <w:r>
              <w:rPr>
                <w:rFonts w:hint="eastAsia"/>
                <w:kern w:val="0"/>
                <w:sz w:val="21"/>
                <w:szCs w:val="21"/>
                <w:lang w:val="en-US" w:eastAsia="zh-CN"/>
              </w:rPr>
              <w:t>10</w:t>
            </w:r>
          </w:p>
        </w:tc>
        <w:tc>
          <w:tcPr>
            <w:tcW w:w="471" w:type="pct"/>
            <w:vAlign w:val="center"/>
          </w:tcPr>
          <w:p>
            <w:pPr>
              <w:widowControl/>
              <w:spacing w:line="240" w:lineRule="auto"/>
              <w:ind w:firstLine="0" w:firstLineChars="0"/>
              <w:jc w:val="center"/>
              <w:rPr>
                <w:rFonts w:cs="Times New Roman"/>
                <w:sz w:val="21"/>
                <w:szCs w:val="21"/>
              </w:rPr>
            </w:pPr>
            <w:r>
              <w:rPr>
                <w:rFonts w:hint="eastAsia" w:cs="Times New Roman"/>
                <w:sz w:val="21"/>
                <w:szCs w:val="21"/>
              </w:rPr>
              <w:t>喷淋塔沉渣</w:t>
            </w:r>
          </w:p>
        </w:tc>
        <w:tc>
          <w:tcPr>
            <w:tcW w:w="306" w:type="pct"/>
            <w:vMerge w:val="continue"/>
            <w:vAlign w:val="center"/>
          </w:tcPr>
          <w:p>
            <w:pPr>
              <w:widowControl/>
              <w:spacing w:line="240" w:lineRule="auto"/>
              <w:ind w:firstLine="0" w:firstLineChars="0"/>
              <w:jc w:val="center"/>
              <w:rPr>
                <w:kern w:val="0"/>
                <w:sz w:val="21"/>
                <w:szCs w:val="21"/>
              </w:rPr>
            </w:pPr>
          </w:p>
        </w:tc>
        <w:tc>
          <w:tcPr>
            <w:tcW w:w="538" w:type="pct"/>
            <w:vAlign w:val="center"/>
          </w:tcPr>
          <w:p>
            <w:pPr>
              <w:spacing w:line="240" w:lineRule="auto"/>
              <w:ind w:firstLine="0" w:firstLineChars="0"/>
              <w:jc w:val="center"/>
              <w:rPr>
                <w:rFonts w:hint="eastAsia" w:cs="Times New Roman"/>
                <w:sz w:val="21"/>
                <w:szCs w:val="21"/>
              </w:rPr>
            </w:pPr>
            <w:r>
              <w:rPr>
                <w:rFonts w:hint="eastAsia" w:cs="Times New Roman"/>
                <w:sz w:val="21"/>
                <w:szCs w:val="21"/>
              </w:rPr>
              <w:t>喷淋塔沉渣</w:t>
            </w:r>
          </w:p>
        </w:tc>
        <w:tc>
          <w:tcPr>
            <w:tcW w:w="321" w:type="pct"/>
            <w:vAlign w:val="center"/>
          </w:tcPr>
          <w:p>
            <w:pPr>
              <w:spacing w:line="240" w:lineRule="auto"/>
              <w:ind w:firstLine="0" w:firstLineChars="0"/>
              <w:jc w:val="center"/>
              <w:rPr>
                <w:kern w:val="0"/>
                <w:sz w:val="21"/>
                <w:szCs w:val="21"/>
              </w:rPr>
            </w:pPr>
            <w:r>
              <w:rPr>
                <w:rFonts w:cs="Times New Roman"/>
                <w:sz w:val="21"/>
                <w:szCs w:val="21"/>
              </w:rPr>
              <w:t>固</w:t>
            </w:r>
          </w:p>
        </w:tc>
        <w:tc>
          <w:tcPr>
            <w:tcW w:w="388" w:type="pct"/>
            <w:vAlign w:val="center"/>
          </w:tcPr>
          <w:p>
            <w:pPr>
              <w:widowControl/>
              <w:spacing w:line="240" w:lineRule="auto"/>
              <w:ind w:firstLine="0" w:firstLineChars="0"/>
              <w:jc w:val="center"/>
              <w:rPr>
                <w:kern w:val="0"/>
                <w:sz w:val="21"/>
                <w:szCs w:val="21"/>
              </w:rPr>
            </w:pPr>
            <w:r>
              <w:rPr>
                <w:kern w:val="0"/>
                <w:sz w:val="21"/>
                <w:szCs w:val="21"/>
              </w:rPr>
              <w:t>危险化学品</w:t>
            </w:r>
          </w:p>
        </w:tc>
        <w:tc>
          <w:tcPr>
            <w:tcW w:w="351" w:type="pct"/>
            <w:vAlign w:val="center"/>
          </w:tcPr>
          <w:p>
            <w:pPr>
              <w:widowControl/>
              <w:spacing w:line="240" w:lineRule="auto"/>
              <w:ind w:firstLine="0" w:firstLineChars="0"/>
              <w:jc w:val="center"/>
              <w:rPr>
                <w:kern w:val="0"/>
                <w:sz w:val="21"/>
                <w:szCs w:val="21"/>
              </w:rPr>
            </w:pPr>
            <w:r>
              <w:rPr>
                <w:rFonts w:cs="Times New Roman"/>
                <w:sz w:val="21"/>
                <w:szCs w:val="21"/>
              </w:rPr>
              <w:t>T</w:t>
            </w:r>
          </w:p>
        </w:tc>
        <w:tc>
          <w:tcPr>
            <w:tcW w:w="349" w:type="pct"/>
            <w:vAlign w:val="center"/>
          </w:tcPr>
          <w:p>
            <w:pPr>
              <w:spacing w:line="240" w:lineRule="auto"/>
              <w:ind w:firstLine="0" w:firstLineChars="0"/>
              <w:jc w:val="center"/>
              <w:rPr>
                <w:rFonts w:cs="Times New Roman"/>
                <w:color w:val="000000"/>
                <w:sz w:val="21"/>
                <w:szCs w:val="21"/>
                <w:lang w:bidi="zh-CN"/>
              </w:rPr>
            </w:pPr>
            <w:r>
              <w:rPr>
                <w:rFonts w:hint="eastAsia" w:cs="Times New Roman"/>
                <w:color w:val="000000"/>
                <w:sz w:val="21"/>
                <w:szCs w:val="21"/>
                <w:lang w:bidi="zh-CN"/>
              </w:rPr>
              <w:t>HW13</w:t>
            </w:r>
          </w:p>
        </w:tc>
        <w:tc>
          <w:tcPr>
            <w:tcW w:w="537" w:type="pct"/>
            <w:vAlign w:val="center"/>
          </w:tcPr>
          <w:p>
            <w:pPr>
              <w:spacing w:line="240" w:lineRule="auto"/>
              <w:ind w:firstLine="0" w:firstLineChars="0"/>
              <w:jc w:val="center"/>
              <w:rPr>
                <w:rFonts w:ascii="Times New Roman" w:hAnsi="Times New Roman" w:eastAsia="宋体" w:cstheme="minorBidi"/>
                <w:kern w:val="0"/>
                <w:sz w:val="21"/>
                <w:szCs w:val="21"/>
                <w:lang w:val="en-US" w:eastAsia="zh-CN" w:bidi="ar-SA"/>
              </w:rPr>
            </w:pPr>
            <w:r>
              <w:rPr>
                <w:rFonts w:cs="Times New Roman"/>
                <w:color w:val="000000"/>
                <w:sz w:val="21"/>
                <w:szCs w:val="21"/>
                <w:lang w:bidi="zh-CN"/>
              </w:rPr>
              <w:t>265-104-13</w:t>
            </w:r>
          </w:p>
        </w:tc>
        <w:tc>
          <w:tcPr>
            <w:tcW w:w="591" w:type="pct"/>
            <w:vAlign w:val="center"/>
          </w:tcPr>
          <w:p>
            <w:pPr>
              <w:spacing w:line="240" w:lineRule="auto"/>
              <w:ind w:firstLine="0" w:firstLineChars="0"/>
              <w:jc w:val="center"/>
              <w:rPr>
                <w:rFonts w:hint="eastAsia" w:cs="Times New Roman"/>
                <w:sz w:val="21"/>
                <w:szCs w:val="21"/>
              </w:rPr>
            </w:pPr>
            <w:r>
              <w:rPr>
                <w:rFonts w:hint="eastAsia" w:cs="Times New Roman"/>
                <w:sz w:val="21"/>
                <w:szCs w:val="21"/>
                <w:lang w:val="en-US" w:eastAsia="zh-CN"/>
              </w:rPr>
              <w:t>1.27</w:t>
            </w:r>
          </w:p>
        </w:tc>
        <w:tc>
          <w:tcPr>
            <w:tcW w:w="918" w:type="pct"/>
            <w:vMerge w:val="continue"/>
            <w:vAlign w:val="center"/>
          </w:tcPr>
          <w:p>
            <w:pPr>
              <w:widowControl/>
              <w:spacing w:line="240" w:lineRule="auto"/>
              <w:ind w:firstLine="0" w:firstLineChars="0"/>
              <w:jc w:val="center"/>
              <w:rPr>
                <w:kern w:val="0"/>
                <w:sz w:val="21"/>
                <w:szCs w:val="21"/>
              </w:rPr>
            </w:pPr>
          </w:p>
        </w:tc>
      </w:tr>
    </w:tbl>
    <w:p>
      <w:pPr>
        <w:pStyle w:val="7"/>
        <w:ind w:firstLine="562"/>
      </w:pPr>
      <w:r>
        <w:rPr>
          <w:rFonts w:hint="eastAsia"/>
        </w:rPr>
        <w:t>6.7.2 固废贮存措施可行性</w:t>
      </w:r>
    </w:p>
    <w:p>
      <w:pPr>
        <w:widowControl/>
        <w:ind w:firstLine="480"/>
        <w:rPr>
          <w:rFonts w:cs="Times New Roman"/>
        </w:rPr>
      </w:pPr>
      <w:r>
        <w:rPr>
          <w:rFonts w:cs="Times New Roman"/>
          <w:color w:val="000000"/>
          <w:kern w:val="0"/>
          <w:lang w:bidi="ar"/>
        </w:rPr>
        <w:t>本项目针对产生的固体废物的特点，本着</w:t>
      </w:r>
      <w:r>
        <w:rPr>
          <w:rFonts w:hint="eastAsia" w:cs="Times New Roman"/>
          <w:color w:val="000000"/>
          <w:kern w:val="0"/>
          <w:lang w:eastAsia="zh-CN" w:bidi="ar"/>
        </w:rPr>
        <w:t>“</w:t>
      </w:r>
      <w:r>
        <w:rPr>
          <w:rFonts w:cs="Times New Roman"/>
          <w:color w:val="000000"/>
          <w:kern w:val="0"/>
          <w:lang w:bidi="ar"/>
        </w:rPr>
        <w:t>资源化</w:t>
      </w:r>
      <w:r>
        <w:rPr>
          <w:rFonts w:hint="eastAsia" w:cs="Times New Roman"/>
          <w:color w:val="000000"/>
          <w:kern w:val="0"/>
          <w:lang w:eastAsia="zh-CN" w:bidi="ar"/>
        </w:rPr>
        <w:t>”</w:t>
      </w:r>
      <w:r>
        <w:rPr>
          <w:rFonts w:cs="Times New Roman"/>
          <w:color w:val="000000"/>
          <w:kern w:val="0"/>
          <w:lang w:bidi="ar"/>
        </w:rPr>
        <w:t>、</w:t>
      </w:r>
      <w:r>
        <w:rPr>
          <w:rFonts w:hint="eastAsia" w:cs="Times New Roman"/>
          <w:color w:val="000000"/>
          <w:kern w:val="0"/>
          <w:lang w:eastAsia="zh-CN" w:bidi="ar"/>
        </w:rPr>
        <w:t>“</w:t>
      </w:r>
      <w:r>
        <w:rPr>
          <w:rFonts w:cs="Times New Roman"/>
          <w:color w:val="000000"/>
          <w:kern w:val="0"/>
          <w:lang w:bidi="ar"/>
        </w:rPr>
        <w:t>减量化</w:t>
      </w:r>
      <w:r>
        <w:rPr>
          <w:rFonts w:hint="eastAsia" w:cs="Times New Roman"/>
          <w:color w:val="000000"/>
          <w:kern w:val="0"/>
          <w:lang w:eastAsia="zh-CN" w:bidi="ar"/>
        </w:rPr>
        <w:t>”</w:t>
      </w:r>
      <w:r>
        <w:rPr>
          <w:rFonts w:cs="Times New Roman"/>
          <w:color w:val="000000"/>
          <w:kern w:val="0"/>
          <w:lang w:bidi="ar"/>
        </w:rPr>
        <w:t>和</w:t>
      </w:r>
      <w:r>
        <w:rPr>
          <w:rFonts w:hint="eastAsia" w:cs="Times New Roman"/>
          <w:color w:val="000000"/>
          <w:kern w:val="0"/>
          <w:lang w:eastAsia="zh-CN" w:bidi="ar"/>
        </w:rPr>
        <w:t>“</w:t>
      </w:r>
      <w:r>
        <w:rPr>
          <w:rFonts w:cs="Times New Roman"/>
          <w:color w:val="000000"/>
          <w:kern w:val="0"/>
          <w:lang w:bidi="ar"/>
        </w:rPr>
        <w:t>无害化</w:t>
      </w:r>
      <w:r>
        <w:rPr>
          <w:rFonts w:hint="eastAsia" w:cs="Times New Roman"/>
          <w:color w:val="000000"/>
          <w:kern w:val="0"/>
          <w:lang w:eastAsia="zh-CN" w:bidi="ar"/>
        </w:rPr>
        <w:t>”</w:t>
      </w:r>
      <w:r>
        <w:rPr>
          <w:rFonts w:cs="Times New Roman"/>
          <w:color w:val="000000"/>
          <w:kern w:val="0"/>
          <w:lang w:bidi="ar"/>
        </w:rPr>
        <w:t>原则，实行不同的处置方式，在减少外排环境数量的基础上，力求实现环境效益、经济效益和社会效益的统一。现将处置措施具体分析如下：</w:t>
      </w:r>
    </w:p>
    <w:p>
      <w:pPr>
        <w:widowControl/>
        <w:ind w:firstLine="480"/>
        <w:rPr>
          <w:rFonts w:cs="Times New Roman"/>
          <w:color w:val="000000"/>
          <w:kern w:val="0"/>
          <w:lang w:bidi="ar"/>
        </w:rPr>
      </w:pPr>
      <w:r>
        <w:rPr>
          <w:rFonts w:cs="Times New Roman"/>
          <w:color w:val="000000"/>
          <w:kern w:val="0"/>
          <w:lang w:bidi="ar"/>
        </w:rPr>
        <w:t>一般固废：</w:t>
      </w:r>
      <w:r>
        <w:rPr>
          <w:rFonts w:hint="eastAsia" w:cs="Times New Roman"/>
          <w:color w:val="000000"/>
          <w:kern w:val="0"/>
          <w:lang w:bidi="ar"/>
        </w:rPr>
        <w:t>废弃边角料</w:t>
      </w:r>
      <w:r>
        <w:rPr>
          <w:rFonts w:cs="Times New Roman"/>
          <w:color w:val="000000"/>
          <w:kern w:val="0"/>
          <w:lang w:bidi="ar"/>
        </w:rPr>
        <w:t>、</w:t>
      </w:r>
      <w:r>
        <w:rPr>
          <w:rFonts w:hint="eastAsia" w:cs="Times New Roman"/>
          <w:color w:val="000000"/>
          <w:kern w:val="0"/>
          <w:lang w:eastAsia="zh-CN" w:bidi="ar"/>
        </w:rPr>
        <w:t>一般废弃包装材料</w:t>
      </w:r>
      <w:r>
        <w:rPr>
          <w:rFonts w:cs="Times New Roman"/>
          <w:color w:val="000000"/>
          <w:kern w:val="0"/>
          <w:lang w:bidi="ar"/>
        </w:rPr>
        <w:t>外售资源公司；生活垃圾</w:t>
      </w:r>
      <w:r>
        <w:rPr>
          <w:rFonts w:hint="eastAsia" w:cs="Times New Roman"/>
          <w:color w:val="000000"/>
          <w:kern w:val="0"/>
          <w:lang w:eastAsia="zh-CN" w:bidi="ar"/>
        </w:rPr>
        <w:t>、</w:t>
      </w:r>
      <w:r>
        <w:rPr>
          <w:rFonts w:cs="Times New Roman"/>
          <w:color w:val="000000"/>
          <w:kern w:val="0"/>
          <w:lang w:bidi="ar"/>
        </w:rPr>
        <w:t>除尘器卸灰由环卫清运。</w:t>
      </w:r>
    </w:p>
    <w:p>
      <w:pPr>
        <w:widowControl/>
        <w:ind w:firstLine="480"/>
        <w:rPr>
          <w:rFonts w:cs="Times New Roman"/>
          <w:u w:val="single"/>
        </w:rPr>
      </w:pPr>
      <w:r>
        <w:rPr>
          <w:rFonts w:cs="Times New Roman"/>
          <w:color w:val="000000"/>
          <w:kern w:val="0"/>
          <w:u w:val="single"/>
          <w:lang w:bidi="ar"/>
        </w:rPr>
        <w:t>危险废物：废机油、废催化剂</w:t>
      </w:r>
      <w:r>
        <w:rPr>
          <w:rFonts w:hint="eastAsia" w:cs="Times New Roman"/>
          <w:color w:val="000000"/>
          <w:kern w:val="0"/>
          <w:u w:val="single"/>
          <w:lang w:eastAsia="zh-CN" w:bidi="ar"/>
        </w:rPr>
        <w:t>、</w:t>
      </w:r>
      <w:r>
        <w:rPr>
          <w:rFonts w:cs="Times New Roman"/>
          <w:color w:val="000000"/>
          <w:kern w:val="0"/>
          <w:u w:val="single"/>
          <w:lang w:bidi="ar"/>
        </w:rPr>
        <w:t>废活性炭、污水处理站污泥、喷淋塔沉渣、产品滤渣以及危化品包材分类分区暂存于危废暂存间，定期由有资质单位处置。</w:t>
      </w:r>
    </w:p>
    <w:p>
      <w:pPr>
        <w:widowControl/>
        <w:ind w:firstLine="480"/>
        <w:rPr>
          <w:rFonts w:cs="Times New Roman"/>
        </w:rPr>
      </w:pPr>
      <w:r>
        <w:rPr>
          <w:rFonts w:cs="Times New Roman"/>
          <w:color w:val="000000"/>
          <w:kern w:val="0"/>
          <w:lang w:bidi="ar"/>
        </w:rPr>
        <w:t>本项目设置50m</w:t>
      </w:r>
      <w:r>
        <w:rPr>
          <w:rFonts w:cs="Times New Roman"/>
          <w:color w:val="000000"/>
          <w:kern w:val="0"/>
          <w:vertAlign w:val="superscript"/>
          <w:lang w:bidi="ar"/>
        </w:rPr>
        <w:t>2</w:t>
      </w:r>
      <w:r>
        <w:rPr>
          <w:rFonts w:cs="Times New Roman"/>
          <w:color w:val="000000"/>
          <w:kern w:val="0"/>
          <w:lang w:bidi="ar"/>
        </w:rPr>
        <w:t>危险废物暂存间及100m</w:t>
      </w:r>
      <w:r>
        <w:rPr>
          <w:rFonts w:cs="Times New Roman"/>
          <w:color w:val="000000"/>
          <w:kern w:val="0"/>
          <w:vertAlign w:val="superscript"/>
          <w:lang w:bidi="ar"/>
        </w:rPr>
        <w:t>2</w:t>
      </w:r>
      <w:r>
        <w:rPr>
          <w:rFonts w:cs="Times New Roman"/>
          <w:color w:val="000000"/>
          <w:kern w:val="0"/>
          <w:lang w:bidi="ar"/>
        </w:rPr>
        <w:t>一般固废暂存间，能够满足本项目产生的固废暂存量要求，危险废物在厂内暂存后委托</w:t>
      </w:r>
      <w:r>
        <w:rPr>
          <w:rFonts w:hint="eastAsia" w:cs="Times New Roman"/>
          <w:color w:val="000000"/>
          <w:kern w:val="0"/>
          <w:lang w:bidi="ar"/>
        </w:rPr>
        <w:t>有</w:t>
      </w:r>
      <w:r>
        <w:rPr>
          <w:rFonts w:cs="Times New Roman"/>
          <w:color w:val="000000"/>
          <w:kern w:val="0"/>
          <w:lang w:bidi="ar"/>
        </w:rPr>
        <w:t>资质单位处置</w:t>
      </w:r>
      <w:r>
        <w:rPr>
          <w:rFonts w:cs="Times New Roman"/>
        </w:rPr>
        <w:t>。</w:t>
      </w:r>
    </w:p>
    <w:p>
      <w:pPr>
        <w:pStyle w:val="7"/>
        <w:ind w:firstLine="482"/>
        <w:rPr>
          <w:rFonts w:cs="Times New Roman"/>
          <w:sz w:val="24"/>
        </w:rPr>
      </w:pPr>
      <w:r>
        <w:rPr>
          <w:rFonts w:cs="Times New Roman"/>
          <w:sz w:val="24"/>
        </w:rPr>
        <w:t>6.7.3 危险废物污染防治措施</w:t>
      </w:r>
    </w:p>
    <w:p>
      <w:pPr>
        <w:widowControl/>
        <w:ind w:firstLine="480"/>
        <w:rPr>
          <w:rFonts w:cs="Times New Roman"/>
          <w:color w:val="000000"/>
          <w:kern w:val="0"/>
          <w:lang w:bidi="ar"/>
        </w:rPr>
      </w:pPr>
      <w:r>
        <w:rPr>
          <w:rFonts w:cs="Times New Roman"/>
          <w:color w:val="000000"/>
          <w:kern w:val="0"/>
          <w:u w:val="single"/>
          <w:lang w:bidi="ar"/>
        </w:rPr>
        <w:t>本项目属于化学原料和化学制品制造业</w:t>
      </w:r>
      <w:r>
        <w:rPr>
          <w:rFonts w:hint="eastAsia" w:cs="Times New Roman"/>
          <w:color w:val="000000"/>
          <w:kern w:val="0"/>
          <w:u w:val="single"/>
          <w:lang w:eastAsia="zh-CN" w:bidi="ar"/>
        </w:rPr>
        <w:t>行业</w:t>
      </w:r>
      <w:r>
        <w:rPr>
          <w:rFonts w:hint="eastAsia" w:cs="Times New Roman"/>
          <w:color w:val="000000"/>
          <w:kern w:val="0"/>
          <w:u w:val="single"/>
          <w:lang w:bidi="ar"/>
        </w:rPr>
        <w:t>和橡胶和塑料制品业</w:t>
      </w:r>
      <w:r>
        <w:rPr>
          <w:rFonts w:cs="Times New Roman"/>
          <w:color w:val="000000"/>
          <w:kern w:val="0"/>
          <w:u w:val="single"/>
          <w:lang w:bidi="ar"/>
        </w:rPr>
        <w:t>，营运后产生的危险固废种类较多，危险废物统一收集，分类贮存在符合危险废物贮存标准的容器储存，</w:t>
      </w:r>
      <w:r>
        <w:rPr>
          <w:rFonts w:cs="Times New Roman"/>
          <w:color w:val="000000"/>
          <w:kern w:val="0"/>
          <w:lang w:bidi="ar"/>
        </w:rPr>
        <w:t>加上标签，并有专人管理。用以存放装载液体、半固体危险废物容器的地方，必须有耐腐蚀的硬化地面，且表面无裂隙。不得将不相容的废物混合或合并存放。</w:t>
      </w:r>
      <w:r>
        <w:rPr>
          <w:rFonts w:hint="eastAsia" w:cs="Times New Roman"/>
          <w:color w:val="000000"/>
          <w:kern w:val="0"/>
          <w:lang w:eastAsia="zh-CN" w:bidi="ar"/>
        </w:rPr>
        <w:t>做好</w:t>
      </w:r>
      <w:r>
        <w:rPr>
          <w:rFonts w:cs="Times New Roman"/>
          <w:color w:val="000000"/>
          <w:kern w:val="0"/>
          <w:lang w:bidi="ar"/>
        </w:rPr>
        <w:t>危险废物情况的记录，记录上须注明危险废物的名称、来源、数量、特性和包装容器的类别、入库日期、存放库位、废物出库日期及接收单位名称。</w:t>
      </w:r>
    </w:p>
    <w:p>
      <w:pPr>
        <w:widowControl/>
        <w:ind w:firstLine="480"/>
        <w:rPr>
          <w:rFonts w:cs="Times New Roman"/>
          <w:color w:val="000000"/>
          <w:kern w:val="0"/>
          <w:lang w:bidi="ar"/>
        </w:rPr>
      </w:pPr>
      <w:r>
        <w:rPr>
          <w:rFonts w:cs="Times New Roman"/>
          <w:color w:val="000000"/>
          <w:kern w:val="0"/>
          <w:lang w:bidi="ar"/>
        </w:rPr>
        <w:t>针对本项目危险废物特点，企业在厂区设置1处危废暂存间，建筑面积</w:t>
      </w:r>
      <w:r>
        <w:rPr>
          <w:rFonts w:hint="eastAsia" w:cs="Times New Roman"/>
          <w:color w:val="000000"/>
          <w:kern w:val="0"/>
          <w:lang w:bidi="ar"/>
        </w:rPr>
        <w:t>50</w:t>
      </w:r>
      <w:r>
        <w:rPr>
          <w:rFonts w:cs="Times New Roman"/>
          <w:color w:val="000000"/>
          <w:kern w:val="0"/>
          <w:lang w:bidi="ar"/>
        </w:rPr>
        <w:t>m</w:t>
      </w:r>
      <w:r>
        <w:rPr>
          <w:rFonts w:cs="Times New Roman"/>
          <w:color w:val="000000"/>
          <w:kern w:val="0"/>
          <w:vertAlign w:val="superscript"/>
          <w:lang w:bidi="ar"/>
        </w:rPr>
        <w:t>2</w:t>
      </w:r>
      <w:r>
        <w:rPr>
          <w:rFonts w:cs="Times New Roman"/>
          <w:color w:val="000000"/>
          <w:kern w:val="0"/>
          <w:lang w:bidi="ar"/>
        </w:rPr>
        <w:t>，内分为液态危废暂存区和固态危废暂存区，除生产过程中产生的除尘固废收集后作为生产原料回用于生产外，其余危险废物均需委托资质单位进行安全处置。危废暂存间设置应按照环境保护部公告2017年第43号《建设项目危险废物环境影响评价指南》、《危险废物贮存污染控制标准》（GB18597-2001）及其修改单中相关规定，做到</w:t>
      </w:r>
      <w:r>
        <w:rPr>
          <w:rFonts w:hint="eastAsia" w:cs="Times New Roman"/>
          <w:color w:val="000000"/>
          <w:kern w:val="0"/>
          <w:lang w:eastAsia="zh-CN" w:bidi="ar"/>
        </w:rPr>
        <w:t>“</w:t>
      </w:r>
      <w:r>
        <w:rPr>
          <w:rFonts w:cs="Times New Roman"/>
          <w:color w:val="000000"/>
          <w:kern w:val="0"/>
          <w:lang w:bidi="ar"/>
        </w:rPr>
        <w:t>防风、防雨、防晒、防渗漏</w:t>
      </w:r>
      <w:r>
        <w:rPr>
          <w:rFonts w:hint="eastAsia" w:cs="Times New Roman"/>
          <w:color w:val="000000"/>
          <w:kern w:val="0"/>
          <w:lang w:eastAsia="zh-CN" w:bidi="ar"/>
        </w:rPr>
        <w:t>”</w:t>
      </w:r>
      <w:r>
        <w:rPr>
          <w:rFonts w:cs="Times New Roman"/>
          <w:color w:val="000000"/>
          <w:kern w:val="0"/>
          <w:lang w:bidi="ar"/>
        </w:rPr>
        <w:t>四防要求，防渗层为至少1m厚粘土层或2mm厚人工材料（防渗系数&lt;10-10cm/s），保证地面无裂痕，在危险废物贮存处周围设置围堰。危险废物的盛装容器密封，耐腐蚀，不渗漏，并进行定期检查；危险废物的处置应委托有危险废物处理资质的单位进行安全处置。本项目危险废物应分类收集，分区存放，严禁不相容的固体废物堆放在一起。对于需要委托资质单位进行安全处置的危险固废，企业应在投入运行前与相应资质单位签订委托处置协议，并对危险废物妥善暂存，禁止随意排放污染环境。</w:t>
      </w:r>
    </w:p>
    <w:p>
      <w:pPr>
        <w:widowControl/>
        <w:ind w:firstLine="480"/>
        <w:rPr>
          <w:rFonts w:cs="Times New Roman"/>
          <w:color w:val="000000"/>
          <w:kern w:val="0"/>
          <w:lang w:bidi="ar"/>
        </w:rPr>
      </w:pPr>
      <w:r>
        <w:rPr>
          <w:rFonts w:cs="Times New Roman"/>
          <w:color w:val="000000"/>
          <w:kern w:val="0"/>
          <w:lang w:bidi="ar"/>
        </w:rPr>
        <w:t>从以上分析可知，本项目固体废物全部可以得到合理处置，不会对区域环境造成较大影响。</w:t>
      </w:r>
    </w:p>
    <w:p>
      <w:pPr>
        <w:pStyle w:val="7"/>
        <w:ind w:firstLine="562"/>
      </w:pPr>
      <w:r>
        <w:rPr>
          <w:rFonts w:hint="eastAsia"/>
        </w:rPr>
        <w:t>6.7.4 固废处置小结</w:t>
      </w:r>
    </w:p>
    <w:p>
      <w:pPr>
        <w:widowControl/>
        <w:ind w:firstLine="480"/>
        <w:jc w:val="left"/>
      </w:pPr>
      <w:r>
        <w:rPr>
          <w:rFonts w:hint="eastAsia" w:ascii="宋体" w:hAnsi="宋体" w:cs="宋体"/>
          <w:color w:val="000000"/>
          <w:kern w:val="0"/>
          <w:lang w:bidi="ar"/>
        </w:rPr>
        <w:t>本项目运营期产生的废物在厂内暂存及运输过程均按照危废管理要求进行，本项目暂存间建设现状：地面与裙角采用坚固、防渗的材料建造；用于存放装有废物容器的地方，有耐腐蚀的硬化地面，且表面无裂缝；贮存区四周有防流散围堰；各类危险废物应分类分区域单独存放于危险废物暂存区；危险废物暂存库房和各危险废物贮存容器均应按</w:t>
      </w:r>
      <w:r>
        <w:rPr>
          <w:rFonts w:cs="Times New Roman"/>
          <w:color w:val="000000"/>
          <w:kern w:val="0"/>
          <w:lang w:bidi="ar"/>
        </w:rPr>
        <w:t>GB15562.2</w:t>
      </w:r>
      <w:r>
        <w:rPr>
          <w:rFonts w:hint="eastAsia" w:ascii="宋体" w:hAnsi="宋体" w:cs="宋体"/>
          <w:color w:val="000000"/>
          <w:kern w:val="0"/>
          <w:lang w:bidi="ar"/>
        </w:rPr>
        <w:t>的要求设置专用的危险废物警示标志。评价认为，建设单位在落实本项目各项固体废物防治措施的基础上，运营期内对环境影响很小。</w:t>
      </w:r>
    </w:p>
    <w:p>
      <w:pPr>
        <w:pStyle w:val="6"/>
        <w:ind w:firstLine="643"/>
      </w:pPr>
      <w:bookmarkStart w:id="173" w:name="_Toc651"/>
      <w:bookmarkStart w:id="174" w:name="_Toc30775"/>
      <w:bookmarkStart w:id="175" w:name="_Toc27185"/>
      <w:bookmarkStart w:id="176" w:name="_Toc7453"/>
      <w:bookmarkStart w:id="177" w:name="_Toc5888495"/>
      <w:r>
        <w:rPr>
          <w:rFonts w:hint="eastAsia"/>
          <w:lang w:val="en-US"/>
        </w:rPr>
        <w:t xml:space="preserve">6.8 </w:t>
      </w:r>
      <w:r>
        <w:t>环境风险影响分析</w:t>
      </w:r>
      <w:bookmarkEnd w:id="173"/>
      <w:bookmarkEnd w:id="174"/>
      <w:bookmarkEnd w:id="175"/>
      <w:bookmarkEnd w:id="176"/>
      <w:bookmarkEnd w:id="177"/>
    </w:p>
    <w:p>
      <w:pPr>
        <w:pStyle w:val="7"/>
        <w:ind w:firstLine="562"/>
      </w:pPr>
      <w:bookmarkStart w:id="178" w:name="_Toc28433"/>
      <w:bookmarkStart w:id="179" w:name="_Toc5888496"/>
      <w:r>
        <w:rPr>
          <w:rFonts w:hint="eastAsia"/>
        </w:rPr>
        <w:t xml:space="preserve">6.8.1 </w:t>
      </w:r>
      <w:bookmarkEnd w:id="178"/>
      <w:bookmarkEnd w:id="179"/>
      <w:r>
        <w:rPr>
          <w:rFonts w:hint="eastAsia"/>
        </w:rPr>
        <w:t>环境风险评价目的</w:t>
      </w:r>
    </w:p>
    <w:p>
      <w:pPr>
        <w:pStyle w:val="64"/>
        <w:ind w:firstLine="480"/>
      </w:pPr>
      <w:r>
        <w:t>项目在外界因素的破坏下，具有发生火灾、爆炸、有毒有害物料泄漏等突发性风险事故的可能性。为避免和控制风险事故的发生，对项目在环境风险方面的可行性论证，为项目审批部门的决策、以及项目运营后的环境风险管理提供技术依据。对项目进行风险评价是必要的。环境风险评价和管理的主要目的是：</w:t>
      </w:r>
    </w:p>
    <w:p>
      <w:pPr>
        <w:pStyle w:val="64"/>
        <w:ind w:firstLine="480"/>
      </w:pPr>
      <w:r>
        <w:t>（1）根据项目特点，对项目装置和储运设施在生产过程中存在的各种事故风险因素及隐患进行识别，提出技术防范措施；</w:t>
      </w:r>
    </w:p>
    <w:p>
      <w:pPr>
        <w:pStyle w:val="64"/>
        <w:ind w:firstLine="480"/>
      </w:pPr>
      <w:r>
        <w:t>（2）分析和预测建设项目可能发生的突发性事件或事故，引起有毒、有害、易燃和易爆等物质泄漏到环境中所导致的后果（包括自然环境和社会环境），预测其对人身安全与环境的影响和损害程度；</w:t>
      </w:r>
    </w:p>
    <w:p>
      <w:pPr>
        <w:pStyle w:val="64"/>
        <w:ind w:firstLine="480"/>
      </w:pPr>
      <w:r>
        <w:t>（3）根据风险事件的预测结果，有针对性地提出合理、切实可行的防范减缓措施、应急处理计划和应急预案，以及现场监控报警系统，使得建设项目事故率、损失情况和环境影响达到可接受水平。</w:t>
      </w:r>
    </w:p>
    <w:p>
      <w:pPr>
        <w:pStyle w:val="7"/>
        <w:ind w:firstLine="562"/>
      </w:pPr>
      <w:r>
        <w:rPr>
          <w:rFonts w:hint="eastAsia"/>
        </w:rPr>
        <w:t>6.8.2 风险调查</w:t>
      </w:r>
    </w:p>
    <w:p>
      <w:pPr>
        <w:widowControl/>
        <w:ind w:firstLine="562"/>
        <w:jc w:val="left"/>
      </w:pPr>
      <w:r>
        <w:rPr>
          <w:rFonts w:cs="Times New Roman"/>
          <w:b/>
          <w:bCs/>
          <w:color w:val="000000"/>
          <w:kern w:val="0"/>
          <w:sz w:val="28"/>
          <w:szCs w:val="28"/>
          <w:lang w:bidi="ar"/>
        </w:rPr>
        <w:t>6.</w:t>
      </w:r>
      <w:r>
        <w:rPr>
          <w:rFonts w:hint="eastAsia" w:cs="Times New Roman"/>
          <w:b/>
          <w:bCs/>
          <w:color w:val="000000"/>
          <w:kern w:val="0"/>
          <w:sz w:val="28"/>
          <w:szCs w:val="28"/>
          <w:lang w:bidi="ar"/>
        </w:rPr>
        <w:t xml:space="preserve">8.2.1 </w:t>
      </w:r>
      <w:r>
        <w:rPr>
          <w:rFonts w:hint="eastAsia" w:ascii="宋体" w:hAnsi="宋体" w:cs="宋体"/>
          <w:b/>
          <w:bCs/>
          <w:color w:val="000000"/>
          <w:kern w:val="0"/>
          <w:lang w:bidi="ar"/>
        </w:rPr>
        <w:t>建设项目风险调查</w:t>
      </w:r>
    </w:p>
    <w:p>
      <w:pPr>
        <w:ind w:firstLine="480"/>
        <w:rPr>
          <w:rFonts w:hint="eastAsia" w:eastAsia="宋体" w:cs="Times New Roman"/>
          <w:lang w:val="en-US" w:eastAsia="zh-CN"/>
        </w:rPr>
      </w:pPr>
      <w:r>
        <w:rPr>
          <w:rFonts w:hint="eastAsia" w:cs="Times New Roman"/>
          <w:lang w:val="en-US" w:eastAsia="zh-CN"/>
        </w:rPr>
        <w:t>1、风险物质数量和分布</w:t>
      </w:r>
    </w:p>
    <w:p>
      <w:pPr>
        <w:ind w:firstLine="480"/>
        <w:rPr>
          <w:rFonts w:cs="Times New Roman"/>
        </w:rPr>
      </w:pPr>
      <w:r>
        <w:rPr>
          <w:rFonts w:hint="eastAsia" w:cs="Times New Roman"/>
        </w:rPr>
        <w:t>通过对本项目所涉及的主要化学品进行危险性识别，本次评价收集了上述物质的MSDS资料，根据《建设项目环境风险评价技术导则》（HJ/T169-2018）附录B、《化学品分类和标签规范第18部分：急性毒性》（GB30000.18-2013）和《化学品分类和标签规范第28部分：对水生环境的危害》（GB30000.28-2013），判断本项目所涉及物质是否属于《企业突发环境事件风险分级方法》（HJ941-2018）重点关注的环境风险物质。各化学物质种类及最大储存量详见表6.8-1</w:t>
      </w:r>
    </w:p>
    <w:p>
      <w:pPr>
        <w:widowControl/>
        <w:ind w:firstLine="0" w:firstLineChars="0"/>
        <w:jc w:val="center"/>
        <w:rPr>
          <w:rFonts w:cs="Times New Roman"/>
          <w:b/>
          <w:bCs/>
        </w:rPr>
      </w:pPr>
      <w:r>
        <w:rPr>
          <w:rFonts w:cs="Times New Roman"/>
          <w:b/>
          <w:bCs/>
        </w:rPr>
        <w:t xml:space="preserve">6.8-1  </w:t>
      </w:r>
      <w:r>
        <w:rPr>
          <w:rFonts w:cs="Times New Roman"/>
          <w:b/>
          <w:bCs/>
          <w:color w:val="000000"/>
          <w:kern w:val="0"/>
          <w:lang w:bidi="ar"/>
        </w:rPr>
        <w:t>项目主要风险物质危险性识别表</w:t>
      </w:r>
    </w:p>
    <w:tbl>
      <w:tblPr>
        <w:tblStyle w:val="51"/>
        <w:tblW w:w="5013" w:type="pct"/>
        <w:jc w:val="center"/>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Layout w:type="autofit"/>
        <w:tblCellMar>
          <w:top w:w="0" w:type="dxa"/>
          <w:left w:w="0" w:type="dxa"/>
          <w:bottom w:w="0" w:type="dxa"/>
          <w:right w:w="0" w:type="dxa"/>
        </w:tblCellMar>
      </w:tblPr>
      <w:tblGrid>
        <w:gridCol w:w="596"/>
        <w:gridCol w:w="1870"/>
        <w:gridCol w:w="1173"/>
        <w:gridCol w:w="1365"/>
        <w:gridCol w:w="1367"/>
        <w:gridCol w:w="1367"/>
        <w:gridCol w:w="1368"/>
      </w:tblGrid>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rPr>
            </w:pPr>
            <w:r>
              <w:rPr>
                <w:rFonts w:cs="Times New Roman"/>
                <w:sz w:val="21"/>
                <w:szCs w:val="21"/>
              </w:rPr>
              <w:t>序号</w:t>
            </w:r>
          </w:p>
        </w:tc>
        <w:tc>
          <w:tcPr>
            <w:tcW w:w="1026" w:type="pct"/>
            <w:vAlign w:val="center"/>
          </w:tcPr>
          <w:p>
            <w:pPr>
              <w:spacing w:line="240" w:lineRule="auto"/>
              <w:ind w:firstLine="0" w:firstLineChars="0"/>
              <w:jc w:val="center"/>
              <w:rPr>
                <w:rFonts w:cs="Times New Roman"/>
                <w:sz w:val="21"/>
                <w:szCs w:val="21"/>
              </w:rPr>
            </w:pPr>
            <w:r>
              <w:rPr>
                <w:rFonts w:cs="Times New Roman"/>
                <w:sz w:val="21"/>
                <w:szCs w:val="21"/>
              </w:rPr>
              <w:t>物质名称</w:t>
            </w:r>
          </w:p>
        </w:tc>
        <w:tc>
          <w:tcPr>
            <w:tcW w:w="644" w:type="pct"/>
            <w:vAlign w:val="center"/>
          </w:tcPr>
          <w:p>
            <w:pPr>
              <w:spacing w:line="240" w:lineRule="auto"/>
              <w:ind w:firstLine="0" w:firstLineChars="0"/>
              <w:jc w:val="center"/>
              <w:rPr>
                <w:rFonts w:cs="Times New Roman"/>
                <w:sz w:val="21"/>
                <w:szCs w:val="21"/>
              </w:rPr>
            </w:pPr>
            <w:r>
              <w:rPr>
                <w:rFonts w:cs="Times New Roman"/>
                <w:sz w:val="21"/>
                <w:szCs w:val="21"/>
              </w:rPr>
              <w:t>常态</w:t>
            </w:r>
          </w:p>
        </w:tc>
        <w:tc>
          <w:tcPr>
            <w:tcW w:w="749" w:type="pct"/>
            <w:vAlign w:val="center"/>
          </w:tcPr>
          <w:p>
            <w:pPr>
              <w:spacing w:line="240" w:lineRule="auto"/>
              <w:ind w:firstLine="0" w:firstLineChars="0"/>
              <w:jc w:val="center"/>
              <w:rPr>
                <w:rFonts w:cs="Times New Roman"/>
                <w:sz w:val="21"/>
                <w:szCs w:val="21"/>
              </w:rPr>
            </w:pPr>
            <w:r>
              <w:rPr>
                <w:rFonts w:cs="Times New Roman"/>
                <w:sz w:val="21"/>
                <w:szCs w:val="21"/>
              </w:rPr>
              <w:t>储存位置</w:t>
            </w:r>
          </w:p>
        </w:tc>
        <w:tc>
          <w:tcPr>
            <w:tcW w:w="750" w:type="pct"/>
            <w:vAlign w:val="center"/>
          </w:tcPr>
          <w:p>
            <w:pPr>
              <w:spacing w:line="240" w:lineRule="auto"/>
              <w:ind w:firstLine="0" w:firstLineChars="0"/>
              <w:jc w:val="center"/>
              <w:rPr>
                <w:rFonts w:cs="Times New Roman"/>
                <w:sz w:val="21"/>
                <w:szCs w:val="21"/>
              </w:rPr>
            </w:pPr>
            <w:r>
              <w:rPr>
                <w:rFonts w:cs="Times New Roman"/>
                <w:sz w:val="21"/>
                <w:szCs w:val="21"/>
              </w:rPr>
              <w:t>毒性毒理</w:t>
            </w:r>
          </w:p>
        </w:tc>
        <w:tc>
          <w:tcPr>
            <w:tcW w:w="750" w:type="pct"/>
            <w:vAlign w:val="center"/>
          </w:tcPr>
          <w:p>
            <w:pPr>
              <w:spacing w:line="240" w:lineRule="auto"/>
              <w:ind w:firstLine="0" w:firstLineChars="0"/>
              <w:jc w:val="center"/>
              <w:rPr>
                <w:rFonts w:cs="Times New Roman"/>
                <w:sz w:val="21"/>
                <w:szCs w:val="21"/>
              </w:rPr>
            </w:pPr>
            <w:r>
              <w:rPr>
                <w:rFonts w:cs="Times New Roman"/>
                <w:sz w:val="21"/>
                <w:szCs w:val="21"/>
              </w:rPr>
              <w:t>危险特性</w:t>
            </w:r>
          </w:p>
        </w:tc>
        <w:tc>
          <w:tcPr>
            <w:tcW w:w="751" w:type="pct"/>
            <w:vAlign w:val="center"/>
          </w:tcPr>
          <w:p>
            <w:pPr>
              <w:spacing w:line="240" w:lineRule="auto"/>
              <w:ind w:firstLine="0" w:firstLineChars="0"/>
              <w:jc w:val="center"/>
              <w:rPr>
                <w:rFonts w:cs="Times New Roman"/>
                <w:sz w:val="21"/>
                <w:szCs w:val="21"/>
              </w:rPr>
            </w:pPr>
            <w:r>
              <w:rPr>
                <w:rFonts w:hint="eastAsia" w:cs="Times New Roman"/>
                <w:sz w:val="21"/>
                <w:szCs w:val="21"/>
              </w:rPr>
              <w:t>最大储存量</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1</w:t>
            </w:r>
          </w:p>
        </w:tc>
        <w:tc>
          <w:tcPr>
            <w:tcW w:w="1026" w:type="pct"/>
            <w:vAlign w:val="center"/>
          </w:tcPr>
          <w:p>
            <w:pPr>
              <w:spacing w:line="240" w:lineRule="auto"/>
              <w:ind w:firstLine="0" w:firstLineChars="0"/>
              <w:jc w:val="center"/>
              <w:rPr>
                <w:rFonts w:cs="Times New Roman"/>
                <w:sz w:val="21"/>
                <w:szCs w:val="21"/>
                <w:u w:val="single"/>
              </w:rPr>
            </w:pPr>
            <w:r>
              <w:rPr>
                <w:rFonts w:cs="Times New Roman"/>
                <w:kern w:val="21"/>
                <w:sz w:val="21"/>
                <w:szCs w:val="21"/>
                <w:u w:val="single"/>
              </w:rPr>
              <w:t>MDI50</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急性毒性</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可燃</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2.0</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2</w:t>
            </w:r>
          </w:p>
        </w:tc>
        <w:tc>
          <w:tcPr>
            <w:tcW w:w="1026" w:type="pct"/>
            <w:vAlign w:val="center"/>
          </w:tcPr>
          <w:p>
            <w:pPr>
              <w:spacing w:line="240" w:lineRule="auto"/>
              <w:ind w:firstLine="0" w:firstLineChars="0"/>
              <w:jc w:val="center"/>
              <w:rPr>
                <w:rFonts w:cs="Times New Roman"/>
                <w:sz w:val="21"/>
                <w:szCs w:val="21"/>
                <w:u w:val="single"/>
              </w:rPr>
            </w:pPr>
            <w:r>
              <w:rPr>
                <w:rFonts w:cs="Times New Roman"/>
                <w:kern w:val="21"/>
                <w:sz w:val="21"/>
                <w:szCs w:val="21"/>
                <w:u w:val="single"/>
              </w:rPr>
              <w:t>碳酸二甲酯</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低毒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1.5</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3</w:t>
            </w:r>
          </w:p>
        </w:tc>
        <w:tc>
          <w:tcPr>
            <w:tcW w:w="1026"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丙烯酸</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水生生物高毒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10</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90"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4</w:t>
            </w:r>
          </w:p>
        </w:tc>
        <w:tc>
          <w:tcPr>
            <w:tcW w:w="1026"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甲基丙烯酸甲酯</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丙类仓库</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低毒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3.5</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5</w:t>
            </w:r>
          </w:p>
        </w:tc>
        <w:tc>
          <w:tcPr>
            <w:tcW w:w="1026"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丙烯酸丁酯</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急性毒性</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3.5</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6</w:t>
            </w:r>
          </w:p>
        </w:tc>
        <w:tc>
          <w:tcPr>
            <w:tcW w:w="1026"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lang w:eastAsia="zh-CN"/>
              </w:rPr>
              <w:t>硫磺</w:t>
            </w:r>
          </w:p>
        </w:tc>
        <w:tc>
          <w:tcPr>
            <w:tcW w:w="644"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lang w:eastAsia="zh-CN"/>
              </w:rPr>
              <w:t>固态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rPr>
              <w:t>低毒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1.0</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7</w:t>
            </w:r>
          </w:p>
        </w:tc>
        <w:tc>
          <w:tcPr>
            <w:tcW w:w="1026"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lang w:eastAsia="zh-CN"/>
              </w:rPr>
              <w:t>矿物油</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lang w:eastAsia="zh-CN"/>
              </w:rPr>
              <w:t>储罐区</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低毒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cs="Times New Roman"/>
                <w:sz w:val="21"/>
                <w:szCs w:val="21"/>
                <w:u w:val="single"/>
              </w:rPr>
            </w:pPr>
            <w:r>
              <w:rPr>
                <w:rFonts w:hint="default" w:ascii="Times New Roman" w:hAnsi="Times New Roman" w:cs="Times New Roman"/>
                <w:kern w:val="21"/>
                <w:sz w:val="21"/>
                <w:szCs w:val="21"/>
                <w:u w:val="single"/>
                <w:lang w:val="en-US" w:eastAsia="zh-CN"/>
              </w:rPr>
              <w:t>40</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hint="eastAsia" w:eastAsia="宋体" w:cs="Times New Roman"/>
                <w:sz w:val="21"/>
                <w:szCs w:val="21"/>
                <w:u w:val="single"/>
                <w:lang w:val="en-US" w:eastAsia="zh-CN"/>
              </w:rPr>
            </w:pPr>
            <w:r>
              <w:rPr>
                <w:rFonts w:hint="eastAsia" w:cs="Times New Roman"/>
                <w:sz w:val="21"/>
                <w:szCs w:val="21"/>
                <w:u w:val="single"/>
                <w:lang w:val="en-US" w:eastAsia="zh-CN"/>
              </w:rPr>
              <w:t>8</w:t>
            </w:r>
          </w:p>
        </w:tc>
        <w:tc>
          <w:tcPr>
            <w:tcW w:w="1026" w:type="pct"/>
            <w:vAlign w:val="center"/>
          </w:tcPr>
          <w:p>
            <w:pPr>
              <w:spacing w:line="240" w:lineRule="auto"/>
              <w:ind w:firstLine="0" w:firstLineChars="0"/>
              <w:jc w:val="center"/>
              <w:rPr>
                <w:rFonts w:hint="eastAsia" w:cs="Times New Roman"/>
                <w:sz w:val="21"/>
                <w:szCs w:val="21"/>
                <w:u w:val="single"/>
                <w:lang w:eastAsia="zh-CN"/>
              </w:rPr>
            </w:pPr>
            <w:r>
              <w:rPr>
                <w:rFonts w:hint="eastAsia" w:cs="Times New Roman"/>
                <w:sz w:val="21"/>
                <w:szCs w:val="21"/>
                <w:u w:val="single"/>
                <w:lang w:eastAsia="zh-CN"/>
              </w:rPr>
              <w:t>甲苯二异氰酸酯</w:t>
            </w:r>
          </w:p>
        </w:tc>
        <w:tc>
          <w:tcPr>
            <w:tcW w:w="644" w:type="pct"/>
            <w:vAlign w:val="center"/>
          </w:tcPr>
          <w:p>
            <w:pPr>
              <w:spacing w:line="240" w:lineRule="auto"/>
              <w:ind w:firstLine="0" w:firstLineChars="0"/>
              <w:jc w:val="center"/>
              <w:rPr>
                <w:rFonts w:hint="eastAsia"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hint="eastAsia" w:cs="Times New Roman"/>
                <w:sz w:val="21"/>
                <w:szCs w:val="21"/>
                <w:u w:val="single"/>
                <w:lang w:eastAsia="zh-CN"/>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低毒</w:t>
            </w:r>
            <w:r>
              <w:rPr>
                <w:rFonts w:cs="Times New Roman"/>
                <w:sz w:val="21"/>
                <w:szCs w:val="21"/>
                <w:u w:val="single"/>
              </w:rPr>
              <w:t>毒性</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ascii="Times New Roman" w:hAnsi="Times New Roman" w:cs="Times New Roman"/>
                <w:kern w:val="21"/>
                <w:sz w:val="21"/>
                <w:szCs w:val="21"/>
                <w:u w:val="single"/>
                <w:lang w:val="en-US" w:eastAsia="zh-CN"/>
              </w:rPr>
            </w:pPr>
            <w:r>
              <w:rPr>
                <w:rFonts w:hint="eastAsia" w:cs="Times New Roman"/>
                <w:kern w:val="21"/>
                <w:sz w:val="21"/>
                <w:szCs w:val="21"/>
                <w:u w:val="single"/>
                <w:lang w:val="en-US" w:eastAsia="zh-CN"/>
              </w:rPr>
              <w:t>1.0</w:t>
            </w:r>
          </w:p>
        </w:tc>
      </w:tr>
    </w:tbl>
    <w:p>
      <w:pPr>
        <w:widowControl/>
        <w:ind w:firstLine="562"/>
        <w:jc w:val="left"/>
      </w:pPr>
      <w:r>
        <w:rPr>
          <w:rFonts w:cs="Times New Roman"/>
          <w:b/>
          <w:bCs/>
          <w:color w:val="000000"/>
          <w:kern w:val="0"/>
          <w:sz w:val="28"/>
          <w:szCs w:val="28"/>
          <w:lang w:bidi="ar"/>
        </w:rPr>
        <w:t>6.</w:t>
      </w:r>
      <w:r>
        <w:rPr>
          <w:rFonts w:hint="eastAsia" w:cs="Times New Roman"/>
          <w:b/>
          <w:bCs/>
          <w:color w:val="000000"/>
          <w:kern w:val="0"/>
          <w:sz w:val="28"/>
          <w:szCs w:val="28"/>
          <w:lang w:bidi="ar"/>
        </w:rPr>
        <w:t>8.2.</w:t>
      </w:r>
      <w:r>
        <w:rPr>
          <w:rFonts w:hint="eastAsia" w:cs="Times New Roman"/>
          <w:b/>
          <w:bCs/>
          <w:color w:val="000000"/>
          <w:kern w:val="0"/>
          <w:sz w:val="28"/>
          <w:szCs w:val="28"/>
          <w:lang w:val="en-US" w:eastAsia="zh-CN" w:bidi="ar"/>
        </w:rPr>
        <w:t>2</w:t>
      </w:r>
      <w:r>
        <w:rPr>
          <w:rFonts w:hint="eastAsia" w:cs="Times New Roman"/>
          <w:b/>
          <w:bCs/>
          <w:color w:val="000000"/>
          <w:kern w:val="0"/>
          <w:sz w:val="28"/>
          <w:szCs w:val="28"/>
          <w:lang w:bidi="ar"/>
        </w:rPr>
        <w:t xml:space="preserve"> 环境敏感目标</w:t>
      </w:r>
    </w:p>
    <w:p>
      <w:pPr>
        <w:widowControl/>
        <w:ind w:firstLine="480"/>
        <w:rPr>
          <w:rFonts w:cs="Times New Roman"/>
          <w:b/>
          <w:bCs/>
        </w:rPr>
      </w:pPr>
      <w:r>
        <w:t>根据现场调查及建设单位提供资料，本项目环境风险敏感目标如下</w:t>
      </w:r>
      <w:r>
        <w:rPr>
          <w:rFonts w:hint="eastAsia"/>
        </w:rPr>
        <w:t>：</w:t>
      </w:r>
    </w:p>
    <w:p>
      <w:pPr>
        <w:spacing w:line="240" w:lineRule="auto"/>
        <w:ind w:left="432" w:firstLine="482"/>
        <w:jc w:val="center"/>
        <w:rPr>
          <w:b/>
        </w:rPr>
      </w:pPr>
      <w:r>
        <w:rPr>
          <w:b/>
        </w:rPr>
        <w:t>表</w:t>
      </w:r>
      <w:r>
        <w:rPr>
          <w:rFonts w:hint="eastAsia"/>
          <w:b/>
        </w:rPr>
        <w:t>6.8-</w:t>
      </w:r>
      <w:r>
        <w:rPr>
          <w:rFonts w:hint="eastAsia"/>
          <w:b/>
          <w:lang w:val="en-US" w:eastAsia="zh-CN"/>
        </w:rPr>
        <w:t>2</w:t>
      </w:r>
      <w:r>
        <w:rPr>
          <w:rFonts w:hint="eastAsia"/>
          <w:b/>
        </w:rPr>
        <w:t xml:space="preserve">  </w:t>
      </w:r>
      <w:r>
        <w:rPr>
          <w:b/>
        </w:rPr>
        <w:t>环境敏感目标调查表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6"/>
        <w:gridCol w:w="1537"/>
        <w:gridCol w:w="1579"/>
        <w:gridCol w:w="1670"/>
        <w:gridCol w:w="1704"/>
        <w:gridCol w:w="17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79" w:type="pct"/>
            <w:vMerge w:val="restart"/>
            <w:vAlign w:val="center"/>
          </w:tcPr>
          <w:p>
            <w:pPr>
              <w:spacing w:line="240" w:lineRule="auto"/>
              <w:ind w:firstLine="0" w:firstLineChars="0"/>
              <w:jc w:val="center"/>
            </w:pPr>
            <w:r>
              <w:rPr>
                <w:sz w:val="21"/>
                <w:szCs w:val="21"/>
              </w:rPr>
              <w:t>环境要素</w:t>
            </w:r>
          </w:p>
        </w:tc>
        <w:tc>
          <w:tcPr>
            <w:tcW w:w="827" w:type="pct"/>
            <w:vMerge w:val="restart"/>
            <w:vAlign w:val="center"/>
          </w:tcPr>
          <w:p>
            <w:pPr>
              <w:pStyle w:val="38"/>
              <w:rPr>
                <w:rFonts w:hint="default"/>
              </w:rPr>
            </w:pPr>
            <w:r>
              <w:t>环境保护对象</w:t>
            </w:r>
          </w:p>
        </w:tc>
        <w:tc>
          <w:tcPr>
            <w:tcW w:w="850" w:type="pct"/>
            <w:vMerge w:val="restart"/>
            <w:vAlign w:val="center"/>
          </w:tcPr>
          <w:p>
            <w:pPr>
              <w:pStyle w:val="38"/>
              <w:rPr>
                <w:rFonts w:hint="default"/>
              </w:rPr>
            </w:pPr>
            <w:r>
              <w:t>相对厂址方位</w:t>
            </w:r>
          </w:p>
        </w:tc>
        <w:tc>
          <w:tcPr>
            <w:tcW w:w="899" w:type="pct"/>
            <w:vMerge w:val="restart"/>
            <w:vAlign w:val="center"/>
          </w:tcPr>
          <w:p>
            <w:pPr>
              <w:pStyle w:val="38"/>
              <w:rPr>
                <w:rFonts w:hint="default"/>
              </w:rPr>
            </w:pPr>
            <w:r>
              <w:t>相对最近距离（m）</w:t>
            </w:r>
          </w:p>
        </w:tc>
        <w:tc>
          <w:tcPr>
            <w:tcW w:w="916" w:type="pct"/>
            <w:vMerge w:val="restart"/>
            <w:vAlign w:val="center"/>
          </w:tcPr>
          <w:p>
            <w:pPr>
              <w:pStyle w:val="38"/>
              <w:rPr>
                <w:rFonts w:hint="default"/>
              </w:rPr>
            </w:pPr>
            <w:r>
              <w:t>规模/人数</w:t>
            </w:r>
          </w:p>
        </w:tc>
        <w:tc>
          <w:tcPr>
            <w:tcW w:w="927" w:type="pct"/>
            <w:vMerge w:val="restart"/>
            <w:vAlign w:val="center"/>
          </w:tcPr>
          <w:p>
            <w:pPr>
              <w:spacing w:line="240" w:lineRule="auto"/>
              <w:ind w:firstLine="0" w:firstLineChars="0"/>
              <w:jc w:val="center"/>
            </w:pPr>
            <w:r>
              <w:rPr>
                <w:sz w:val="21"/>
                <w:szCs w:val="21"/>
              </w:rPr>
              <w:t>功能类别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79" w:type="pct"/>
            <w:vMerge w:val="continue"/>
            <w:vAlign w:val="center"/>
          </w:tcPr>
          <w:p>
            <w:pPr>
              <w:pStyle w:val="38"/>
              <w:rPr>
                <w:rFonts w:hint="default"/>
              </w:rPr>
            </w:pPr>
          </w:p>
        </w:tc>
        <w:tc>
          <w:tcPr>
            <w:tcW w:w="827" w:type="pct"/>
            <w:vMerge w:val="continue"/>
            <w:vAlign w:val="center"/>
          </w:tcPr>
          <w:p>
            <w:pPr>
              <w:pStyle w:val="38"/>
              <w:rPr>
                <w:rFonts w:hint="default"/>
              </w:rPr>
            </w:pPr>
          </w:p>
        </w:tc>
        <w:tc>
          <w:tcPr>
            <w:tcW w:w="850" w:type="pct"/>
            <w:vMerge w:val="continue"/>
            <w:vAlign w:val="center"/>
          </w:tcPr>
          <w:p>
            <w:pPr>
              <w:pStyle w:val="38"/>
              <w:rPr>
                <w:rFonts w:hint="default"/>
              </w:rPr>
            </w:pPr>
          </w:p>
        </w:tc>
        <w:tc>
          <w:tcPr>
            <w:tcW w:w="899" w:type="pct"/>
            <w:vMerge w:val="continue"/>
            <w:vAlign w:val="center"/>
          </w:tcPr>
          <w:p>
            <w:pPr>
              <w:pStyle w:val="38"/>
              <w:rPr>
                <w:rFonts w:hint="default"/>
              </w:rPr>
            </w:pPr>
          </w:p>
        </w:tc>
        <w:tc>
          <w:tcPr>
            <w:tcW w:w="916" w:type="pct"/>
            <w:vMerge w:val="continue"/>
            <w:vAlign w:val="center"/>
          </w:tcPr>
          <w:p>
            <w:pPr>
              <w:pStyle w:val="38"/>
              <w:rPr>
                <w:rFonts w:hint="default"/>
              </w:rPr>
            </w:pP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restart"/>
            <w:vAlign w:val="center"/>
          </w:tcPr>
          <w:p>
            <w:pPr>
              <w:spacing w:line="240" w:lineRule="auto"/>
              <w:ind w:firstLine="0" w:firstLineChars="0"/>
              <w:jc w:val="center"/>
            </w:pPr>
            <w:r>
              <w:rPr>
                <w:sz w:val="21"/>
                <w:szCs w:val="21"/>
              </w:rPr>
              <w:t>环境风险</w:t>
            </w:r>
          </w:p>
        </w:tc>
        <w:tc>
          <w:tcPr>
            <w:tcW w:w="827" w:type="pct"/>
            <w:vAlign w:val="center"/>
          </w:tcPr>
          <w:p>
            <w:pPr>
              <w:spacing w:line="240" w:lineRule="auto"/>
              <w:ind w:firstLine="0" w:firstLineChars="0"/>
              <w:jc w:val="center"/>
              <w:rPr>
                <w:rFonts w:hint="default"/>
              </w:rPr>
            </w:pPr>
            <w:r>
              <w:rPr>
                <w:rFonts w:hint="eastAsia" w:cs="Times New Roman"/>
                <w:kern w:val="21"/>
                <w:sz w:val="21"/>
                <w:szCs w:val="21"/>
                <w:lang w:eastAsia="zh-CN"/>
              </w:rPr>
              <w:t>贺渡口村</w:t>
            </w:r>
          </w:p>
        </w:tc>
        <w:tc>
          <w:tcPr>
            <w:tcW w:w="850" w:type="pct"/>
            <w:vAlign w:val="center"/>
          </w:tcPr>
          <w:p>
            <w:pPr>
              <w:spacing w:line="240" w:lineRule="auto"/>
              <w:ind w:firstLine="0" w:firstLineChars="0"/>
              <w:jc w:val="center"/>
              <w:rPr>
                <w:rFonts w:hint="default"/>
              </w:rPr>
            </w:pPr>
            <w:r>
              <w:rPr>
                <w:rFonts w:cs="Times New Roman"/>
                <w:kern w:val="21"/>
                <w:sz w:val="21"/>
                <w:szCs w:val="21"/>
              </w:rPr>
              <w:t>NW</w:t>
            </w:r>
          </w:p>
        </w:tc>
        <w:tc>
          <w:tcPr>
            <w:tcW w:w="899" w:type="pct"/>
            <w:vAlign w:val="top"/>
          </w:tcPr>
          <w:p>
            <w:pPr>
              <w:spacing w:line="240" w:lineRule="auto"/>
              <w:ind w:firstLine="0" w:firstLineChars="0"/>
              <w:jc w:val="center"/>
              <w:rPr>
                <w:rFonts w:hint="default"/>
              </w:rPr>
            </w:pPr>
            <w:r>
              <w:rPr>
                <w:rFonts w:hint="eastAsia" w:cs="Times New Roman"/>
                <w:kern w:val="21"/>
                <w:sz w:val="21"/>
                <w:szCs w:val="21"/>
                <w:lang w:val="en-US" w:eastAsia="zh-CN"/>
              </w:rPr>
              <w:t>2490</w:t>
            </w:r>
          </w:p>
        </w:tc>
        <w:tc>
          <w:tcPr>
            <w:tcW w:w="916" w:type="pct"/>
            <w:vAlign w:val="center"/>
          </w:tcPr>
          <w:p>
            <w:pPr>
              <w:spacing w:line="240" w:lineRule="auto"/>
              <w:ind w:firstLine="0" w:firstLineChars="0"/>
              <w:jc w:val="center"/>
              <w:rPr>
                <w:rFonts w:hint="default"/>
              </w:rPr>
            </w:pPr>
            <w:r>
              <w:rPr>
                <w:rFonts w:cs="Times New Roman"/>
                <w:kern w:val="21"/>
                <w:sz w:val="21"/>
                <w:szCs w:val="21"/>
              </w:rPr>
              <w:t>1</w:t>
            </w:r>
            <w:r>
              <w:rPr>
                <w:rFonts w:hint="eastAsia" w:cs="Times New Roman"/>
                <w:kern w:val="21"/>
                <w:sz w:val="21"/>
                <w:szCs w:val="21"/>
                <w:lang w:val="en-US" w:eastAsia="zh-CN"/>
              </w:rPr>
              <w:t>0</w:t>
            </w:r>
            <w:r>
              <w:rPr>
                <w:rFonts w:cs="Times New Roman"/>
                <w:kern w:val="21"/>
                <w:sz w:val="21"/>
                <w:szCs w:val="21"/>
              </w:rPr>
              <w:t>60</w:t>
            </w:r>
          </w:p>
        </w:tc>
        <w:tc>
          <w:tcPr>
            <w:tcW w:w="927" w:type="pct"/>
            <w:vMerge w:val="restart"/>
            <w:vAlign w:val="center"/>
          </w:tcPr>
          <w:p>
            <w:pPr>
              <w:spacing w:line="240" w:lineRule="auto"/>
              <w:ind w:firstLine="0" w:firstLineChars="0"/>
              <w:jc w:val="center"/>
            </w:pPr>
            <w:r>
              <w:rPr>
                <w:sz w:val="21"/>
                <w:szCs w:val="21"/>
              </w:rPr>
              <w:t>人群健康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827" w:type="pct"/>
            <w:vAlign w:val="center"/>
          </w:tcPr>
          <w:p>
            <w:pPr>
              <w:spacing w:line="240" w:lineRule="auto"/>
              <w:ind w:firstLine="0" w:firstLineChars="0"/>
              <w:jc w:val="center"/>
              <w:rPr>
                <w:rFonts w:hint="default"/>
              </w:rPr>
            </w:pPr>
            <w:r>
              <w:rPr>
                <w:rFonts w:cs="Times New Roman"/>
                <w:kern w:val="21"/>
                <w:sz w:val="21"/>
                <w:szCs w:val="21"/>
              </w:rPr>
              <w:t>余营村</w:t>
            </w:r>
          </w:p>
        </w:tc>
        <w:tc>
          <w:tcPr>
            <w:tcW w:w="850" w:type="pct"/>
            <w:vAlign w:val="center"/>
          </w:tcPr>
          <w:p>
            <w:pPr>
              <w:spacing w:line="240" w:lineRule="auto"/>
              <w:ind w:firstLine="0" w:firstLineChars="0"/>
              <w:jc w:val="center"/>
              <w:rPr>
                <w:rFonts w:hint="default"/>
              </w:rPr>
            </w:pPr>
            <w:r>
              <w:rPr>
                <w:rFonts w:hint="eastAsia" w:cs="Times New Roman"/>
                <w:kern w:val="21"/>
                <w:sz w:val="21"/>
                <w:szCs w:val="21"/>
                <w:lang w:val="en-US" w:eastAsia="zh-CN"/>
              </w:rPr>
              <w:t>S</w:t>
            </w:r>
            <w:r>
              <w:rPr>
                <w:rFonts w:cs="Times New Roman"/>
                <w:kern w:val="21"/>
                <w:sz w:val="21"/>
                <w:szCs w:val="21"/>
              </w:rPr>
              <w:t>E</w:t>
            </w:r>
          </w:p>
        </w:tc>
        <w:tc>
          <w:tcPr>
            <w:tcW w:w="899" w:type="pct"/>
            <w:vAlign w:val="top"/>
          </w:tcPr>
          <w:p>
            <w:pPr>
              <w:spacing w:line="240" w:lineRule="auto"/>
              <w:ind w:firstLine="0" w:firstLineChars="0"/>
              <w:jc w:val="center"/>
              <w:rPr>
                <w:rFonts w:hint="default"/>
              </w:rPr>
            </w:pPr>
            <w:r>
              <w:rPr>
                <w:rFonts w:hint="eastAsia" w:cs="Times New Roman"/>
                <w:kern w:val="21"/>
                <w:sz w:val="21"/>
                <w:szCs w:val="21"/>
                <w:lang w:val="en-US" w:eastAsia="zh-CN"/>
              </w:rPr>
              <w:t>928</w:t>
            </w:r>
          </w:p>
        </w:tc>
        <w:tc>
          <w:tcPr>
            <w:tcW w:w="916" w:type="pct"/>
            <w:vAlign w:val="center"/>
          </w:tcPr>
          <w:p>
            <w:pPr>
              <w:spacing w:line="240" w:lineRule="auto"/>
              <w:ind w:firstLine="0" w:firstLineChars="0"/>
              <w:jc w:val="center"/>
              <w:rPr>
                <w:rFonts w:hint="default"/>
              </w:rPr>
            </w:pPr>
            <w:r>
              <w:rPr>
                <w:rFonts w:hint="eastAsia" w:cs="Times New Roman"/>
                <w:kern w:val="21"/>
                <w:sz w:val="21"/>
                <w:szCs w:val="21"/>
                <w:lang w:val="en-US" w:eastAsia="zh-CN"/>
              </w:rPr>
              <w:t>2000</w:t>
            </w: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827" w:type="pct"/>
            <w:vAlign w:val="center"/>
          </w:tcPr>
          <w:p>
            <w:pPr>
              <w:spacing w:line="240" w:lineRule="auto"/>
              <w:ind w:firstLine="0" w:firstLineChars="0"/>
              <w:jc w:val="center"/>
              <w:rPr>
                <w:rFonts w:hint="default"/>
              </w:rPr>
            </w:pPr>
            <w:r>
              <w:rPr>
                <w:rFonts w:cs="Times New Roman"/>
                <w:kern w:val="21"/>
                <w:sz w:val="21"/>
                <w:szCs w:val="21"/>
              </w:rPr>
              <w:t>龚店镇</w:t>
            </w:r>
          </w:p>
        </w:tc>
        <w:tc>
          <w:tcPr>
            <w:tcW w:w="850" w:type="pct"/>
            <w:vAlign w:val="center"/>
          </w:tcPr>
          <w:p>
            <w:pPr>
              <w:spacing w:line="240" w:lineRule="auto"/>
              <w:ind w:firstLine="0" w:firstLineChars="0"/>
              <w:jc w:val="center"/>
              <w:rPr>
                <w:rFonts w:hint="default"/>
              </w:rPr>
            </w:pPr>
            <w:r>
              <w:rPr>
                <w:rFonts w:cs="Times New Roman"/>
                <w:kern w:val="21"/>
                <w:sz w:val="21"/>
                <w:szCs w:val="21"/>
              </w:rPr>
              <w:t>S</w:t>
            </w:r>
            <w:r>
              <w:rPr>
                <w:rFonts w:hint="eastAsia" w:cs="Times New Roman"/>
                <w:kern w:val="21"/>
                <w:sz w:val="21"/>
                <w:szCs w:val="21"/>
                <w:lang w:val="en-US" w:eastAsia="zh-CN"/>
              </w:rPr>
              <w:t>W</w:t>
            </w:r>
          </w:p>
        </w:tc>
        <w:tc>
          <w:tcPr>
            <w:tcW w:w="899" w:type="pct"/>
            <w:vAlign w:val="top"/>
          </w:tcPr>
          <w:p>
            <w:pPr>
              <w:spacing w:line="240" w:lineRule="auto"/>
              <w:ind w:firstLine="0" w:firstLineChars="0"/>
              <w:jc w:val="center"/>
              <w:rPr>
                <w:rFonts w:hint="default"/>
              </w:rPr>
            </w:pPr>
            <w:r>
              <w:rPr>
                <w:rFonts w:hint="eastAsia" w:cs="Times New Roman"/>
                <w:kern w:val="21"/>
                <w:sz w:val="21"/>
                <w:szCs w:val="21"/>
                <w:lang w:val="en-US" w:eastAsia="zh-CN"/>
              </w:rPr>
              <w:t>1218</w:t>
            </w:r>
          </w:p>
        </w:tc>
        <w:tc>
          <w:tcPr>
            <w:tcW w:w="916" w:type="pct"/>
            <w:vAlign w:val="center"/>
          </w:tcPr>
          <w:p>
            <w:pPr>
              <w:spacing w:line="240" w:lineRule="auto"/>
              <w:ind w:firstLine="0" w:firstLineChars="0"/>
              <w:jc w:val="center"/>
              <w:rPr>
                <w:rFonts w:hint="default"/>
              </w:rPr>
            </w:pPr>
            <w:r>
              <w:rPr>
                <w:rFonts w:cs="Times New Roman"/>
                <w:kern w:val="21"/>
                <w:sz w:val="21"/>
                <w:szCs w:val="21"/>
              </w:rPr>
              <w:t>167</w:t>
            </w:r>
            <w:r>
              <w:rPr>
                <w:rFonts w:hint="eastAsia" w:cs="Times New Roman"/>
                <w:kern w:val="21"/>
                <w:sz w:val="21"/>
                <w:szCs w:val="21"/>
                <w:lang w:val="en-US" w:eastAsia="zh-CN"/>
              </w:rPr>
              <w:t>00</w:t>
            </w: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827" w:type="pct"/>
            <w:vAlign w:val="center"/>
          </w:tcPr>
          <w:p>
            <w:pPr>
              <w:spacing w:line="240" w:lineRule="auto"/>
              <w:ind w:firstLine="0" w:firstLineChars="0"/>
              <w:jc w:val="center"/>
              <w:rPr>
                <w:rFonts w:hint="default"/>
              </w:rPr>
            </w:pPr>
            <w:r>
              <w:rPr>
                <w:rFonts w:cs="Times New Roman"/>
                <w:kern w:val="21"/>
                <w:sz w:val="21"/>
                <w:szCs w:val="21"/>
              </w:rPr>
              <w:t>泥河张村</w:t>
            </w:r>
          </w:p>
        </w:tc>
        <w:tc>
          <w:tcPr>
            <w:tcW w:w="850" w:type="pct"/>
            <w:vAlign w:val="center"/>
          </w:tcPr>
          <w:p>
            <w:pPr>
              <w:spacing w:line="240" w:lineRule="auto"/>
              <w:ind w:firstLine="0" w:firstLineChars="0"/>
              <w:jc w:val="center"/>
              <w:rPr>
                <w:rFonts w:hint="default"/>
              </w:rPr>
            </w:pPr>
            <w:r>
              <w:rPr>
                <w:rFonts w:hint="eastAsia" w:cs="Times New Roman"/>
                <w:kern w:val="21"/>
                <w:sz w:val="21"/>
                <w:szCs w:val="21"/>
                <w:lang w:val="en-US" w:eastAsia="zh-CN"/>
              </w:rPr>
              <w:t>S</w:t>
            </w:r>
            <w:r>
              <w:rPr>
                <w:rFonts w:cs="Times New Roman"/>
                <w:kern w:val="21"/>
                <w:sz w:val="21"/>
                <w:szCs w:val="21"/>
              </w:rPr>
              <w:t>E</w:t>
            </w:r>
          </w:p>
        </w:tc>
        <w:tc>
          <w:tcPr>
            <w:tcW w:w="899" w:type="pct"/>
            <w:vAlign w:val="top"/>
          </w:tcPr>
          <w:p>
            <w:pPr>
              <w:spacing w:line="240" w:lineRule="auto"/>
              <w:ind w:firstLine="0" w:firstLineChars="0"/>
              <w:jc w:val="center"/>
              <w:rPr>
                <w:rFonts w:hint="default"/>
              </w:rPr>
            </w:pPr>
            <w:r>
              <w:rPr>
                <w:rFonts w:hint="eastAsia" w:cs="Times New Roman"/>
                <w:kern w:val="21"/>
                <w:sz w:val="21"/>
                <w:szCs w:val="21"/>
                <w:lang w:val="en-US" w:eastAsia="zh-CN"/>
              </w:rPr>
              <w:t>478</w:t>
            </w:r>
          </w:p>
        </w:tc>
        <w:tc>
          <w:tcPr>
            <w:tcW w:w="916" w:type="pct"/>
            <w:vAlign w:val="center"/>
          </w:tcPr>
          <w:p>
            <w:pPr>
              <w:spacing w:line="240" w:lineRule="auto"/>
              <w:ind w:firstLine="0" w:firstLineChars="0"/>
              <w:jc w:val="center"/>
              <w:rPr>
                <w:rFonts w:hint="default"/>
              </w:rPr>
            </w:pPr>
            <w:r>
              <w:rPr>
                <w:rFonts w:cs="Times New Roman"/>
                <w:kern w:val="21"/>
                <w:sz w:val="21"/>
                <w:szCs w:val="21"/>
              </w:rPr>
              <w:t>930</w:t>
            </w: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827" w:type="pct"/>
            <w:vAlign w:val="center"/>
          </w:tcPr>
          <w:p>
            <w:pPr>
              <w:spacing w:line="240" w:lineRule="auto"/>
              <w:ind w:firstLine="0" w:firstLineChars="0"/>
              <w:jc w:val="center"/>
              <w:rPr>
                <w:rFonts w:hint="default"/>
              </w:rPr>
            </w:pPr>
            <w:r>
              <w:rPr>
                <w:rFonts w:hint="eastAsia" w:cs="Times New Roman"/>
                <w:kern w:val="21"/>
                <w:sz w:val="21"/>
                <w:szCs w:val="21"/>
                <w:lang w:eastAsia="zh-CN"/>
              </w:rPr>
              <w:t>周庄</w:t>
            </w:r>
          </w:p>
        </w:tc>
        <w:tc>
          <w:tcPr>
            <w:tcW w:w="850" w:type="pct"/>
            <w:vAlign w:val="center"/>
          </w:tcPr>
          <w:p>
            <w:pPr>
              <w:spacing w:line="240" w:lineRule="auto"/>
              <w:ind w:firstLine="0" w:firstLineChars="0"/>
              <w:jc w:val="center"/>
              <w:rPr>
                <w:rFonts w:hint="default"/>
              </w:rPr>
            </w:pPr>
            <w:r>
              <w:rPr>
                <w:rFonts w:cs="Times New Roman"/>
                <w:kern w:val="21"/>
                <w:sz w:val="21"/>
                <w:szCs w:val="21"/>
              </w:rPr>
              <w:t>S</w:t>
            </w:r>
          </w:p>
        </w:tc>
        <w:tc>
          <w:tcPr>
            <w:tcW w:w="899" w:type="pct"/>
            <w:vAlign w:val="top"/>
          </w:tcPr>
          <w:p>
            <w:pPr>
              <w:spacing w:line="240" w:lineRule="auto"/>
              <w:ind w:firstLine="0" w:firstLineChars="0"/>
              <w:jc w:val="center"/>
              <w:rPr>
                <w:rFonts w:hint="default"/>
              </w:rPr>
            </w:pPr>
            <w:r>
              <w:rPr>
                <w:rFonts w:hint="eastAsia" w:cs="Times New Roman"/>
                <w:kern w:val="21"/>
                <w:sz w:val="21"/>
                <w:szCs w:val="21"/>
                <w:lang w:val="en-US" w:eastAsia="zh-CN"/>
              </w:rPr>
              <w:t>941</w:t>
            </w:r>
          </w:p>
        </w:tc>
        <w:tc>
          <w:tcPr>
            <w:tcW w:w="916" w:type="pct"/>
            <w:vAlign w:val="center"/>
          </w:tcPr>
          <w:p>
            <w:pPr>
              <w:spacing w:line="240" w:lineRule="auto"/>
              <w:ind w:firstLine="0" w:firstLineChars="0"/>
              <w:jc w:val="center"/>
              <w:rPr>
                <w:rFonts w:hint="default"/>
              </w:rPr>
            </w:pPr>
            <w:r>
              <w:rPr>
                <w:rFonts w:cs="Times New Roman"/>
                <w:kern w:val="21"/>
                <w:sz w:val="21"/>
                <w:szCs w:val="21"/>
              </w:rPr>
              <w:t>470</w:t>
            </w: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827" w:type="pct"/>
            <w:vAlign w:val="center"/>
          </w:tcPr>
          <w:p>
            <w:pPr>
              <w:spacing w:line="240" w:lineRule="auto"/>
              <w:ind w:firstLine="0" w:firstLineChars="0"/>
              <w:jc w:val="center"/>
              <w:rPr>
                <w:rFonts w:hint="default"/>
              </w:rPr>
            </w:pPr>
            <w:r>
              <w:rPr>
                <w:rFonts w:hint="eastAsia" w:cs="Times New Roman"/>
                <w:kern w:val="21"/>
                <w:sz w:val="21"/>
                <w:szCs w:val="21"/>
                <w:lang w:eastAsia="zh-CN"/>
              </w:rPr>
              <w:t>龚西村</w:t>
            </w:r>
          </w:p>
        </w:tc>
        <w:tc>
          <w:tcPr>
            <w:tcW w:w="850" w:type="pct"/>
            <w:vAlign w:val="center"/>
          </w:tcPr>
          <w:p>
            <w:pPr>
              <w:spacing w:line="240" w:lineRule="auto"/>
              <w:ind w:firstLine="0" w:firstLineChars="0"/>
              <w:jc w:val="center"/>
              <w:rPr>
                <w:rFonts w:hint="default"/>
              </w:rPr>
            </w:pPr>
            <w:r>
              <w:rPr>
                <w:rFonts w:cs="Times New Roman"/>
                <w:kern w:val="21"/>
                <w:sz w:val="21"/>
                <w:szCs w:val="21"/>
              </w:rPr>
              <w:t>SW</w:t>
            </w:r>
          </w:p>
        </w:tc>
        <w:tc>
          <w:tcPr>
            <w:tcW w:w="899" w:type="pct"/>
            <w:vAlign w:val="top"/>
          </w:tcPr>
          <w:p>
            <w:pPr>
              <w:spacing w:line="240" w:lineRule="auto"/>
              <w:ind w:firstLine="0" w:firstLineChars="0"/>
              <w:jc w:val="center"/>
              <w:rPr>
                <w:rFonts w:hint="default"/>
              </w:rPr>
            </w:pPr>
            <w:r>
              <w:rPr>
                <w:rFonts w:hint="eastAsia" w:cs="Times New Roman"/>
                <w:kern w:val="21"/>
                <w:sz w:val="21"/>
                <w:szCs w:val="21"/>
                <w:lang w:val="en-US" w:eastAsia="zh-CN"/>
              </w:rPr>
              <w:t>2062</w:t>
            </w:r>
          </w:p>
        </w:tc>
        <w:tc>
          <w:tcPr>
            <w:tcW w:w="916" w:type="pct"/>
            <w:vAlign w:val="center"/>
          </w:tcPr>
          <w:p>
            <w:pPr>
              <w:spacing w:line="240" w:lineRule="auto"/>
              <w:ind w:firstLine="0" w:firstLineChars="0"/>
              <w:jc w:val="center"/>
              <w:rPr>
                <w:rFonts w:hint="default"/>
              </w:rPr>
            </w:pPr>
            <w:r>
              <w:rPr>
                <w:rFonts w:cs="Times New Roman"/>
                <w:kern w:val="21"/>
                <w:sz w:val="21"/>
                <w:szCs w:val="21"/>
              </w:rPr>
              <w:t>370</w:t>
            </w: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827" w:type="pct"/>
            <w:vAlign w:val="center"/>
          </w:tcPr>
          <w:p>
            <w:pPr>
              <w:spacing w:line="240" w:lineRule="auto"/>
              <w:ind w:firstLine="0" w:firstLineChars="0"/>
              <w:jc w:val="center"/>
              <w:rPr>
                <w:rFonts w:hint="default"/>
              </w:rPr>
            </w:pPr>
            <w:r>
              <w:rPr>
                <w:rFonts w:hint="eastAsia" w:cs="Times New Roman"/>
                <w:kern w:val="21"/>
                <w:sz w:val="21"/>
                <w:szCs w:val="21"/>
                <w:lang w:eastAsia="zh-CN"/>
              </w:rPr>
              <w:t>龚东村</w:t>
            </w:r>
          </w:p>
        </w:tc>
        <w:tc>
          <w:tcPr>
            <w:tcW w:w="850" w:type="pct"/>
            <w:vAlign w:val="center"/>
          </w:tcPr>
          <w:p>
            <w:pPr>
              <w:spacing w:line="240" w:lineRule="auto"/>
              <w:ind w:firstLine="0" w:firstLineChars="0"/>
              <w:jc w:val="center"/>
              <w:rPr>
                <w:rFonts w:hint="default"/>
              </w:rPr>
            </w:pPr>
            <w:r>
              <w:rPr>
                <w:rFonts w:cs="Times New Roman"/>
                <w:kern w:val="21"/>
                <w:sz w:val="21"/>
                <w:szCs w:val="21"/>
              </w:rPr>
              <w:t>SW</w:t>
            </w:r>
          </w:p>
        </w:tc>
        <w:tc>
          <w:tcPr>
            <w:tcW w:w="899" w:type="pct"/>
            <w:vAlign w:val="top"/>
          </w:tcPr>
          <w:p>
            <w:pPr>
              <w:spacing w:line="240" w:lineRule="auto"/>
              <w:ind w:firstLine="0" w:firstLineChars="0"/>
              <w:jc w:val="center"/>
              <w:rPr>
                <w:rFonts w:hint="default"/>
              </w:rPr>
            </w:pPr>
            <w:r>
              <w:rPr>
                <w:rFonts w:hint="eastAsia" w:cs="Times New Roman"/>
                <w:kern w:val="21"/>
                <w:sz w:val="21"/>
                <w:szCs w:val="21"/>
                <w:lang w:val="en-US" w:eastAsia="zh-CN"/>
              </w:rPr>
              <w:t>14</w:t>
            </w:r>
            <w:r>
              <w:rPr>
                <w:rFonts w:cs="Times New Roman"/>
                <w:kern w:val="21"/>
                <w:sz w:val="21"/>
                <w:szCs w:val="21"/>
              </w:rPr>
              <w:t>40</w:t>
            </w:r>
          </w:p>
        </w:tc>
        <w:tc>
          <w:tcPr>
            <w:tcW w:w="916" w:type="pct"/>
            <w:vAlign w:val="center"/>
          </w:tcPr>
          <w:p>
            <w:pPr>
              <w:spacing w:line="240" w:lineRule="auto"/>
              <w:ind w:firstLine="0" w:firstLineChars="0"/>
              <w:jc w:val="center"/>
              <w:rPr>
                <w:rFonts w:hint="default"/>
              </w:rPr>
            </w:pPr>
            <w:r>
              <w:rPr>
                <w:rFonts w:cs="Times New Roman"/>
                <w:kern w:val="21"/>
                <w:sz w:val="21"/>
                <w:szCs w:val="21"/>
              </w:rPr>
              <w:t>920</w:t>
            </w: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79" w:type="pct"/>
            <w:vMerge w:val="continue"/>
            <w:vAlign w:val="center"/>
          </w:tcPr>
          <w:p>
            <w:pPr>
              <w:pStyle w:val="38"/>
              <w:rPr>
                <w:rFonts w:hint="default"/>
              </w:rPr>
            </w:pPr>
          </w:p>
        </w:tc>
        <w:tc>
          <w:tcPr>
            <w:tcW w:w="827" w:type="pct"/>
            <w:vAlign w:val="center"/>
          </w:tcPr>
          <w:p>
            <w:pPr>
              <w:spacing w:line="240" w:lineRule="auto"/>
              <w:ind w:firstLine="0" w:firstLineChars="0"/>
              <w:jc w:val="center"/>
              <w:rPr>
                <w:rFonts w:hint="default"/>
              </w:rPr>
            </w:pPr>
            <w:r>
              <w:rPr>
                <w:rFonts w:hint="eastAsia" w:cs="Times New Roman"/>
                <w:kern w:val="21"/>
                <w:sz w:val="21"/>
                <w:szCs w:val="21"/>
                <w:lang w:eastAsia="zh-CN"/>
              </w:rPr>
              <w:t>台刘村</w:t>
            </w:r>
          </w:p>
        </w:tc>
        <w:tc>
          <w:tcPr>
            <w:tcW w:w="850" w:type="pct"/>
            <w:vAlign w:val="center"/>
          </w:tcPr>
          <w:p>
            <w:pPr>
              <w:spacing w:line="240" w:lineRule="auto"/>
              <w:ind w:firstLine="0" w:firstLineChars="0"/>
              <w:jc w:val="center"/>
              <w:rPr>
                <w:rFonts w:hint="default"/>
              </w:rPr>
            </w:pPr>
            <w:r>
              <w:rPr>
                <w:rFonts w:hint="eastAsia" w:cs="Times New Roman"/>
                <w:kern w:val="21"/>
                <w:sz w:val="21"/>
                <w:szCs w:val="21"/>
                <w:lang w:val="en-US" w:eastAsia="zh-CN"/>
              </w:rPr>
              <w:t>S</w:t>
            </w:r>
            <w:r>
              <w:rPr>
                <w:rFonts w:cs="Times New Roman"/>
                <w:kern w:val="21"/>
                <w:sz w:val="21"/>
                <w:szCs w:val="21"/>
              </w:rPr>
              <w:t>E</w:t>
            </w:r>
          </w:p>
        </w:tc>
        <w:tc>
          <w:tcPr>
            <w:tcW w:w="899" w:type="pct"/>
            <w:vAlign w:val="top"/>
          </w:tcPr>
          <w:p>
            <w:pPr>
              <w:spacing w:line="240" w:lineRule="auto"/>
              <w:ind w:firstLine="0" w:firstLineChars="0"/>
              <w:jc w:val="center"/>
              <w:rPr>
                <w:rFonts w:hint="default"/>
              </w:rPr>
            </w:pPr>
            <w:r>
              <w:rPr>
                <w:rFonts w:hint="eastAsia" w:cs="Times New Roman"/>
                <w:kern w:val="21"/>
                <w:sz w:val="21"/>
                <w:szCs w:val="21"/>
                <w:lang w:val="en-US" w:eastAsia="zh-CN"/>
              </w:rPr>
              <w:t>2422</w:t>
            </w:r>
          </w:p>
        </w:tc>
        <w:tc>
          <w:tcPr>
            <w:tcW w:w="916" w:type="pct"/>
            <w:vAlign w:val="center"/>
          </w:tcPr>
          <w:p>
            <w:pPr>
              <w:spacing w:line="240" w:lineRule="auto"/>
              <w:ind w:firstLine="0" w:firstLineChars="0"/>
              <w:jc w:val="center"/>
              <w:rPr>
                <w:rFonts w:hint="default"/>
              </w:rPr>
            </w:pPr>
            <w:r>
              <w:rPr>
                <w:rFonts w:hint="eastAsia" w:cs="Times New Roman"/>
                <w:kern w:val="21"/>
                <w:sz w:val="21"/>
                <w:szCs w:val="21"/>
                <w:lang w:val="en-US" w:eastAsia="zh-CN"/>
              </w:rPr>
              <w:t>22</w:t>
            </w:r>
            <w:r>
              <w:rPr>
                <w:rFonts w:hint="eastAsia" w:cs="Times New Roman"/>
                <w:kern w:val="21"/>
                <w:sz w:val="21"/>
                <w:szCs w:val="21"/>
              </w:rPr>
              <w:t>50</w:t>
            </w: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579" w:type="pct"/>
            <w:vMerge w:val="continue"/>
            <w:vAlign w:val="center"/>
          </w:tcPr>
          <w:p>
            <w:pPr>
              <w:pStyle w:val="38"/>
              <w:rPr>
                <w:rFonts w:hint="default"/>
              </w:rPr>
            </w:pPr>
          </w:p>
        </w:tc>
        <w:tc>
          <w:tcPr>
            <w:tcW w:w="827" w:type="pct"/>
            <w:vAlign w:val="center"/>
          </w:tcPr>
          <w:p>
            <w:pPr>
              <w:spacing w:line="240" w:lineRule="auto"/>
              <w:ind w:firstLine="0" w:firstLineChars="0"/>
              <w:jc w:val="center"/>
              <w:rPr>
                <w:rFonts w:hint="default"/>
              </w:rPr>
            </w:pPr>
            <w:r>
              <w:rPr>
                <w:rFonts w:hint="eastAsia" w:cs="Times New Roman"/>
                <w:kern w:val="21"/>
                <w:sz w:val="21"/>
                <w:szCs w:val="21"/>
                <w:lang w:eastAsia="zh-CN"/>
              </w:rPr>
              <w:t>楼马村</w:t>
            </w:r>
          </w:p>
        </w:tc>
        <w:tc>
          <w:tcPr>
            <w:tcW w:w="850" w:type="pct"/>
            <w:vAlign w:val="center"/>
          </w:tcPr>
          <w:p>
            <w:pPr>
              <w:spacing w:line="240" w:lineRule="auto"/>
              <w:ind w:firstLine="0" w:firstLineChars="0"/>
              <w:jc w:val="center"/>
              <w:rPr>
                <w:rFonts w:hint="default"/>
              </w:rPr>
            </w:pPr>
            <w:r>
              <w:rPr>
                <w:rFonts w:cs="Times New Roman"/>
                <w:kern w:val="21"/>
                <w:sz w:val="21"/>
                <w:szCs w:val="21"/>
              </w:rPr>
              <w:t>NW</w:t>
            </w:r>
          </w:p>
        </w:tc>
        <w:tc>
          <w:tcPr>
            <w:tcW w:w="899" w:type="pct"/>
            <w:vAlign w:val="top"/>
          </w:tcPr>
          <w:p>
            <w:pPr>
              <w:spacing w:line="240" w:lineRule="auto"/>
              <w:ind w:firstLine="0" w:firstLineChars="0"/>
              <w:jc w:val="center"/>
              <w:rPr>
                <w:rFonts w:hint="default"/>
              </w:rPr>
            </w:pPr>
            <w:r>
              <w:rPr>
                <w:rFonts w:cs="Times New Roman"/>
                <w:kern w:val="21"/>
                <w:sz w:val="21"/>
                <w:szCs w:val="21"/>
              </w:rPr>
              <w:t>2</w:t>
            </w:r>
            <w:r>
              <w:rPr>
                <w:rFonts w:hint="eastAsia" w:cs="Times New Roman"/>
                <w:kern w:val="21"/>
                <w:sz w:val="21"/>
                <w:szCs w:val="21"/>
                <w:lang w:val="en-US" w:eastAsia="zh-CN"/>
              </w:rPr>
              <w:t>447</w:t>
            </w:r>
          </w:p>
        </w:tc>
        <w:tc>
          <w:tcPr>
            <w:tcW w:w="916" w:type="pct"/>
            <w:vAlign w:val="center"/>
          </w:tcPr>
          <w:p>
            <w:pPr>
              <w:spacing w:line="240" w:lineRule="auto"/>
              <w:ind w:firstLine="0" w:firstLineChars="0"/>
              <w:jc w:val="center"/>
              <w:rPr>
                <w:rFonts w:hint="default"/>
              </w:rPr>
            </w:pPr>
            <w:r>
              <w:rPr>
                <w:rFonts w:hint="eastAsia" w:cs="Times New Roman"/>
                <w:kern w:val="21"/>
                <w:sz w:val="21"/>
                <w:szCs w:val="21"/>
                <w:lang w:val="en-US" w:eastAsia="zh-CN"/>
              </w:rPr>
              <w:t>1</w:t>
            </w:r>
            <w:r>
              <w:rPr>
                <w:rFonts w:cs="Times New Roman"/>
                <w:kern w:val="21"/>
                <w:sz w:val="21"/>
                <w:szCs w:val="21"/>
              </w:rPr>
              <w:t>735</w:t>
            </w: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579" w:type="pct"/>
            <w:vMerge w:val="continue"/>
            <w:vAlign w:val="center"/>
          </w:tcPr>
          <w:p>
            <w:pPr>
              <w:pStyle w:val="38"/>
              <w:rPr>
                <w:rFonts w:hint="default"/>
              </w:rPr>
            </w:pPr>
          </w:p>
        </w:tc>
        <w:tc>
          <w:tcPr>
            <w:tcW w:w="827" w:type="pct"/>
            <w:vAlign w:val="center"/>
          </w:tcPr>
          <w:p>
            <w:pPr>
              <w:spacing w:line="240" w:lineRule="auto"/>
              <w:ind w:firstLine="0" w:firstLineChars="0"/>
              <w:jc w:val="center"/>
              <w:rPr>
                <w:rFonts w:hint="eastAsia" w:cs="Times New Roman"/>
                <w:kern w:val="21"/>
                <w:sz w:val="21"/>
                <w:szCs w:val="21"/>
                <w:u w:val="single"/>
                <w:lang w:eastAsia="zh-CN"/>
              </w:rPr>
            </w:pPr>
            <w:r>
              <w:rPr>
                <w:rFonts w:hint="eastAsia" w:cs="Times New Roman"/>
                <w:kern w:val="21"/>
                <w:sz w:val="21"/>
                <w:szCs w:val="21"/>
                <w:u w:val="single"/>
                <w:lang w:eastAsia="zh-CN"/>
              </w:rPr>
              <w:t>苏科村</w:t>
            </w:r>
          </w:p>
        </w:tc>
        <w:tc>
          <w:tcPr>
            <w:tcW w:w="1579" w:type="dxa"/>
            <w:vAlign w:val="center"/>
          </w:tcPr>
          <w:p>
            <w:pPr>
              <w:spacing w:line="240" w:lineRule="auto"/>
              <w:ind w:firstLine="0" w:firstLineChars="0"/>
              <w:jc w:val="center"/>
              <w:rPr>
                <w:rFonts w:cs="Times New Roman"/>
                <w:kern w:val="21"/>
                <w:sz w:val="21"/>
                <w:szCs w:val="21"/>
                <w:u w:val="single"/>
              </w:rPr>
            </w:pPr>
            <w:r>
              <w:rPr>
                <w:rFonts w:cs="Times New Roman"/>
                <w:kern w:val="21"/>
                <w:sz w:val="21"/>
                <w:szCs w:val="21"/>
                <w:u w:val="single"/>
              </w:rPr>
              <w:t>SE</w:t>
            </w:r>
          </w:p>
        </w:tc>
        <w:tc>
          <w:tcPr>
            <w:tcW w:w="1670" w:type="dxa"/>
            <w:vAlign w:val="center"/>
          </w:tcPr>
          <w:p>
            <w:pPr>
              <w:spacing w:line="240" w:lineRule="auto"/>
              <w:ind w:firstLine="0" w:firstLineChars="0"/>
              <w:jc w:val="center"/>
              <w:rPr>
                <w:rFonts w:cs="Times New Roman"/>
                <w:kern w:val="21"/>
                <w:sz w:val="21"/>
                <w:szCs w:val="21"/>
                <w:u w:val="single"/>
              </w:rPr>
            </w:pPr>
            <w:r>
              <w:rPr>
                <w:rFonts w:hint="eastAsia" w:cs="Times New Roman"/>
                <w:kern w:val="21"/>
                <w:sz w:val="21"/>
                <w:szCs w:val="21"/>
                <w:u w:val="single"/>
                <w:lang w:val="en-US" w:eastAsia="zh-CN"/>
              </w:rPr>
              <w:t>1887</w:t>
            </w:r>
          </w:p>
        </w:tc>
        <w:tc>
          <w:tcPr>
            <w:tcW w:w="1704" w:type="dxa"/>
            <w:vAlign w:val="center"/>
          </w:tcPr>
          <w:p>
            <w:pPr>
              <w:spacing w:line="240" w:lineRule="auto"/>
              <w:ind w:firstLine="0" w:firstLineChars="0"/>
              <w:jc w:val="center"/>
              <w:rPr>
                <w:rFonts w:hint="eastAsia" w:cs="Times New Roman"/>
                <w:kern w:val="21"/>
                <w:sz w:val="21"/>
                <w:szCs w:val="21"/>
                <w:u w:val="single"/>
                <w:lang w:val="en-US" w:eastAsia="zh-CN"/>
              </w:rPr>
            </w:pPr>
            <w:r>
              <w:rPr>
                <w:rFonts w:cs="Times New Roman"/>
                <w:kern w:val="21"/>
                <w:sz w:val="21"/>
                <w:szCs w:val="21"/>
                <w:u w:val="single"/>
              </w:rPr>
              <w:t>980</w:t>
            </w:r>
          </w:p>
        </w:tc>
        <w:tc>
          <w:tcPr>
            <w:tcW w:w="927"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3493" w:type="pct"/>
            <w:gridSpan w:val="4"/>
            <w:vAlign w:val="center"/>
          </w:tcPr>
          <w:p>
            <w:pPr>
              <w:pStyle w:val="38"/>
              <w:rPr>
                <w:rFonts w:hint="default"/>
              </w:rPr>
            </w:pPr>
            <w:r>
              <w:t>厂址周边500m范围内人口数小计</w:t>
            </w:r>
          </w:p>
        </w:tc>
        <w:tc>
          <w:tcPr>
            <w:tcW w:w="927" w:type="pct"/>
            <w:vAlign w:val="center"/>
          </w:tcPr>
          <w:p>
            <w:pPr>
              <w:pStyle w:val="38"/>
              <w:rPr>
                <w:rFonts w:hint="default"/>
              </w:rPr>
            </w:pPr>
            <w:r>
              <w:t>约</w:t>
            </w:r>
            <w:r>
              <w:rPr>
                <w:rFonts w:hint="eastAsia"/>
                <w:lang w:val="en-US" w:eastAsia="zh-CN"/>
              </w:rPr>
              <w:t>930</w:t>
            </w:r>
            <w: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79" w:type="pct"/>
            <w:vMerge w:val="continue"/>
            <w:vAlign w:val="center"/>
          </w:tcPr>
          <w:p>
            <w:pPr>
              <w:pStyle w:val="38"/>
              <w:rPr>
                <w:rFonts w:hint="default"/>
              </w:rPr>
            </w:pPr>
          </w:p>
        </w:tc>
        <w:tc>
          <w:tcPr>
            <w:tcW w:w="3493" w:type="pct"/>
            <w:gridSpan w:val="4"/>
            <w:vAlign w:val="center"/>
          </w:tcPr>
          <w:p>
            <w:pPr>
              <w:pStyle w:val="38"/>
              <w:rPr>
                <w:rFonts w:hint="default"/>
              </w:rPr>
            </w:pPr>
            <w:r>
              <w:t>厂址周边5km范围内人口数小计</w:t>
            </w:r>
          </w:p>
        </w:tc>
        <w:tc>
          <w:tcPr>
            <w:tcW w:w="927" w:type="pct"/>
            <w:vAlign w:val="center"/>
          </w:tcPr>
          <w:p>
            <w:pPr>
              <w:pStyle w:val="38"/>
              <w:rPr>
                <w:rFonts w:hint="default"/>
              </w:rPr>
            </w:pPr>
            <w:r>
              <w:t>约</w:t>
            </w:r>
            <w:r>
              <w:rPr>
                <w:rFonts w:hint="eastAsia"/>
                <w:lang w:val="en-US" w:eastAsia="zh-CN"/>
              </w:rPr>
              <w:t>27415</w:t>
            </w:r>
            <w: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3493" w:type="pct"/>
            <w:gridSpan w:val="4"/>
            <w:vAlign w:val="center"/>
          </w:tcPr>
          <w:p>
            <w:pPr>
              <w:pStyle w:val="38"/>
              <w:rPr>
                <w:rFonts w:hint="default"/>
              </w:rPr>
            </w:pPr>
            <w:r>
              <w:t>大气环境敏感程度E值</w:t>
            </w:r>
          </w:p>
        </w:tc>
        <w:tc>
          <w:tcPr>
            <w:tcW w:w="927" w:type="pct"/>
            <w:vAlign w:val="center"/>
          </w:tcPr>
          <w:p>
            <w:pPr>
              <w:pStyle w:val="38"/>
              <w:rPr>
                <w:rFonts w:hint="default"/>
              </w:rPr>
            </w:pPr>
            <w:r>
              <w:t>E2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restart"/>
            <w:vAlign w:val="center"/>
          </w:tcPr>
          <w:p>
            <w:pPr>
              <w:pStyle w:val="38"/>
              <w:rPr>
                <w:rFonts w:hint="default"/>
              </w:rPr>
            </w:pPr>
            <w:r>
              <w:t>地表水</w:t>
            </w:r>
          </w:p>
        </w:tc>
        <w:tc>
          <w:tcPr>
            <w:tcW w:w="827" w:type="pct"/>
            <w:vAlign w:val="center"/>
          </w:tcPr>
          <w:p>
            <w:pPr>
              <w:pStyle w:val="38"/>
              <w:rPr>
                <w:rFonts w:hint="default"/>
              </w:rPr>
            </w:pPr>
            <w:r>
              <w:t>序号</w:t>
            </w:r>
          </w:p>
        </w:tc>
        <w:tc>
          <w:tcPr>
            <w:tcW w:w="850" w:type="pct"/>
            <w:vAlign w:val="center"/>
          </w:tcPr>
          <w:p>
            <w:pPr>
              <w:pStyle w:val="38"/>
              <w:rPr>
                <w:rFonts w:hint="default"/>
              </w:rPr>
            </w:pPr>
            <w:r>
              <w:t>受纳水体</w:t>
            </w:r>
          </w:p>
        </w:tc>
        <w:tc>
          <w:tcPr>
            <w:tcW w:w="899" w:type="pct"/>
            <w:vAlign w:val="center"/>
          </w:tcPr>
          <w:p>
            <w:pPr>
              <w:pStyle w:val="38"/>
              <w:rPr>
                <w:rFonts w:hint="default"/>
              </w:rPr>
            </w:pPr>
            <w:r>
              <w:t>水体环境功能</w:t>
            </w:r>
          </w:p>
        </w:tc>
        <w:tc>
          <w:tcPr>
            <w:tcW w:w="916" w:type="pct"/>
            <w:vAlign w:val="center"/>
          </w:tcPr>
          <w:p>
            <w:pPr>
              <w:pStyle w:val="38"/>
              <w:rPr>
                <w:rFonts w:hint="default"/>
              </w:rPr>
            </w:pPr>
            <w:r>
              <w:t>水体类型</w:t>
            </w:r>
          </w:p>
        </w:tc>
        <w:tc>
          <w:tcPr>
            <w:tcW w:w="927" w:type="pct"/>
            <w:vAlign w:val="center"/>
          </w:tcPr>
          <w:p>
            <w:pPr>
              <w:pStyle w:val="38"/>
              <w:rPr>
                <w:rFonts w:hint="default"/>
              </w:rPr>
            </w:pPr>
            <w:r>
              <w:t>距离（m）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827" w:type="pct"/>
            <w:vAlign w:val="center"/>
          </w:tcPr>
          <w:p>
            <w:pPr>
              <w:pStyle w:val="38"/>
              <w:rPr>
                <w:rFonts w:hint="default"/>
              </w:rPr>
            </w:pPr>
            <w:r>
              <w:t>1</w:t>
            </w:r>
          </w:p>
        </w:tc>
        <w:tc>
          <w:tcPr>
            <w:tcW w:w="850" w:type="pct"/>
            <w:vAlign w:val="center"/>
          </w:tcPr>
          <w:p>
            <w:pPr>
              <w:pStyle w:val="38"/>
              <w:rPr>
                <w:rFonts w:hint="default"/>
              </w:rPr>
            </w:pPr>
            <w:r>
              <w:rPr>
                <w:kern w:val="21"/>
              </w:rPr>
              <w:t>沙河</w:t>
            </w:r>
          </w:p>
        </w:tc>
        <w:tc>
          <w:tcPr>
            <w:tcW w:w="899" w:type="pct"/>
            <w:vAlign w:val="center"/>
          </w:tcPr>
          <w:p>
            <w:pPr>
              <w:pStyle w:val="38"/>
              <w:rPr>
                <w:rFonts w:hint="default"/>
              </w:rPr>
            </w:pPr>
            <w:r>
              <w:rPr>
                <w:rFonts w:hint="default"/>
                <w:kern w:val="21"/>
              </w:rPr>
              <w:t>III类</w:t>
            </w:r>
          </w:p>
        </w:tc>
        <w:tc>
          <w:tcPr>
            <w:tcW w:w="916" w:type="pct"/>
            <w:vAlign w:val="center"/>
          </w:tcPr>
          <w:p>
            <w:pPr>
              <w:pStyle w:val="38"/>
              <w:rPr>
                <w:rFonts w:hint="default"/>
              </w:rPr>
            </w:pPr>
            <w:r>
              <w:t>小型河流</w:t>
            </w:r>
          </w:p>
        </w:tc>
        <w:tc>
          <w:tcPr>
            <w:tcW w:w="927" w:type="pct"/>
          </w:tcPr>
          <w:p>
            <w:pPr>
              <w:spacing w:line="240" w:lineRule="auto"/>
              <w:ind w:firstLine="0" w:firstLineChars="0"/>
              <w:jc w:val="center"/>
            </w:pPr>
            <w:r>
              <w:rPr>
                <w:rFonts w:hint="eastAsia" w:cs="Times New Roman"/>
                <w:kern w:val="21"/>
                <w:sz w:val="21"/>
                <w:szCs w:val="21"/>
              </w:rPr>
              <w:t>24</w:t>
            </w:r>
            <w:r>
              <w:rPr>
                <w:rFonts w:cs="Times New Roman"/>
                <w:kern w:val="21"/>
                <w:sz w:val="21"/>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579" w:type="pct"/>
            <w:vMerge w:val="continue"/>
            <w:vAlign w:val="center"/>
          </w:tcPr>
          <w:p>
            <w:pPr>
              <w:pStyle w:val="38"/>
              <w:rPr>
                <w:rFonts w:hint="default"/>
              </w:rPr>
            </w:pPr>
          </w:p>
        </w:tc>
        <w:tc>
          <w:tcPr>
            <w:tcW w:w="827" w:type="pct"/>
            <w:vAlign w:val="center"/>
          </w:tcPr>
          <w:p>
            <w:pPr>
              <w:pStyle w:val="38"/>
              <w:rPr>
                <w:rFonts w:hint="default"/>
              </w:rPr>
            </w:pPr>
            <w:r>
              <w:t>2</w:t>
            </w:r>
          </w:p>
        </w:tc>
        <w:tc>
          <w:tcPr>
            <w:tcW w:w="850" w:type="pct"/>
            <w:vAlign w:val="center"/>
          </w:tcPr>
          <w:p>
            <w:pPr>
              <w:pStyle w:val="38"/>
              <w:rPr>
                <w:rFonts w:hint="default"/>
                <w:kern w:val="21"/>
              </w:rPr>
            </w:pPr>
            <w:r>
              <w:rPr>
                <w:rFonts w:hint="default"/>
                <w:kern w:val="21"/>
              </w:rPr>
              <w:t>灰河</w:t>
            </w:r>
          </w:p>
        </w:tc>
        <w:tc>
          <w:tcPr>
            <w:tcW w:w="899" w:type="pct"/>
            <w:vAlign w:val="center"/>
          </w:tcPr>
          <w:p>
            <w:pPr>
              <w:pStyle w:val="38"/>
              <w:rPr>
                <w:rFonts w:hint="default"/>
              </w:rPr>
            </w:pPr>
            <w:r>
              <w:rPr>
                <w:rFonts w:hint="eastAsia" w:ascii="宋体" w:hAnsi="宋体" w:eastAsia="宋体" w:cs="宋体"/>
              </w:rPr>
              <w:t>Ⅳ</w:t>
            </w:r>
            <w:r>
              <w:t>类</w:t>
            </w:r>
          </w:p>
        </w:tc>
        <w:tc>
          <w:tcPr>
            <w:tcW w:w="916" w:type="pct"/>
            <w:vAlign w:val="center"/>
          </w:tcPr>
          <w:p>
            <w:pPr>
              <w:pStyle w:val="38"/>
              <w:rPr>
                <w:rFonts w:hint="default"/>
              </w:rPr>
            </w:pPr>
            <w:r>
              <w:t>小型河流</w:t>
            </w:r>
          </w:p>
        </w:tc>
        <w:tc>
          <w:tcPr>
            <w:tcW w:w="927" w:type="pct"/>
          </w:tcPr>
          <w:p>
            <w:pPr>
              <w:spacing w:line="240" w:lineRule="auto"/>
              <w:ind w:firstLine="0" w:firstLineChars="0"/>
              <w:jc w:val="center"/>
            </w:pPr>
            <w:r>
              <w:rPr>
                <w:rFonts w:hint="eastAsia" w:cs="Times New Roman"/>
                <w:kern w:val="21"/>
                <w:sz w:val="21"/>
                <w:szCs w:val="21"/>
                <w:lang w:val="en-US" w:eastAsia="zh-CN"/>
              </w:rPr>
              <w:t>7</w:t>
            </w:r>
            <w:r>
              <w:rPr>
                <w:rFonts w:hint="eastAsia" w:cs="Times New Roman"/>
                <w:kern w:val="21"/>
                <w:sz w:val="21"/>
                <w:szCs w:val="21"/>
              </w:rPr>
              <w:t>35</w:t>
            </w:r>
            <w:r>
              <w:rPr>
                <w:rFonts w:cs="Times New Roman"/>
                <w:kern w:val="21"/>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 w:hRule="atLeast"/>
          <w:jc w:val="center"/>
        </w:trPr>
        <w:tc>
          <w:tcPr>
            <w:tcW w:w="579" w:type="pct"/>
            <w:vMerge w:val="continue"/>
            <w:vAlign w:val="center"/>
          </w:tcPr>
          <w:p>
            <w:pPr>
              <w:pStyle w:val="38"/>
              <w:rPr>
                <w:rFonts w:hint="default"/>
              </w:rPr>
            </w:pPr>
          </w:p>
        </w:tc>
        <w:tc>
          <w:tcPr>
            <w:tcW w:w="827" w:type="pct"/>
            <w:vAlign w:val="center"/>
          </w:tcPr>
          <w:p>
            <w:pPr>
              <w:pStyle w:val="38"/>
              <w:rPr>
                <w:rFonts w:hint="eastAsia" w:eastAsia="宋体"/>
                <w:lang w:val="en-US" w:eastAsia="zh-CN"/>
              </w:rPr>
            </w:pPr>
            <w:r>
              <w:rPr>
                <w:rFonts w:hint="eastAsia"/>
                <w:lang w:val="en-US" w:eastAsia="zh-CN"/>
              </w:rPr>
              <w:t>3</w:t>
            </w:r>
          </w:p>
        </w:tc>
        <w:tc>
          <w:tcPr>
            <w:tcW w:w="850" w:type="pct"/>
            <w:vAlign w:val="center"/>
          </w:tcPr>
          <w:p>
            <w:pPr>
              <w:pStyle w:val="38"/>
              <w:rPr>
                <w:rFonts w:hint="eastAsia" w:eastAsia="宋体"/>
                <w:kern w:val="21"/>
                <w:lang w:eastAsia="zh-CN"/>
              </w:rPr>
            </w:pPr>
            <w:r>
              <w:rPr>
                <w:rFonts w:hint="eastAsia"/>
                <w:kern w:val="21"/>
                <w:lang w:eastAsia="zh-CN"/>
              </w:rPr>
              <w:t>关庙沟</w:t>
            </w:r>
          </w:p>
        </w:tc>
        <w:tc>
          <w:tcPr>
            <w:tcW w:w="899" w:type="pct"/>
            <w:vAlign w:val="center"/>
          </w:tcPr>
          <w:p>
            <w:pPr>
              <w:pStyle w:val="38"/>
            </w:pPr>
            <w:r>
              <w:rPr>
                <w:rFonts w:hint="eastAsia" w:ascii="宋体" w:hAnsi="宋体" w:eastAsia="宋体" w:cs="宋体"/>
              </w:rPr>
              <w:t>Ⅳ</w:t>
            </w:r>
            <w:r>
              <w:t>类</w:t>
            </w:r>
          </w:p>
        </w:tc>
        <w:tc>
          <w:tcPr>
            <w:tcW w:w="916" w:type="pct"/>
            <w:vAlign w:val="center"/>
          </w:tcPr>
          <w:p>
            <w:pPr>
              <w:pStyle w:val="38"/>
              <w:rPr>
                <w:rFonts w:hint="default" w:eastAsia="宋体"/>
                <w:lang w:val="en-US" w:eastAsia="zh-CN"/>
              </w:rPr>
            </w:pPr>
            <w:r>
              <w:rPr>
                <w:rFonts w:hint="eastAsia"/>
                <w:lang w:eastAsia="zh-CN"/>
              </w:rPr>
              <w:t>排涝沟</w:t>
            </w:r>
          </w:p>
        </w:tc>
        <w:tc>
          <w:tcPr>
            <w:tcW w:w="927" w:type="pct"/>
          </w:tcPr>
          <w:p>
            <w:pPr>
              <w:spacing w:line="240" w:lineRule="auto"/>
              <w:ind w:firstLine="0" w:firstLineChars="0"/>
              <w:jc w:val="center"/>
              <w:rPr>
                <w:rFonts w:hint="default" w:cs="Times New Roman"/>
                <w:kern w:val="21"/>
                <w:sz w:val="21"/>
                <w:szCs w:val="21"/>
                <w:lang w:val="en-US" w:eastAsia="zh-CN"/>
              </w:rPr>
            </w:pPr>
            <w:r>
              <w:rPr>
                <w:rFonts w:hint="eastAsia" w:cs="Times New Roman"/>
                <w:kern w:val="21"/>
                <w:sz w:val="21"/>
                <w:szCs w:val="21"/>
                <w:lang w:val="en-US" w:eastAsia="zh-CN"/>
              </w:rPr>
              <w:t>330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3493" w:type="pct"/>
            <w:gridSpan w:val="4"/>
            <w:vAlign w:val="center"/>
          </w:tcPr>
          <w:p>
            <w:pPr>
              <w:pStyle w:val="38"/>
              <w:rPr>
                <w:rFonts w:hint="default"/>
              </w:rPr>
            </w:pPr>
            <w:r>
              <w:t>地表水环境敏感程度E值</w:t>
            </w:r>
          </w:p>
        </w:tc>
        <w:tc>
          <w:tcPr>
            <w:tcW w:w="927" w:type="pct"/>
            <w:vAlign w:val="center"/>
          </w:tcPr>
          <w:p>
            <w:pPr>
              <w:pStyle w:val="38"/>
              <w:rPr>
                <w:rFonts w:hint="default"/>
                <w:kern w:val="21"/>
              </w:rPr>
            </w:pPr>
            <w:r>
              <w:t>E3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restart"/>
            <w:vAlign w:val="center"/>
          </w:tcPr>
          <w:p>
            <w:pPr>
              <w:pStyle w:val="38"/>
              <w:rPr>
                <w:rFonts w:hint="default"/>
              </w:rPr>
            </w:pPr>
            <w:r>
              <w:t>地下水</w:t>
            </w:r>
          </w:p>
        </w:tc>
        <w:tc>
          <w:tcPr>
            <w:tcW w:w="827" w:type="pct"/>
            <w:vAlign w:val="center"/>
          </w:tcPr>
          <w:p>
            <w:pPr>
              <w:pStyle w:val="38"/>
              <w:rPr>
                <w:rFonts w:hint="default"/>
              </w:rPr>
            </w:pPr>
            <w:r>
              <w:t>序号</w:t>
            </w:r>
          </w:p>
        </w:tc>
        <w:tc>
          <w:tcPr>
            <w:tcW w:w="850" w:type="pct"/>
            <w:vAlign w:val="center"/>
          </w:tcPr>
          <w:p>
            <w:pPr>
              <w:pStyle w:val="38"/>
              <w:rPr>
                <w:rFonts w:hint="default"/>
              </w:rPr>
            </w:pPr>
            <w:r>
              <w:t>受纳水体</w:t>
            </w:r>
          </w:p>
        </w:tc>
        <w:tc>
          <w:tcPr>
            <w:tcW w:w="899" w:type="pct"/>
            <w:vAlign w:val="center"/>
          </w:tcPr>
          <w:p>
            <w:pPr>
              <w:pStyle w:val="38"/>
              <w:rPr>
                <w:rFonts w:hint="default"/>
              </w:rPr>
            </w:pPr>
            <w:r>
              <w:t>环境敏感特征</w:t>
            </w:r>
          </w:p>
        </w:tc>
        <w:tc>
          <w:tcPr>
            <w:tcW w:w="916" w:type="pct"/>
            <w:vAlign w:val="center"/>
          </w:tcPr>
          <w:p>
            <w:pPr>
              <w:pStyle w:val="38"/>
              <w:rPr>
                <w:rFonts w:hint="default"/>
              </w:rPr>
            </w:pPr>
            <w:r>
              <w:t>包气带防污性能</w:t>
            </w:r>
          </w:p>
        </w:tc>
        <w:tc>
          <w:tcPr>
            <w:tcW w:w="927" w:type="pct"/>
            <w:vAlign w:val="center"/>
          </w:tcPr>
          <w:p>
            <w:pPr>
              <w:pStyle w:val="38"/>
              <w:rPr>
                <w:rFonts w:hint="default"/>
              </w:rPr>
            </w:pP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827" w:type="pct"/>
            <w:vAlign w:val="center"/>
          </w:tcPr>
          <w:p>
            <w:pPr>
              <w:pStyle w:val="38"/>
              <w:rPr>
                <w:rFonts w:hint="default"/>
              </w:rPr>
            </w:pPr>
            <w:r>
              <w:t>1</w:t>
            </w:r>
          </w:p>
        </w:tc>
        <w:tc>
          <w:tcPr>
            <w:tcW w:w="850" w:type="pct"/>
            <w:vAlign w:val="center"/>
          </w:tcPr>
          <w:p>
            <w:pPr>
              <w:pStyle w:val="38"/>
              <w:rPr>
                <w:rFonts w:hint="default"/>
              </w:rPr>
            </w:pPr>
            <w:r>
              <w:t>区域地下水</w:t>
            </w:r>
          </w:p>
        </w:tc>
        <w:tc>
          <w:tcPr>
            <w:tcW w:w="899" w:type="pct"/>
            <w:vAlign w:val="center"/>
          </w:tcPr>
          <w:p>
            <w:pPr>
              <w:pStyle w:val="38"/>
              <w:rPr>
                <w:rFonts w:hint="default"/>
              </w:rPr>
            </w:pPr>
            <w:r>
              <w:t>/</w:t>
            </w:r>
          </w:p>
        </w:tc>
        <w:tc>
          <w:tcPr>
            <w:tcW w:w="916" w:type="pct"/>
            <w:vAlign w:val="center"/>
          </w:tcPr>
          <w:p>
            <w:pPr>
              <w:pStyle w:val="38"/>
              <w:rPr>
                <w:rFonts w:hint="default"/>
              </w:rPr>
            </w:pPr>
            <w:r>
              <w:t>/</w:t>
            </w:r>
          </w:p>
        </w:tc>
        <w:tc>
          <w:tcPr>
            <w:tcW w:w="927" w:type="pct"/>
            <w:vAlign w:val="center"/>
          </w:tcPr>
          <w:p>
            <w:pPr>
              <w:pStyle w:val="38"/>
              <w:rPr>
                <w:rFonts w:hint="default"/>
              </w:rPr>
            </w:pP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9" w:type="pct"/>
            <w:vMerge w:val="continue"/>
            <w:vAlign w:val="center"/>
          </w:tcPr>
          <w:p>
            <w:pPr>
              <w:pStyle w:val="38"/>
              <w:rPr>
                <w:rFonts w:hint="default"/>
              </w:rPr>
            </w:pPr>
          </w:p>
        </w:tc>
        <w:tc>
          <w:tcPr>
            <w:tcW w:w="3493" w:type="pct"/>
            <w:gridSpan w:val="4"/>
            <w:vAlign w:val="center"/>
          </w:tcPr>
          <w:p>
            <w:pPr>
              <w:pStyle w:val="38"/>
              <w:rPr>
                <w:rFonts w:hint="default"/>
              </w:rPr>
            </w:pPr>
            <w:r>
              <w:t>地下水环境敏感程度E值</w:t>
            </w:r>
          </w:p>
        </w:tc>
        <w:tc>
          <w:tcPr>
            <w:tcW w:w="927" w:type="pct"/>
            <w:vAlign w:val="center"/>
          </w:tcPr>
          <w:p>
            <w:pPr>
              <w:pStyle w:val="38"/>
              <w:rPr>
                <w:rFonts w:hint="default"/>
              </w:rPr>
            </w:pPr>
            <w:r>
              <w:t>E2</w:t>
            </w:r>
          </w:p>
        </w:tc>
      </w:tr>
    </w:tbl>
    <w:p>
      <w:pPr>
        <w:pStyle w:val="7"/>
        <w:ind w:firstLine="562"/>
      </w:pPr>
      <w:r>
        <w:rPr>
          <w:rFonts w:hint="eastAsia"/>
        </w:rPr>
        <w:t>6.8.3 环境风险潜势初判</w:t>
      </w:r>
    </w:p>
    <w:p>
      <w:pPr>
        <w:widowControl/>
        <w:ind w:firstLine="562"/>
        <w:jc w:val="left"/>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8.3.1</w:t>
      </w:r>
      <w:r>
        <w:rPr>
          <w:rFonts w:cs="Times New Roman"/>
          <w:b/>
          <w:bCs/>
          <w:color w:val="000000"/>
          <w:kern w:val="0"/>
          <w:sz w:val="28"/>
          <w:szCs w:val="28"/>
          <w:lang w:bidi="ar"/>
        </w:rPr>
        <w:t xml:space="preserve"> 风险潜势初判</w:t>
      </w:r>
    </w:p>
    <w:p>
      <w:pPr>
        <w:ind w:firstLine="480"/>
      </w:pPr>
      <w:r>
        <w:t>（1）P的分级确定</w:t>
      </w:r>
    </w:p>
    <w:p>
      <w:pPr>
        <w:ind w:firstLine="480"/>
      </w:pPr>
      <w:r>
        <w:t>危险物质数量与临界量比值（Q）</w:t>
      </w:r>
    </w:p>
    <w:p>
      <w:pPr>
        <w:ind w:firstLine="480"/>
      </w:pPr>
      <w:r>
        <w:t>Q=q</w:t>
      </w:r>
      <w:r>
        <w:rPr>
          <w:vertAlign w:val="subscript"/>
        </w:rPr>
        <w:t>1</w:t>
      </w:r>
      <w:r>
        <w:t>/Q</w:t>
      </w:r>
      <w:r>
        <w:rPr>
          <w:vertAlign w:val="subscript"/>
        </w:rPr>
        <w:t>1</w:t>
      </w:r>
      <w:r>
        <w:t>+q</w:t>
      </w:r>
      <w:r>
        <w:rPr>
          <w:vertAlign w:val="subscript"/>
        </w:rPr>
        <w:t>1</w:t>
      </w:r>
      <w:r>
        <w:t>/Q</w:t>
      </w:r>
      <w:r>
        <w:rPr>
          <w:vertAlign w:val="subscript"/>
        </w:rPr>
        <w:t>1</w:t>
      </w:r>
      <w:r>
        <w:t>+q</w:t>
      </w:r>
      <w:r>
        <w:rPr>
          <w:vertAlign w:val="subscript"/>
        </w:rPr>
        <w:t>2</w:t>
      </w:r>
      <w:r>
        <w:t>/Q</w:t>
      </w:r>
      <w:r>
        <w:rPr>
          <w:vertAlign w:val="subscript"/>
        </w:rPr>
        <w:t>2</w:t>
      </w:r>
      <w:r>
        <w:t>+...q</w:t>
      </w:r>
      <w:r>
        <w:rPr>
          <w:vertAlign w:val="subscript"/>
        </w:rPr>
        <w:t>n</w:t>
      </w:r>
      <w:r>
        <w:t>/Q</w:t>
      </w:r>
      <w:r>
        <w:rPr>
          <w:vertAlign w:val="subscript"/>
        </w:rPr>
        <w:t>n</w:t>
      </w:r>
    </w:p>
    <w:p>
      <w:pPr>
        <w:ind w:firstLine="480"/>
      </w:pPr>
      <w:r>
        <w:t>q</w:t>
      </w:r>
      <w:r>
        <w:rPr>
          <w:vertAlign w:val="subscript"/>
        </w:rPr>
        <w:t>1</w:t>
      </w:r>
      <w:r>
        <w:t>、q</w:t>
      </w:r>
      <w:r>
        <w:rPr>
          <w:vertAlign w:val="subscript"/>
        </w:rPr>
        <w:t>2</w:t>
      </w:r>
      <w:r>
        <w:t>、...q</w:t>
      </w:r>
      <w:r>
        <w:rPr>
          <w:vertAlign w:val="subscript"/>
        </w:rPr>
        <w:t>n</w:t>
      </w:r>
      <w:r>
        <w:t>——每一种危险物质的最大存在总量，t；</w:t>
      </w:r>
    </w:p>
    <w:p>
      <w:pPr>
        <w:ind w:firstLine="480"/>
      </w:pPr>
      <w:r>
        <w:t>Q</w:t>
      </w:r>
      <w:r>
        <w:rPr>
          <w:vertAlign w:val="subscript"/>
        </w:rPr>
        <w:t>1</w:t>
      </w:r>
      <w:r>
        <w:t>、Q</w:t>
      </w:r>
      <w:r>
        <w:rPr>
          <w:vertAlign w:val="subscript"/>
        </w:rPr>
        <w:t>2</w:t>
      </w:r>
      <w:r>
        <w:t>、...Q</w:t>
      </w:r>
      <w:r>
        <w:rPr>
          <w:vertAlign w:val="subscript"/>
        </w:rPr>
        <w:t>n</w:t>
      </w:r>
      <w:r>
        <w:t>——每一种危险物质的临界量，t。</w:t>
      </w:r>
    </w:p>
    <w:p>
      <w:pPr>
        <w:ind w:firstLine="480"/>
      </w:pPr>
      <w:r>
        <w:t>当Q＜1时，该项目环境风险潜势为</w:t>
      </w:r>
      <w:r>
        <w:fldChar w:fldCharType="begin"/>
      </w:r>
      <w:r>
        <w:instrText xml:space="preserve"> = 1 \* ROMAN </w:instrText>
      </w:r>
      <w:r>
        <w:fldChar w:fldCharType="separate"/>
      </w:r>
      <w:r>
        <w:t>I</w:t>
      </w:r>
      <w:r>
        <w:fldChar w:fldCharType="end"/>
      </w:r>
      <w:r>
        <w:t>。</w:t>
      </w:r>
    </w:p>
    <w:p>
      <w:pPr>
        <w:ind w:firstLine="480"/>
      </w:pPr>
      <w:r>
        <w:t>当Q≥1时，将Q值划分为：</w:t>
      </w:r>
      <w:r>
        <w:rPr>
          <w:rFonts w:hint="eastAsia" w:ascii="宋体" w:hAnsi="宋体" w:cs="宋体"/>
        </w:rPr>
        <w:t>①</w:t>
      </w:r>
      <w:r>
        <w:t>1≤Q＜10；</w:t>
      </w:r>
      <w:r>
        <w:rPr>
          <w:rFonts w:hint="eastAsia" w:ascii="宋体" w:hAnsi="宋体" w:cs="宋体"/>
        </w:rPr>
        <w:t>②</w:t>
      </w:r>
      <w:r>
        <w:t>10≤Q＜100；</w:t>
      </w:r>
      <w:r>
        <w:rPr>
          <w:rFonts w:hint="eastAsia" w:ascii="宋体" w:hAnsi="宋体" w:cs="宋体"/>
        </w:rPr>
        <w:t>③</w:t>
      </w:r>
      <w:r>
        <w:t>Q≥100。</w:t>
      </w:r>
    </w:p>
    <w:p>
      <w:pPr>
        <w:ind w:firstLine="480"/>
        <w:rPr>
          <w:rFonts w:cs="Times New Roman"/>
        </w:rPr>
      </w:pPr>
      <w:r>
        <w:t>根据《建设项目环境风险评价技术导则》</w:t>
      </w:r>
      <w:r>
        <w:rPr>
          <w:rFonts w:hint="eastAsia"/>
        </w:rPr>
        <w:t>（</w:t>
      </w:r>
      <w:r>
        <w:t>HJ169-2018</w:t>
      </w:r>
      <w:r>
        <w:rPr>
          <w:rFonts w:hint="eastAsia"/>
        </w:rPr>
        <w:t>）</w:t>
      </w:r>
      <w:r>
        <w:t>附表B、《危险化学品重大危险源辨识》</w:t>
      </w:r>
      <w:r>
        <w:rPr>
          <w:rFonts w:hint="eastAsia"/>
        </w:rPr>
        <w:t>（</w:t>
      </w:r>
      <w:r>
        <w:t>GB18218-2018</w:t>
      </w:r>
      <w:r>
        <w:rPr>
          <w:rFonts w:hint="eastAsia"/>
        </w:rPr>
        <w:t>）</w:t>
      </w:r>
      <w:r>
        <w:t>、《化学品分类和标签规范第7部分：易燃液体》</w:t>
      </w:r>
      <w:r>
        <w:rPr>
          <w:rFonts w:hint="eastAsia"/>
        </w:rPr>
        <w:t>（</w:t>
      </w:r>
      <w:r>
        <w:t>GB30000.7-2013</w:t>
      </w:r>
      <w:r>
        <w:rPr>
          <w:rFonts w:hint="eastAsia"/>
        </w:rPr>
        <w:t>）</w:t>
      </w:r>
      <w:r>
        <w:t>、《化学品分类和标签规范第18部分急性毒性》</w:t>
      </w:r>
      <w:r>
        <w:rPr>
          <w:rFonts w:hint="eastAsia"/>
        </w:rPr>
        <w:t>（</w:t>
      </w:r>
      <w:r>
        <w:t>GB30000.18-2013</w:t>
      </w:r>
      <w:r>
        <w:rPr>
          <w:rFonts w:hint="eastAsia"/>
        </w:rPr>
        <w:t>）</w:t>
      </w:r>
      <w:r>
        <w:t>，</w:t>
      </w:r>
      <w:r>
        <w:rPr>
          <w:rFonts w:cs="Times New Roman"/>
        </w:rPr>
        <w:t>本项目物质危险性识别结果详见表6.8-</w:t>
      </w:r>
      <w:r>
        <w:rPr>
          <w:rFonts w:hint="eastAsia" w:cs="Times New Roman"/>
          <w:lang w:val="en-US" w:eastAsia="zh-CN"/>
        </w:rPr>
        <w:t>3</w:t>
      </w:r>
      <w:r>
        <w:rPr>
          <w:rFonts w:cs="Times New Roman"/>
        </w:rPr>
        <w:t>。</w:t>
      </w:r>
    </w:p>
    <w:p>
      <w:pPr>
        <w:spacing w:line="0" w:lineRule="atLeast"/>
        <w:ind w:firstLine="482"/>
        <w:jc w:val="center"/>
        <w:rPr>
          <w:b/>
          <w:kern w:val="24"/>
          <w:szCs w:val="21"/>
        </w:rPr>
      </w:pPr>
      <w:bookmarkStart w:id="180" w:name="_bookmark47"/>
      <w:bookmarkEnd w:id="180"/>
      <w:r>
        <w:rPr>
          <w:b/>
          <w:kern w:val="24"/>
          <w:szCs w:val="21"/>
        </w:rPr>
        <w:t>表</w:t>
      </w:r>
      <w:r>
        <w:rPr>
          <w:rFonts w:hint="eastAsia"/>
          <w:b/>
          <w:kern w:val="24"/>
          <w:szCs w:val="21"/>
        </w:rPr>
        <w:t>6.8-</w:t>
      </w:r>
      <w:r>
        <w:rPr>
          <w:rFonts w:hint="eastAsia"/>
          <w:b/>
          <w:kern w:val="24"/>
          <w:szCs w:val="21"/>
          <w:lang w:val="en-US" w:eastAsia="zh-CN"/>
        </w:rPr>
        <w:t>3</w:t>
      </w:r>
      <w:r>
        <w:rPr>
          <w:b/>
          <w:kern w:val="24"/>
          <w:szCs w:val="21"/>
        </w:rPr>
        <w:t xml:space="preserve">  建设项目环境风险识别表</w:t>
      </w:r>
    </w:p>
    <w:p>
      <w:pPr>
        <w:spacing w:line="34" w:lineRule="exact"/>
        <w:ind w:firstLine="480"/>
      </w:pPr>
    </w:p>
    <w:tbl>
      <w:tblPr>
        <w:tblStyle w:val="51"/>
        <w:tblW w:w="5032"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544"/>
        <w:gridCol w:w="1800"/>
        <w:gridCol w:w="1403"/>
        <w:gridCol w:w="1341"/>
        <w:gridCol w:w="1011"/>
        <w:gridCol w:w="971"/>
        <w:gridCol w:w="2070"/>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98" w:type="pct"/>
            <w:textDirection w:val="tbRlV"/>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序号</w:t>
            </w:r>
          </w:p>
        </w:tc>
        <w:tc>
          <w:tcPr>
            <w:tcW w:w="984"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危险物质名称</w:t>
            </w:r>
          </w:p>
        </w:tc>
        <w:tc>
          <w:tcPr>
            <w:tcW w:w="767"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CAS号</w:t>
            </w:r>
          </w:p>
        </w:tc>
        <w:tc>
          <w:tcPr>
            <w:tcW w:w="733"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最大存在总量qn/t</w:t>
            </w:r>
          </w:p>
        </w:tc>
        <w:tc>
          <w:tcPr>
            <w:tcW w:w="553"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临界量Qn/t</w:t>
            </w:r>
          </w:p>
        </w:tc>
        <w:tc>
          <w:tcPr>
            <w:tcW w:w="531"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该种危险物质Q值</w:t>
            </w:r>
          </w:p>
        </w:tc>
        <w:tc>
          <w:tcPr>
            <w:tcW w:w="1132"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来源</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98"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1</w:t>
            </w:r>
          </w:p>
        </w:tc>
        <w:tc>
          <w:tcPr>
            <w:tcW w:w="984"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cs="Times New Roman"/>
                <w:kern w:val="21"/>
                <w:sz w:val="21"/>
                <w:szCs w:val="21"/>
                <w:u w:val="single"/>
              </w:rPr>
              <w:t>MDI50</w:t>
            </w:r>
          </w:p>
        </w:tc>
        <w:tc>
          <w:tcPr>
            <w:tcW w:w="767"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宋体" w:cs="Times New Roman"/>
                <w:sz w:val="21"/>
                <w:szCs w:val="21"/>
                <w:vertAlign w:val="baseline"/>
              </w:rPr>
              <w:t>26447-40-5</w:t>
            </w:r>
          </w:p>
        </w:tc>
        <w:tc>
          <w:tcPr>
            <w:tcW w:w="733"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eastAsia" w:cs="Times New Roman"/>
                <w:sz w:val="21"/>
                <w:szCs w:val="21"/>
                <w:u w:val="single"/>
                <w:lang w:val="en-US" w:eastAsia="zh-CN"/>
              </w:rPr>
              <w:t>2.0</w:t>
            </w:r>
          </w:p>
        </w:tc>
        <w:tc>
          <w:tcPr>
            <w:tcW w:w="553" w:type="pct"/>
            <w:vAlign w:val="center"/>
          </w:tcPr>
          <w:p>
            <w:pPr>
              <w:spacing w:line="240" w:lineRule="auto"/>
              <w:ind w:firstLine="0" w:firstLineChars="0"/>
              <w:jc w:val="center"/>
              <w:rPr>
                <w:rFonts w:hint="default" w:ascii="Times New Roman" w:hAnsi="Times New Roman" w:eastAsia="宋体" w:cs="Times New Roman"/>
                <w:color w:val="auto"/>
                <w:kern w:val="21"/>
                <w:sz w:val="21"/>
                <w:szCs w:val="21"/>
                <w:lang w:val="en-US" w:eastAsia="zh-CN"/>
              </w:rPr>
            </w:pPr>
            <w:r>
              <w:rPr>
                <w:rFonts w:hint="eastAsia" w:ascii="Times New Roman" w:hAnsi="Times New Roman" w:cs="Times New Roman"/>
                <w:color w:val="auto"/>
                <w:kern w:val="21"/>
                <w:sz w:val="21"/>
                <w:szCs w:val="21"/>
                <w:lang w:val="en-US" w:eastAsia="zh-CN"/>
              </w:rPr>
              <w:t>0.5</w:t>
            </w:r>
          </w:p>
        </w:tc>
        <w:tc>
          <w:tcPr>
            <w:tcW w:w="971" w:type="dxa"/>
            <w:vAlign w:val="bottom"/>
          </w:tcPr>
          <w:p>
            <w:pPr>
              <w:spacing w:line="240" w:lineRule="auto"/>
              <w:ind w:firstLine="0" w:firstLineChars="0"/>
              <w:jc w:val="center"/>
              <w:rPr>
                <w:rFonts w:hint="default" w:ascii="Times New Roman" w:hAnsi="Times New Roman" w:cs="Times New Roman"/>
                <w:color w:val="auto"/>
                <w:kern w:val="21"/>
                <w:sz w:val="21"/>
                <w:szCs w:val="21"/>
              </w:rPr>
            </w:pPr>
            <w:r>
              <w:rPr>
                <w:rFonts w:hint="eastAsia" w:ascii="Times New Roman" w:hAnsi="Times New Roman" w:cs="Times New Roman"/>
                <w:color w:val="auto"/>
                <w:kern w:val="21"/>
                <w:sz w:val="21"/>
                <w:szCs w:val="21"/>
                <w:lang w:val="en-US" w:eastAsia="zh-CN"/>
              </w:rPr>
              <w:t>4</w:t>
            </w:r>
          </w:p>
        </w:tc>
        <w:tc>
          <w:tcPr>
            <w:tcW w:w="1132"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HJ196-2018</w:t>
            </w:r>
            <w:r>
              <w:rPr>
                <w:rFonts w:hint="default" w:ascii="Times New Roman" w:hAnsi="Times New Roman" w:cs="Times New Roman"/>
                <w:color w:val="auto"/>
                <w:kern w:val="21"/>
                <w:sz w:val="21"/>
                <w:szCs w:val="21"/>
              </w:rPr>
              <w:t>附录</w:t>
            </w:r>
            <w:r>
              <w:rPr>
                <w:rFonts w:hint="default" w:ascii="Times New Roman" w:hAnsi="Times New Roman" w:eastAsia="Times New Roman" w:cs="Times New Roman"/>
                <w:color w:val="auto"/>
                <w:kern w:val="21"/>
                <w:sz w:val="21"/>
                <w:szCs w:val="21"/>
              </w:rPr>
              <w:t>B</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98"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2</w:t>
            </w:r>
          </w:p>
        </w:tc>
        <w:tc>
          <w:tcPr>
            <w:tcW w:w="984"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cs="Times New Roman"/>
                <w:kern w:val="21"/>
                <w:sz w:val="21"/>
                <w:szCs w:val="21"/>
                <w:u w:val="single"/>
              </w:rPr>
              <w:t>碳酸二甲酯</w:t>
            </w:r>
          </w:p>
        </w:tc>
        <w:tc>
          <w:tcPr>
            <w:tcW w:w="767"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宋体" w:cs="Times New Roman"/>
                <w:sz w:val="21"/>
                <w:szCs w:val="21"/>
                <w:vertAlign w:val="baseline"/>
              </w:rPr>
              <w:fldChar w:fldCharType="begin"/>
            </w:r>
            <w:r>
              <w:rPr>
                <w:rFonts w:hint="default" w:ascii="Times New Roman" w:hAnsi="Times New Roman" w:eastAsia="宋体" w:cs="Times New Roman"/>
                <w:sz w:val="21"/>
                <w:szCs w:val="21"/>
                <w:vertAlign w:val="baseline"/>
              </w:rPr>
              <w:instrText xml:space="preserve"> HYPERLINK "https://www.chembk.com/cn/chem/616-38-6" </w:instrText>
            </w:r>
            <w:r>
              <w:rPr>
                <w:rFonts w:hint="default" w:ascii="Times New Roman" w:hAnsi="Times New Roman" w:eastAsia="宋体" w:cs="Times New Roman"/>
                <w:sz w:val="21"/>
                <w:szCs w:val="21"/>
                <w:vertAlign w:val="baseline"/>
              </w:rPr>
              <w:fldChar w:fldCharType="separate"/>
            </w:r>
            <w:r>
              <w:rPr>
                <w:rFonts w:hint="default" w:ascii="Times New Roman" w:hAnsi="Times New Roman" w:eastAsia="宋体" w:cs="Times New Roman"/>
                <w:sz w:val="21"/>
                <w:szCs w:val="21"/>
                <w:vertAlign w:val="baseline"/>
              </w:rPr>
              <w:t>616-38-6</w:t>
            </w:r>
            <w:r>
              <w:rPr>
                <w:rFonts w:hint="default" w:ascii="Times New Roman" w:hAnsi="Times New Roman" w:eastAsia="宋体" w:cs="Times New Roman"/>
                <w:sz w:val="21"/>
                <w:szCs w:val="21"/>
                <w:vertAlign w:val="baseline"/>
              </w:rPr>
              <w:fldChar w:fldCharType="end"/>
            </w:r>
          </w:p>
        </w:tc>
        <w:tc>
          <w:tcPr>
            <w:tcW w:w="733"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eastAsia" w:cs="Times New Roman"/>
                <w:sz w:val="21"/>
                <w:szCs w:val="21"/>
                <w:u w:val="single"/>
                <w:lang w:val="en-US" w:eastAsia="zh-CN"/>
              </w:rPr>
              <w:t>1.5</w:t>
            </w:r>
          </w:p>
        </w:tc>
        <w:tc>
          <w:tcPr>
            <w:tcW w:w="553" w:type="pct"/>
            <w:vAlign w:val="center"/>
          </w:tcPr>
          <w:p>
            <w:pPr>
              <w:spacing w:line="240" w:lineRule="auto"/>
              <w:ind w:firstLine="0" w:firstLineChars="0"/>
              <w:jc w:val="center"/>
              <w:rPr>
                <w:rFonts w:hint="default" w:ascii="Times New Roman" w:hAnsi="Times New Roman" w:eastAsia="宋体" w:cs="Times New Roman"/>
                <w:color w:val="auto"/>
                <w:kern w:val="21"/>
                <w:sz w:val="21"/>
                <w:szCs w:val="21"/>
                <w:lang w:val="en-US" w:eastAsia="zh-CN"/>
              </w:rPr>
            </w:pPr>
            <w:r>
              <w:rPr>
                <w:rFonts w:hint="eastAsia" w:ascii="Times New Roman" w:hAnsi="Times New Roman" w:cs="Times New Roman"/>
                <w:color w:val="auto"/>
                <w:kern w:val="21"/>
                <w:sz w:val="21"/>
                <w:szCs w:val="21"/>
                <w:lang w:val="en-US" w:eastAsia="zh-CN"/>
              </w:rPr>
              <w:t>200</w:t>
            </w:r>
          </w:p>
        </w:tc>
        <w:tc>
          <w:tcPr>
            <w:tcW w:w="971" w:type="dxa"/>
            <w:vAlign w:val="bottom"/>
          </w:tcPr>
          <w:p>
            <w:pPr>
              <w:spacing w:line="240" w:lineRule="auto"/>
              <w:ind w:firstLine="0" w:firstLineChars="0"/>
              <w:jc w:val="center"/>
              <w:rPr>
                <w:rFonts w:hint="default" w:ascii="Times New Roman" w:hAnsi="Times New Roman" w:cs="Times New Roman"/>
                <w:color w:val="auto"/>
                <w:kern w:val="21"/>
                <w:sz w:val="21"/>
                <w:szCs w:val="21"/>
              </w:rPr>
            </w:pPr>
            <w:r>
              <w:rPr>
                <w:rFonts w:hint="eastAsia" w:ascii="Times New Roman" w:hAnsi="Times New Roman" w:cs="Times New Roman"/>
                <w:color w:val="auto"/>
                <w:kern w:val="21"/>
                <w:sz w:val="21"/>
                <w:szCs w:val="21"/>
                <w:lang w:val="en-US" w:eastAsia="zh-CN"/>
              </w:rPr>
              <w:t>0.0075</w:t>
            </w:r>
          </w:p>
        </w:tc>
        <w:tc>
          <w:tcPr>
            <w:tcW w:w="1132"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eastAsia="Times New Roman" w:cs="Times New Roman"/>
                <w:color w:val="auto"/>
                <w:kern w:val="21"/>
                <w:sz w:val="21"/>
                <w:szCs w:val="21"/>
              </w:rPr>
              <w:t>GB18218-2018W5.4</w:t>
            </w:r>
            <w:r>
              <w:rPr>
                <w:rFonts w:hint="default" w:ascii="Times New Roman" w:hAnsi="Times New Roman" w:cs="Times New Roman"/>
                <w:color w:val="auto"/>
                <w:kern w:val="21"/>
                <w:sz w:val="21"/>
                <w:szCs w:val="21"/>
              </w:rPr>
              <w:t>（易燃液体）</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98"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3</w:t>
            </w:r>
          </w:p>
        </w:tc>
        <w:tc>
          <w:tcPr>
            <w:tcW w:w="984"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cs="Times New Roman"/>
                <w:sz w:val="21"/>
                <w:szCs w:val="21"/>
                <w:u w:val="single"/>
              </w:rPr>
              <w:t>丙烯酸</w:t>
            </w:r>
          </w:p>
        </w:tc>
        <w:tc>
          <w:tcPr>
            <w:tcW w:w="767"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宋体" w:cs="Times New Roman"/>
                <w:sz w:val="21"/>
                <w:szCs w:val="21"/>
                <w:vertAlign w:val="baseline"/>
                <w:lang w:eastAsia="zh-CN"/>
              </w:rPr>
              <w:t>79-10-7</w:t>
            </w:r>
          </w:p>
        </w:tc>
        <w:tc>
          <w:tcPr>
            <w:tcW w:w="733"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eastAsia" w:cs="Times New Roman"/>
                <w:sz w:val="21"/>
                <w:szCs w:val="21"/>
                <w:u w:val="single"/>
                <w:lang w:val="en-US" w:eastAsia="zh-CN"/>
              </w:rPr>
              <w:t>10</w:t>
            </w:r>
          </w:p>
        </w:tc>
        <w:tc>
          <w:tcPr>
            <w:tcW w:w="553" w:type="pct"/>
            <w:vAlign w:val="center"/>
          </w:tcPr>
          <w:p>
            <w:pPr>
              <w:spacing w:line="240" w:lineRule="auto"/>
              <w:ind w:firstLine="0" w:firstLineChars="0"/>
              <w:jc w:val="center"/>
              <w:rPr>
                <w:rFonts w:hint="default" w:ascii="Times New Roman" w:hAnsi="Times New Roman" w:eastAsia="宋体" w:cs="Times New Roman"/>
                <w:color w:val="auto"/>
                <w:kern w:val="21"/>
                <w:sz w:val="21"/>
                <w:szCs w:val="21"/>
                <w:lang w:val="en-US" w:eastAsia="zh-CN"/>
              </w:rPr>
            </w:pPr>
            <w:r>
              <w:rPr>
                <w:rFonts w:hint="eastAsia" w:ascii="Times New Roman" w:hAnsi="Times New Roman" w:cs="Times New Roman"/>
                <w:color w:val="auto"/>
                <w:kern w:val="21"/>
                <w:sz w:val="21"/>
                <w:szCs w:val="21"/>
                <w:lang w:val="en-US" w:eastAsia="zh-CN"/>
              </w:rPr>
              <w:t>200</w:t>
            </w:r>
          </w:p>
        </w:tc>
        <w:tc>
          <w:tcPr>
            <w:tcW w:w="971" w:type="dxa"/>
            <w:vAlign w:val="bottom"/>
          </w:tcPr>
          <w:p>
            <w:pPr>
              <w:spacing w:line="240" w:lineRule="auto"/>
              <w:ind w:firstLine="0" w:firstLineChars="0"/>
              <w:jc w:val="center"/>
              <w:rPr>
                <w:rFonts w:hint="default" w:ascii="Times New Roman" w:hAnsi="Times New Roman" w:cs="Times New Roman"/>
                <w:color w:val="auto"/>
                <w:kern w:val="21"/>
                <w:sz w:val="21"/>
                <w:szCs w:val="21"/>
              </w:rPr>
            </w:pPr>
            <w:r>
              <w:rPr>
                <w:rFonts w:hint="eastAsia" w:ascii="Times New Roman" w:hAnsi="Times New Roman" w:cs="Times New Roman"/>
                <w:color w:val="auto"/>
                <w:kern w:val="21"/>
                <w:sz w:val="21"/>
                <w:szCs w:val="21"/>
                <w:lang w:val="en-US" w:eastAsia="zh-CN"/>
              </w:rPr>
              <w:t>0.05</w:t>
            </w:r>
          </w:p>
        </w:tc>
        <w:tc>
          <w:tcPr>
            <w:tcW w:w="1132"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HJ196-2018</w:t>
            </w:r>
            <w:r>
              <w:rPr>
                <w:rFonts w:hint="default" w:ascii="Times New Roman" w:hAnsi="Times New Roman" w:cs="Times New Roman"/>
                <w:color w:val="auto"/>
                <w:kern w:val="21"/>
                <w:sz w:val="21"/>
                <w:szCs w:val="21"/>
              </w:rPr>
              <w:t>附录</w:t>
            </w:r>
            <w:r>
              <w:rPr>
                <w:rFonts w:hint="default" w:ascii="Times New Roman" w:hAnsi="Times New Roman" w:eastAsia="Times New Roman" w:cs="Times New Roman"/>
                <w:color w:val="auto"/>
                <w:kern w:val="21"/>
                <w:sz w:val="21"/>
                <w:szCs w:val="21"/>
              </w:rPr>
              <w:t>B</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98"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4</w:t>
            </w:r>
          </w:p>
        </w:tc>
        <w:tc>
          <w:tcPr>
            <w:tcW w:w="984"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cs="Times New Roman"/>
                <w:sz w:val="21"/>
                <w:szCs w:val="21"/>
                <w:u w:val="single"/>
              </w:rPr>
              <w:t>甲基丙烯酸甲酯</w:t>
            </w:r>
          </w:p>
        </w:tc>
        <w:tc>
          <w:tcPr>
            <w:tcW w:w="767"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宋体" w:cs="Times New Roman"/>
                <w:sz w:val="21"/>
                <w:szCs w:val="21"/>
                <w:u w:val="none"/>
              </w:rPr>
              <w:t>80-62-6</w:t>
            </w:r>
          </w:p>
        </w:tc>
        <w:tc>
          <w:tcPr>
            <w:tcW w:w="733"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eastAsia" w:cs="Times New Roman"/>
                <w:sz w:val="21"/>
                <w:szCs w:val="21"/>
                <w:u w:val="single"/>
                <w:lang w:val="en-US" w:eastAsia="zh-CN"/>
              </w:rPr>
              <w:t>3.5</w:t>
            </w:r>
          </w:p>
        </w:tc>
        <w:tc>
          <w:tcPr>
            <w:tcW w:w="553"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10</w:t>
            </w:r>
          </w:p>
        </w:tc>
        <w:tc>
          <w:tcPr>
            <w:tcW w:w="971" w:type="dxa"/>
            <w:vAlign w:val="bottom"/>
          </w:tcPr>
          <w:p>
            <w:pPr>
              <w:spacing w:line="240" w:lineRule="auto"/>
              <w:ind w:firstLine="0" w:firstLineChars="0"/>
              <w:jc w:val="center"/>
              <w:rPr>
                <w:rFonts w:hint="default" w:ascii="Times New Roman" w:hAnsi="Times New Roman" w:cs="Times New Roman"/>
                <w:color w:val="auto"/>
                <w:kern w:val="21"/>
                <w:sz w:val="21"/>
                <w:szCs w:val="21"/>
              </w:rPr>
            </w:pPr>
            <w:r>
              <w:rPr>
                <w:rFonts w:hint="eastAsia" w:ascii="Times New Roman" w:hAnsi="Times New Roman" w:cs="Times New Roman"/>
                <w:color w:val="auto"/>
                <w:kern w:val="21"/>
                <w:sz w:val="21"/>
                <w:szCs w:val="21"/>
                <w:lang w:val="en-US" w:eastAsia="zh-CN"/>
              </w:rPr>
              <w:t>0.35</w:t>
            </w:r>
          </w:p>
        </w:tc>
        <w:tc>
          <w:tcPr>
            <w:tcW w:w="1132"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HJ196-2018</w:t>
            </w:r>
            <w:r>
              <w:rPr>
                <w:rFonts w:hint="default" w:ascii="Times New Roman" w:hAnsi="Times New Roman" w:cs="Times New Roman"/>
                <w:color w:val="auto"/>
                <w:kern w:val="21"/>
                <w:sz w:val="21"/>
                <w:szCs w:val="21"/>
              </w:rPr>
              <w:t>附录</w:t>
            </w:r>
            <w:r>
              <w:rPr>
                <w:rFonts w:hint="default" w:ascii="Times New Roman" w:hAnsi="Times New Roman" w:eastAsia="Times New Roman" w:cs="Times New Roman"/>
                <w:color w:val="auto"/>
                <w:kern w:val="21"/>
                <w:sz w:val="21"/>
                <w:szCs w:val="21"/>
              </w:rPr>
              <w:t>B</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7" w:hRule="atLeast"/>
          <w:jc w:val="center"/>
        </w:trPr>
        <w:tc>
          <w:tcPr>
            <w:tcW w:w="298" w:type="pct"/>
            <w:tcBorders>
              <w:bottom w:val="single" w:color="auto" w:sz="4" w:space="0"/>
            </w:tcBorders>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5</w:t>
            </w:r>
          </w:p>
        </w:tc>
        <w:tc>
          <w:tcPr>
            <w:tcW w:w="984" w:type="pct"/>
            <w:tcBorders>
              <w:bottom w:val="single" w:color="auto" w:sz="4" w:space="0"/>
            </w:tcBorders>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cs="Times New Roman"/>
                <w:sz w:val="21"/>
                <w:szCs w:val="21"/>
                <w:u w:val="single"/>
              </w:rPr>
              <w:t>丙烯酸丁酯</w:t>
            </w:r>
          </w:p>
        </w:tc>
        <w:tc>
          <w:tcPr>
            <w:tcW w:w="767" w:type="pct"/>
            <w:tcBorders>
              <w:bottom w:val="single" w:color="auto" w:sz="4" w:space="0"/>
            </w:tcBorders>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宋体" w:cs="Times New Roman"/>
                <w:b w:val="0"/>
                <w:bCs w:val="0"/>
                <w:sz w:val="21"/>
                <w:szCs w:val="21"/>
                <w:u w:val="none"/>
              </w:rPr>
              <w:t>141-32-2</w:t>
            </w:r>
          </w:p>
        </w:tc>
        <w:tc>
          <w:tcPr>
            <w:tcW w:w="733" w:type="pct"/>
            <w:tcBorders>
              <w:bottom w:val="single" w:color="auto" w:sz="4" w:space="0"/>
            </w:tcBorders>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eastAsia" w:cs="Times New Roman"/>
                <w:sz w:val="21"/>
                <w:szCs w:val="21"/>
                <w:u w:val="single"/>
                <w:lang w:val="en-US" w:eastAsia="zh-CN"/>
              </w:rPr>
              <w:t>3.5</w:t>
            </w:r>
          </w:p>
        </w:tc>
        <w:tc>
          <w:tcPr>
            <w:tcW w:w="553" w:type="pct"/>
            <w:tcBorders>
              <w:bottom w:val="single" w:color="auto" w:sz="4" w:space="0"/>
            </w:tcBorders>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10</w:t>
            </w:r>
          </w:p>
        </w:tc>
        <w:tc>
          <w:tcPr>
            <w:tcW w:w="971" w:type="dxa"/>
            <w:tcBorders>
              <w:bottom w:val="single" w:color="auto" w:sz="4" w:space="0"/>
            </w:tcBorders>
            <w:vAlign w:val="bottom"/>
          </w:tcPr>
          <w:p>
            <w:pPr>
              <w:spacing w:line="240" w:lineRule="auto"/>
              <w:ind w:firstLine="0" w:firstLineChars="0"/>
              <w:jc w:val="center"/>
              <w:rPr>
                <w:rFonts w:hint="default" w:ascii="Times New Roman" w:hAnsi="Times New Roman" w:cs="Times New Roman"/>
                <w:color w:val="auto"/>
                <w:kern w:val="21"/>
                <w:sz w:val="21"/>
                <w:szCs w:val="21"/>
              </w:rPr>
            </w:pPr>
            <w:r>
              <w:rPr>
                <w:rFonts w:hint="eastAsia" w:ascii="Times New Roman" w:hAnsi="Times New Roman" w:cs="Times New Roman"/>
                <w:color w:val="auto"/>
                <w:kern w:val="21"/>
                <w:sz w:val="21"/>
                <w:szCs w:val="21"/>
                <w:lang w:val="en-US" w:eastAsia="zh-CN"/>
              </w:rPr>
              <w:t>0.35</w:t>
            </w:r>
          </w:p>
        </w:tc>
        <w:tc>
          <w:tcPr>
            <w:tcW w:w="1132" w:type="pct"/>
            <w:vMerge w:val="restar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eastAsia="Times New Roman" w:cs="Times New Roman"/>
                <w:color w:val="auto"/>
                <w:kern w:val="21"/>
                <w:sz w:val="21"/>
                <w:szCs w:val="21"/>
              </w:rPr>
              <w:t>GB18218-2018W5.4</w:t>
            </w:r>
            <w:r>
              <w:rPr>
                <w:rFonts w:hint="default" w:ascii="Times New Roman" w:hAnsi="Times New Roman" w:cs="Times New Roman"/>
                <w:color w:val="auto"/>
                <w:kern w:val="21"/>
                <w:sz w:val="21"/>
                <w:szCs w:val="21"/>
              </w:rPr>
              <w:t>（易燃液体）</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82" w:hRule="atLeast"/>
          <w:jc w:val="center"/>
        </w:trPr>
        <w:tc>
          <w:tcPr>
            <w:tcW w:w="298" w:type="pct"/>
            <w:tcBorders>
              <w:top w:val="single" w:color="auto" w:sz="4" w:space="0"/>
            </w:tcBorders>
            <w:vAlign w:val="center"/>
          </w:tcPr>
          <w:p>
            <w:pPr>
              <w:spacing w:line="240" w:lineRule="auto"/>
              <w:ind w:firstLine="0" w:firstLineChars="0"/>
              <w:jc w:val="center"/>
              <w:rPr>
                <w:rFonts w:hint="eastAsia" w:ascii="Times New Roman" w:hAnsi="Times New Roman" w:eastAsia="宋体" w:cs="Times New Roman"/>
                <w:color w:val="auto"/>
                <w:kern w:val="21"/>
                <w:sz w:val="21"/>
                <w:szCs w:val="21"/>
                <w:lang w:val="en-US" w:eastAsia="zh-CN"/>
              </w:rPr>
            </w:pPr>
            <w:r>
              <w:rPr>
                <w:rFonts w:hint="eastAsia" w:ascii="Times New Roman" w:hAnsi="Times New Roman" w:eastAsia="宋体" w:cs="Times New Roman"/>
                <w:color w:val="auto"/>
                <w:kern w:val="21"/>
                <w:sz w:val="21"/>
                <w:szCs w:val="21"/>
                <w:lang w:val="en-US" w:eastAsia="zh-CN"/>
              </w:rPr>
              <w:t>6</w:t>
            </w:r>
          </w:p>
        </w:tc>
        <w:tc>
          <w:tcPr>
            <w:tcW w:w="984" w:type="pct"/>
            <w:tcBorders>
              <w:top w:val="single" w:color="auto" w:sz="4" w:space="0"/>
            </w:tcBorders>
            <w:vAlign w:val="center"/>
          </w:tcPr>
          <w:p>
            <w:pPr>
              <w:spacing w:line="240" w:lineRule="auto"/>
              <w:ind w:firstLine="0" w:firstLineChars="0"/>
              <w:jc w:val="center"/>
              <w:rPr>
                <w:rFonts w:hint="default" w:ascii="Times New Roman" w:hAnsi="Times New Roman" w:cs="Times New Roman"/>
                <w:color w:val="auto"/>
                <w:sz w:val="21"/>
                <w:szCs w:val="21"/>
              </w:rPr>
            </w:pPr>
            <w:r>
              <w:rPr>
                <w:rFonts w:hint="eastAsia" w:cs="Times New Roman"/>
                <w:sz w:val="21"/>
                <w:szCs w:val="21"/>
                <w:u w:val="single"/>
                <w:lang w:eastAsia="zh-CN"/>
              </w:rPr>
              <w:t>硫磺</w:t>
            </w:r>
          </w:p>
        </w:tc>
        <w:tc>
          <w:tcPr>
            <w:tcW w:w="767" w:type="pct"/>
            <w:tcBorders>
              <w:top w:val="single" w:color="auto" w:sz="4" w:space="0"/>
            </w:tcBorders>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default" w:ascii="Times New Roman" w:hAnsi="Times New Roman" w:cs="Times New Roman"/>
                <w:color w:val="auto"/>
                <w:kern w:val="21"/>
                <w:sz w:val="21"/>
                <w:szCs w:val="21"/>
              </w:rPr>
              <w:t>63705-05-5</w:t>
            </w:r>
          </w:p>
        </w:tc>
        <w:tc>
          <w:tcPr>
            <w:tcW w:w="733" w:type="pct"/>
            <w:tcBorders>
              <w:top w:val="single" w:color="auto" w:sz="4" w:space="0"/>
            </w:tcBorders>
            <w:vAlign w:val="center"/>
          </w:tcPr>
          <w:p>
            <w:pPr>
              <w:spacing w:line="240" w:lineRule="auto"/>
              <w:ind w:firstLine="0" w:firstLineChars="0"/>
              <w:jc w:val="center"/>
              <w:rPr>
                <w:rFonts w:hint="default" w:ascii="Times New Roman" w:hAnsi="Times New Roman" w:cs="Times New Roman"/>
                <w:color w:val="auto"/>
                <w:sz w:val="21"/>
                <w:szCs w:val="21"/>
              </w:rPr>
            </w:pPr>
            <w:r>
              <w:rPr>
                <w:rFonts w:hint="eastAsia" w:cs="Times New Roman"/>
                <w:sz w:val="21"/>
                <w:szCs w:val="21"/>
                <w:u w:val="single"/>
                <w:lang w:val="en-US" w:eastAsia="zh-CN"/>
              </w:rPr>
              <w:t>1.0</w:t>
            </w:r>
          </w:p>
        </w:tc>
        <w:tc>
          <w:tcPr>
            <w:tcW w:w="553" w:type="pct"/>
            <w:tcBorders>
              <w:top w:val="single" w:color="auto" w:sz="4" w:space="0"/>
            </w:tcBorders>
            <w:vAlign w:val="center"/>
          </w:tcPr>
          <w:p>
            <w:pPr>
              <w:spacing w:line="240" w:lineRule="auto"/>
              <w:ind w:firstLine="0" w:firstLineChars="0"/>
              <w:jc w:val="center"/>
              <w:rPr>
                <w:rFonts w:hint="default" w:ascii="Times New Roman" w:hAnsi="Times New Roman" w:eastAsia="宋体" w:cs="Times New Roman"/>
                <w:color w:val="auto"/>
                <w:kern w:val="21"/>
                <w:sz w:val="21"/>
                <w:szCs w:val="21"/>
                <w:lang w:val="en-US" w:eastAsia="zh-CN"/>
              </w:rPr>
            </w:pPr>
            <w:r>
              <w:rPr>
                <w:rFonts w:hint="eastAsia" w:ascii="Times New Roman" w:hAnsi="Times New Roman" w:cs="Times New Roman"/>
                <w:color w:val="auto"/>
                <w:kern w:val="21"/>
                <w:sz w:val="21"/>
                <w:szCs w:val="21"/>
                <w:lang w:val="en-US" w:eastAsia="zh-CN"/>
              </w:rPr>
              <w:t>10</w:t>
            </w:r>
          </w:p>
        </w:tc>
        <w:tc>
          <w:tcPr>
            <w:tcW w:w="971" w:type="dxa"/>
            <w:tcBorders>
              <w:top w:val="single" w:color="auto" w:sz="4" w:space="0"/>
            </w:tcBorders>
            <w:vAlign w:val="bottom"/>
          </w:tcPr>
          <w:p>
            <w:pPr>
              <w:spacing w:line="240" w:lineRule="auto"/>
              <w:ind w:firstLine="0" w:firstLineChars="0"/>
              <w:jc w:val="center"/>
              <w:rPr>
                <w:rFonts w:hint="default" w:ascii="Times New Roman" w:hAnsi="Times New Roman" w:cs="Times New Roman"/>
                <w:color w:val="auto"/>
                <w:kern w:val="21"/>
                <w:sz w:val="21"/>
                <w:szCs w:val="21"/>
              </w:rPr>
            </w:pPr>
            <w:r>
              <w:rPr>
                <w:rFonts w:hint="eastAsia" w:ascii="Times New Roman" w:hAnsi="Times New Roman" w:cs="Times New Roman"/>
                <w:color w:val="auto"/>
                <w:kern w:val="21"/>
                <w:sz w:val="21"/>
                <w:szCs w:val="21"/>
                <w:lang w:val="en-US" w:eastAsia="zh-CN"/>
              </w:rPr>
              <w:t>0.1</w:t>
            </w:r>
          </w:p>
        </w:tc>
        <w:tc>
          <w:tcPr>
            <w:tcW w:w="1132" w:type="pct"/>
            <w:vMerge w:val="continue"/>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98" w:type="pct"/>
            <w:vAlign w:val="center"/>
          </w:tcPr>
          <w:p>
            <w:pPr>
              <w:spacing w:line="240" w:lineRule="auto"/>
              <w:ind w:firstLine="0" w:firstLineChars="0"/>
              <w:jc w:val="center"/>
              <w:rPr>
                <w:rFonts w:hint="eastAsia" w:ascii="Times New Roman" w:hAnsi="Times New Roman" w:eastAsia="宋体" w:cs="Times New Roman"/>
                <w:color w:val="auto"/>
                <w:kern w:val="21"/>
                <w:sz w:val="21"/>
                <w:szCs w:val="21"/>
                <w:lang w:eastAsia="zh-CN"/>
              </w:rPr>
            </w:pPr>
            <w:r>
              <w:rPr>
                <w:rFonts w:hint="eastAsia" w:ascii="Times New Roman" w:hAnsi="Times New Roman" w:eastAsia="宋体" w:cs="Times New Roman"/>
                <w:color w:val="auto"/>
                <w:kern w:val="21"/>
                <w:sz w:val="21"/>
                <w:szCs w:val="21"/>
                <w:lang w:val="en-US" w:eastAsia="zh-CN"/>
              </w:rPr>
              <w:t>7</w:t>
            </w:r>
          </w:p>
        </w:tc>
        <w:tc>
          <w:tcPr>
            <w:tcW w:w="984"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eastAsia" w:cs="Times New Roman"/>
                <w:sz w:val="21"/>
                <w:szCs w:val="21"/>
                <w:u w:val="single"/>
                <w:lang w:eastAsia="zh-CN"/>
              </w:rPr>
              <w:t>矿物油</w:t>
            </w:r>
          </w:p>
        </w:tc>
        <w:tc>
          <w:tcPr>
            <w:tcW w:w="767"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8042-47-5</w:t>
            </w:r>
          </w:p>
        </w:tc>
        <w:tc>
          <w:tcPr>
            <w:tcW w:w="733"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cs="Times New Roman"/>
                <w:kern w:val="21"/>
                <w:sz w:val="21"/>
                <w:szCs w:val="21"/>
                <w:u w:val="single"/>
                <w:lang w:val="en-US" w:eastAsia="zh-CN"/>
              </w:rPr>
              <w:t>40</w:t>
            </w:r>
          </w:p>
        </w:tc>
        <w:tc>
          <w:tcPr>
            <w:tcW w:w="553" w:type="pct"/>
            <w:vAlign w:val="center"/>
          </w:tcPr>
          <w:p>
            <w:pPr>
              <w:spacing w:line="240" w:lineRule="auto"/>
              <w:ind w:firstLine="0" w:firstLineChars="0"/>
              <w:jc w:val="center"/>
              <w:rPr>
                <w:rFonts w:hint="default" w:ascii="Times New Roman" w:hAnsi="Times New Roman" w:eastAsia="宋体" w:cs="Times New Roman"/>
                <w:color w:val="auto"/>
                <w:kern w:val="21"/>
                <w:sz w:val="21"/>
                <w:szCs w:val="21"/>
                <w:lang w:val="en-US" w:eastAsia="zh-CN"/>
              </w:rPr>
            </w:pPr>
            <w:r>
              <w:rPr>
                <w:rFonts w:hint="eastAsia" w:ascii="Times New Roman" w:hAnsi="Times New Roman" w:cs="Times New Roman"/>
                <w:color w:val="auto"/>
                <w:kern w:val="21"/>
                <w:sz w:val="21"/>
                <w:szCs w:val="21"/>
                <w:lang w:val="en-US" w:eastAsia="zh-CN"/>
              </w:rPr>
              <w:t>2500</w:t>
            </w:r>
          </w:p>
        </w:tc>
        <w:tc>
          <w:tcPr>
            <w:tcW w:w="971" w:type="dxa"/>
            <w:vAlign w:val="bottom"/>
          </w:tcPr>
          <w:p>
            <w:pPr>
              <w:spacing w:line="240" w:lineRule="auto"/>
              <w:ind w:firstLine="0" w:firstLineChars="0"/>
              <w:jc w:val="center"/>
              <w:rPr>
                <w:rFonts w:hint="default" w:ascii="Times New Roman" w:hAnsi="Times New Roman" w:cs="Times New Roman"/>
                <w:color w:val="auto"/>
                <w:kern w:val="21"/>
                <w:sz w:val="21"/>
                <w:szCs w:val="21"/>
              </w:rPr>
            </w:pPr>
            <w:r>
              <w:rPr>
                <w:rFonts w:hint="eastAsia" w:ascii="Times New Roman" w:hAnsi="Times New Roman" w:cs="Times New Roman"/>
                <w:color w:val="auto"/>
                <w:kern w:val="21"/>
                <w:sz w:val="21"/>
                <w:szCs w:val="21"/>
                <w:lang w:val="en-US" w:eastAsia="zh-CN"/>
              </w:rPr>
              <w:t>0.016</w:t>
            </w:r>
          </w:p>
        </w:tc>
        <w:tc>
          <w:tcPr>
            <w:tcW w:w="1132"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HJ196-2018</w:t>
            </w:r>
            <w:r>
              <w:rPr>
                <w:rFonts w:hint="default" w:ascii="Times New Roman" w:hAnsi="Times New Roman" w:cs="Times New Roman"/>
                <w:color w:val="auto"/>
                <w:kern w:val="21"/>
                <w:sz w:val="21"/>
                <w:szCs w:val="21"/>
              </w:rPr>
              <w:t>附录</w:t>
            </w:r>
            <w:r>
              <w:rPr>
                <w:rFonts w:hint="default" w:ascii="Times New Roman" w:hAnsi="Times New Roman" w:eastAsia="Times New Roman" w:cs="Times New Roman"/>
                <w:color w:val="auto"/>
                <w:kern w:val="21"/>
                <w:sz w:val="21"/>
                <w:szCs w:val="21"/>
              </w:rPr>
              <w:t>B</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98" w:type="pct"/>
            <w:vAlign w:val="center"/>
          </w:tcPr>
          <w:p>
            <w:pPr>
              <w:spacing w:line="240" w:lineRule="auto"/>
              <w:ind w:firstLine="0" w:firstLineChars="0"/>
              <w:jc w:val="center"/>
              <w:rPr>
                <w:rFonts w:hint="eastAsia" w:ascii="Times New Roman" w:hAnsi="Times New Roman" w:eastAsia="宋体" w:cs="Times New Roman"/>
                <w:color w:val="auto"/>
                <w:kern w:val="21"/>
                <w:sz w:val="21"/>
                <w:szCs w:val="21"/>
                <w:lang w:eastAsia="zh-CN"/>
              </w:rPr>
            </w:pPr>
            <w:r>
              <w:rPr>
                <w:rFonts w:hint="eastAsia" w:ascii="Times New Roman" w:hAnsi="Times New Roman" w:eastAsia="宋体" w:cs="Times New Roman"/>
                <w:color w:val="auto"/>
                <w:kern w:val="21"/>
                <w:sz w:val="21"/>
                <w:szCs w:val="21"/>
                <w:lang w:val="en-US" w:eastAsia="zh-CN"/>
              </w:rPr>
              <w:t>8</w:t>
            </w:r>
          </w:p>
        </w:tc>
        <w:tc>
          <w:tcPr>
            <w:tcW w:w="984" w:type="pct"/>
            <w:vAlign w:val="center"/>
          </w:tcPr>
          <w:p>
            <w:pPr>
              <w:spacing w:line="240" w:lineRule="auto"/>
              <w:ind w:firstLine="0" w:firstLineChars="0"/>
              <w:jc w:val="center"/>
              <w:rPr>
                <w:rFonts w:hint="default" w:ascii="Times New Roman" w:hAnsi="Times New Roman" w:cs="Times New Roman"/>
                <w:color w:val="auto"/>
                <w:kern w:val="21"/>
                <w:sz w:val="21"/>
                <w:szCs w:val="21"/>
              </w:rPr>
            </w:pPr>
            <w:r>
              <w:rPr>
                <w:rFonts w:hint="eastAsia" w:cs="Times New Roman"/>
                <w:sz w:val="21"/>
                <w:szCs w:val="21"/>
                <w:u w:val="single"/>
                <w:lang w:eastAsia="zh-CN"/>
              </w:rPr>
              <w:t>甲苯二异氰酸酯</w:t>
            </w:r>
          </w:p>
        </w:tc>
        <w:tc>
          <w:tcPr>
            <w:tcW w:w="767"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584-84-9</w:t>
            </w:r>
          </w:p>
        </w:tc>
        <w:tc>
          <w:tcPr>
            <w:tcW w:w="733"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eastAsia" w:cs="Times New Roman"/>
                <w:kern w:val="21"/>
                <w:sz w:val="21"/>
                <w:szCs w:val="21"/>
                <w:u w:val="single"/>
                <w:lang w:val="en-US" w:eastAsia="zh-CN"/>
              </w:rPr>
              <w:t>1.0</w:t>
            </w:r>
          </w:p>
        </w:tc>
        <w:tc>
          <w:tcPr>
            <w:tcW w:w="553" w:type="pct"/>
            <w:vAlign w:val="center"/>
          </w:tcPr>
          <w:p>
            <w:pPr>
              <w:spacing w:line="240" w:lineRule="auto"/>
              <w:ind w:firstLine="0" w:firstLineChars="0"/>
              <w:jc w:val="center"/>
              <w:rPr>
                <w:rFonts w:hint="default" w:ascii="Times New Roman" w:hAnsi="Times New Roman" w:eastAsia="宋体" w:cs="Times New Roman"/>
                <w:color w:val="auto"/>
                <w:kern w:val="21"/>
                <w:sz w:val="21"/>
                <w:szCs w:val="21"/>
                <w:lang w:val="en-US" w:eastAsia="zh-CN"/>
              </w:rPr>
            </w:pPr>
            <w:r>
              <w:rPr>
                <w:rFonts w:hint="eastAsia" w:ascii="Times New Roman" w:hAnsi="Times New Roman" w:cs="Times New Roman"/>
                <w:color w:val="auto"/>
                <w:kern w:val="21"/>
                <w:sz w:val="21"/>
                <w:szCs w:val="21"/>
                <w:lang w:val="en-US" w:eastAsia="zh-CN"/>
              </w:rPr>
              <w:t>2.5</w:t>
            </w:r>
          </w:p>
        </w:tc>
        <w:tc>
          <w:tcPr>
            <w:tcW w:w="971" w:type="dxa"/>
            <w:vAlign w:val="bottom"/>
          </w:tcPr>
          <w:p>
            <w:pPr>
              <w:spacing w:line="240" w:lineRule="auto"/>
              <w:ind w:firstLine="0" w:firstLineChars="0"/>
              <w:jc w:val="center"/>
              <w:rPr>
                <w:rFonts w:hint="default" w:ascii="Times New Roman" w:hAnsi="Times New Roman" w:cs="Times New Roman"/>
                <w:color w:val="auto"/>
                <w:kern w:val="21"/>
                <w:sz w:val="21"/>
                <w:szCs w:val="21"/>
              </w:rPr>
            </w:pPr>
            <w:r>
              <w:rPr>
                <w:rFonts w:hint="eastAsia" w:ascii="Times New Roman" w:hAnsi="Times New Roman" w:cs="Times New Roman"/>
                <w:color w:val="auto"/>
                <w:kern w:val="21"/>
                <w:sz w:val="21"/>
                <w:szCs w:val="21"/>
                <w:lang w:val="en-US" w:eastAsia="zh-CN"/>
              </w:rPr>
              <w:t>0.4</w:t>
            </w:r>
          </w:p>
        </w:tc>
        <w:tc>
          <w:tcPr>
            <w:tcW w:w="1132"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HJ196-2018</w:t>
            </w:r>
            <w:r>
              <w:rPr>
                <w:rFonts w:hint="default" w:ascii="Times New Roman" w:hAnsi="Times New Roman" w:cs="Times New Roman"/>
                <w:color w:val="auto"/>
                <w:kern w:val="21"/>
                <w:sz w:val="21"/>
                <w:szCs w:val="21"/>
              </w:rPr>
              <w:t>附录</w:t>
            </w:r>
            <w:r>
              <w:rPr>
                <w:rFonts w:hint="default" w:ascii="Times New Roman" w:hAnsi="Times New Roman" w:eastAsia="Times New Roman" w:cs="Times New Roman"/>
                <w:color w:val="auto"/>
                <w:kern w:val="21"/>
                <w:sz w:val="21"/>
                <w:szCs w:val="21"/>
              </w:rPr>
              <w:t>B</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3335" w:type="pct"/>
            <w:gridSpan w:val="5"/>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cs="Times New Roman"/>
                <w:color w:val="auto"/>
                <w:kern w:val="21"/>
                <w:sz w:val="21"/>
                <w:szCs w:val="21"/>
              </w:rPr>
              <w:t>项目</w:t>
            </w:r>
            <w:r>
              <w:rPr>
                <w:rFonts w:hint="default" w:ascii="Times New Roman" w:hAnsi="Times New Roman" w:eastAsia="Times New Roman" w:cs="Times New Roman"/>
                <w:color w:val="auto"/>
                <w:kern w:val="21"/>
                <w:sz w:val="21"/>
                <w:szCs w:val="21"/>
              </w:rPr>
              <w:t>Q</w:t>
            </w:r>
            <w:r>
              <w:rPr>
                <w:rFonts w:hint="default" w:ascii="Times New Roman" w:hAnsi="Times New Roman" w:cs="Times New Roman"/>
                <w:color w:val="auto"/>
                <w:kern w:val="21"/>
                <w:sz w:val="21"/>
                <w:szCs w:val="21"/>
              </w:rPr>
              <w:t>值</w:t>
            </w:r>
            <w:r>
              <w:rPr>
                <w:rFonts w:hint="default" w:ascii="Times New Roman" w:hAnsi="Times New Roman" w:eastAsia="Times New Roman" w:cs="Times New Roman"/>
                <w:color w:val="auto"/>
                <w:kern w:val="21"/>
                <w:sz w:val="21"/>
                <w:szCs w:val="21"/>
              </w:rPr>
              <w:t>∑</w:t>
            </w:r>
          </w:p>
        </w:tc>
        <w:tc>
          <w:tcPr>
            <w:tcW w:w="531" w:type="pct"/>
            <w:vAlign w:val="center"/>
          </w:tcPr>
          <w:p>
            <w:pPr>
              <w:spacing w:line="240" w:lineRule="auto"/>
              <w:ind w:firstLine="0" w:firstLineChars="0"/>
              <w:jc w:val="center"/>
              <w:rPr>
                <w:rFonts w:hint="default" w:ascii="Times New Roman" w:hAnsi="Times New Roman" w:eastAsia="宋体" w:cs="Times New Roman"/>
                <w:color w:val="auto"/>
                <w:kern w:val="21"/>
                <w:sz w:val="21"/>
                <w:szCs w:val="21"/>
                <w:lang w:val="en-US" w:eastAsia="zh-CN"/>
              </w:rPr>
            </w:pPr>
            <w:r>
              <w:rPr>
                <w:rFonts w:hint="eastAsia" w:ascii="Times New Roman" w:hAnsi="Times New Roman" w:cs="Times New Roman"/>
                <w:color w:val="auto"/>
                <w:kern w:val="21"/>
                <w:sz w:val="21"/>
                <w:szCs w:val="21"/>
                <w:lang w:val="en-US" w:eastAsia="zh-CN"/>
              </w:rPr>
              <w:t>5.2735</w:t>
            </w:r>
          </w:p>
        </w:tc>
        <w:tc>
          <w:tcPr>
            <w:tcW w:w="1132" w:type="pct"/>
            <w:vAlign w:val="center"/>
          </w:tcPr>
          <w:p>
            <w:pPr>
              <w:spacing w:line="240" w:lineRule="auto"/>
              <w:ind w:firstLine="0" w:firstLineChars="0"/>
              <w:jc w:val="center"/>
              <w:rPr>
                <w:rFonts w:hint="default" w:ascii="Times New Roman" w:hAnsi="Times New Roman" w:eastAsia="Times New Roman" w:cs="Times New Roman"/>
                <w:color w:val="auto"/>
                <w:kern w:val="21"/>
                <w:sz w:val="21"/>
                <w:szCs w:val="21"/>
              </w:rPr>
            </w:pPr>
            <w:r>
              <w:rPr>
                <w:rFonts w:hint="default" w:ascii="Times New Roman" w:hAnsi="Times New Roman" w:eastAsia="Times New Roman" w:cs="Times New Roman"/>
                <w:color w:val="auto"/>
                <w:kern w:val="21"/>
                <w:sz w:val="21"/>
                <w:szCs w:val="21"/>
              </w:rPr>
              <w:t>/</w:t>
            </w:r>
          </w:p>
        </w:tc>
      </w:tr>
    </w:tbl>
    <w:p>
      <w:pPr>
        <w:ind w:firstLine="480"/>
      </w:pPr>
      <w:r>
        <w:t>项目所用原辅材料不涉及剧毒物质，Q=</w:t>
      </w:r>
      <w:r>
        <w:rPr>
          <w:rFonts w:hint="eastAsia"/>
          <w:lang w:val="en-US" w:eastAsia="zh-CN"/>
        </w:rPr>
        <w:t>5.2735</w:t>
      </w:r>
      <w:r>
        <w:t>，属于1≤Q＜10。</w:t>
      </w:r>
    </w:p>
    <w:p>
      <w:pPr>
        <w:widowControl/>
        <w:ind w:firstLine="562"/>
        <w:jc w:val="left"/>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8.3.2</w:t>
      </w:r>
      <w:r>
        <w:rPr>
          <w:rFonts w:cs="Times New Roman"/>
          <w:b/>
          <w:bCs/>
          <w:color w:val="000000"/>
          <w:kern w:val="0"/>
          <w:sz w:val="28"/>
          <w:szCs w:val="28"/>
          <w:lang w:bidi="ar"/>
        </w:rPr>
        <w:t xml:space="preserve"> 所属行业及生产工艺特点</w:t>
      </w:r>
      <w:r>
        <w:rPr>
          <w:rFonts w:hint="eastAsia" w:cs="Times New Roman"/>
          <w:b/>
          <w:bCs/>
          <w:color w:val="000000"/>
          <w:kern w:val="0"/>
          <w:sz w:val="28"/>
          <w:szCs w:val="28"/>
          <w:lang w:bidi="ar"/>
        </w:rPr>
        <w:t>（</w:t>
      </w:r>
      <w:r>
        <w:rPr>
          <w:rFonts w:cs="Times New Roman"/>
          <w:b/>
          <w:bCs/>
          <w:color w:val="000000"/>
          <w:kern w:val="0"/>
          <w:sz w:val="28"/>
          <w:szCs w:val="28"/>
          <w:lang w:bidi="ar"/>
        </w:rPr>
        <w:t>M</w:t>
      </w:r>
      <w:r>
        <w:rPr>
          <w:rFonts w:hint="eastAsia" w:cs="Times New Roman"/>
          <w:b/>
          <w:bCs/>
          <w:color w:val="000000"/>
          <w:kern w:val="0"/>
          <w:sz w:val="28"/>
          <w:szCs w:val="28"/>
          <w:lang w:bidi="ar"/>
        </w:rPr>
        <w:t>）</w:t>
      </w:r>
      <w:r>
        <w:rPr>
          <w:rFonts w:cs="Times New Roman"/>
          <w:b/>
          <w:bCs/>
          <w:color w:val="000000"/>
          <w:kern w:val="0"/>
          <w:sz w:val="28"/>
          <w:szCs w:val="28"/>
          <w:lang w:bidi="ar"/>
        </w:rPr>
        <w:t>值的确定</w:t>
      </w:r>
    </w:p>
    <w:p>
      <w:pPr>
        <w:ind w:firstLine="480"/>
      </w:pPr>
      <w:r>
        <w:t>分析项目所属行业及生产工艺特点，根据《建设项目环境风险评价技术导则》</w:t>
      </w:r>
      <w:r>
        <w:rPr>
          <w:rFonts w:hint="eastAsia"/>
        </w:rPr>
        <w:t>（</w:t>
      </w:r>
      <w:r>
        <w:t>HJ169-2018</w:t>
      </w:r>
      <w:r>
        <w:rPr>
          <w:rFonts w:hint="eastAsia"/>
        </w:rPr>
        <w:t>）</w:t>
      </w:r>
      <w:r>
        <w:t>，按照表</w:t>
      </w:r>
      <w:r>
        <w:rPr>
          <w:rFonts w:hint="eastAsia"/>
        </w:rPr>
        <w:t>7.2-2</w:t>
      </w:r>
      <w:r>
        <w:t>确定项目行业及生产工艺评分。具有多套工艺单元的项目，对每套生产工艺分别评分并求和。将M划分为M1＞20；10＜M2≤20、5＜M3≤10、M4=5，分别以M1、M2、M3、M4表示。项目属于</w:t>
      </w:r>
      <w:r>
        <w:rPr>
          <w:rFonts w:hint="eastAsia"/>
        </w:rPr>
        <w:t>基础学化学品制造</w:t>
      </w:r>
      <w:r>
        <w:t>行业，行业及生产工艺评分具体见表</w:t>
      </w:r>
      <w:r>
        <w:rPr>
          <w:rFonts w:hint="eastAsia"/>
        </w:rPr>
        <w:t>6.8-</w:t>
      </w:r>
      <w:r>
        <w:rPr>
          <w:rFonts w:hint="eastAsia"/>
          <w:lang w:val="en-US" w:eastAsia="zh-CN"/>
        </w:rPr>
        <w:t>4</w:t>
      </w:r>
      <w:r>
        <w:t>。</w:t>
      </w:r>
    </w:p>
    <w:p>
      <w:pPr>
        <w:spacing w:line="0" w:lineRule="atLeast"/>
        <w:ind w:firstLine="482"/>
        <w:jc w:val="center"/>
        <w:rPr>
          <w:b/>
          <w:kern w:val="24"/>
          <w:szCs w:val="21"/>
        </w:rPr>
      </w:pPr>
      <w:r>
        <w:rPr>
          <w:b/>
          <w:kern w:val="24"/>
          <w:szCs w:val="21"/>
        </w:rPr>
        <w:t>表</w:t>
      </w:r>
      <w:r>
        <w:rPr>
          <w:rFonts w:hint="eastAsia"/>
          <w:b/>
          <w:kern w:val="24"/>
          <w:szCs w:val="21"/>
        </w:rPr>
        <w:t>6.8-</w:t>
      </w:r>
      <w:r>
        <w:rPr>
          <w:rFonts w:hint="eastAsia"/>
          <w:b/>
          <w:kern w:val="24"/>
          <w:szCs w:val="21"/>
          <w:lang w:val="en-US" w:eastAsia="zh-CN"/>
        </w:rPr>
        <w:t>4</w:t>
      </w:r>
      <w:r>
        <w:rPr>
          <w:b/>
          <w:kern w:val="24"/>
          <w:szCs w:val="21"/>
        </w:rPr>
        <w:t xml:space="preserve">  行业及生产工艺评分</w:t>
      </w:r>
    </w:p>
    <w:tbl>
      <w:tblPr>
        <w:tblStyle w:val="51"/>
        <w:tblW w:w="5019"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741"/>
        <w:gridCol w:w="4336"/>
        <w:gridCol w:w="3040"/>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955" w:type="pct"/>
            <w:vAlign w:val="center"/>
          </w:tcPr>
          <w:p>
            <w:pPr>
              <w:spacing w:line="240" w:lineRule="auto"/>
              <w:ind w:firstLine="0" w:firstLineChars="0"/>
              <w:jc w:val="center"/>
              <w:rPr>
                <w:rFonts w:cs="Times New Roman"/>
                <w:sz w:val="21"/>
                <w:szCs w:val="21"/>
              </w:rPr>
            </w:pPr>
            <w:r>
              <w:rPr>
                <w:rFonts w:cs="Times New Roman"/>
                <w:spacing w:val="3"/>
                <w:sz w:val="21"/>
                <w:szCs w:val="21"/>
              </w:rPr>
              <w:t>行业</w:t>
            </w:r>
          </w:p>
        </w:tc>
        <w:tc>
          <w:tcPr>
            <w:tcW w:w="2378" w:type="pct"/>
            <w:vAlign w:val="center"/>
          </w:tcPr>
          <w:p>
            <w:pPr>
              <w:spacing w:line="240" w:lineRule="auto"/>
              <w:ind w:firstLine="0" w:firstLineChars="0"/>
              <w:jc w:val="center"/>
              <w:rPr>
                <w:rFonts w:cs="Times New Roman"/>
                <w:sz w:val="21"/>
                <w:szCs w:val="21"/>
              </w:rPr>
            </w:pPr>
            <w:r>
              <w:rPr>
                <w:rFonts w:cs="Times New Roman"/>
                <w:spacing w:val="9"/>
                <w:sz w:val="21"/>
                <w:szCs w:val="21"/>
              </w:rPr>
              <w:t>评</w:t>
            </w:r>
            <w:r>
              <w:rPr>
                <w:rFonts w:cs="Times New Roman"/>
                <w:spacing w:val="7"/>
                <w:sz w:val="21"/>
                <w:szCs w:val="21"/>
              </w:rPr>
              <w:t>估依据</w:t>
            </w:r>
          </w:p>
        </w:tc>
        <w:tc>
          <w:tcPr>
            <w:tcW w:w="1666" w:type="pct"/>
            <w:vAlign w:val="center"/>
          </w:tcPr>
          <w:p>
            <w:pPr>
              <w:spacing w:line="240" w:lineRule="auto"/>
              <w:ind w:firstLine="0" w:firstLineChars="0"/>
              <w:jc w:val="center"/>
              <w:rPr>
                <w:rFonts w:cs="Times New Roman"/>
                <w:sz w:val="21"/>
                <w:szCs w:val="21"/>
              </w:rPr>
            </w:pPr>
            <w:r>
              <w:rPr>
                <w:rFonts w:cs="Times New Roman"/>
                <w:spacing w:val="4"/>
                <w:sz w:val="21"/>
                <w:szCs w:val="21"/>
              </w:rPr>
              <w:t>分</w:t>
            </w:r>
            <w:r>
              <w:rPr>
                <w:rFonts w:cs="Times New Roman"/>
                <w:spacing w:val="3"/>
                <w:sz w:val="21"/>
                <w:szCs w:val="21"/>
              </w:rPr>
              <w:t>值</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1857" w:hRule="atLeast"/>
          <w:jc w:val="center"/>
        </w:trPr>
        <w:tc>
          <w:tcPr>
            <w:tcW w:w="955" w:type="pct"/>
            <w:vMerge w:val="restart"/>
            <w:vAlign w:val="center"/>
          </w:tcPr>
          <w:p>
            <w:pPr>
              <w:spacing w:line="240" w:lineRule="auto"/>
              <w:ind w:firstLine="0" w:firstLineChars="0"/>
              <w:jc w:val="center"/>
              <w:rPr>
                <w:rFonts w:cs="Times New Roman"/>
                <w:sz w:val="21"/>
                <w:szCs w:val="21"/>
              </w:rPr>
            </w:pPr>
            <w:r>
              <w:rPr>
                <w:rFonts w:cs="Times New Roman"/>
                <w:spacing w:val="-7"/>
                <w:sz w:val="21"/>
                <w:szCs w:val="21"/>
              </w:rPr>
              <w:t>石</w:t>
            </w:r>
            <w:r>
              <w:rPr>
                <w:rFonts w:cs="Times New Roman"/>
                <w:spacing w:val="-5"/>
                <w:sz w:val="21"/>
                <w:szCs w:val="21"/>
              </w:rPr>
              <w:t>化、化工、医药、</w:t>
            </w:r>
          </w:p>
          <w:p>
            <w:pPr>
              <w:spacing w:line="240" w:lineRule="auto"/>
              <w:ind w:firstLine="0" w:firstLineChars="0"/>
              <w:jc w:val="center"/>
              <w:rPr>
                <w:rFonts w:cs="Times New Roman"/>
                <w:sz w:val="21"/>
                <w:szCs w:val="21"/>
              </w:rPr>
            </w:pPr>
            <w:r>
              <w:rPr>
                <w:rFonts w:cs="Times New Roman"/>
                <w:spacing w:val="10"/>
                <w:sz w:val="21"/>
                <w:szCs w:val="21"/>
              </w:rPr>
              <w:t>轻</w:t>
            </w:r>
            <w:r>
              <w:rPr>
                <w:rFonts w:cs="Times New Roman"/>
                <w:spacing w:val="7"/>
                <w:sz w:val="21"/>
                <w:szCs w:val="21"/>
              </w:rPr>
              <w:t>工、化纤、有色</w:t>
            </w:r>
          </w:p>
          <w:p>
            <w:pPr>
              <w:spacing w:line="240" w:lineRule="auto"/>
              <w:ind w:firstLine="0" w:firstLineChars="0"/>
              <w:jc w:val="center"/>
              <w:rPr>
                <w:rFonts w:cs="Times New Roman"/>
                <w:sz w:val="21"/>
                <w:szCs w:val="21"/>
              </w:rPr>
            </w:pPr>
            <w:r>
              <w:rPr>
                <w:rFonts w:cs="Times New Roman"/>
                <w:spacing w:val="6"/>
                <w:sz w:val="21"/>
                <w:szCs w:val="21"/>
              </w:rPr>
              <w:t>冶炼等</w:t>
            </w:r>
          </w:p>
        </w:tc>
        <w:tc>
          <w:tcPr>
            <w:tcW w:w="2378" w:type="pct"/>
            <w:vAlign w:val="center"/>
          </w:tcPr>
          <w:p>
            <w:pPr>
              <w:spacing w:line="240" w:lineRule="auto"/>
              <w:ind w:firstLine="0" w:firstLineChars="0"/>
              <w:jc w:val="center"/>
              <w:rPr>
                <w:rFonts w:cs="Times New Roman"/>
                <w:sz w:val="21"/>
                <w:szCs w:val="21"/>
              </w:rPr>
            </w:pPr>
            <w:r>
              <w:rPr>
                <w:rFonts w:cs="Times New Roman"/>
                <w:spacing w:val="16"/>
                <w:sz w:val="21"/>
                <w:szCs w:val="21"/>
              </w:rPr>
              <w:t>涉</w:t>
            </w:r>
            <w:r>
              <w:rPr>
                <w:rFonts w:cs="Times New Roman"/>
                <w:spacing w:val="15"/>
                <w:sz w:val="21"/>
                <w:szCs w:val="21"/>
              </w:rPr>
              <w:t>及</w:t>
            </w:r>
            <w:r>
              <w:rPr>
                <w:rFonts w:cs="Times New Roman"/>
                <w:spacing w:val="8"/>
                <w:sz w:val="21"/>
                <w:szCs w:val="21"/>
              </w:rPr>
              <w:t>光气及光气化工艺、电解工艺</w:t>
            </w:r>
            <w:r>
              <w:rPr>
                <w:rFonts w:hint="eastAsia" w:cs="Times New Roman"/>
                <w:spacing w:val="8"/>
                <w:sz w:val="21"/>
                <w:szCs w:val="21"/>
              </w:rPr>
              <w:t>（</w:t>
            </w:r>
            <w:r>
              <w:rPr>
                <w:rFonts w:cs="Times New Roman"/>
                <w:spacing w:val="8"/>
                <w:sz w:val="21"/>
                <w:szCs w:val="21"/>
              </w:rPr>
              <w:t>氯碱</w:t>
            </w:r>
            <w:r>
              <w:rPr>
                <w:rFonts w:hint="eastAsia" w:cs="Times New Roman"/>
                <w:spacing w:val="8"/>
                <w:sz w:val="21"/>
                <w:szCs w:val="21"/>
              </w:rPr>
              <w:t>）</w:t>
            </w:r>
            <w:r>
              <w:rPr>
                <w:rFonts w:cs="Times New Roman"/>
                <w:spacing w:val="8"/>
                <w:sz w:val="21"/>
                <w:szCs w:val="21"/>
              </w:rPr>
              <w:t>、氯</w:t>
            </w:r>
            <w:r>
              <w:rPr>
                <w:rFonts w:cs="Times New Roman"/>
                <w:spacing w:val="13"/>
                <w:sz w:val="21"/>
                <w:szCs w:val="21"/>
              </w:rPr>
              <w:t>化</w:t>
            </w:r>
            <w:r>
              <w:rPr>
                <w:rFonts w:cs="Times New Roman"/>
                <w:spacing w:val="8"/>
                <w:sz w:val="21"/>
                <w:szCs w:val="21"/>
              </w:rPr>
              <w:t>工艺、硝化工艺、合成氨工艺、裂解</w:t>
            </w:r>
            <w:r>
              <w:rPr>
                <w:rFonts w:hint="eastAsia" w:cs="Times New Roman"/>
                <w:spacing w:val="8"/>
                <w:sz w:val="21"/>
                <w:szCs w:val="21"/>
              </w:rPr>
              <w:t>（</w:t>
            </w:r>
            <w:r>
              <w:rPr>
                <w:rFonts w:cs="Times New Roman"/>
                <w:spacing w:val="8"/>
                <w:sz w:val="21"/>
                <w:szCs w:val="21"/>
              </w:rPr>
              <w:t>裂化</w:t>
            </w:r>
            <w:r>
              <w:rPr>
                <w:rFonts w:hint="eastAsia" w:cs="Times New Roman"/>
                <w:spacing w:val="8"/>
                <w:sz w:val="21"/>
                <w:szCs w:val="21"/>
              </w:rPr>
              <w:t>）</w:t>
            </w:r>
            <w:r>
              <w:rPr>
                <w:rFonts w:cs="Times New Roman"/>
                <w:spacing w:val="18"/>
                <w:sz w:val="21"/>
                <w:szCs w:val="21"/>
              </w:rPr>
              <w:t>工</w:t>
            </w:r>
            <w:r>
              <w:rPr>
                <w:rFonts w:cs="Times New Roman"/>
                <w:spacing w:val="10"/>
                <w:sz w:val="21"/>
                <w:szCs w:val="21"/>
              </w:rPr>
              <w:t>艺</w:t>
            </w:r>
            <w:r>
              <w:rPr>
                <w:rFonts w:cs="Times New Roman"/>
                <w:spacing w:val="9"/>
                <w:sz w:val="21"/>
                <w:szCs w:val="21"/>
              </w:rPr>
              <w:t>、氟化工艺、加氢工艺、重氮化工艺、氧化</w:t>
            </w:r>
            <w:r>
              <w:rPr>
                <w:rFonts w:cs="Times New Roman"/>
                <w:spacing w:val="18"/>
                <w:sz w:val="21"/>
                <w:szCs w:val="21"/>
              </w:rPr>
              <w:t>工</w:t>
            </w:r>
            <w:r>
              <w:rPr>
                <w:rFonts w:cs="Times New Roman"/>
                <w:spacing w:val="10"/>
                <w:sz w:val="21"/>
                <w:szCs w:val="21"/>
              </w:rPr>
              <w:t>艺</w:t>
            </w:r>
            <w:r>
              <w:rPr>
                <w:rFonts w:cs="Times New Roman"/>
                <w:spacing w:val="9"/>
                <w:sz w:val="21"/>
                <w:szCs w:val="21"/>
              </w:rPr>
              <w:t>、过氧化工艺、胺基化工艺、磺化工艺、聚</w:t>
            </w:r>
            <w:r>
              <w:rPr>
                <w:rFonts w:cs="Times New Roman"/>
                <w:spacing w:val="8"/>
                <w:sz w:val="21"/>
                <w:szCs w:val="21"/>
              </w:rPr>
              <w:t>合工</w:t>
            </w:r>
            <w:r>
              <w:rPr>
                <w:rFonts w:cs="Times New Roman"/>
                <w:spacing w:val="7"/>
                <w:sz w:val="21"/>
                <w:szCs w:val="21"/>
              </w:rPr>
              <w:t>艺</w:t>
            </w:r>
            <w:r>
              <w:rPr>
                <w:rFonts w:cs="Times New Roman"/>
                <w:spacing w:val="4"/>
                <w:sz w:val="21"/>
                <w:szCs w:val="21"/>
              </w:rPr>
              <w:t>、烷基化工艺、新型煤化工工艺、电石生</w:t>
            </w:r>
            <w:r>
              <w:rPr>
                <w:rFonts w:cs="Times New Roman"/>
                <w:spacing w:val="9"/>
                <w:sz w:val="21"/>
                <w:szCs w:val="21"/>
              </w:rPr>
              <w:t>产工艺、偶氮化工</w:t>
            </w:r>
            <w:r>
              <w:rPr>
                <w:rFonts w:cs="Times New Roman"/>
                <w:spacing w:val="8"/>
                <w:sz w:val="21"/>
                <w:szCs w:val="21"/>
              </w:rPr>
              <w:t>艺</w:t>
            </w:r>
          </w:p>
        </w:tc>
        <w:tc>
          <w:tcPr>
            <w:tcW w:w="1666" w:type="pct"/>
            <w:vAlign w:val="center"/>
          </w:tcPr>
          <w:p>
            <w:pPr>
              <w:spacing w:line="240" w:lineRule="auto"/>
              <w:ind w:firstLine="0" w:firstLineChars="0"/>
              <w:jc w:val="center"/>
              <w:rPr>
                <w:rFonts w:cs="Times New Roman"/>
                <w:sz w:val="21"/>
                <w:szCs w:val="21"/>
              </w:rPr>
            </w:pPr>
            <w:r>
              <w:rPr>
                <w:rFonts w:cs="Times New Roman"/>
                <w:spacing w:val="-1"/>
                <w:position w:val="1"/>
                <w:sz w:val="21"/>
                <w:szCs w:val="21"/>
              </w:rPr>
              <w:t>10/</w:t>
            </w:r>
            <w:r>
              <w:rPr>
                <w:rFonts w:cs="Times New Roman"/>
                <w:position w:val="1"/>
                <w:sz w:val="21"/>
                <w:szCs w:val="21"/>
              </w:rPr>
              <w:t>套</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955" w:type="pct"/>
            <w:vMerge w:val="continue"/>
            <w:vAlign w:val="center"/>
          </w:tcPr>
          <w:p>
            <w:pPr>
              <w:spacing w:line="240" w:lineRule="auto"/>
              <w:ind w:firstLine="0" w:firstLineChars="0"/>
              <w:jc w:val="center"/>
              <w:rPr>
                <w:rFonts w:cs="Times New Roman"/>
                <w:sz w:val="21"/>
                <w:szCs w:val="21"/>
              </w:rPr>
            </w:pPr>
          </w:p>
        </w:tc>
        <w:tc>
          <w:tcPr>
            <w:tcW w:w="2378" w:type="pct"/>
            <w:vAlign w:val="center"/>
          </w:tcPr>
          <w:p>
            <w:pPr>
              <w:spacing w:line="240" w:lineRule="auto"/>
              <w:ind w:firstLine="0" w:firstLineChars="0"/>
              <w:jc w:val="center"/>
              <w:rPr>
                <w:rFonts w:cs="Times New Roman"/>
                <w:sz w:val="21"/>
                <w:szCs w:val="21"/>
              </w:rPr>
            </w:pPr>
            <w:r>
              <w:rPr>
                <w:rFonts w:cs="Times New Roman"/>
                <w:spacing w:val="9"/>
                <w:sz w:val="21"/>
                <w:szCs w:val="21"/>
              </w:rPr>
              <w:t>无机酸制酸工艺、焦化工</w:t>
            </w:r>
            <w:r>
              <w:rPr>
                <w:rFonts w:cs="Times New Roman"/>
                <w:spacing w:val="8"/>
                <w:sz w:val="21"/>
                <w:szCs w:val="21"/>
              </w:rPr>
              <w:t>艺</w:t>
            </w:r>
          </w:p>
        </w:tc>
        <w:tc>
          <w:tcPr>
            <w:tcW w:w="1666" w:type="pct"/>
            <w:vAlign w:val="center"/>
          </w:tcPr>
          <w:p>
            <w:pPr>
              <w:spacing w:line="240" w:lineRule="auto"/>
              <w:ind w:firstLine="0" w:firstLineChars="0"/>
              <w:jc w:val="center"/>
              <w:rPr>
                <w:rFonts w:cs="Times New Roman"/>
                <w:sz w:val="21"/>
                <w:szCs w:val="21"/>
              </w:rPr>
            </w:pPr>
            <w:r>
              <w:rPr>
                <w:rFonts w:cs="Times New Roman"/>
                <w:spacing w:val="2"/>
                <w:position w:val="1"/>
                <w:sz w:val="21"/>
                <w:szCs w:val="21"/>
              </w:rPr>
              <w:t>5/套</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955" w:type="pct"/>
            <w:vMerge w:val="continue"/>
            <w:vAlign w:val="center"/>
          </w:tcPr>
          <w:p>
            <w:pPr>
              <w:spacing w:line="240" w:lineRule="auto"/>
              <w:ind w:firstLine="0" w:firstLineChars="0"/>
              <w:jc w:val="center"/>
              <w:rPr>
                <w:rFonts w:cs="Times New Roman"/>
                <w:sz w:val="21"/>
                <w:szCs w:val="21"/>
              </w:rPr>
            </w:pPr>
          </w:p>
        </w:tc>
        <w:tc>
          <w:tcPr>
            <w:tcW w:w="2378" w:type="pct"/>
            <w:vAlign w:val="center"/>
          </w:tcPr>
          <w:p>
            <w:pPr>
              <w:spacing w:line="240" w:lineRule="auto"/>
              <w:ind w:firstLine="0" w:firstLineChars="0"/>
              <w:jc w:val="center"/>
              <w:rPr>
                <w:rFonts w:cs="Times New Roman"/>
                <w:sz w:val="21"/>
                <w:szCs w:val="21"/>
              </w:rPr>
            </w:pPr>
            <w:r>
              <w:rPr>
                <w:rFonts w:cs="Times New Roman"/>
                <w:spacing w:val="18"/>
                <w:sz w:val="21"/>
                <w:szCs w:val="21"/>
              </w:rPr>
              <w:t>其</w:t>
            </w:r>
            <w:r>
              <w:rPr>
                <w:rFonts w:cs="Times New Roman"/>
                <w:spacing w:val="10"/>
                <w:sz w:val="21"/>
                <w:szCs w:val="21"/>
              </w:rPr>
              <w:t>他</w:t>
            </w:r>
            <w:r>
              <w:rPr>
                <w:rFonts w:cs="Times New Roman"/>
                <w:spacing w:val="9"/>
                <w:sz w:val="21"/>
                <w:szCs w:val="21"/>
              </w:rPr>
              <w:t>高温或高压，且涉及易燃易爆等物质的工艺</w:t>
            </w:r>
            <w:r>
              <w:rPr>
                <w:rFonts w:cs="Times New Roman"/>
                <w:spacing w:val="1"/>
                <w:sz w:val="21"/>
                <w:szCs w:val="21"/>
              </w:rPr>
              <w:t>过程</w:t>
            </w:r>
            <w:r>
              <w:rPr>
                <w:rFonts w:cs="Times New Roman"/>
                <w:sz w:val="21"/>
                <w:szCs w:val="21"/>
              </w:rPr>
              <w:t>a</w:t>
            </w:r>
            <w:r>
              <w:rPr>
                <w:rFonts w:cs="Times New Roman"/>
                <w:spacing w:val="1"/>
                <w:sz w:val="21"/>
                <w:szCs w:val="21"/>
              </w:rPr>
              <w:t>、</w:t>
            </w:r>
            <w:r>
              <w:rPr>
                <w:rFonts w:cs="Times New Roman"/>
                <w:sz w:val="21"/>
                <w:szCs w:val="21"/>
              </w:rPr>
              <w:t>危险物质储存罐区</w:t>
            </w:r>
          </w:p>
        </w:tc>
        <w:tc>
          <w:tcPr>
            <w:tcW w:w="1666" w:type="pct"/>
            <w:vAlign w:val="center"/>
          </w:tcPr>
          <w:p>
            <w:pPr>
              <w:spacing w:line="240" w:lineRule="auto"/>
              <w:ind w:firstLine="0" w:firstLineChars="0"/>
              <w:jc w:val="center"/>
              <w:rPr>
                <w:rFonts w:cs="Times New Roman"/>
                <w:sz w:val="21"/>
                <w:szCs w:val="21"/>
              </w:rPr>
            </w:pPr>
            <w:r>
              <w:rPr>
                <w:rFonts w:cs="Times New Roman"/>
                <w:spacing w:val="7"/>
                <w:position w:val="1"/>
                <w:sz w:val="21"/>
                <w:szCs w:val="21"/>
              </w:rPr>
              <w:t>5</w:t>
            </w:r>
            <w:r>
              <w:rPr>
                <w:rFonts w:cs="Times New Roman"/>
                <w:spacing w:val="4"/>
                <w:position w:val="1"/>
                <w:sz w:val="21"/>
                <w:szCs w:val="21"/>
              </w:rPr>
              <w:t>/套</w:t>
            </w:r>
            <w:r>
              <w:rPr>
                <w:rFonts w:hint="eastAsia" w:cs="Times New Roman"/>
                <w:spacing w:val="4"/>
                <w:position w:val="1"/>
                <w:sz w:val="21"/>
                <w:szCs w:val="21"/>
              </w:rPr>
              <w:t>（</w:t>
            </w:r>
            <w:r>
              <w:rPr>
                <w:rFonts w:cs="Times New Roman"/>
                <w:spacing w:val="4"/>
                <w:position w:val="1"/>
                <w:sz w:val="21"/>
                <w:szCs w:val="21"/>
              </w:rPr>
              <w:t>罐区</w:t>
            </w:r>
            <w:r>
              <w:rPr>
                <w:rFonts w:hint="eastAsia" w:cs="Times New Roman"/>
                <w:spacing w:val="4"/>
                <w:position w:val="1"/>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955" w:type="pct"/>
            <w:vAlign w:val="center"/>
          </w:tcPr>
          <w:p>
            <w:pPr>
              <w:spacing w:line="240" w:lineRule="auto"/>
              <w:ind w:firstLine="0" w:firstLineChars="0"/>
              <w:jc w:val="center"/>
              <w:rPr>
                <w:rFonts w:cs="Times New Roman"/>
                <w:sz w:val="21"/>
                <w:szCs w:val="21"/>
              </w:rPr>
            </w:pPr>
            <w:r>
              <w:rPr>
                <w:rFonts w:cs="Times New Roman"/>
                <w:position w:val="1"/>
                <w:sz w:val="21"/>
                <w:szCs w:val="21"/>
              </w:rPr>
              <w:t>管道、港口/码头等</w:t>
            </w:r>
          </w:p>
        </w:tc>
        <w:tc>
          <w:tcPr>
            <w:tcW w:w="2378" w:type="pct"/>
            <w:vAlign w:val="center"/>
          </w:tcPr>
          <w:p>
            <w:pPr>
              <w:spacing w:line="240" w:lineRule="auto"/>
              <w:ind w:firstLine="0" w:firstLineChars="0"/>
              <w:jc w:val="center"/>
              <w:rPr>
                <w:rFonts w:cs="Times New Roman"/>
                <w:sz w:val="21"/>
                <w:szCs w:val="21"/>
              </w:rPr>
            </w:pPr>
            <w:r>
              <w:rPr>
                <w:rFonts w:cs="Times New Roman"/>
                <w:spacing w:val="10"/>
                <w:position w:val="1"/>
                <w:sz w:val="21"/>
                <w:szCs w:val="21"/>
              </w:rPr>
              <w:t>涉</w:t>
            </w:r>
            <w:r>
              <w:rPr>
                <w:rFonts w:cs="Times New Roman"/>
                <w:spacing w:val="9"/>
                <w:position w:val="1"/>
                <w:sz w:val="21"/>
                <w:szCs w:val="21"/>
              </w:rPr>
              <w:t>及危险物质管道运输项目、港口/码头等</w:t>
            </w:r>
          </w:p>
        </w:tc>
        <w:tc>
          <w:tcPr>
            <w:tcW w:w="1666" w:type="pct"/>
            <w:vAlign w:val="center"/>
          </w:tcPr>
          <w:p>
            <w:pPr>
              <w:spacing w:line="240" w:lineRule="auto"/>
              <w:ind w:firstLine="0" w:firstLineChars="0"/>
              <w:jc w:val="center"/>
              <w:rPr>
                <w:rFonts w:cs="Times New Roman"/>
                <w:sz w:val="21"/>
                <w:szCs w:val="21"/>
              </w:rPr>
            </w:pPr>
            <w:r>
              <w:rPr>
                <w:rFonts w:cs="Times New Roman"/>
                <w:spacing w:val="-8"/>
                <w:sz w:val="21"/>
                <w:szCs w:val="21"/>
              </w:rPr>
              <w:t>1</w:t>
            </w:r>
            <w:r>
              <w:rPr>
                <w:rFonts w:cs="Times New Roman"/>
                <w:spacing w:val="-7"/>
                <w:sz w:val="21"/>
                <w:szCs w:val="21"/>
              </w:rPr>
              <w:t>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955" w:type="pct"/>
            <w:vAlign w:val="center"/>
          </w:tcPr>
          <w:p>
            <w:pPr>
              <w:spacing w:line="240" w:lineRule="auto"/>
              <w:ind w:firstLine="0" w:firstLineChars="0"/>
              <w:jc w:val="center"/>
              <w:rPr>
                <w:rFonts w:cs="Times New Roman"/>
                <w:sz w:val="21"/>
                <w:szCs w:val="21"/>
              </w:rPr>
            </w:pPr>
            <w:r>
              <w:rPr>
                <w:rFonts w:cs="Times New Roman"/>
                <w:spacing w:val="8"/>
                <w:sz w:val="21"/>
                <w:szCs w:val="21"/>
              </w:rPr>
              <w:t>石油天然</w:t>
            </w:r>
            <w:r>
              <w:rPr>
                <w:rFonts w:cs="Times New Roman"/>
                <w:spacing w:val="7"/>
                <w:sz w:val="21"/>
                <w:szCs w:val="21"/>
              </w:rPr>
              <w:t>气</w:t>
            </w:r>
          </w:p>
        </w:tc>
        <w:tc>
          <w:tcPr>
            <w:tcW w:w="2378" w:type="pct"/>
            <w:vAlign w:val="center"/>
          </w:tcPr>
          <w:p>
            <w:pPr>
              <w:spacing w:line="240" w:lineRule="auto"/>
              <w:ind w:firstLine="0" w:firstLineChars="0"/>
              <w:jc w:val="center"/>
              <w:rPr>
                <w:rFonts w:cs="Times New Roman"/>
                <w:sz w:val="21"/>
                <w:szCs w:val="21"/>
              </w:rPr>
            </w:pPr>
            <w:r>
              <w:rPr>
                <w:rFonts w:cs="Times New Roman"/>
                <w:spacing w:val="4"/>
                <w:sz w:val="21"/>
                <w:szCs w:val="21"/>
              </w:rPr>
              <w:t>石油</w:t>
            </w:r>
            <w:r>
              <w:rPr>
                <w:rFonts w:cs="Times New Roman"/>
                <w:spacing w:val="3"/>
                <w:sz w:val="21"/>
                <w:szCs w:val="21"/>
              </w:rPr>
              <w:t>、</w:t>
            </w:r>
            <w:r>
              <w:rPr>
                <w:rFonts w:cs="Times New Roman"/>
                <w:spacing w:val="2"/>
                <w:sz w:val="21"/>
                <w:szCs w:val="21"/>
              </w:rPr>
              <w:t>天然气、页岩气开采</w:t>
            </w:r>
            <w:r>
              <w:rPr>
                <w:rFonts w:hint="eastAsia" w:cs="Times New Roman"/>
                <w:spacing w:val="2"/>
                <w:sz w:val="21"/>
                <w:szCs w:val="21"/>
              </w:rPr>
              <w:t>（</w:t>
            </w:r>
            <w:r>
              <w:rPr>
                <w:rFonts w:cs="Times New Roman"/>
                <w:spacing w:val="2"/>
                <w:sz w:val="21"/>
                <w:szCs w:val="21"/>
              </w:rPr>
              <w:t>含净化</w:t>
            </w:r>
            <w:r>
              <w:rPr>
                <w:rFonts w:hint="eastAsia" w:cs="Times New Roman"/>
                <w:spacing w:val="2"/>
                <w:sz w:val="21"/>
                <w:szCs w:val="21"/>
              </w:rPr>
              <w:t>）</w:t>
            </w:r>
            <w:r>
              <w:rPr>
                <w:rFonts w:cs="Times New Roman"/>
                <w:spacing w:val="2"/>
                <w:sz w:val="21"/>
                <w:szCs w:val="21"/>
              </w:rPr>
              <w:t>、气库</w:t>
            </w:r>
            <w:r>
              <w:rPr>
                <w:rFonts w:hint="eastAsia" w:cs="Times New Roman"/>
                <w:spacing w:val="2"/>
                <w:sz w:val="21"/>
                <w:szCs w:val="21"/>
              </w:rPr>
              <w:t>（</w:t>
            </w:r>
            <w:r>
              <w:rPr>
                <w:rFonts w:cs="Times New Roman"/>
                <w:spacing w:val="2"/>
                <w:sz w:val="21"/>
                <w:szCs w:val="21"/>
              </w:rPr>
              <w:t>不</w:t>
            </w:r>
            <w:r>
              <w:rPr>
                <w:rFonts w:cs="Times New Roman"/>
                <w:spacing w:val="9"/>
                <w:sz w:val="21"/>
                <w:szCs w:val="21"/>
              </w:rPr>
              <w:t>含</w:t>
            </w:r>
            <w:r>
              <w:rPr>
                <w:rFonts w:cs="Times New Roman"/>
                <w:spacing w:val="5"/>
                <w:sz w:val="21"/>
                <w:szCs w:val="21"/>
              </w:rPr>
              <w:t>加气站的气库</w:t>
            </w:r>
            <w:r>
              <w:rPr>
                <w:rFonts w:hint="eastAsia" w:cs="Times New Roman"/>
                <w:spacing w:val="5"/>
                <w:sz w:val="21"/>
                <w:szCs w:val="21"/>
              </w:rPr>
              <w:t>）</w:t>
            </w:r>
            <w:r>
              <w:rPr>
                <w:rFonts w:cs="Times New Roman"/>
                <w:spacing w:val="5"/>
                <w:sz w:val="21"/>
                <w:szCs w:val="21"/>
              </w:rPr>
              <w:t>、油库</w:t>
            </w:r>
            <w:r>
              <w:rPr>
                <w:rFonts w:hint="eastAsia" w:cs="Times New Roman"/>
                <w:spacing w:val="5"/>
                <w:sz w:val="21"/>
                <w:szCs w:val="21"/>
              </w:rPr>
              <w:t>（</w:t>
            </w:r>
            <w:r>
              <w:rPr>
                <w:rFonts w:cs="Times New Roman"/>
                <w:spacing w:val="5"/>
                <w:sz w:val="21"/>
                <w:szCs w:val="21"/>
              </w:rPr>
              <w:t>不含加气站的油库</w:t>
            </w:r>
            <w:r>
              <w:rPr>
                <w:rFonts w:hint="eastAsia" w:cs="Times New Roman"/>
                <w:spacing w:val="5"/>
                <w:sz w:val="21"/>
                <w:szCs w:val="21"/>
              </w:rPr>
              <w:t>）</w:t>
            </w:r>
            <w:r>
              <w:rPr>
                <w:rFonts w:cs="Times New Roman"/>
                <w:spacing w:val="5"/>
                <w:sz w:val="21"/>
                <w:szCs w:val="21"/>
              </w:rPr>
              <w:t>、</w:t>
            </w:r>
            <w:r>
              <w:rPr>
                <w:rFonts w:cs="Times New Roman"/>
                <w:spacing w:val="11"/>
                <w:sz w:val="21"/>
                <w:szCs w:val="21"/>
              </w:rPr>
              <w:t>油气管线</w:t>
            </w:r>
            <w:r>
              <w:rPr>
                <w:rFonts w:cs="Times New Roman"/>
                <w:sz w:val="21"/>
                <w:szCs w:val="21"/>
              </w:rPr>
              <w:t>b</w:t>
            </w:r>
            <w:r>
              <w:rPr>
                <w:rFonts w:hint="eastAsia" w:cs="Times New Roman"/>
                <w:spacing w:val="11"/>
                <w:sz w:val="21"/>
                <w:szCs w:val="21"/>
              </w:rPr>
              <w:t>（</w:t>
            </w:r>
            <w:r>
              <w:rPr>
                <w:rFonts w:cs="Times New Roman"/>
                <w:spacing w:val="11"/>
                <w:sz w:val="21"/>
                <w:szCs w:val="21"/>
              </w:rPr>
              <w:t>不含城镇燃气管线</w:t>
            </w:r>
            <w:r>
              <w:rPr>
                <w:rFonts w:hint="eastAsia" w:cs="Times New Roman"/>
                <w:spacing w:val="10"/>
                <w:sz w:val="21"/>
                <w:szCs w:val="21"/>
              </w:rPr>
              <w:t>）</w:t>
            </w:r>
          </w:p>
        </w:tc>
        <w:tc>
          <w:tcPr>
            <w:tcW w:w="1666" w:type="pct"/>
            <w:vAlign w:val="center"/>
          </w:tcPr>
          <w:p>
            <w:pPr>
              <w:spacing w:line="240" w:lineRule="auto"/>
              <w:ind w:firstLine="0" w:firstLineChars="0"/>
              <w:jc w:val="center"/>
              <w:rPr>
                <w:rFonts w:cs="Times New Roman"/>
                <w:sz w:val="21"/>
                <w:szCs w:val="21"/>
              </w:rPr>
            </w:pPr>
            <w:r>
              <w:rPr>
                <w:rFonts w:cs="Times New Roman"/>
                <w:spacing w:val="-8"/>
                <w:sz w:val="21"/>
                <w:szCs w:val="21"/>
              </w:rPr>
              <w:t>1</w:t>
            </w:r>
            <w:r>
              <w:rPr>
                <w:rFonts w:cs="Times New Roman"/>
                <w:spacing w:val="-7"/>
                <w:sz w:val="21"/>
                <w:szCs w:val="21"/>
              </w:rPr>
              <w:t>0</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955" w:type="pct"/>
            <w:vAlign w:val="center"/>
          </w:tcPr>
          <w:p>
            <w:pPr>
              <w:spacing w:line="240" w:lineRule="auto"/>
              <w:ind w:firstLine="0" w:firstLineChars="0"/>
              <w:jc w:val="center"/>
              <w:rPr>
                <w:rFonts w:cs="Times New Roman"/>
                <w:sz w:val="21"/>
                <w:szCs w:val="21"/>
              </w:rPr>
            </w:pPr>
            <w:r>
              <w:rPr>
                <w:rFonts w:cs="Times New Roman"/>
                <w:spacing w:val="4"/>
                <w:sz w:val="21"/>
                <w:szCs w:val="21"/>
              </w:rPr>
              <w:t>其他</w:t>
            </w:r>
          </w:p>
        </w:tc>
        <w:tc>
          <w:tcPr>
            <w:tcW w:w="2378" w:type="pct"/>
            <w:vAlign w:val="center"/>
          </w:tcPr>
          <w:p>
            <w:pPr>
              <w:spacing w:line="240" w:lineRule="auto"/>
              <w:ind w:firstLine="0" w:firstLineChars="0"/>
              <w:jc w:val="center"/>
              <w:rPr>
                <w:rFonts w:cs="Times New Roman"/>
                <w:sz w:val="21"/>
                <w:szCs w:val="21"/>
              </w:rPr>
            </w:pPr>
            <w:r>
              <w:rPr>
                <w:rFonts w:cs="Times New Roman"/>
                <w:spacing w:val="10"/>
                <w:sz w:val="21"/>
                <w:szCs w:val="21"/>
              </w:rPr>
              <w:t>涉</w:t>
            </w:r>
            <w:r>
              <w:rPr>
                <w:rFonts w:cs="Times New Roman"/>
                <w:spacing w:val="9"/>
                <w:sz w:val="21"/>
                <w:szCs w:val="21"/>
              </w:rPr>
              <w:t>及危险物质使用、贮存的项目</w:t>
            </w:r>
          </w:p>
        </w:tc>
        <w:tc>
          <w:tcPr>
            <w:tcW w:w="1666" w:type="pct"/>
            <w:vAlign w:val="center"/>
          </w:tcPr>
          <w:p>
            <w:pPr>
              <w:spacing w:line="240" w:lineRule="auto"/>
              <w:ind w:firstLine="0" w:firstLineChars="0"/>
              <w:jc w:val="center"/>
              <w:rPr>
                <w:rFonts w:cs="Times New Roman"/>
                <w:sz w:val="21"/>
                <w:szCs w:val="21"/>
              </w:rPr>
            </w:pPr>
            <w:r>
              <w:rPr>
                <w:rFonts w:cs="Times New Roman"/>
                <w:sz w:val="21"/>
                <w:szCs w:val="21"/>
              </w:rPr>
              <w:t>5</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000" w:type="pct"/>
            <w:gridSpan w:val="3"/>
            <w:vAlign w:val="center"/>
          </w:tcPr>
          <w:p>
            <w:pPr>
              <w:spacing w:line="240" w:lineRule="auto"/>
              <w:ind w:firstLine="0" w:firstLineChars="0"/>
              <w:rPr>
                <w:rFonts w:cs="Times New Roman"/>
                <w:spacing w:val="4"/>
                <w:sz w:val="21"/>
                <w:szCs w:val="21"/>
              </w:rPr>
            </w:pPr>
            <w:r>
              <w:rPr>
                <w:rFonts w:cs="Times New Roman"/>
                <w:spacing w:val="4"/>
                <w:sz w:val="21"/>
                <w:szCs w:val="21"/>
              </w:rPr>
              <w:t>注a：高温指工艺温度≥300℃，高压指压力容器的设计压力</w:t>
            </w:r>
            <w:r>
              <w:rPr>
                <w:rFonts w:hint="eastAsia" w:cs="Times New Roman"/>
                <w:spacing w:val="4"/>
                <w:sz w:val="21"/>
                <w:szCs w:val="21"/>
              </w:rPr>
              <w:t>（</w:t>
            </w:r>
            <w:r>
              <w:rPr>
                <w:rFonts w:cs="Times New Roman"/>
                <w:spacing w:val="4"/>
                <w:sz w:val="21"/>
                <w:szCs w:val="21"/>
              </w:rPr>
              <w:t>p</w:t>
            </w:r>
            <w:r>
              <w:rPr>
                <w:rFonts w:hint="eastAsia" w:cs="Times New Roman"/>
                <w:spacing w:val="4"/>
                <w:sz w:val="21"/>
                <w:szCs w:val="21"/>
              </w:rPr>
              <w:t>）</w:t>
            </w:r>
            <w:r>
              <w:rPr>
                <w:rFonts w:cs="Times New Roman"/>
                <w:spacing w:val="4"/>
                <w:sz w:val="21"/>
                <w:szCs w:val="21"/>
              </w:rPr>
              <w:t>≥10.0MPa；</w:t>
            </w:r>
          </w:p>
          <w:p>
            <w:pPr>
              <w:spacing w:line="240" w:lineRule="auto"/>
              <w:ind w:firstLine="0" w:firstLineChars="0"/>
              <w:rPr>
                <w:rFonts w:cs="Times New Roman"/>
                <w:sz w:val="21"/>
                <w:szCs w:val="21"/>
              </w:rPr>
            </w:pPr>
            <w:r>
              <w:rPr>
                <w:rFonts w:cs="Times New Roman"/>
                <w:spacing w:val="4"/>
                <w:sz w:val="21"/>
                <w:szCs w:val="21"/>
              </w:rPr>
              <w:t>注b：长输管道运输项目应按</w:t>
            </w:r>
            <w:r>
              <w:rPr>
                <w:rFonts w:hint="eastAsia" w:cs="Times New Roman"/>
                <w:spacing w:val="4"/>
                <w:sz w:val="21"/>
                <w:szCs w:val="21"/>
                <w:lang w:eastAsia="zh-CN"/>
              </w:rPr>
              <w:t>站场</w:t>
            </w:r>
            <w:r>
              <w:rPr>
                <w:rFonts w:cs="Times New Roman"/>
                <w:spacing w:val="4"/>
                <w:sz w:val="21"/>
                <w:szCs w:val="21"/>
              </w:rPr>
              <w:t>、管线分段进行评价。</w:t>
            </w:r>
          </w:p>
        </w:tc>
      </w:tr>
    </w:tbl>
    <w:p>
      <w:pPr>
        <w:ind w:firstLine="480"/>
      </w:pPr>
      <w:r>
        <w:t>根据国务院安全生产委员会办公室于2008年下发的第26号文件《关于进一步加强危险化学品安全生产工作的指导意见》中第一项第二条关于危险工艺的规定要求，及《国家安全监管总局关于公布首批重点监管的危险化工工艺目录的通知》</w:t>
      </w:r>
      <w:r>
        <w:rPr>
          <w:rFonts w:hint="eastAsia"/>
        </w:rPr>
        <w:t>（</w:t>
      </w:r>
      <w:r>
        <w:t>安监总管三〔2009〕116号</w:t>
      </w:r>
      <w:r>
        <w:rPr>
          <w:rFonts w:hint="eastAsia"/>
        </w:rPr>
        <w:t>）</w:t>
      </w:r>
      <w:r>
        <w:t>和《国家安全监管总局关于公布第二批重点监管危险化工工艺目录和调整首批重点监管危险化工工艺中部分典型工艺的通知》</w:t>
      </w:r>
      <w:r>
        <w:rPr>
          <w:rFonts w:hint="eastAsia"/>
        </w:rPr>
        <w:t>（</w:t>
      </w:r>
      <w:r>
        <w:t>安监总管三〔2013〕3号</w:t>
      </w:r>
      <w:r>
        <w:rPr>
          <w:rFonts w:hint="eastAsia"/>
        </w:rPr>
        <w:t>）</w:t>
      </w:r>
      <w:r>
        <w:t>的文件精神，凯拓新材料</w:t>
      </w:r>
      <w:r>
        <w:rPr>
          <w:rFonts w:hint="eastAsia"/>
        </w:rPr>
        <w:t>（</w:t>
      </w:r>
      <w:r>
        <w:t>湖北</w:t>
      </w:r>
      <w:r>
        <w:rPr>
          <w:rFonts w:hint="eastAsia"/>
        </w:rPr>
        <w:t>）</w:t>
      </w:r>
      <w:r>
        <w:t>有限公司硅PU及聚氨酯胶水生产工艺过程中会发生自聚及聚合反应，但其反应条件为常压且反应过程较温和，根据《调整的首批重点监管危险化工工艺中的部分典型工艺》中提出涉及涂料、粘合剂、油漆等产品的常压条件生产工艺不再列入</w:t>
      </w:r>
      <w:r>
        <w:rPr>
          <w:rFonts w:hint="eastAsia"/>
          <w:lang w:eastAsia="zh-CN"/>
        </w:rPr>
        <w:t>“</w:t>
      </w:r>
      <w:r>
        <w:t>聚合工艺</w:t>
      </w:r>
      <w:r>
        <w:rPr>
          <w:rFonts w:hint="eastAsia"/>
          <w:lang w:eastAsia="zh-CN"/>
        </w:rPr>
        <w:t>”</w:t>
      </w:r>
      <w:r>
        <w:t>。</w:t>
      </w:r>
    </w:p>
    <w:p>
      <w:pPr>
        <w:ind w:firstLine="480"/>
      </w:pPr>
      <w:r>
        <w:t>因此，本项目仅涉及风险物质的使用、暂存，M=5，本项目工艺危险性为M4。</w:t>
      </w:r>
    </w:p>
    <w:p>
      <w:pPr>
        <w:widowControl/>
        <w:ind w:firstLine="562"/>
        <w:jc w:val="left"/>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8.3.3</w:t>
      </w:r>
      <w:r>
        <w:rPr>
          <w:rFonts w:cs="Times New Roman"/>
          <w:b/>
          <w:bCs/>
          <w:color w:val="000000"/>
          <w:kern w:val="0"/>
          <w:sz w:val="28"/>
          <w:szCs w:val="28"/>
          <w:lang w:bidi="ar"/>
        </w:rPr>
        <w:t xml:space="preserve"> 危险物质及工艺系统</w:t>
      </w:r>
      <w:r>
        <w:rPr>
          <w:rFonts w:hint="eastAsia" w:cs="Times New Roman"/>
          <w:b/>
          <w:bCs/>
          <w:color w:val="000000"/>
          <w:kern w:val="0"/>
          <w:sz w:val="28"/>
          <w:szCs w:val="28"/>
          <w:lang w:bidi="ar"/>
        </w:rPr>
        <w:t>（</w:t>
      </w:r>
      <w:r>
        <w:rPr>
          <w:rFonts w:cs="Times New Roman"/>
          <w:b/>
          <w:bCs/>
          <w:color w:val="000000"/>
          <w:kern w:val="0"/>
          <w:sz w:val="28"/>
          <w:szCs w:val="28"/>
          <w:lang w:bidi="ar"/>
        </w:rPr>
        <w:t>P</w:t>
      </w:r>
      <w:r>
        <w:rPr>
          <w:rFonts w:hint="eastAsia" w:cs="Times New Roman"/>
          <w:b/>
          <w:bCs/>
          <w:color w:val="000000"/>
          <w:kern w:val="0"/>
          <w:sz w:val="28"/>
          <w:szCs w:val="28"/>
          <w:lang w:bidi="ar"/>
        </w:rPr>
        <w:t>）</w:t>
      </w:r>
    </w:p>
    <w:p>
      <w:pPr>
        <w:ind w:firstLine="480"/>
      </w:pPr>
      <w:r>
        <w:t>根据危险物质数量与临界量比值</w:t>
      </w:r>
      <w:r>
        <w:rPr>
          <w:rFonts w:hint="eastAsia"/>
        </w:rPr>
        <w:t>（</w:t>
      </w:r>
      <w:r>
        <w:t>Q</w:t>
      </w:r>
      <w:r>
        <w:rPr>
          <w:rFonts w:hint="eastAsia"/>
        </w:rPr>
        <w:t>）</w:t>
      </w:r>
      <w:r>
        <w:t>和行业及生产工艺</w:t>
      </w:r>
      <w:r>
        <w:rPr>
          <w:rFonts w:hint="eastAsia"/>
        </w:rPr>
        <w:t>（</w:t>
      </w:r>
      <w:r>
        <w:t>M</w:t>
      </w:r>
      <w:r>
        <w:rPr>
          <w:rFonts w:hint="eastAsia"/>
        </w:rPr>
        <w:t>）</w:t>
      </w:r>
      <w:r>
        <w:t>，按照《建设项目环境风险评价技术导则》</w:t>
      </w:r>
      <w:r>
        <w:rPr>
          <w:rFonts w:hint="eastAsia"/>
        </w:rPr>
        <w:t>（</w:t>
      </w:r>
      <w:r>
        <w:t>HJ169-2018</w:t>
      </w:r>
      <w:r>
        <w:rPr>
          <w:rFonts w:hint="eastAsia"/>
        </w:rPr>
        <w:t>）</w:t>
      </w:r>
      <w:r>
        <w:t>中附录C中</w:t>
      </w:r>
      <w:r>
        <w:rPr>
          <w:rFonts w:hint="eastAsia"/>
          <w:lang w:eastAsia="zh-CN"/>
        </w:rPr>
        <w:t>“</w:t>
      </w:r>
      <w:r>
        <w:t>表C.2危险物质及工艺系统危险性等级判断</w:t>
      </w:r>
      <w:r>
        <w:rPr>
          <w:rFonts w:hint="eastAsia"/>
        </w:rPr>
        <w:t>（</w:t>
      </w:r>
      <w:r>
        <w:t>P</w:t>
      </w:r>
      <w:r>
        <w:rPr>
          <w:rFonts w:hint="eastAsia"/>
        </w:rPr>
        <w:t>）</w:t>
      </w:r>
      <w:r>
        <w:rPr>
          <w:rFonts w:hint="eastAsia"/>
          <w:lang w:eastAsia="zh-CN"/>
        </w:rPr>
        <w:t>”</w:t>
      </w:r>
      <w:r>
        <w:t>，确定危险物质及工艺系统危险性等级</w:t>
      </w:r>
      <w:r>
        <w:rPr>
          <w:rFonts w:hint="eastAsia"/>
        </w:rPr>
        <w:t>（</w:t>
      </w:r>
      <w:r>
        <w:t>P</w:t>
      </w:r>
      <w:r>
        <w:rPr>
          <w:rFonts w:hint="eastAsia"/>
        </w:rPr>
        <w:t>）</w:t>
      </w:r>
      <w:r>
        <w:t>，分别以P1、P2、P3、P4表示。</w:t>
      </w:r>
    </w:p>
    <w:p>
      <w:pPr>
        <w:spacing w:line="0" w:lineRule="atLeast"/>
        <w:ind w:firstLine="482"/>
        <w:jc w:val="center"/>
        <w:rPr>
          <w:b/>
          <w:kern w:val="24"/>
          <w:szCs w:val="21"/>
        </w:rPr>
      </w:pPr>
      <w:r>
        <w:rPr>
          <w:b/>
          <w:kern w:val="24"/>
          <w:szCs w:val="21"/>
        </w:rPr>
        <w:t>表</w:t>
      </w:r>
      <w:r>
        <w:rPr>
          <w:rFonts w:hint="eastAsia"/>
          <w:b/>
          <w:kern w:val="24"/>
          <w:szCs w:val="21"/>
        </w:rPr>
        <w:t>6.8-</w:t>
      </w:r>
      <w:r>
        <w:rPr>
          <w:rFonts w:hint="eastAsia"/>
          <w:b/>
          <w:kern w:val="24"/>
          <w:szCs w:val="21"/>
          <w:lang w:val="en-US" w:eastAsia="zh-CN"/>
        </w:rPr>
        <w:t>5</w:t>
      </w:r>
      <w:r>
        <w:rPr>
          <w:b/>
          <w:kern w:val="24"/>
          <w:szCs w:val="21"/>
        </w:rPr>
        <w:t xml:space="preserve">  危险物质及工艺系统危险性等级判断</w:t>
      </w:r>
    </w:p>
    <w:tbl>
      <w:tblPr>
        <w:tblStyle w:val="51"/>
        <w:tblW w:w="4999"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609"/>
        <w:gridCol w:w="1825"/>
        <w:gridCol w:w="2345"/>
        <w:gridCol w:w="1480"/>
        <w:gridCol w:w="1821"/>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426" w:hRule="atLeast"/>
          <w:jc w:val="center"/>
        </w:trPr>
        <w:tc>
          <w:tcPr>
            <w:tcW w:w="886" w:type="pct"/>
            <w:vMerge w:val="restart"/>
            <w:tcBorders>
              <w:bottom w:val="nil"/>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危险物质数量与临界量比值</w:t>
            </w:r>
            <w:r>
              <w:rPr>
                <w:rFonts w:hint="eastAsia" w:cs="Times New Roman"/>
                <w:kern w:val="21"/>
                <w:sz w:val="21"/>
                <w:szCs w:val="21"/>
              </w:rPr>
              <w:t>（</w:t>
            </w:r>
            <w:r>
              <w:rPr>
                <w:rFonts w:cs="Times New Roman"/>
                <w:kern w:val="21"/>
                <w:sz w:val="21"/>
                <w:szCs w:val="21"/>
              </w:rPr>
              <w:t>Q</w:t>
            </w:r>
            <w:r>
              <w:rPr>
                <w:rFonts w:hint="eastAsia" w:cs="Times New Roman"/>
                <w:kern w:val="21"/>
                <w:sz w:val="21"/>
                <w:szCs w:val="21"/>
              </w:rPr>
              <w:t>）</w:t>
            </w:r>
          </w:p>
        </w:tc>
        <w:tc>
          <w:tcPr>
            <w:tcW w:w="4113" w:type="pct"/>
            <w:gridSpan w:val="4"/>
            <w:vAlign w:val="center"/>
          </w:tcPr>
          <w:p>
            <w:pPr>
              <w:spacing w:line="240" w:lineRule="auto"/>
              <w:ind w:firstLine="0" w:firstLineChars="0"/>
              <w:jc w:val="center"/>
              <w:rPr>
                <w:rFonts w:cs="Times New Roman"/>
                <w:kern w:val="21"/>
                <w:sz w:val="21"/>
                <w:szCs w:val="21"/>
              </w:rPr>
            </w:pPr>
            <w:r>
              <w:rPr>
                <w:rFonts w:cs="Times New Roman"/>
                <w:kern w:val="21"/>
                <w:sz w:val="21"/>
                <w:szCs w:val="21"/>
              </w:rPr>
              <w:t>行业及生产工艺</w:t>
            </w:r>
            <w:r>
              <w:rPr>
                <w:rFonts w:hint="eastAsia" w:cs="Times New Roman"/>
                <w:kern w:val="21"/>
                <w:sz w:val="21"/>
                <w:szCs w:val="21"/>
              </w:rPr>
              <w:t>（</w:t>
            </w:r>
            <w:r>
              <w:rPr>
                <w:rFonts w:cs="Times New Roman"/>
                <w:kern w:val="21"/>
                <w:sz w:val="21"/>
                <w:szCs w:val="21"/>
              </w:rPr>
              <w:t>M</w:t>
            </w: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410" w:hRule="atLeast"/>
          <w:jc w:val="center"/>
        </w:trPr>
        <w:tc>
          <w:tcPr>
            <w:tcW w:w="886" w:type="pct"/>
            <w:vMerge w:val="continue"/>
            <w:tcBorders>
              <w:top w:val="nil"/>
            </w:tcBorders>
            <w:vAlign w:val="center"/>
          </w:tcPr>
          <w:p>
            <w:pPr>
              <w:spacing w:line="240" w:lineRule="auto"/>
              <w:ind w:firstLine="0" w:firstLineChars="0"/>
              <w:jc w:val="center"/>
              <w:rPr>
                <w:rFonts w:cs="Times New Roman"/>
                <w:kern w:val="21"/>
                <w:sz w:val="21"/>
                <w:szCs w:val="21"/>
              </w:rPr>
            </w:pPr>
          </w:p>
        </w:tc>
        <w:tc>
          <w:tcPr>
            <w:tcW w:w="100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M1</w:t>
            </w:r>
          </w:p>
        </w:tc>
        <w:tc>
          <w:tcPr>
            <w:tcW w:w="129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M2</w:t>
            </w:r>
          </w:p>
        </w:tc>
        <w:tc>
          <w:tcPr>
            <w:tcW w:w="81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M3</w:t>
            </w:r>
          </w:p>
        </w:tc>
        <w:tc>
          <w:tcPr>
            <w:tcW w:w="999" w:type="pct"/>
            <w:shd w:val="clear" w:color="auto" w:fill="4472C4" w:themeFill="accent5"/>
            <w:vAlign w:val="center"/>
          </w:tcPr>
          <w:p>
            <w:pPr>
              <w:spacing w:line="240" w:lineRule="auto"/>
              <w:ind w:firstLine="0" w:firstLineChars="0"/>
              <w:jc w:val="center"/>
              <w:rPr>
                <w:rFonts w:cs="Times New Roman"/>
                <w:kern w:val="21"/>
                <w:sz w:val="21"/>
                <w:szCs w:val="21"/>
              </w:rPr>
            </w:pPr>
            <w:r>
              <w:rPr>
                <w:rFonts w:cs="Times New Roman"/>
                <w:b/>
                <w:bCs/>
                <w:kern w:val="21"/>
                <w:sz w:val="21"/>
                <w:szCs w:val="21"/>
              </w:rPr>
              <w:t>M4</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411" w:hRule="atLeast"/>
          <w:jc w:val="center"/>
        </w:trPr>
        <w:tc>
          <w:tcPr>
            <w:tcW w:w="886"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Q≥100</w:t>
            </w:r>
          </w:p>
        </w:tc>
        <w:tc>
          <w:tcPr>
            <w:tcW w:w="100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P1</w:t>
            </w:r>
          </w:p>
        </w:tc>
        <w:tc>
          <w:tcPr>
            <w:tcW w:w="129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P1</w:t>
            </w:r>
          </w:p>
        </w:tc>
        <w:tc>
          <w:tcPr>
            <w:tcW w:w="81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P2</w:t>
            </w:r>
          </w:p>
        </w:tc>
        <w:tc>
          <w:tcPr>
            <w:tcW w:w="999"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P3</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401" w:hRule="atLeast"/>
          <w:jc w:val="center"/>
        </w:trPr>
        <w:tc>
          <w:tcPr>
            <w:tcW w:w="886" w:type="pct"/>
            <w:shd w:val="clear" w:color="auto" w:fill="FFFFFF" w:themeFill="background1"/>
            <w:vAlign w:val="center"/>
          </w:tcPr>
          <w:p>
            <w:pPr>
              <w:spacing w:line="240" w:lineRule="auto"/>
              <w:ind w:firstLine="0" w:firstLineChars="0"/>
              <w:jc w:val="center"/>
              <w:rPr>
                <w:rFonts w:cs="Times New Roman"/>
                <w:kern w:val="21"/>
                <w:sz w:val="21"/>
                <w:szCs w:val="21"/>
              </w:rPr>
            </w:pPr>
            <w:r>
              <w:rPr>
                <w:rFonts w:cs="Times New Roman"/>
                <w:kern w:val="21"/>
                <w:sz w:val="21"/>
                <w:szCs w:val="21"/>
              </w:rPr>
              <w:t>10≤Q＜100</w:t>
            </w:r>
          </w:p>
        </w:tc>
        <w:tc>
          <w:tcPr>
            <w:tcW w:w="1005" w:type="pct"/>
            <w:shd w:val="clear" w:color="auto" w:fill="FFFFFF" w:themeFill="background1"/>
            <w:vAlign w:val="center"/>
          </w:tcPr>
          <w:p>
            <w:pPr>
              <w:spacing w:line="240" w:lineRule="auto"/>
              <w:ind w:firstLine="0" w:firstLineChars="0"/>
              <w:jc w:val="center"/>
              <w:rPr>
                <w:rFonts w:cs="Times New Roman"/>
                <w:kern w:val="21"/>
                <w:sz w:val="21"/>
                <w:szCs w:val="21"/>
              </w:rPr>
            </w:pPr>
            <w:r>
              <w:rPr>
                <w:rFonts w:cs="Times New Roman"/>
                <w:kern w:val="21"/>
                <w:sz w:val="21"/>
                <w:szCs w:val="21"/>
              </w:rPr>
              <w:t>P1</w:t>
            </w:r>
          </w:p>
        </w:tc>
        <w:tc>
          <w:tcPr>
            <w:tcW w:w="1291" w:type="pct"/>
            <w:shd w:val="clear" w:color="auto" w:fill="FFFFFF" w:themeFill="background1"/>
            <w:vAlign w:val="center"/>
          </w:tcPr>
          <w:p>
            <w:pPr>
              <w:spacing w:line="240" w:lineRule="auto"/>
              <w:ind w:firstLine="0" w:firstLineChars="0"/>
              <w:jc w:val="center"/>
              <w:rPr>
                <w:rFonts w:cs="Times New Roman"/>
                <w:kern w:val="21"/>
                <w:sz w:val="21"/>
                <w:szCs w:val="21"/>
              </w:rPr>
            </w:pPr>
            <w:r>
              <w:rPr>
                <w:rFonts w:cs="Times New Roman"/>
                <w:kern w:val="21"/>
                <w:sz w:val="21"/>
                <w:szCs w:val="21"/>
              </w:rPr>
              <w:t>P2</w:t>
            </w:r>
          </w:p>
        </w:tc>
        <w:tc>
          <w:tcPr>
            <w:tcW w:w="815" w:type="pct"/>
            <w:shd w:val="clear" w:color="auto" w:fill="FFFFFF" w:themeFill="background1"/>
            <w:vAlign w:val="center"/>
          </w:tcPr>
          <w:p>
            <w:pPr>
              <w:spacing w:line="240" w:lineRule="auto"/>
              <w:ind w:firstLine="0" w:firstLineChars="0"/>
              <w:jc w:val="center"/>
              <w:rPr>
                <w:rFonts w:cs="Times New Roman"/>
                <w:kern w:val="21"/>
                <w:sz w:val="21"/>
                <w:szCs w:val="21"/>
              </w:rPr>
            </w:pPr>
            <w:r>
              <w:rPr>
                <w:rFonts w:cs="Times New Roman"/>
                <w:kern w:val="21"/>
                <w:sz w:val="21"/>
                <w:szCs w:val="21"/>
              </w:rPr>
              <w:t>P3</w:t>
            </w:r>
          </w:p>
        </w:tc>
        <w:tc>
          <w:tcPr>
            <w:tcW w:w="999" w:type="pct"/>
            <w:shd w:val="clear" w:color="auto" w:fill="FFFFFF" w:themeFill="background1"/>
            <w:vAlign w:val="center"/>
          </w:tcPr>
          <w:p>
            <w:pPr>
              <w:spacing w:line="240" w:lineRule="auto"/>
              <w:ind w:firstLine="0" w:firstLineChars="0"/>
              <w:jc w:val="center"/>
              <w:rPr>
                <w:rFonts w:cs="Times New Roman"/>
                <w:kern w:val="21"/>
                <w:sz w:val="21"/>
                <w:szCs w:val="21"/>
              </w:rPr>
            </w:pPr>
            <w:r>
              <w:rPr>
                <w:rFonts w:cs="Times New Roman"/>
                <w:kern w:val="21"/>
                <w:sz w:val="21"/>
                <w:szCs w:val="21"/>
              </w:rPr>
              <w:t>P4</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425" w:hRule="atLeast"/>
          <w:jc w:val="center"/>
        </w:trPr>
        <w:tc>
          <w:tcPr>
            <w:tcW w:w="886" w:type="pct"/>
            <w:shd w:val="clear" w:color="auto" w:fill="4472C4" w:themeFill="accent5"/>
            <w:vAlign w:val="center"/>
          </w:tcPr>
          <w:p>
            <w:pPr>
              <w:spacing w:line="240" w:lineRule="auto"/>
              <w:ind w:firstLine="0" w:firstLineChars="0"/>
              <w:jc w:val="center"/>
              <w:rPr>
                <w:rFonts w:cs="Times New Roman"/>
                <w:kern w:val="21"/>
                <w:sz w:val="21"/>
                <w:szCs w:val="21"/>
              </w:rPr>
            </w:pPr>
            <w:r>
              <w:rPr>
                <w:rFonts w:cs="Times New Roman"/>
                <w:kern w:val="21"/>
                <w:sz w:val="21"/>
                <w:szCs w:val="21"/>
              </w:rPr>
              <w:t>1≤Q＜10</w:t>
            </w:r>
          </w:p>
        </w:tc>
        <w:tc>
          <w:tcPr>
            <w:tcW w:w="100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P2</w:t>
            </w:r>
          </w:p>
        </w:tc>
        <w:tc>
          <w:tcPr>
            <w:tcW w:w="1291"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P3</w:t>
            </w:r>
          </w:p>
        </w:tc>
        <w:tc>
          <w:tcPr>
            <w:tcW w:w="815" w:type="pct"/>
            <w:vAlign w:val="center"/>
          </w:tcPr>
          <w:p>
            <w:pPr>
              <w:spacing w:line="240" w:lineRule="auto"/>
              <w:ind w:firstLine="0" w:firstLineChars="0"/>
              <w:jc w:val="center"/>
              <w:rPr>
                <w:rFonts w:cs="Times New Roman"/>
                <w:kern w:val="21"/>
                <w:sz w:val="21"/>
                <w:szCs w:val="21"/>
              </w:rPr>
            </w:pPr>
            <w:r>
              <w:rPr>
                <w:rFonts w:cs="Times New Roman"/>
                <w:kern w:val="21"/>
                <w:sz w:val="21"/>
                <w:szCs w:val="21"/>
              </w:rPr>
              <w:t>P4</w:t>
            </w:r>
          </w:p>
        </w:tc>
        <w:tc>
          <w:tcPr>
            <w:tcW w:w="999" w:type="pct"/>
            <w:shd w:val="clear" w:color="auto" w:fill="C00000"/>
            <w:vAlign w:val="center"/>
          </w:tcPr>
          <w:p>
            <w:pPr>
              <w:spacing w:line="240" w:lineRule="auto"/>
              <w:ind w:firstLine="0" w:firstLineChars="0"/>
              <w:jc w:val="center"/>
              <w:rPr>
                <w:rFonts w:cs="Times New Roman"/>
                <w:kern w:val="21"/>
                <w:sz w:val="21"/>
                <w:szCs w:val="21"/>
              </w:rPr>
            </w:pPr>
            <w:r>
              <w:rPr>
                <w:rFonts w:cs="Times New Roman"/>
                <w:kern w:val="21"/>
                <w:sz w:val="21"/>
                <w:szCs w:val="21"/>
              </w:rPr>
              <w:t>P4</w:t>
            </w:r>
          </w:p>
        </w:tc>
      </w:tr>
    </w:tbl>
    <w:p>
      <w:pPr>
        <w:ind w:firstLine="480"/>
      </w:pPr>
      <w:r>
        <w:t>由上表可知，本项目危险等级为P4</w:t>
      </w:r>
      <w:r>
        <w:rPr>
          <w:rFonts w:hint="eastAsia"/>
        </w:rPr>
        <w:t>。</w:t>
      </w:r>
    </w:p>
    <w:p>
      <w:pPr>
        <w:widowControl/>
        <w:ind w:firstLine="562"/>
        <w:jc w:val="left"/>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8.3.4</w:t>
      </w:r>
      <w:r>
        <w:rPr>
          <w:rFonts w:cs="Times New Roman"/>
          <w:b/>
          <w:bCs/>
          <w:color w:val="000000"/>
          <w:kern w:val="0"/>
          <w:sz w:val="28"/>
          <w:szCs w:val="28"/>
          <w:lang w:bidi="ar"/>
        </w:rPr>
        <w:t xml:space="preserve"> 建设项目各要素环境敏感程度</w:t>
      </w:r>
      <w:r>
        <w:rPr>
          <w:rFonts w:hint="eastAsia" w:cs="Times New Roman"/>
          <w:b/>
          <w:bCs/>
          <w:color w:val="000000"/>
          <w:kern w:val="0"/>
          <w:sz w:val="28"/>
          <w:szCs w:val="28"/>
          <w:lang w:bidi="ar"/>
        </w:rPr>
        <w:t>（</w:t>
      </w:r>
      <w:r>
        <w:rPr>
          <w:rFonts w:cs="Times New Roman"/>
          <w:b/>
          <w:bCs/>
          <w:color w:val="000000"/>
          <w:kern w:val="0"/>
          <w:sz w:val="28"/>
          <w:szCs w:val="28"/>
          <w:lang w:bidi="ar"/>
        </w:rPr>
        <w:t>E</w:t>
      </w:r>
      <w:r>
        <w:rPr>
          <w:rFonts w:hint="eastAsia" w:cs="Times New Roman"/>
          <w:b/>
          <w:bCs/>
          <w:color w:val="000000"/>
          <w:kern w:val="0"/>
          <w:sz w:val="28"/>
          <w:szCs w:val="28"/>
          <w:lang w:bidi="ar"/>
        </w:rPr>
        <w:t>）</w:t>
      </w:r>
    </w:p>
    <w:p>
      <w:pPr>
        <w:ind w:firstLine="480"/>
      </w:pPr>
      <w:r>
        <w:rPr>
          <w:rFonts w:hint="eastAsia"/>
        </w:rPr>
        <w:t>（1）</w:t>
      </w:r>
      <w:r>
        <w:t>大气环境风险受体</w:t>
      </w:r>
    </w:p>
    <w:p>
      <w:pPr>
        <w:ind w:firstLine="480"/>
      </w:pPr>
      <w:r>
        <w:t>大气环境风险受体敏感程度类型按照企业周边人口数进行划分。按照《建设项目环境风险评价技术导则》</w:t>
      </w:r>
      <w:r>
        <w:rPr>
          <w:rFonts w:hint="eastAsia"/>
        </w:rPr>
        <w:t>（</w:t>
      </w:r>
      <w:r>
        <w:t>HJ169-2018</w:t>
      </w:r>
      <w:r>
        <w:rPr>
          <w:rFonts w:hint="eastAsia"/>
        </w:rPr>
        <w:t>）</w:t>
      </w:r>
      <w:r>
        <w:t>中附录D</w:t>
      </w:r>
      <w:r>
        <w:rPr>
          <w:rFonts w:hint="eastAsia"/>
          <w:lang w:eastAsia="zh-CN"/>
        </w:rPr>
        <w:t>“</w:t>
      </w:r>
      <w:r>
        <w:t>D.1大气环境敏感程度</w:t>
      </w:r>
      <w:r>
        <w:rPr>
          <w:rFonts w:hint="eastAsia"/>
        </w:rPr>
        <w:t>（</w:t>
      </w:r>
      <w:r>
        <w:t>E</w:t>
      </w:r>
      <w:r>
        <w:rPr>
          <w:rFonts w:hint="eastAsia"/>
        </w:rPr>
        <w:t>）</w:t>
      </w:r>
      <w:r>
        <w:t>的分级</w:t>
      </w:r>
      <w:r>
        <w:rPr>
          <w:rFonts w:hint="eastAsia"/>
          <w:lang w:eastAsia="zh-CN"/>
        </w:rPr>
        <w:t>”</w:t>
      </w:r>
      <w:r>
        <w:t>将大气环境风险受体敏感程度分为类型1、类型2、类型3种类型，用E1、E2和E3表示。具体见表</w:t>
      </w:r>
      <w:r>
        <w:rPr>
          <w:rFonts w:hint="eastAsia"/>
        </w:rPr>
        <w:t>6.8-13。</w:t>
      </w:r>
    </w:p>
    <w:p>
      <w:pPr>
        <w:spacing w:line="0" w:lineRule="atLeast"/>
        <w:ind w:firstLine="482"/>
        <w:jc w:val="center"/>
        <w:rPr>
          <w:b/>
          <w:kern w:val="24"/>
          <w:szCs w:val="21"/>
        </w:rPr>
      </w:pPr>
      <w:r>
        <w:rPr>
          <w:b/>
          <w:kern w:val="24"/>
          <w:szCs w:val="21"/>
        </w:rPr>
        <w:t>表</w:t>
      </w:r>
      <w:r>
        <w:rPr>
          <w:rFonts w:hint="eastAsia"/>
          <w:b/>
          <w:kern w:val="24"/>
          <w:szCs w:val="21"/>
        </w:rPr>
        <w:t>6.8-</w:t>
      </w:r>
      <w:r>
        <w:rPr>
          <w:rFonts w:hint="eastAsia"/>
          <w:b/>
          <w:kern w:val="24"/>
          <w:szCs w:val="21"/>
          <w:lang w:val="en-US" w:eastAsia="zh-CN"/>
        </w:rPr>
        <w:t>6</w:t>
      </w:r>
      <w:r>
        <w:rPr>
          <w:b/>
          <w:kern w:val="24"/>
          <w:szCs w:val="21"/>
        </w:rPr>
        <w:t xml:space="preserve">  大气环境敏感程度分级</w:t>
      </w:r>
    </w:p>
    <w:tbl>
      <w:tblPr>
        <w:tblStyle w:val="51"/>
        <w:tblW w:w="4998"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133"/>
        <w:gridCol w:w="7945"/>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2" w:hRule="atLeast"/>
          <w:jc w:val="center"/>
        </w:trPr>
        <w:tc>
          <w:tcPr>
            <w:tcW w:w="624" w:type="pct"/>
            <w:tcBorders>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分级</w:t>
            </w:r>
          </w:p>
        </w:tc>
        <w:tc>
          <w:tcPr>
            <w:tcW w:w="4375"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大气环境敏感程度分级</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44" w:hRule="atLeast"/>
          <w:jc w:val="center"/>
        </w:trPr>
        <w:tc>
          <w:tcPr>
            <w:tcW w:w="624" w:type="pct"/>
            <w:tcBorders>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E1</w:t>
            </w:r>
          </w:p>
        </w:tc>
        <w:tc>
          <w:tcPr>
            <w:tcW w:w="4375" w:type="pct"/>
            <w:tcBorders>
              <w:left w:val="single" w:color="000000" w:sz="4" w:space="0"/>
            </w:tcBorders>
            <w:vAlign w:val="center"/>
          </w:tcPr>
          <w:p>
            <w:pPr>
              <w:spacing w:line="240" w:lineRule="auto"/>
              <w:ind w:firstLine="0" w:firstLineChars="0"/>
              <w:rPr>
                <w:rFonts w:cs="Times New Roman"/>
                <w:kern w:val="21"/>
                <w:sz w:val="21"/>
                <w:szCs w:val="21"/>
              </w:rPr>
            </w:pPr>
            <w:r>
              <w:rPr>
                <w:rFonts w:cs="Times New Roman"/>
                <w:kern w:val="21"/>
                <w:sz w:val="21"/>
                <w:szCs w:val="21"/>
              </w:rPr>
              <w:t>周边5km范围内居住区、医疗卫生、文化教育、科研、行政办公等机构人口总数大于5</w:t>
            </w:r>
          </w:p>
          <w:p>
            <w:pPr>
              <w:spacing w:line="240" w:lineRule="auto"/>
              <w:ind w:firstLine="0" w:firstLineChars="0"/>
              <w:rPr>
                <w:rFonts w:cs="Times New Roman"/>
                <w:kern w:val="21"/>
                <w:sz w:val="21"/>
                <w:szCs w:val="21"/>
              </w:rPr>
            </w:pPr>
            <w:r>
              <w:rPr>
                <w:rFonts w:cs="Times New Roman"/>
                <w:kern w:val="21"/>
                <w:sz w:val="21"/>
                <w:szCs w:val="21"/>
              </w:rPr>
              <w:t>万人，或其他需要特殊保护区域；或周边500m范围内人口总数大于1000人；油气、化学品输送管线管段周边200m范围内，每千米管段人口数大于200人</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44" w:hRule="atLeast"/>
          <w:jc w:val="center"/>
        </w:trPr>
        <w:tc>
          <w:tcPr>
            <w:tcW w:w="624" w:type="pct"/>
            <w:tcBorders>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E2</w:t>
            </w:r>
          </w:p>
        </w:tc>
        <w:tc>
          <w:tcPr>
            <w:tcW w:w="4375" w:type="pct"/>
            <w:tcBorders>
              <w:left w:val="single" w:color="000000" w:sz="4" w:space="0"/>
            </w:tcBorders>
            <w:vAlign w:val="center"/>
          </w:tcPr>
          <w:p>
            <w:pPr>
              <w:spacing w:line="240" w:lineRule="auto"/>
              <w:ind w:firstLine="0" w:firstLineChars="0"/>
              <w:rPr>
                <w:rFonts w:cs="Times New Roman"/>
                <w:kern w:val="21"/>
                <w:sz w:val="21"/>
                <w:szCs w:val="21"/>
              </w:rPr>
            </w:pPr>
            <w:r>
              <w:rPr>
                <w:rFonts w:cs="Times New Roman"/>
                <w:kern w:val="21"/>
                <w:sz w:val="21"/>
                <w:szCs w:val="21"/>
              </w:rPr>
              <w:t>周边5km范围内居住区、医疗卫生、文化教育、科研、行政办公等机构人口总数大于1    万人，小于5万人；或周边500m范围内人口总数大于500人，小于1000人；油气、化学品输送管线管段周边200m范围内，每千米管段人口数大于100人，小于200人</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66" w:hRule="atLeast"/>
          <w:jc w:val="center"/>
        </w:trPr>
        <w:tc>
          <w:tcPr>
            <w:tcW w:w="624" w:type="pct"/>
            <w:tcBorders>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E3</w:t>
            </w:r>
          </w:p>
        </w:tc>
        <w:tc>
          <w:tcPr>
            <w:tcW w:w="4375" w:type="pct"/>
            <w:tcBorders>
              <w:left w:val="single" w:color="000000" w:sz="4" w:space="0"/>
            </w:tcBorders>
            <w:vAlign w:val="center"/>
          </w:tcPr>
          <w:p>
            <w:pPr>
              <w:spacing w:line="240" w:lineRule="auto"/>
              <w:ind w:firstLine="0" w:firstLineChars="0"/>
              <w:rPr>
                <w:rFonts w:cs="Times New Roman"/>
                <w:kern w:val="21"/>
                <w:sz w:val="21"/>
                <w:szCs w:val="21"/>
              </w:rPr>
            </w:pPr>
            <w:r>
              <w:rPr>
                <w:rFonts w:cs="Times New Roman"/>
                <w:kern w:val="21"/>
                <w:sz w:val="21"/>
                <w:szCs w:val="21"/>
              </w:rPr>
              <w:t>周边5km范围内居住区、医疗卫生、文化教育、科研、行政办公等机构人口总数小于1 万人；或周边500m范围内人口总数小于500人；油气、化学品输送管线管段周边200m</w:t>
            </w:r>
          </w:p>
          <w:p>
            <w:pPr>
              <w:spacing w:line="240" w:lineRule="auto"/>
              <w:ind w:firstLine="0" w:firstLineChars="0"/>
              <w:rPr>
                <w:rFonts w:cs="Times New Roman"/>
                <w:kern w:val="21"/>
                <w:sz w:val="21"/>
                <w:szCs w:val="21"/>
              </w:rPr>
            </w:pPr>
            <w:r>
              <w:rPr>
                <w:rFonts w:cs="Times New Roman"/>
                <w:kern w:val="21"/>
                <w:sz w:val="21"/>
                <w:szCs w:val="21"/>
              </w:rPr>
              <w:t>范围内，每千米管段人口数小于100人</w:t>
            </w:r>
          </w:p>
        </w:tc>
      </w:tr>
    </w:tbl>
    <w:p>
      <w:pPr>
        <w:ind w:firstLine="480"/>
      </w:pPr>
      <w:r>
        <w:rPr>
          <w:rFonts w:hint="eastAsia"/>
        </w:rPr>
        <w:t>经调查周边5km范围内为工业区及居民区，居民人数大于1万人小于5万人，且周边500m范围内总人口数小于1000人。根据《建设项目环境风险评价技术导则》（HJ169-2018）中附录D中表D.1判断，本项目为大气环境中度敏感区E2。</w:t>
      </w:r>
    </w:p>
    <w:p>
      <w:pPr>
        <w:ind w:firstLine="480"/>
      </w:pPr>
      <w:r>
        <w:rPr>
          <w:rFonts w:hint="eastAsia"/>
        </w:rPr>
        <w:t>（2）地表水环境风险受体</w:t>
      </w:r>
    </w:p>
    <w:p>
      <w:pPr>
        <w:ind w:firstLine="480"/>
      </w:pPr>
      <w:r>
        <w:t>地表水环境风险受体敏感程度，依据事故情况下危险物质</w:t>
      </w:r>
      <w:r>
        <w:rPr>
          <w:rFonts w:hint="eastAsia"/>
          <w:lang w:eastAsia="zh-CN"/>
        </w:rPr>
        <w:t>泄漏</w:t>
      </w:r>
      <w:r>
        <w:t>到水体的排放点受纳地表水体功能敏感性，与下游环境敏感目标情况，按照《建设项目环境风险评价技术导则》</w:t>
      </w:r>
      <w:r>
        <w:rPr>
          <w:rFonts w:hint="eastAsia"/>
        </w:rPr>
        <w:t>（</w:t>
      </w:r>
      <w:r>
        <w:t>HJ169-2018</w:t>
      </w:r>
      <w:r>
        <w:rPr>
          <w:rFonts w:hint="eastAsia"/>
        </w:rPr>
        <w:t>）</w:t>
      </w:r>
      <w:r>
        <w:t>中附录D</w:t>
      </w:r>
      <w:r>
        <w:rPr>
          <w:rFonts w:hint="eastAsia"/>
          <w:lang w:eastAsia="zh-CN"/>
        </w:rPr>
        <w:t>“</w:t>
      </w:r>
      <w:r>
        <w:t>D.2地表水环境敏感程度</w:t>
      </w:r>
      <w:r>
        <w:rPr>
          <w:rFonts w:hint="eastAsia"/>
        </w:rPr>
        <w:t>（</w:t>
      </w:r>
      <w:r>
        <w:t>E</w:t>
      </w:r>
      <w:r>
        <w:rPr>
          <w:rFonts w:hint="eastAsia"/>
        </w:rPr>
        <w:t>）</w:t>
      </w:r>
      <w:r>
        <w:t>的分级、D.3地表水功能敏感性功能分区、D.4环境敏感目标分级</w:t>
      </w:r>
      <w:r>
        <w:rPr>
          <w:rFonts w:hint="eastAsia"/>
          <w:lang w:eastAsia="zh-CN"/>
        </w:rPr>
        <w:t>”</w:t>
      </w:r>
      <w:r>
        <w:t>将地表水环境风险受体敏感程度分为类型1、类型</w:t>
      </w:r>
      <w:r>
        <w:rPr>
          <w:rFonts w:hint="eastAsia"/>
        </w:rPr>
        <w:t>2</w:t>
      </w:r>
      <w:r>
        <w:t>、类型3种类型，用E1、E2和E3表示。具体见表6.</w:t>
      </w:r>
      <w:r>
        <w:rPr>
          <w:rFonts w:hint="eastAsia"/>
        </w:rPr>
        <w:t>8</w:t>
      </w:r>
      <w:r>
        <w:t>-</w:t>
      </w:r>
      <w:r>
        <w:rPr>
          <w:rFonts w:hint="eastAsia"/>
        </w:rPr>
        <w:t>14</w:t>
      </w:r>
      <w:r>
        <w:t>、6.</w:t>
      </w:r>
      <w:r>
        <w:rPr>
          <w:rFonts w:hint="eastAsia"/>
        </w:rPr>
        <w:t>8</w:t>
      </w:r>
      <w:r>
        <w:t>-</w:t>
      </w:r>
      <w:r>
        <w:rPr>
          <w:rFonts w:hint="eastAsia"/>
        </w:rPr>
        <w:t>15</w:t>
      </w:r>
      <w:r>
        <w:t>、6.</w:t>
      </w:r>
      <w:r>
        <w:rPr>
          <w:rFonts w:hint="eastAsia"/>
        </w:rPr>
        <w:t>8</w:t>
      </w:r>
      <w:r>
        <w:t>-</w:t>
      </w:r>
      <w:r>
        <w:rPr>
          <w:rFonts w:hint="eastAsia"/>
        </w:rPr>
        <w:t>16</w:t>
      </w:r>
      <w:r>
        <w:t>。</w:t>
      </w:r>
    </w:p>
    <w:p>
      <w:pPr>
        <w:spacing w:line="0" w:lineRule="atLeast"/>
        <w:ind w:firstLine="482"/>
        <w:jc w:val="center"/>
        <w:rPr>
          <w:b/>
          <w:kern w:val="24"/>
          <w:szCs w:val="21"/>
        </w:rPr>
      </w:pPr>
      <w:r>
        <w:rPr>
          <w:b/>
          <w:kern w:val="24"/>
          <w:szCs w:val="21"/>
        </w:rPr>
        <w:t>表6.</w:t>
      </w:r>
      <w:r>
        <w:rPr>
          <w:rFonts w:hint="eastAsia"/>
          <w:b/>
          <w:kern w:val="24"/>
          <w:szCs w:val="21"/>
        </w:rPr>
        <w:t>8</w:t>
      </w:r>
      <w:r>
        <w:rPr>
          <w:b/>
          <w:kern w:val="24"/>
          <w:szCs w:val="21"/>
        </w:rPr>
        <w:t>-</w:t>
      </w:r>
      <w:r>
        <w:rPr>
          <w:rFonts w:hint="eastAsia"/>
          <w:b/>
          <w:kern w:val="24"/>
          <w:szCs w:val="21"/>
          <w:lang w:val="en-US" w:eastAsia="zh-CN"/>
        </w:rPr>
        <w:t>7</w:t>
      </w:r>
      <w:r>
        <w:rPr>
          <w:b/>
          <w:kern w:val="24"/>
          <w:szCs w:val="21"/>
        </w:rPr>
        <w:t xml:space="preserve">  环境敏感目标分级</w:t>
      </w:r>
    </w:p>
    <w:tbl>
      <w:tblPr>
        <w:tblStyle w:val="51"/>
        <w:tblW w:w="5014"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595"/>
        <w:gridCol w:w="7220"/>
        <w:gridCol w:w="1292"/>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1" w:hRule="atLeast"/>
          <w:jc w:val="center"/>
        </w:trPr>
        <w:tc>
          <w:tcPr>
            <w:tcW w:w="327"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分级</w:t>
            </w:r>
          </w:p>
        </w:tc>
        <w:tc>
          <w:tcPr>
            <w:tcW w:w="3962"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环境敏感目标</w:t>
            </w:r>
          </w:p>
        </w:tc>
        <w:tc>
          <w:tcPr>
            <w:tcW w:w="709"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本项目情况</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503" w:hRule="atLeast"/>
          <w:jc w:val="center"/>
        </w:trPr>
        <w:tc>
          <w:tcPr>
            <w:tcW w:w="327"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S1</w:t>
            </w:r>
          </w:p>
        </w:tc>
        <w:tc>
          <w:tcPr>
            <w:tcW w:w="3962"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发生事故时，危险物质泄漏到内陆水体的排放点下游</w:t>
            </w:r>
            <w:r>
              <w:rPr>
                <w:rFonts w:hint="eastAsia" w:cs="Times New Roman"/>
                <w:sz w:val="21"/>
                <w:szCs w:val="21"/>
              </w:rPr>
              <w:t>（</w:t>
            </w:r>
            <w:r>
              <w:rPr>
                <w:rFonts w:cs="Times New Roman"/>
                <w:sz w:val="21"/>
                <w:szCs w:val="21"/>
              </w:rPr>
              <w:t>顺水流向</w:t>
            </w:r>
            <w:r>
              <w:rPr>
                <w:rFonts w:hint="eastAsia" w:cs="Times New Roman"/>
                <w:sz w:val="21"/>
                <w:szCs w:val="21"/>
              </w:rPr>
              <w:t>）</w:t>
            </w:r>
            <w:r>
              <w:rPr>
                <w:rFonts w:cs="Times New Roman"/>
                <w:sz w:val="21"/>
                <w:szCs w:val="21"/>
              </w:rPr>
              <w:t>10km范围内、近岸海域一个潮周期水质点可能达到的最大水平距离的两倍范围内，有如下一类或多类环境风险受体：集中式地表水饮用水水源保护区</w:t>
            </w:r>
            <w:r>
              <w:rPr>
                <w:rFonts w:hint="eastAsia" w:cs="Times New Roman"/>
                <w:sz w:val="21"/>
                <w:szCs w:val="21"/>
              </w:rPr>
              <w:t>（</w:t>
            </w:r>
            <w:r>
              <w:rPr>
                <w:rFonts w:cs="Times New Roman"/>
                <w:sz w:val="21"/>
                <w:szCs w:val="21"/>
              </w:rPr>
              <w:t>包括一级保护区、二级保护区及准保护区</w:t>
            </w:r>
            <w:r>
              <w:rPr>
                <w:rFonts w:hint="eastAsia" w:cs="Times New Roman"/>
                <w:sz w:val="21"/>
                <w:szCs w:val="21"/>
              </w:rPr>
              <w:t>）</w:t>
            </w:r>
            <w:r>
              <w:rPr>
                <w:rFonts w:cs="Times New Roman"/>
                <w:sz w:val="21"/>
                <w:szCs w:val="21"/>
              </w:rPr>
              <w:t xml:space="preserve"> ；农村及分散式饮用水水源保护区；自然保护区；重要湿地；珍稀濒危野生动植物天然集中分布区；重要水生生物的自然产卵场及索饵场、越冬场和洄游通道；世界文化和自然遗产地；红树林、珊瑚礁等滨海湿地生态系统；珍稀、濒危海洋生物的天然集中分布区；海洋特别保护区；海上自然保护区；盐场保护区；海水浴场；海洋自然历史遗迹；风景名胜区；或其他特殊重要保护区域</w:t>
            </w:r>
          </w:p>
        </w:tc>
        <w:tc>
          <w:tcPr>
            <w:tcW w:w="709" w:type="pct"/>
            <w:vMerge w:val="restar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属于S3</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327"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S2</w:t>
            </w:r>
          </w:p>
        </w:tc>
        <w:tc>
          <w:tcPr>
            <w:tcW w:w="3962"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发生事故时，危险物质泄漏到内陆水体的排放点下游</w:t>
            </w:r>
            <w:r>
              <w:rPr>
                <w:rFonts w:hint="eastAsia" w:cs="Times New Roman"/>
                <w:sz w:val="21"/>
                <w:szCs w:val="21"/>
              </w:rPr>
              <w:t>（</w:t>
            </w:r>
            <w:r>
              <w:rPr>
                <w:rFonts w:cs="Times New Roman"/>
                <w:sz w:val="21"/>
                <w:szCs w:val="21"/>
              </w:rPr>
              <w:t>顺水流向</w:t>
            </w:r>
            <w:r>
              <w:rPr>
                <w:rFonts w:hint="eastAsia" w:cs="Times New Roman"/>
                <w:sz w:val="21"/>
                <w:szCs w:val="21"/>
              </w:rPr>
              <w:t>）10</w:t>
            </w:r>
            <w:r>
              <w:rPr>
                <w:rFonts w:cs="Times New Roman"/>
                <w:sz w:val="21"/>
                <w:szCs w:val="21"/>
              </w:rPr>
              <w:t>km范围内、近岸海域一个潮周期水质点可能达到的最大水平距离的两倍范围内，有如下一类或多类环境风险受体的：水产养殖区；天然渔场；森林公园；地质公园；海滨风景游览区；具有重要经济价值的海洋生物生存区域</w:t>
            </w:r>
          </w:p>
        </w:tc>
        <w:tc>
          <w:tcPr>
            <w:tcW w:w="709" w:type="pct"/>
            <w:vMerge w:val="continue"/>
            <w:tcBorders>
              <w:left w:val="single" w:color="000000" w:sz="4" w:space="0"/>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653" w:hRule="atLeast"/>
          <w:jc w:val="center"/>
        </w:trPr>
        <w:tc>
          <w:tcPr>
            <w:tcW w:w="327"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S3</w:t>
            </w:r>
          </w:p>
        </w:tc>
        <w:tc>
          <w:tcPr>
            <w:tcW w:w="3962"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排放点下游</w:t>
            </w:r>
            <w:r>
              <w:rPr>
                <w:rFonts w:hint="eastAsia" w:cs="Times New Roman"/>
                <w:sz w:val="21"/>
                <w:szCs w:val="21"/>
              </w:rPr>
              <w:t>（</w:t>
            </w:r>
            <w:r>
              <w:rPr>
                <w:rFonts w:cs="Times New Roman"/>
                <w:sz w:val="21"/>
                <w:szCs w:val="21"/>
              </w:rPr>
              <w:t>顺水流向</w:t>
            </w:r>
            <w:r>
              <w:rPr>
                <w:rFonts w:hint="eastAsia" w:cs="Times New Roman"/>
                <w:sz w:val="21"/>
                <w:szCs w:val="21"/>
              </w:rPr>
              <w:t>）</w:t>
            </w:r>
            <w:r>
              <w:rPr>
                <w:rFonts w:cs="Times New Roman"/>
                <w:sz w:val="21"/>
                <w:szCs w:val="21"/>
              </w:rPr>
              <w:t>10km范围、近岸海域一个潮周期水质点可能达到的最大 水平距离的两倍范围内无上述类型1和类型2包括的敏感保护目标</w:t>
            </w:r>
          </w:p>
        </w:tc>
        <w:tc>
          <w:tcPr>
            <w:tcW w:w="709" w:type="pct"/>
            <w:vMerge w:val="continue"/>
            <w:tcBorders>
              <w:left w:val="single" w:color="000000" w:sz="4" w:space="0"/>
            </w:tcBorders>
            <w:vAlign w:val="center"/>
          </w:tcPr>
          <w:p>
            <w:pPr>
              <w:spacing w:line="240" w:lineRule="auto"/>
              <w:ind w:firstLine="0" w:firstLineChars="0"/>
              <w:jc w:val="center"/>
              <w:rPr>
                <w:rFonts w:cs="Times New Roman"/>
                <w:sz w:val="21"/>
                <w:szCs w:val="21"/>
              </w:rPr>
            </w:pPr>
          </w:p>
        </w:tc>
      </w:tr>
    </w:tbl>
    <w:p>
      <w:pPr>
        <w:spacing w:line="0" w:lineRule="atLeast"/>
        <w:ind w:firstLine="482"/>
        <w:jc w:val="center"/>
        <w:rPr>
          <w:b/>
          <w:kern w:val="24"/>
          <w:szCs w:val="21"/>
        </w:rPr>
      </w:pPr>
      <w:r>
        <w:rPr>
          <w:b/>
          <w:kern w:val="24"/>
          <w:szCs w:val="21"/>
        </w:rPr>
        <w:t>表</w:t>
      </w:r>
      <w:r>
        <w:rPr>
          <w:rFonts w:hint="eastAsia"/>
          <w:b/>
          <w:kern w:val="24"/>
          <w:szCs w:val="21"/>
        </w:rPr>
        <w:t>6.8-</w:t>
      </w:r>
      <w:r>
        <w:rPr>
          <w:rFonts w:hint="eastAsia"/>
          <w:b/>
          <w:kern w:val="24"/>
          <w:szCs w:val="21"/>
          <w:lang w:val="en-US" w:eastAsia="zh-CN"/>
        </w:rPr>
        <w:t>8</w:t>
      </w:r>
      <w:r>
        <w:rPr>
          <w:b/>
          <w:kern w:val="24"/>
          <w:szCs w:val="21"/>
        </w:rPr>
        <w:t xml:space="preserve">  地表水功能敏感性分区</w:t>
      </w:r>
    </w:p>
    <w:tbl>
      <w:tblPr>
        <w:tblStyle w:val="51"/>
        <w:tblW w:w="4998" w:type="pct"/>
        <w:tblInd w:w="0" w:type="dxa"/>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133"/>
        <w:gridCol w:w="6681"/>
        <w:gridCol w:w="1264"/>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1" w:hRule="atLeast"/>
        </w:trPr>
        <w:tc>
          <w:tcPr>
            <w:tcW w:w="624"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敏感性</w:t>
            </w:r>
          </w:p>
        </w:tc>
        <w:tc>
          <w:tcPr>
            <w:tcW w:w="3678"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地表水环境敏感特征</w:t>
            </w:r>
          </w:p>
        </w:tc>
        <w:tc>
          <w:tcPr>
            <w:tcW w:w="696"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本项目情况</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624"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敏感F1</w:t>
            </w:r>
          </w:p>
        </w:tc>
        <w:tc>
          <w:tcPr>
            <w:tcW w:w="3678"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排放点进入地表水水域环境功能为Ⅱ类及以上，或海水水质分类第一类；</w:t>
            </w:r>
            <w:r>
              <w:rPr>
                <w:rFonts w:hint="eastAsia" w:cs="Times New Roman"/>
                <w:sz w:val="21"/>
                <w:szCs w:val="21"/>
                <w:lang w:eastAsia="zh-CN"/>
              </w:rPr>
              <w:t>或已发生</w:t>
            </w:r>
            <w:r>
              <w:rPr>
                <w:rFonts w:cs="Times New Roman"/>
                <w:sz w:val="21"/>
                <w:szCs w:val="21"/>
              </w:rPr>
              <w:t>事故时，危险物质泄漏到水体的排放点算起，排放进入受纳河流最大流速时，24h流经范围内涉跨国界的</w:t>
            </w:r>
          </w:p>
        </w:tc>
        <w:tc>
          <w:tcPr>
            <w:tcW w:w="696" w:type="pct"/>
            <w:vMerge w:val="restart"/>
            <w:tcBorders>
              <w:left w:val="single" w:color="000000" w:sz="4" w:space="0"/>
              <w:bottom w:val="nil"/>
            </w:tcBorders>
            <w:vAlign w:val="center"/>
          </w:tcPr>
          <w:p>
            <w:pPr>
              <w:spacing w:line="240" w:lineRule="auto"/>
              <w:ind w:firstLine="0" w:firstLineChars="0"/>
              <w:jc w:val="center"/>
              <w:rPr>
                <w:rFonts w:cs="Times New Roman"/>
                <w:sz w:val="21"/>
                <w:szCs w:val="21"/>
              </w:rPr>
            </w:pPr>
            <w:r>
              <w:rPr>
                <w:rFonts w:cs="Times New Roman"/>
                <w:sz w:val="21"/>
                <w:szCs w:val="21"/>
              </w:rPr>
              <w:t>属于F3</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624"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较敏感F2</w:t>
            </w:r>
          </w:p>
        </w:tc>
        <w:tc>
          <w:tcPr>
            <w:tcW w:w="3678"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排放点进入地表水水域环境功能为Ⅲ类，或海水水质分类第二类；</w:t>
            </w:r>
            <w:r>
              <w:rPr>
                <w:rFonts w:hint="eastAsia" w:cs="Times New Roman"/>
                <w:sz w:val="21"/>
                <w:szCs w:val="21"/>
                <w:lang w:eastAsia="zh-CN"/>
              </w:rPr>
              <w:t>或已发生</w:t>
            </w:r>
            <w:r>
              <w:rPr>
                <w:rFonts w:cs="Times New Roman"/>
                <w:sz w:val="21"/>
                <w:szCs w:val="21"/>
              </w:rPr>
              <w:t>事故时，危险物质泄漏到水体的排放点算起，排放进入受纳河流最大流速时，24h流经范围内涉跨省界的</w:t>
            </w:r>
          </w:p>
        </w:tc>
        <w:tc>
          <w:tcPr>
            <w:tcW w:w="696" w:type="pct"/>
            <w:vMerge w:val="continue"/>
            <w:tcBorders>
              <w:top w:val="nil"/>
              <w:left w:val="single" w:color="000000" w:sz="4" w:space="0"/>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1" w:hRule="atLeast"/>
        </w:trPr>
        <w:tc>
          <w:tcPr>
            <w:tcW w:w="624"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低敏感F3</w:t>
            </w:r>
          </w:p>
        </w:tc>
        <w:tc>
          <w:tcPr>
            <w:tcW w:w="3678"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上述地区之外的其他地区</w:t>
            </w:r>
          </w:p>
        </w:tc>
        <w:tc>
          <w:tcPr>
            <w:tcW w:w="696" w:type="pct"/>
            <w:vMerge w:val="continue"/>
            <w:tcBorders>
              <w:top w:val="nil"/>
              <w:left w:val="single" w:color="000000" w:sz="4" w:space="0"/>
            </w:tcBorders>
            <w:vAlign w:val="center"/>
          </w:tcPr>
          <w:p>
            <w:pPr>
              <w:spacing w:line="240" w:lineRule="auto"/>
              <w:ind w:firstLine="0" w:firstLineChars="0"/>
              <w:jc w:val="center"/>
              <w:rPr>
                <w:rFonts w:cs="Times New Roman"/>
                <w:sz w:val="21"/>
                <w:szCs w:val="21"/>
              </w:rPr>
            </w:pPr>
          </w:p>
        </w:tc>
      </w:tr>
    </w:tbl>
    <w:p>
      <w:pPr>
        <w:spacing w:line="0" w:lineRule="atLeast"/>
        <w:ind w:firstLine="482"/>
        <w:jc w:val="center"/>
        <w:rPr>
          <w:b/>
          <w:kern w:val="24"/>
          <w:szCs w:val="21"/>
        </w:rPr>
      </w:pPr>
    </w:p>
    <w:p>
      <w:pPr>
        <w:spacing w:line="0" w:lineRule="atLeast"/>
        <w:ind w:firstLine="482"/>
        <w:jc w:val="center"/>
        <w:rPr>
          <w:b/>
          <w:kern w:val="24"/>
          <w:szCs w:val="21"/>
        </w:rPr>
      </w:pPr>
      <w:r>
        <w:rPr>
          <w:b/>
          <w:kern w:val="24"/>
          <w:szCs w:val="21"/>
        </w:rPr>
        <w:t>表6.</w:t>
      </w:r>
      <w:r>
        <w:rPr>
          <w:rFonts w:hint="eastAsia"/>
          <w:b/>
          <w:kern w:val="24"/>
          <w:szCs w:val="21"/>
        </w:rPr>
        <w:t>8</w:t>
      </w:r>
      <w:r>
        <w:rPr>
          <w:b/>
          <w:kern w:val="24"/>
          <w:szCs w:val="21"/>
        </w:rPr>
        <w:t>-</w:t>
      </w:r>
      <w:r>
        <w:rPr>
          <w:rFonts w:hint="eastAsia"/>
          <w:b/>
          <w:kern w:val="24"/>
          <w:szCs w:val="21"/>
          <w:lang w:val="en-US" w:eastAsia="zh-CN"/>
        </w:rPr>
        <w:t>9</w:t>
      </w:r>
      <w:r>
        <w:rPr>
          <w:b/>
          <w:kern w:val="24"/>
          <w:szCs w:val="21"/>
        </w:rPr>
        <w:t xml:space="preserve">  地表水环境敏感程度分级</w:t>
      </w:r>
    </w:p>
    <w:tbl>
      <w:tblPr>
        <w:tblStyle w:val="51"/>
        <w:tblW w:w="4998" w:type="pct"/>
        <w:tblInd w:w="0" w:type="dxa"/>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642"/>
        <w:gridCol w:w="1999"/>
        <w:gridCol w:w="2065"/>
        <w:gridCol w:w="2117"/>
        <w:gridCol w:w="1255"/>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1" w:hRule="atLeast"/>
        </w:trPr>
        <w:tc>
          <w:tcPr>
            <w:tcW w:w="904" w:type="pct"/>
            <w:vMerge w:val="restart"/>
            <w:tcBorders>
              <w:bottom w:val="nil"/>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环境敏感目标</w:t>
            </w:r>
          </w:p>
        </w:tc>
        <w:tc>
          <w:tcPr>
            <w:tcW w:w="3404" w:type="pct"/>
            <w:gridSpan w:val="3"/>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地表水功能敏感性</w:t>
            </w:r>
          </w:p>
        </w:tc>
        <w:tc>
          <w:tcPr>
            <w:tcW w:w="691"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本项目情况</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04" w:type="pct"/>
            <w:vMerge w:val="continue"/>
            <w:tcBorders>
              <w:top w:val="nil"/>
              <w:right w:val="single" w:color="000000" w:sz="4" w:space="0"/>
            </w:tcBorders>
            <w:vAlign w:val="center"/>
          </w:tcPr>
          <w:p>
            <w:pPr>
              <w:spacing w:line="240" w:lineRule="auto"/>
              <w:ind w:firstLine="0" w:firstLineChars="0"/>
              <w:jc w:val="center"/>
              <w:rPr>
                <w:rFonts w:cs="Times New Roman"/>
                <w:sz w:val="21"/>
                <w:szCs w:val="21"/>
              </w:rPr>
            </w:pPr>
          </w:p>
        </w:tc>
        <w:tc>
          <w:tcPr>
            <w:tcW w:w="1101"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F1</w:t>
            </w:r>
          </w:p>
        </w:tc>
        <w:tc>
          <w:tcPr>
            <w:tcW w:w="11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F2</w:t>
            </w:r>
          </w:p>
        </w:tc>
        <w:tc>
          <w:tcPr>
            <w:tcW w:w="1164"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F3</w:t>
            </w:r>
          </w:p>
        </w:tc>
        <w:tc>
          <w:tcPr>
            <w:tcW w:w="691" w:type="pct"/>
            <w:vMerge w:val="restart"/>
            <w:tcBorders>
              <w:left w:val="single" w:color="000000" w:sz="4" w:space="0"/>
              <w:bottom w:val="nil"/>
            </w:tcBorders>
            <w:vAlign w:val="center"/>
          </w:tcPr>
          <w:p>
            <w:pPr>
              <w:spacing w:line="240" w:lineRule="auto"/>
              <w:ind w:firstLine="0" w:firstLineChars="0"/>
              <w:jc w:val="center"/>
              <w:rPr>
                <w:rFonts w:cs="Times New Roman"/>
                <w:sz w:val="21"/>
                <w:szCs w:val="21"/>
              </w:rPr>
            </w:pPr>
            <w:r>
              <w:rPr>
                <w:rFonts w:cs="Times New Roman"/>
                <w:sz w:val="21"/>
                <w:szCs w:val="21"/>
              </w:rPr>
              <w:t>属于E3</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04"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S1</w:t>
            </w:r>
          </w:p>
        </w:tc>
        <w:tc>
          <w:tcPr>
            <w:tcW w:w="1101"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E1</w:t>
            </w:r>
          </w:p>
        </w:tc>
        <w:tc>
          <w:tcPr>
            <w:tcW w:w="11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E1</w:t>
            </w:r>
          </w:p>
        </w:tc>
        <w:tc>
          <w:tcPr>
            <w:tcW w:w="1164"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E2</w:t>
            </w:r>
          </w:p>
        </w:tc>
        <w:tc>
          <w:tcPr>
            <w:tcW w:w="691" w:type="pct"/>
            <w:vMerge w:val="continue"/>
            <w:tcBorders>
              <w:top w:val="nil"/>
              <w:left w:val="single" w:color="000000" w:sz="4" w:space="0"/>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04"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S2</w:t>
            </w:r>
          </w:p>
        </w:tc>
        <w:tc>
          <w:tcPr>
            <w:tcW w:w="1101"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E1</w:t>
            </w:r>
          </w:p>
        </w:tc>
        <w:tc>
          <w:tcPr>
            <w:tcW w:w="11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E2</w:t>
            </w:r>
          </w:p>
        </w:tc>
        <w:tc>
          <w:tcPr>
            <w:tcW w:w="1164"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E3</w:t>
            </w:r>
          </w:p>
        </w:tc>
        <w:tc>
          <w:tcPr>
            <w:tcW w:w="691" w:type="pct"/>
            <w:vMerge w:val="continue"/>
            <w:tcBorders>
              <w:top w:val="nil"/>
              <w:left w:val="single" w:color="000000" w:sz="4" w:space="0"/>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904"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S3</w:t>
            </w:r>
          </w:p>
        </w:tc>
        <w:tc>
          <w:tcPr>
            <w:tcW w:w="1101"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E1</w:t>
            </w:r>
          </w:p>
        </w:tc>
        <w:tc>
          <w:tcPr>
            <w:tcW w:w="11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E2</w:t>
            </w:r>
          </w:p>
        </w:tc>
        <w:tc>
          <w:tcPr>
            <w:tcW w:w="1164"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E3</w:t>
            </w:r>
          </w:p>
        </w:tc>
        <w:tc>
          <w:tcPr>
            <w:tcW w:w="691" w:type="pct"/>
            <w:vMerge w:val="continue"/>
            <w:tcBorders>
              <w:top w:val="nil"/>
              <w:left w:val="single" w:color="000000" w:sz="4" w:space="0"/>
            </w:tcBorders>
            <w:vAlign w:val="center"/>
          </w:tcPr>
          <w:p>
            <w:pPr>
              <w:spacing w:line="240" w:lineRule="auto"/>
              <w:ind w:firstLine="0" w:firstLineChars="0"/>
              <w:jc w:val="center"/>
              <w:rPr>
                <w:rFonts w:cs="Times New Roman"/>
                <w:sz w:val="21"/>
                <w:szCs w:val="21"/>
              </w:rPr>
            </w:pPr>
          </w:p>
        </w:tc>
      </w:tr>
    </w:tbl>
    <w:p>
      <w:pPr>
        <w:ind w:firstLine="480"/>
      </w:pPr>
      <w:r>
        <w:rPr>
          <w:rFonts w:hint="eastAsia"/>
        </w:rPr>
        <w:t>（3）地下水环境风险受体</w:t>
      </w:r>
    </w:p>
    <w:p>
      <w:pPr>
        <w:ind w:firstLine="480"/>
      </w:pPr>
      <w:r>
        <w:rPr>
          <w:rFonts w:hint="eastAsia"/>
        </w:rPr>
        <w:t>依据地下水功能敏感性与包气带防污性能，共分为三种类型，分别为E1、E2、E3，依据地下水功能敏感性分区和包气带防污性能共同决定，地下水功能敏感性分区详见表6.8-</w:t>
      </w:r>
      <w:r>
        <w:rPr>
          <w:rFonts w:hint="eastAsia"/>
          <w:lang w:val="en-US" w:eastAsia="zh-CN"/>
        </w:rPr>
        <w:t>10</w:t>
      </w:r>
      <w:r>
        <w:rPr>
          <w:rFonts w:hint="eastAsia"/>
        </w:rPr>
        <w:t>，包气带防污性能分级详见表6.8-1</w:t>
      </w:r>
      <w:r>
        <w:rPr>
          <w:rFonts w:hint="eastAsia"/>
          <w:lang w:val="en-US" w:eastAsia="zh-CN"/>
        </w:rPr>
        <w:t>1</w:t>
      </w:r>
      <w:r>
        <w:rPr>
          <w:rFonts w:hint="eastAsia"/>
        </w:rPr>
        <w:t>，地下水环境敏感程度分级详见表6.8-1</w:t>
      </w:r>
      <w:r>
        <w:rPr>
          <w:rFonts w:hint="eastAsia"/>
          <w:lang w:val="en-US" w:eastAsia="zh-CN"/>
        </w:rPr>
        <w:t>2</w:t>
      </w:r>
      <w:r>
        <w:rPr>
          <w:rFonts w:hint="eastAsia"/>
        </w:rPr>
        <w:t>。</w:t>
      </w:r>
    </w:p>
    <w:p>
      <w:pPr>
        <w:spacing w:line="0" w:lineRule="atLeast"/>
        <w:ind w:firstLine="482"/>
        <w:jc w:val="center"/>
        <w:rPr>
          <w:b/>
          <w:kern w:val="24"/>
          <w:szCs w:val="21"/>
        </w:rPr>
      </w:pPr>
      <w:r>
        <w:rPr>
          <w:b/>
          <w:kern w:val="24"/>
          <w:szCs w:val="21"/>
        </w:rPr>
        <w:t>表6.2-</w:t>
      </w:r>
      <w:r>
        <w:rPr>
          <w:rFonts w:hint="eastAsia"/>
          <w:b/>
          <w:kern w:val="24"/>
          <w:szCs w:val="21"/>
          <w:lang w:val="en-US" w:eastAsia="zh-CN"/>
        </w:rPr>
        <w:t>10</w:t>
      </w:r>
      <w:r>
        <w:rPr>
          <w:b/>
          <w:kern w:val="24"/>
          <w:szCs w:val="21"/>
        </w:rPr>
        <w:t xml:space="preserve">  地下水功能敏感性分区</w:t>
      </w:r>
    </w:p>
    <w:tbl>
      <w:tblPr>
        <w:tblStyle w:val="51"/>
        <w:tblW w:w="4999" w:type="pct"/>
        <w:tblInd w:w="0" w:type="dxa"/>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146"/>
        <w:gridCol w:w="6701"/>
        <w:gridCol w:w="1233"/>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631"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敏感性</w:t>
            </w:r>
          </w:p>
        </w:tc>
        <w:tc>
          <w:tcPr>
            <w:tcW w:w="3689"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地下水环境敏感特征</w:t>
            </w:r>
          </w:p>
        </w:tc>
        <w:tc>
          <w:tcPr>
            <w:tcW w:w="679"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本项目情况</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631"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敏感G1</w:t>
            </w:r>
          </w:p>
        </w:tc>
        <w:tc>
          <w:tcPr>
            <w:tcW w:w="3689"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集中式饮用水水源</w:t>
            </w:r>
            <w:r>
              <w:rPr>
                <w:rFonts w:hint="eastAsia" w:cs="Times New Roman"/>
                <w:sz w:val="21"/>
                <w:szCs w:val="21"/>
              </w:rPr>
              <w:t>（</w:t>
            </w:r>
            <w:r>
              <w:rPr>
                <w:rFonts w:cs="Times New Roman"/>
                <w:sz w:val="21"/>
                <w:szCs w:val="21"/>
              </w:rPr>
              <w:t>包括已建成的在用、备用、应急水源，在建和规划的饮用水水源</w:t>
            </w:r>
            <w:r>
              <w:rPr>
                <w:rFonts w:hint="eastAsia" w:cs="Times New Roman"/>
                <w:sz w:val="21"/>
                <w:szCs w:val="21"/>
              </w:rPr>
              <w:t>）</w:t>
            </w:r>
            <w:r>
              <w:rPr>
                <w:rFonts w:cs="Times New Roman"/>
                <w:sz w:val="21"/>
                <w:szCs w:val="21"/>
              </w:rPr>
              <w:t>准保护区；除集中式饮用水水源以外的国家或地方政府设定的与地下水环境相关的其他保护区，如热水、矿泉水、温泉等特殊地下水资源保护区</w:t>
            </w:r>
          </w:p>
        </w:tc>
        <w:tc>
          <w:tcPr>
            <w:tcW w:w="679" w:type="pct"/>
            <w:vMerge w:val="restart"/>
            <w:tcBorders>
              <w:left w:val="single" w:color="000000" w:sz="4" w:space="0"/>
              <w:bottom w:val="nil"/>
            </w:tcBorders>
            <w:vAlign w:val="center"/>
          </w:tcPr>
          <w:p>
            <w:pPr>
              <w:spacing w:line="240" w:lineRule="auto"/>
              <w:ind w:firstLine="0" w:firstLineChars="0"/>
              <w:jc w:val="center"/>
              <w:rPr>
                <w:rFonts w:cs="Times New Roman"/>
                <w:sz w:val="21"/>
                <w:szCs w:val="21"/>
              </w:rPr>
            </w:pPr>
            <w:r>
              <w:rPr>
                <w:rFonts w:cs="Times New Roman"/>
                <w:sz w:val="21"/>
                <w:szCs w:val="21"/>
              </w:rPr>
              <w:t>属于G3</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1307" w:hRule="atLeast"/>
        </w:trPr>
        <w:tc>
          <w:tcPr>
            <w:tcW w:w="631"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较敏感G2</w:t>
            </w:r>
          </w:p>
        </w:tc>
        <w:tc>
          <w:tcPr>
            <w:tcW w:w="3689"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mc:AlternateContent>
                <mc:Choice Requires="wps">
                  <w:drawing>
                    <wp:anchor distT="0" distB="0" distL="114300" distR="114300" simplePos="0" relativeHeight="251705344" behindDoc="0" locked="0" layoutInCell="1" allowOverlap="1">
                      <wp:simplePos x="0" y="0"/>
                      <wp:positionH relativeFrom="rightMargin">
                        <wp:posOffset>-2403475</wp:posOffset>
                      </wp:positionH>
                      <wp:positionV relativeFrom="topMargin">
                        <wp:posOffset>814705</wp:posOffset>
                      </wp:positionV>
                      <wp:extent cx="143510" cy="186055"/>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43510" cy="186055"/>
                              </a:xfrm>
                              <a:prstGeom prst="rect">
                                <a:avLst/>
                              </a:prstGeom>
                              <a:noFill/>
                              <a:ln>
                                <a:noFill/>
                              </a:ln>
                            </wps:spPr>
                            <wps:txbx>
                              <w:txbxContent>
                                <w:p>
                                  <w:pPr>
                                    <w:spacing w:before="20" w:line="233" w:lineRule="auto"/>
                                    <w:ind w:left="20" w:firstLine="400"/>
                                    <w:rPr>
                                      <w:rFonts w:ascii="宋体" w:hAnsi="宋体" w:cs="宋体"/>
                                      <w:sz w:val="20"/>
                                      <w:szCs w:val="20"/>
                                    </w:rPr>
                                  </w:pPr>
                                  <w:r>
                                    <w:rPr>
                                      <w:rFonts w:ascii="宋体" w:hAnsi="宋体" w:cs="宋体"/>
                                      <w:sz w:val="20"/>
                                      <w:szCs w:val="20"/>
                                    </w:rPr>
                                    <w:t>区</w:t>
                                  </w:r>
                                </w:p>
                              </w:txbxContent>
                            </wps:txbx>
                            <wps:bodyPr lIns="0" tIns="0" rIns="0" bIns="0" upright="1"/>
                          </wps:wsp>
                        </a:graphicData>
                      </a:graphic>
                    </wp:anchor>
                  </w:drawing>
                </mc:Choice>
                <mc:Fallback>
                  <w:pict>
                    <v:shape id="_x0000_s1026" o:spid="_x0000_s1026" o:spt="202" type="#_x0000_t202" style="position:absolute;left:0pt;margin-left:145.55pt;margin-top:64.4pt;height:14.65pt;width:11.3pt;mso-position-horizontal-relative:page;mso-position-vertical-relative:page;z-index:251705344;mso-width-relative:page;mso-height-relative:page;" filled="f" stroked="f" coordsize="21600,21600" o:gfxdata="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n8Dut3AAAAA0BAAAPAAAAAAAAAAEAIAAAACIAAABkcnMvZG93bnJldi54bWxQ&#10;SwECFAAUAAAACACHTuJA1opZw7oBAABzAwAADgAAAAAAAAABACAAAAArAQAAZHJzL2Uyb0RvYy54&#10;bWxQSwUGAAAAAAYABgBZAQAAVwUAAAAA&#10;">
                      <v:fill on="f" focussize="0,0"/>
                      <v:stroke on="f"/>
                      <v:imagedata o:title=""/>
                      <o:lock v:ext="edit" aspectratio="f"/>
                      <v:textbox inset="0mm,0mm,0mm,0mm">
                        <w:txbxContent>
                          <w:p>
                            <w:pPr>
                              <w:spacing w:before="20" w:line="233" w:lineRule="auto"/>
                              <w:ind w:left="20" w:firstLine="400"/>
                              <w:rPr>
                                <w:rFonts w:ascii="宋体" w:hAnsi="宋体" w:cs="宋体"/>
                                <w:sz w:val="20"/>
                                <w:szCs w:val="20"/>
                              </w:rPr>
                            </w:pPr>
                            <w:r>
                              <w:rPr>
                                <w:rFonts w:ascii="宋体" w:hAnsi="宋体" w:cs="宋体"/>
                                <w:sz w:val="20"/>
                                <w:szCs w:val="20"/>
                              </w:rPr>
                              <w:t>区</w:t>
                            </w:r>
                          </w:p>
                        </w:txbxContent>
                      </v:textbox>
                    </v:shape>
                  </w:pict>
                </mc:Fallback>
              </mc:AlternateContent>
            </w:r>
            <w:r>
              <w:rPr>
                <w:rFonts w:cs="Times New Roman"/>
                <w:sz w:val="21"/>
                <w:szCs w:val="21"/>
              </w:rPr>
              <w:t>集中式饮用水水源</w:t>
            </w:r>
            <w:r>
              <w:rPr>
                <w:rFonts w:hint="eastAsia" w:cs="Times New Roman"/>
                <w:sz w:val="21"/>
                <w:szCs w:val="21"/>
              </w:rPr>
              <w:t>（</w:t>
            </w:r>
            <w:r>
              <w:rPr>
                <w:rFonts w:cs="Times New Roman"/>
                <w:sz w:val="21"/>
                <w:szCs w:val="21"/>
              </w:rPr>
              <w:t>包括已建成的在用、备用、应急水源，在建和规划的饮用水水源</w:t>
            </w:r>
            <w:r>
              <w:rPr>
                <w:rFonts w:hint="eastAsia" w:cs="Times New Roman"/>
                <w:sz w:val="21"/>
                <w:szCs w:val="21"/>
              </w:rPr>
              <w:t>）</w:t>
            </w:r>
            <w:r>
              <w:rPr>
                <w:rFonts w:cs="Times New Roman"/>
                <w:sz w:val="21"/>
                <w:szCs w:val="21"/>
              </w:rPr>
              <w:t>准保护区以外的补给径流区；未划定准保护区的集中式饮用水水源，其保护区以外的补给径流区；分散式饮用水水源地；特殊地下水资源</w:t>
            </w:r>
            <w:r>
              <w:rPr>
                <w:rFonts w:hint="eastAsia" w:cs="Times New Roman"/>
                <w:sz w:val="21"/>
                <w:szCs w:val="21"/>
              </w:rPr>
              <w:t>（</w:t>
            </w:r>
            <w:r>
              <w:rPr>
                <w:rFonts w:cs="Times New Roman"/>
                <w:sz w:val="21"/>
                <w:szCs w:val="21"/>
              </w:rPr>
              <w:t>如热水、矿泉水、温泉等</w:t>
            </w:r>
            <w:r>
              <w:rPr>
                <w:rFonts w:hint="eastAsia" w:cs="Times New Roman"/>
                <w:sz w:val="21"/>
                <w:szCs w:val="21"/>
              </w:rPr>
              <w:t>）</w:t>
            </w:r>
            <w:r>
              <w:rPr>
                <w:rFonts w:cs="Times New Roman"/>
                <w:sz w:val="21"/>
                <w:szCs w:val="21"/>
              </w:rPr>
              <w:t>保护区以外的分布区等其他未列入上述敏感分级的环境敏感a</w:t>
            </w:r>
          </w:p>
        </w:tc>
        <w:tc>
          <w:tcPr>
            <w:tcW w:w="679" w:type="pct"/>
            <w:vMerge w:val="continue"/>
            <w:tcBorders>
              <w:top w:val="nil"/>
              <w:left w:val="single" w:color="000000" w:sz="4" w:space="0"/>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1" w:hRule="atLeast"/>
        </w:trPr>
        <w:tc>
          <w:tcPr>
            <w:tcW w:w="631"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不敏感G3</w:t>
            </w:r>
          </w:p>
        </w:tc>
        <w:tc>
          <w:tcPr>
            <w:tcW w:w="3689"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上述地区之外的其他地区</w:t>
            </w:r>
          </w:p>
        </w:tc>
        <w:tc>
          <w:tcPr>
            <w:tcW w:w="679" w:type="pct"/>
            <w:vMerge w:val="continue"/>
            <w:tcBorders>
              <w:top w:val="nil"/>
              <w:left w:val="single" w:color="000000" w:sz="4" w:space="0"/>
            </w:tcBorders>
            <w:vAlign w:val="center"/>
          </w:tcPr>
          <w:p>
            <w:pPr>
              <w:spacing w:line="240" w:lineRule="auto"/>
              <w:ind w:firstLine="0" w:firstLineChars="0"/>
              <w:jc w:val="center"/>
              <w:rPr>
                <w:rFonts w:cs="Times New Roman"/>
                <w:sz w:val="21"/>
                <w:szCs w:val="21"/>
              </w:rPr>
            </w:pPr>
          </w:p>
        </w:tc>
      </w:tr>
    </w:tbl>
    <w:p>
      <w:pPr>
        <w:spacing w:line="0" w:lineRule="atLeast"/>
        <w:ind w:firstLine="482"/>
        <w:jc w:val="center"/>
        <w:rPr>
          <w:b/>
          <w:kern w:val="24"/>
          <w:szCs w:val="21"/>
        </w:rPr>
      </w:pPr>
      <w:r>
        <w:rPr>
          <w:b/>
          <w:kern w:val="24"/>
          <w:szCs w:val="21"/>
        </w:rPr>
        <w:t>表6.</w:t>
      </w:r>
      <w:r>
        <w:rPr>
          <w:rFonts w:hint="eastAsia"/>
          <w:b/>
          <w:kern w:val="24"/>
          <w:szCs w:val="21"/>
        </w:rPr>
        <w:t>8</w:t>
      </w:r>
      <w:r>
        <w:rPr>
          <w:b/>
          <w:kern w:val="24"/>
          <w:szCs w:val="21"/>
        </w:rPr>
        <w:t>-</w:t>
      </w:r>
      <w:r>
        <w:rPr>
          <w:rFonts w:hint="eastAsia"/>
          <w:b/>
          <w:kern w:val="24"/>
          <w:szCs w:val="21"/>
        </w:rPr>
        <w:t>1</w:t>
      </w:r>
      <w:r>
        <w:rPr>
          <w:rFonts w:hint="eastAsia"/>
          <w:b/>
          <w:kern w:val="24"/>
          <w:szCs w:val="21"/>
          <w:lang w:val="en-US" w:eastAsia="zh-CN"/>
        </w:rPr>
        <w:t>1</w:t>
      </w:r>
      <w:r>
        <w:rPr>
          <w:b/>
          <w:kern w:val="24"/>
          <w:szCs w:val="21"/>
        </w:rPr>
        <w:t xml:space="preserve">  包气带防污性能分级</w:t>
      </w:r>
    </w:p>
    <w:tbl>
      <w:tblPr>
        <w:tblStyle w:val="51"/>
        <w:tblW w:w="5004"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147"/>
        <w:gridCol w:w="6322"/>
        <w:gridCol w:w="1620"/>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69" w:hRule="atLeast"/>
          <w:jc w:val="center"/>
        </w:trPr>
        <w:tc>
          <w:tcPr>
            <w:tcW w:w="631"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分级</w:t>
            </w:r>
          </w:p>
        </w:tc>
        <w:tc>
          <w:tcPr>
            <w:tcW w:w="347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包气带岩土的渗透性能</w:t>
            </w:r>
          </w:p>
        </w:tc>
        <w:tc>
          <w:tcPr>
            <w:tcW w:w="891"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本项目情况</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67" w:hRule="atLeast"/>
          <w:jc w:val="center"/>
        </w:trPr>
        <w:tc>
          <w:tcPr>
            <w:tcW w:w="631"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D3</w:t>
            </w:r>
          </w:p>
        </w:tc>
        <w:tc>
          <w:tcPr>
            <w:tcW w:w="347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Mb≥1.0m，K≤1.0×10</w:t>
            </w:r>
            <w:r>
              <w:rPr>
                <w:rFonts w:cs="Times New Roman"/>
                <w:sz w:val="21"/>
                <w:szCs w:val="21"/>
                <w:vertAlign w:val="superscript"/>
              </w:rPr>
              <w:t>-6</w:t>
            </w:r>
            <w:r>
              <w:rPr>
                <w:rFonts w:cs="Times New Roman"/>
                <w:sz w:val="21"/>
                <w:szCs w:val="21"/>
              </w:rPr>
              <w:t>cm/s，且分布连续、稳定</w:t>
            </w:r>
          </w:p>
        </w:tc>
        <w:tc>
          <w:tcPr>
            <w:tcW w:w="891"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项目所在区Mb</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631" w:hRule="atLeast"/>
          <w:jc w:val="center"/>
        </w:trPr>
        <w:tc>
          <w:tcPr>
            <w:tcW w:w="631"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D2</w:t>
            </w:r>
          </w:p>
        </w:tc>
        <w:tc>
          <w:tcPr>
            <w:tcW w:w="347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0.5m≤Mb&lt;1.0m，K≤1.0×10</w:t>
            </w:r>
            <w:r>
              <w:rPr>
                <w:rFonts w:cs="Times New Roman"/>
                <w:sz w:val="21"/>
                <w:szCs w:val="21"/>
                <w:vertAlign w:val="superscript"/>
              </w:rPr>
              <w:t>-6</w:t>
            </w:r>
            <w:r>
              <w:rPr>
                <w:rFonts w:cs="Times New Roman"/>
                <w:sz w:val="21"/>
                <w:szCs w:val="21"/>
              </w:rPr>
              <w:t>cm/s，且分布连续、稳定</w:t>
            </w:r>
          </w:p>
          <w:p>
            <w:pPr>
              <w:spacing w:line="240" w:lineRule="auto"/>
              <w:ind w:firstLine="0" w:firstLineChars="0"/>
              <w:jc w:val="center"/>
              <w:rPr>
                <w:rFonts w:cs="Times New Roman"/>
                <w:sz w:val="21"/>
                <w:szCs w:val="21"/>
              </w:rPr>
            </w:pPr>
            <w:r>
              <w:rPr>
                <w:rFonts w:cs="Times New Roman"/>
                <w:sz w:val="21"/>
                <w:szCs w:val="21"/>
              </w:rPr>
              <w:t>Mb≥1.0m，1.0×10</w:t>
            </w:r>
            <w:r>
              <w:rPr>
                <w:rFonts w:cs="Times New Roman"/>
                <w:sz w:val="21"/>
                <w:szCs w:val="21"/>
                <w:vertAlign w:val="superscript"/>
              </w:rPr>
              <w:t>-6</w:t>
            </w:r>
            <w:r>
              <w:rPr>
                <w:rFonts w:cs="Times New Roman"/>
                <w:sz w:val="21"/>
                <w:szCs w:val="21"/>
              </w:rPr>
              <w:t>cm/s＜K≤1.0×10</w:t>
            </w:r>
            <w:r>
              <w:rPr>
                <w:rFonts w:cs="Times New Roman"/>
                <w:sz w:val="21"/>
                <w:szCs w:val="21"/>
                <w:vertAlign w:val="superscript"/>
              </w:rPr>
              <w:t>-4</w:t>
            </w:r>
            <w:r>
              <w:rPr>
                <w:rFonts w:cs="Times New Roman"/>
                <w:sz w:val="21"/>
                <w:szCs w:val="21"/>
              </w:rPr>
              <w:t>cm/s，且分布连续、稳定</w:t>
            </w:r>
          </w:p>
        </w:tc>
        <w:tc>
          <w:tcPr>
            <w:tcW w:w="891" w:type="pct"/>
            <w:vMerge w:val="restart"/>
            <w:tcBorders>
              <w:left w:val="single" w:color="000000" w:sz="4" w:space="0"/>
              <w:bottom w:val="nil"/>
            </w:tcBorders>
            <w:vAlign w:val="center"/>
          </w:tcPr>
          <w:p>
            <w:pPr>
              <w:spacing w:line="240" w:lineRule="auto"/>
              <w:ind w:firstLine="0" w:firstLineChars="0"/>
              <w:jc w:val="center"/>
              <w:rPr>
                <w:rFonts w:cs="Times New Roman"/>
                <w:sz w:val="21"/>
                <w:szCs w:val="21"/>
              </w:rPr>
            </w:pPr>
            <w:r>
              <w:rPr>
                <w:rFonts w:cs="Times New Roman"/>
                <w:sz w:val="21"/>
                <w:szCs w:val="21"/>
              </w:rPr>
              <w:t>≥1.0m，K为4.5× 10</w:t>
            </w:r>
            <w:r>
              <w:rPr>
                <w:rFonts w:cs="Times New Roman"/>
                <w:sz w:val="21"/>
                <w:szCs w:val="21"/>
                <w:vertAlign w:val="superscript"/>
              </w:rPr>
              <w:t>-4</w:t>
            </w:r>
            <w:r>
              <w:rPr>
                <w:rFonts w:cs="Times New Roman"/>
                <w:sz w:val="21"/>
                <w:szCs w:val="21"/>
              </w:rPr>
              <w:t>cm/s，属于D1</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0" w:hRule="atLeast"/>
          <w:jc w:val="center"/>
        </w:trPr>
        <w:tc>
          <w:tcPr>
            <w:tcW w:w="631"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D1</w:t>
            </w:r>
          </w:p>
        </w:tc>
        <w:tc>
          <w:tcPr>
            <w:tcW w:w="347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岩</w:t>
            </w:r>
            <w:r>
              <w:rPr>
                <w:rFonts w:hint="eastAsia" w:cs="Times New Roman"/>
                <w:sz w:val="21"/>
                <w:szCs w:val="21"/>
              </w:rPr>
              <w:t>（</w:t>
            </w:r>
            <w:r>
              <w:rPr>
                <w:rFonts w:cs="Times New Roman"/>
                <w:sz w:val="21"/>
                <w:szCs w:val="21"/>
              </w:rPr>
              <w:t>土</w:t>
            </w:r>
            <w:r>
              <w:rPr>
                <w:rFonts w:hint="eastAsia" w:cs="Times New Roman"/>
                <w:sz w:val="21"/>
                <w:szCs w:val="21"/>
              </w:rPr>
              <w:t>）</w:t>
            </w:r>
            <w:r>
              <w:rPr>
                <w:rFonts w:cs="Times New Roman"/>
                <w:sz w:val="21"/>
                <w:szCs w:val="21"/>
              </w:rPr>
              <w:t>层不满足上述</w:t>
            </w:r>
            <w:r>
              <w:rPr>
                <w:rFonts w:hint="eastAsia" w:cs="Times New Roman"/>
                <w:sz w:val="21"/>
                <w:szCs w:val="21"/>
                <w:lang w:eastAsia="zh-CN"/>
              </w:rPr>
              <w:t>“</w:t>
            </w:r>
            <w:r>
              <w:rPr>
                <w:rFonts w:cs="Times New Roman"/>
                <w:sz w:val="21"/>
                <w:szCs w:val="21"/>
              </w:rPr>
              <w:t>D2</w:t>
            </w:r>
            <w:r>
              <w:rPr>
                <w:rFonts w:hint="eastAsia" w:cs="Times New Roman"/>
                <w:sz w:val="21"/>
                <w:szCs w:val="21"/>
                <w:lang w:eastAsia="zh-CN"/>
              </w:rPr>
              <w:t>”</w:t>
            </w:r>
            <w:r>
              <w:rPr>
                <w:rFonts w:cs="Times New Roman"/>
                <w:sz w:val="21"/>
                <w:szCs w:val="21"/>
              </w:rPr>
              <w:t>和</w:t>
            </w:r>
            <w:r>
              <w:rPr>
                <w:rFonts w:hint="eastAsia" w:cs="Times New Roman"/>
                <w:sz w:val="21"/>
                <w:szCs w:val="21"/>
                <w:lang w:eastAsia="zh-CN"/>
              </w:rPr>
              <w:t>“</w:t>
            </w:r>
            <w:r>
              <w:rPr>
                <w:rFonts w:cs="Times New Roman"/>
                <w:sz w:val="21"/>
                <w:szCs w:val="21"/>
              </w:rPr>
              <w:t>D3</w:t>
            </w:r>
            <w:r>
              <w:rPr>
                <w:rFonts w:hint="eastAsia" w:cs="Times New Roman"/>
                <w:sz w:val="21"/>
                <w:szCs w:val="21"/>
                <w:lang w:eastAsia="zh-CN"/>
              </w:rPr>
              <w:t>”</w:t>
            </w:r>
            <w:r>
              <w:rPr>
                <w:rFonts w:cs="Times New Roman"/>
                <w:sz w:val="21"/>
                <w:szCs w:val="21"/>
              </w:rPr>
              <w:t>条件</w:t>
            </w:r>
          </w:p>
        </w:tc>
        <w:tc>
          <w:tcPr>
            <w:tcW w:w="891" w:type="pct"/>
            <w:vMerge w:val="continue"/>
            <w:tcBorders>
              <w:top w:val="nil"/>
              <w:left w:val="single" w:color="000000" w:sz="4" w:space="0"/>
            </w:tcBorders>
            <w:vAlign w:val="center"/>
          </w:tcPr>
          <w:p>
            <w:pPr>
              <w:spacing w:line="240" w:lineRule="auto"/>
              <w:ind w:firstLine="0" w:firstLineChars="0"/>
              <w:jc w:val="center"/>
              <w:rPr>
                <w:rFonts w:cs="Times New Roman"/>
                <w:sz w:val="21"/>
                <w:szCs w:val="21"/>
              </w:rPr>
            </w:pPr>
          </w:p>
        </w:tc>
      </w:tr>
    </w:tbl>
    <w:p>
      <w:pPr>
        <w:ind w:firstLine="480"/>
      </w:pPr>
      <w:r>
        <w:t>Mb：岩土层单层厚度。K：渗透系数。</w:t>
      </w:r>
    </w:p>
    <w:p>
      <w:pPr>
        <w:spacing w:line="0" w:lineRule="atLeast"/>
        <w:ind w:firstLine="482"/>
        <w:jc w:val="center"/>
        <w:rPr>
          <w:b/>
          <w:kern w:val="24"/>
          <w:szCs w:val="21"/>
        </w:rPr>
      </w:pPr>
      <w:r>
        <w:rPr>
          <w:b/>
          <w:kern w:val="24"/>
          <w:szCs w:val="21"/>
        </w:rPr>
        <w:t>表</w:t>
      </w:r>
      <w:r>
        <w:rPr>
          <w:rFonts w:hint="eastAsia"/>
          <w:b/>
          <w:kern w:val="24"/>
          <w:szCs w:val="21"/>
        </w:rPr>
        <w:t>6.8</w:t>
      </w:r>
      <w:r>
        <w:rPr>
          <w:b/>
          <w:kern w:val="24"/>
          <w:szCs w:val="21"/>
        </w:rPr>
        <w:t>-</w:t>
      </w:r>
      <w:r>
        <w:rPr>
          <w:rFonts w:hint="eastAsia"/>
          <w:b/>
          <w:kern w:val="24"/>
          <w:szCs w:val="21"/>
        </w:rPr>
        <w:t>1</w:t>
      </w:r>
      <w:r>
        <w:rPr>
          <w:rFonts w:hint="eastAsia"/>
          <w:b/>
          <w:kern w:val="24"/>
          <w:szCs w:val="21"/>
          <w:lang w:val="en-US" w:eastAsia="zh-CN"/>
        </w:rPr>
        <w:t>2</w:t>
      </w:r>
      <w:r>
        <w:rPr>
          <w:b/>
          <w:kern w:val="24"/>
          <w:szCs w:val="21"/>
        </w:rPr>
        <w:t xml:space="preserve">  地下水环境敏感程度分级</w:t>
      </w:r>
    </w:p>
    <w:tbl>
      <w:tblPr>
        <w:tblStyle w:val="51"/>
        <w:tblW w:w="4999"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756"/>
        <w:gridCol w:w="2064"/>
        <w:gridCol w:w="2135"/>
        <w:gridCol w:w="1931"/>
        <w:gridCol w:w="1194"/>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1" w:hRule="atLeast"/>
          <w:jc w:val="center"/>
        </w:trPr>
        <w:tc>
          <w:tcPr>
            <w:tcW w:w="967" w:type="pct"/>
            <w:vMerge w:val="restart"/>
            <w:tcBorders>
              <w:bottom w:val="nil"/>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环境敏感目标</w:t>
            </w:r>
          </w:p>
        </w:tc>
        <w:tc>
          <w:tcPr>
            <w:tcW w:w="3374" w:type="pct"/>
            <w:gridSpan w:val="3"/>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地表水功能敏感性</w:t>
            </w:r>
          </w:p>
        </w:tc>
        <w:tc>
          <w:tcPr>
            <w:tcW w:w="657"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本项目情况</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jc w:val="center"/>
        </w:trPr>
        <w:tc>
          <w:tcPr>
            <w:tcW w:w="967" w:type="pct"/>
            <w:vMerge w:val="continue"/>
            <w:tcBorders>
              <w:top w:val="nil"/>
              <w:right w:val="single" w:color="000000" w:sz="4" w:space="0"/>
            </w:tcBorders>
            <w:vAlign w:val="center"/>
          </w:tcPr>
          <w:p>
            <w:pPr>
              <w:spacing w:line="240" w:lineRule="auto"/>
              <w:ind w:firstLine="0" w:firstLineChars="0"/>
              <w:jc w:val="center"/>
              <w:rPr>
                <w:rFonts w:cs="Times New Roman"/>
                <w:sz w:val="21"/>
                <w:szCs w:val="21"/>
              </w:rPr>
            </w:pPr>
          </w:p>
        </w:tc>
        <w:tc>
          <w:tcPr>
            <w:tcW w:w="113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G1</w:t>
            </w:r>
          </w:p>
        </w:tc>
        <w:tc>
          <w:tcPr>
            <w:tcW w:w="1175"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G2</w:t>
            </w:r>
          </w:p>
        </w:tc>
        <w:tc>
          <w:tcPr>
            <w:tcW w:w="1062" w:type="pct"/>
            <w:tcBorders>
              <w:left w:val="single" w:color="000000" w:sz="4" w:space="0"/>
              <w:right w:val="single" w:color="000000" w:sz="4" w:space="0"/>
            </w:tcBorders>
            <w:shd w:val="clear" w:color="auto" w:fill="FFC000" w:themeFill="accent4"/>
            <w:vAlign w:val="center"/>
          </w:tcPr>
          <w:p>
            <w:pPr>
              <w:spacing w:line="240" w:lineRule="auto"/>
              <w:ind w:firstLine="0" w:firstLineChars="0"/>
              <w:jc w:val="center"/>
              <w:rPr>
                <w:rFonts w:cs="Times New Roman"/>
                <w:sz w:val="21"/>
                <w:szCs w:val="21"/>
              </w:rPr>
            </w:pPr>
            <w:r>
              <w:rPr>
                <w:rFonts w:cs="Times New Roman"/>
                <w:sz w:val="21"/>
                <w:szCs w:val="21"/>
              </w:rPr>
              <w:t>G3</w:t>
            </w:r>
          </w:p>
        </w:tc>
        <w:tc>
          <w:tcPr>
            <w:tcW w:w="657" w:type="pct"/>
            <w:vMerge w:val="restart"/>
            <w:tcBorders>
              <w:left w:val="single" w:color="000000" w:sz="4" w:space="0"/>
              <w:bottom w:val="nil"/>
            </w:tcBorders>
            <w:vAlign w:val="center"/>
          </w:tcPr>
          <w:p>
            <w:pPr>
              <w:spacing w:line="240" w:lineRule="auto"/>
              <w:ind w:firstLine="0" w:firstLineChars="0"/>
              <w:jc w:val="center"/>
              <w:rPr>
                <w:rFonts w:hint="eastAsia" w:eastAsia="宋体" w:cs="Times New Roman"/>
                <w:sz w:val="21"/>
                <w:szCs w:val="21"/>
                <w:lang w:eastAsia="zh-CN"/>
              </w:rPr>
            </w:pPr>
            <w:r>
              <w:rPr>
                <w:rFonts w:cs="Times New Roman"/>
                <w:sz w:val="21"/>
                <w:szCs w:val="21"/>
              </w:rPr>
              <w:t>属于E</w:t>
            </w:r>
            <w:r>
              <w:rPr>
                <w:rFonts w:hint="eastAsia" w:cs="Times New Roman"/>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jc w:val="center"/>
        </w:trPr>
        <w:tc>
          <w:tcPr>
            <w:tcW w:w="967"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D1</w:t>
            </w:r>
          </w:p>
        </w:tc>
        <w:tc>
          <w:tcPr>
            <w:tcW w:w="113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E1</w:t>
            </w:r>
          </w:p>
        </w:tc>
        <w:tc>
          <w:tcPr>
            <w:tcW w:w="1175"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E1</w:t>
            </w:r>
          </w:p>
        </w:tc>
        <w:tc>
          <w:tcPr>
            <w:tcW w:w="1062"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E2</w:t>
            </w:r>
          </w:p>
        </w:tc>
        <w:tc>
          <w:tcPr>
            <w:tcW w:w="657" w:type="pct"/>
            <w:vMerge w:val="continue"/>
            <w:tcBorders>
              <w:top w:val="nil"/>
              <w:left w:val="single" w:color="000000" w:sz="4" w:space="0"/>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jc w:val="center"/>
        </w:trPr>
        <w:tc>
          <w:tcPr>
            <w:tcW w:w="967"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D2</w:t>
            </w:r>
          </w:p>
        </w:tc>
        <w:tc>
          <w:tcPr>
            <w:tcW w:w="113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E1</w:t>
            </w:r>
          </w:p>
        </w:tc>
        <w:tc>
          <w:tcPr>
            <w:tcW w:w="1175"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E2</w:t>
            </w:r>
          </w:p>
        </w:tc>
        <w:tc>
          <w:tcPr>
            <w:tcW w:w="1062"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E3</w:t>
            </w:r>
          </w:p>
        </w:tc>
        <w:tc>
          <w:tcPr>
            <w:tcW w:w="657" w:type="pct"/>
            <w:vMerge w:val="continue"/>
            <w:tcBorders>
              <w:top w:val="nil"/>
              <w:left w:val="single" w:color="000000" w:sz="4" w:space="0"/>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0" w:hRule="atLeast"/>
          <w:jc w:val="center"/>
        </w:trPr>
        <w:tc>
          <w:tcPr>
            <w:tcW w:w="967" w:type="pct"/>
            <w:tcBorders>
              <w:right w:val="single" w:color="000000" w:sz="4" w:space="0"/>
            </w:tcBorders>
            <w:shd w:val="clear" w:color="auto" w:fill="FFC000" w:themeFill="accent4"/>
            <w:vAlign w:val="center"/>
          </w:tcPr>
          <w:p>
            <w:pPr>
              <w:spacing w:line="240" w:lineRule="auto"/>
              <w:ind w:firstLine="0" w:firstLineChars="0"/>
              <w:jc w:val="center"/>
              <w:rPr>
                <w:rFonts w:cs="Times New Roman"/>
                <w:sz w:val="21"/>
                <w:szCs w:val="21"/>
              </w:rPr>
            </w:pPr>
            <w:r>
              <w:rPr>
                <w:rFonts w:cs="Times New Roman"/>
                <w:sz w:val="21"/>
                <w:szCs w:val="21"/>
              </w:rPr>
              <w:t>D3</w:t>
            </w:r>
          </w:p>
        </w:tc>
        <w:tc>
          <w:tcPr>
            <w:tcW w:w="113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E2</w:t>
            </w:r>
          </w:p>
        </w:tc>
        <w:tc>
          <w:tcPr>
            <w:tcW w:w="1175"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E3</w:t>
            </w:r>
          </w:p>
        </w:tc>
        <w:tc>
          <w:tcPr>
            <w:tcW w:w="1062" w:type="pct"/>
            <w:tcBorders>
              <w:left w:val="single" w:color="000000" w:sz="4" w:space="0"/>
              <w:right w:val="single" w:color="000000" w:sz="4" w:space="0"/>
            </w:tcBorders>
            <w:shd w:val="clear" w:color="auto" w:fill="C00000"/>
            <w:vAlign w:val="center"/>
          </w:tcPr>
          <w:p>
            <w:pPr>
              <w:spacing w:line="240" w:lineRule="auto"/>
              <w:ind w:firstLine="0" w:firstLineChars="0"/>
              <w:jc w:val="center"/>
              <w:rPr>
                <w:rFonts w:cs="Times New Roman"/>
                <w:sz w:val="21"/>
                <w:szCs w:val="21"/>
              </w:rPr>
            </w:pPr>
            <w:r>
              <w:rPr>
                <w:rFonts w:cs="Times New Roman"/>
                <w:sz w:val="21"/>
                <w:szCs w:val="21"/>
              </w:rPr>
              <w:t>E3</w:t>
            </w:r>
          </w:p>
        </w:tc>
        <w:tc>
          <w:tcPr>
            <w:tcW w:w="657" w:type="pct"/>
            <w:vMerge w:val="continue"/>
            <w:tcBorders>
              <w:top w:val="nil"/>
              <w:left w:val="single" w:color="000000" w:sz="4" w:space="0"/>
            </w:tcBorders>
            <w:vAlign w:val="center"/>
          </w:tcPr>
          <w:p>
            <w:pPr>
              <w:spacing w:line="240" w:lineRule="auto"/>
              <w:ind w:firstLine="0" w:firstLineChars="0"/>
              <w:jc w:val="center"/>
              <w:rPr>
                <w:rFonts w:cs="Times New Roman"/>
                <w:sz w:val="21"/>
                <w:szCs w:val="21"/>
              </w:rPr>
            </w:pPr>
          </w:p>
        </w:tc>
      </w:tr>
    </w:tbl>
    <w:p>
      <w:pPr>
        <w:widowControl/>
        <w:ind w:firstLine="562"/>
        <w:jc w:val="left"/>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8.3.5</w:t>
      </w:r>
      <w:r>
        <w:rPr>
          <w:rFonts w:cs="Times New Roman"/>
          <w:b/>
          <w:bCs/>
          <w:color w:val="000000"/>
          <w:kern w:val="0"/>
          <w:sz w:val="28"/>
          <w:szCs w:val="28"/>
          <w:lang w:bidi="ar"/>
        </w:rPr>
        <w:t xml:space="preserve"> 建设项目环境风险潜势判断</w:t>
      </w:r>
    </w:p>
    <w:p>
      <w:pPr>
        <w:ind w:firstLine="480"/>
      </w:pPr>
      <w:r>
        <w:t>根据《建设项目环境风险评价技术导则》</w:t>
      </w:r>
      <w:r>
        <w:rPr>
          <w:rFonts w:hint="eastAsia"/>
        </w:rPr>
        <w:t>（</w:t>
      </w:r>
      <w:r>
        <w:t>HJ169-2018</w:t>
      </w:r>
      <w:r>
        <w:rPr>
          <w:rFonts w:hint="eastAsia"/>
        </w:rPr>
        <w:t>）</w:t>
      </w:r>
      <w:r>
        <w:t>中表2</w:t>
      </w:r>
      <w:r>
        <w:rPr>
          <w:rFonts w:hint="eastAsia"/>
          <w:lang w:eastAsia="zh-CN"/>
        </w:rPr>
        <w:t>“</w:t>
      </w:r>
      <w:r>
        <w:t>建设项目环境风险潜势划分</w:t>
      </w:r>
      <w:r>
        <w:rPr>
          <w:rFonts w:hint="eastAsia"/>
          <w:lang w:eastAsia="zh-CN"/>
        </w:rPr>
        <w:t>”</w:t>
      </w:r>
      <w:r>
        <w:t>，结合上述分析，本项目大气环境风险潜势属于Ⅱ、地表水环境风险潜势属于Ⅰ、地下水环境风险潜势属于Ⅱ，因此本项目环境风险潜势取Ⅱ。</w:t>
      </w:r>
    </w:p>
    <w:p>
      <w:pPr>
        <w:spacing w:line="0" w:lineRule="atLeast"/>
        <w:ind w:firstLine="482"/>
        <w:jc w:val="center"/>
        <w:rPr>
          <w:b/>
          <w:kern w:val="24"/>
          <w:szCs w:val="21"/>
        </w:rPr>
      </w:pPr>
      <w:r>
        <w:rPr>
          <w:b/>
          <w:kern w:val="24"/>
          <w:szCs w:val="21"/>
        </w:rPr>
        <w:t>表6.</w:t>
      </w:r>
      <w:r>
        <w:rPr>
          <w:rFonts w:hint="eastAsia"/>
          <w:b/>
          <w:kern w:val="24"/>
          <w:szCs w:val="21"/>
        </w:rPr>
        <w:t>8</w:t>
      </w:r>
      <w:r>
        <w:rPr>
          <w:b/>
          <w:kern w:val="24"/>
          <w:szCs w:val="21"/>
        </w:rPr>
        <w:t>-</w:t>
      </w:r>
      <w:r>
        <w:rPr>
          <w:rFonts w:hint="eastAsia"/>
          <w:b/>
          <w:kern w:val="24"/>
          <w:szCs w:val="21"/>
          <w:lang w:val="en-US" w:eastAsia="zh-CN"/>
        </w:rPr>
        <w:t>13</w:t>
      </w:r>
      <w:r>
        <w:rPr>
          <w:b/>
          <w:kern w:val="24"/>
          <w:szCs w:val="21"/>
        </w:rPr>
        <w:t xml:space="preserve">  建设项目环境风险潜势划分</w:t>
      </w:r>
    </w:p>
    <w:tbl>
      <w:tblPr>
        <w:tblStyle w:val="51"/>
        <w:tblW w:w="4999" w:type="pct"/>
        <w:tblInd w:w="0" w:type="dxa"/>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135"/>
        <w:gridCol w:w="1135"/>
        <w:gridCol w:w="1702"/>
        <w:gridCol w:w="1702"/>
        <w:gridCol w:w="1702"/>
        <w:gridCol w:w="1704"/>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1250" w:type="pct"/>
            <w:gridSpan w:val="2"/>
            <w:vMerge w:val="restart"/>
            <w:tcBorders>
              <w:bottom w:val="nil"/>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环境敏感程度</w:t>
            </w:r>
            <w:r>
              <w:rPr>
                <w:rFonts w:hint="eastAsia" w:cs="Times New Roman"/>
                <w:sz w:val="21"/>
                <w:szCs w:val="21"/>
              </w:rPr>
              <w:t>（</w:t>
            </w:r>
            <w:r>
              <w:rPr>
                <w:rFonts w:cs="Times New Roman"/>
                <w:sz w:val="21"/>
                <w:szCs w:val="21"/>
              </w:rPr>
              <w:t>E</w:t>
            </w:r>
            <w:r>
              <w:rPr>
                <w:rFonts w:hint="eastAsia" w:cs="Times New Roman"/>
                <w:sz w:val="21"/>
                <w:szCs w:val="21"/>
              </w:rPr>
              <w:t>）</w:t>
            </w:r>
          </w:p>
        </w:tc>
        <w:tc>
          <w:tcPr>
            <w:tcW w:w="3749" w:type="pct"/>
            <w:gridSpan w:val="4"/>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危险物质及工艺系统危险性</w:t>
            </w:r>
            <w:r>
              <w:rPr>
                <w:rFonts w:hint="eastAsia" w:cs="Times New Roman"/>
                <w:sz w:val="21"/>
                <w:szCs w:val="21"/>
              </w:rPr>
              <w:t>（</w:t>
            </w:r>
            <w:r>
              <w:rPr>
                <w:rFonts w:cs="Times New Roman"/>
                <w:sz w:val="21"/>
                <w:szCs w:val="21"/>
              </w:rPr>
              <w:t>P</w:t>
            </w:r>
            <w:r>
              <w:rPr>
                <w:rFonts w:hint="eastAsia" w:cs="Times New Roman"/>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1250" w:type="pct"/>
            <w:gridSpan w:val="2"/>
            <w:vMerge w:val="continue"/>
            <w:tcBorders>
              <w:top w:val="nil"/>
              <w:right w:val="single" w:color="000000" w:sz="4" w:space="0"/>
            </w:tcBorders>
            <w:vAlign w:val="center"/>
          </w:tcPr>
          <w:p>
            <w:pPr>
              <w:spacing w:line="240" w:lineRule="auto"/>
              <w:ind w:firstLine="0" w:firstLineChars="0"/>
              <w:jc w:val="center"/>
              <w:rPr>
                <w:rFonts w:cs="Times New Roman"/>
                <w:sz w:val="21"/>
                <w:szCs w:val="21"/>
              </w:rPr>
            </w:pP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极高危害</w:t>
            </w:r>
            <w:r>
              <w:rPr>
                <w:rFonts w:hint="eastAsia" w:cs="Times New Roman"/>
                <w:sz w:val="21"/>
                <w:szCs w:val="21"/>
              </w:rPr>
              <w:t>（</w:t>
            </w:r>
            <w:r>
              <w:rPr>
                <w:rFonts w:cs="Times New Roman"/>
                <w:sz w:val="21"/>
                <w:szCs w:val="21"/>
              </w:rPr>
              <w:t>P1</w:t>
            </w:r>
            <w:r>
              <w:rPr>
                <w:rFonts w:hint="eastAsia" w:cs="Times New Roman"/>
                <w:sz w:val="21"/>
                <w:szCs w:val="21"/>
              </w:rPr>
              <w:t>）</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高度危害</w:t>
            </w:r>
            <w:r>
              <w:rPr>
                <w:rFonts w:hint="eastAsia" w:cs="Times New Roman"/>
                <w:sz w:val="21"/>
                <w:szCs w:val="21"/>
              </w:rPr>
              <w:t>（</w:t>
            </w:r>
            <w:r>
              <w:rPr>
                <w:rFonts w:cs="Times New Roman"/>
                <w:sz w:val="21"/>
                <w:szCs w:val="21"/>
              </w:rPr>
              <w:t>P2</w:t>
            </w:r>
            <w:r>
              <w:rPr>
                <w:rFonts w:hint="eastAsia" w:cs="Times New Roman"/>
                <w:sz w:val="21"/>
                <w:szCs w:val="21"/>
              </w:rPr>
              <w:t>）</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中度危害</w:t>
            </w:r>
            <w:r>
              <w:rPr>
                <w:rFonts w:hint="eastAsia" w:cs="Times New Roman"/>
                <w:sz w:val="21"/>
                <w:szCs w:val="21"/>
              </w:rPr>
              <w:t>（</w:t>
            </w:r>
            <w:r>
              <w:rPr>
                <w:rFonts w:cs="Times New Roman"/>
                <w:sz w:val="21"/>
                <w:szCs w:val="21"/>
              </w:rPr>
              <w:t>P3</w:t>
            </w:r>
            <w:r>
              <w:rPr>
                <w:rFonts w:hint="eastAsia" w:cs="Times New Roman"/>
                <w:sz w:val="21"/>
                <w:szCs w:val="21"/>
              </w:rPr>
              <w:t>）</w:t>
            </w:r>
          </w:p>
        </w:tc>
        <w:tc>
          <w:tcPr>
            <w:tcW w:w="938"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轻度危害</w:t>
            </w:r>
            <w:r>
              <w:rPr>
                <w:rFonts w:hint="eastAsia" w:cs="Times New Roman"/>
                <w:sz w:val="21"/>
                <w:szCs w:val="21"/>
              </w:rPr>
              <w:t>（</w:t>
            </w:r>
            <w:r>
              <w:rPr>
                <w:rFonts w:cs="Times New Roman"/>
                <w:sz w:val="21"/>
                <w:szCs w:val="21"/>
              </w:rPr>
              <w:t>P4</w:t>
            </w:r>
            <w:r>
              <w:rPr>
                <w:rFonts w:hint="eastAsia" w:cs="Times New Roman"/>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1250" w:type="pct"/>
            <w:gridSpan w:val="2"/>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环境高度敏感区</w:t>
            </w:r>
            <w:r>
              <w:rPr>
                <w:rFonts w:hint="eastAsia" w:cs="Times New Roman"/>
                <w:sz w:val="21"/>
                <w:szCs w:val="21"/>
              </w:rPr>
              <w:t>（</w:t>
            </w:r>
            <w:r>
              <w:rPr>
                <w:rFonts w:cs="Times New Roman"/>
                <w:sz w:val="21"/>
                <w:szCs w:val="21"/>
              </w:rPr>
              <w:t>E1</w:t>
            </w:r>
            <w:r>
              <w:rPr>
                <w:rFonts w:hint="eastAsia" w:cs="Times New Roman"/>
                <w:sz w:val="21"/>
                <w:szCs w:val="21"/>
              </w:rPr>
              <w:t>）</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Ⅳ+</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Ⅳ</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Ⅲ</w:t>
            </w:r>
          </w:p>
        </w:tc>
        <w:tc>
          <w:tcPr>
            <w:tcW w:w="938"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Ⅲ</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1250" w:type="pct"/>
            <w:gridSpan w:val="2"/>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环境中度敏感区</w:t>
            </w:r>
            <w:r>
              <w:rPr>
                <w:rFonts w:hint="eastAsia" w:cs="Times New Roman"/>
                <w:sz w:val="21"/>
                <w:szCs w:val="21"/>
              </w:rPr>
              <w:t>（</w:t>
            </w:r>
            <w:r>
              <w:rPr>
                <w:rFonts w:cs="Times New Roman"/>
                <w:sz w:val="21"/>
                <w:szCs w:val="21"/>
              </w:rPr>
              <w:t>E2</w:t>
            </w:r>
            <w:r>
              <w:rPr>
                <w:rFonts w:hint="eastAsia" w:cs="Times New Roman"/>
                <w:sz w:val="21"/>
                <w:szCs w:val="21"/>
              </w:rPr>
              <w:t>）</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Ⅳ</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Ⅲ</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Ⅲ</w:t>
            </w:r>
          </w:p>
        </w:tc>
        <w:tc>
          <w:tcPr>
            <w:tcW w:w="938"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Ⅱ</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1250" w:type="pct"/>
            <w:gridSpan w:val="2"/>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环境低度敏感区</w:t>
            </w:r>
            <w:r>
              <w:rPr>
                <w:rFonts w:hint="eastAsia" w:cs="Times New Roman"/>
                <w:sz w:val="21"/>
                <w:szCs w:val="21"/>
              </w:rPr>
              <w:t>（</w:t>
            </w:r>
            <w:r>
              <w:rPr>
                <w:rFonts w:cs="Times New Roman"/>
                <w:sz w:val="21"/>
                <w:szCs w:val="21"/>
              </w:rPr>
              <w:t>E3</w:t>
            </w:r>
            <w:r>
              <w:rPr>
                <w:rFonts w:hint="eastAsia" w:cs="Times New Roman"/>
                <w:sz w:val="21"/>
                <w:szCs w:val="21"/>
              </w:rPr>
              <w:t>）</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Ⅲ</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Ⅲ</w:t>
            </w:r>
          </w:p>
        </w:tc>
        <w:tc>
          <w:tcPr>
            <w:tcW w:w="93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Ⅱ</w:t>
            </w:r>
          </w:p>
        </w:tc>
        <w:tc>
          <w:tcPr>
            <w:tcW w:w="938"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Ⅰ</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50" w:hRule="atLeast"/>
        </w:trPr>
        <w:tc>
          <w:tcPr>
            <w:tcW w:w="625" w:type="pct"/>
            <w:vMerge w:val="restart"/>
            <w:tcBorders>
              <w:bottom w:val="nil"/>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环境要素</w:t>
            </w:r>
          </w:p>
        </w:tc>
        <w:tc>
          <w:tcPr>
            <w:tcW w:w="625"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大气</w:t>
            </w:r>
          </w:p>
        </w:tc>
        <w:tc>
          <w:tcPr>
            <w:tcW w:w="3749" w:type="pct"/>
            <w:gridSpan w:val="4"/>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Ⅱ</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625" w:type="pct"/>
            <w:vMerge w:val="continue"/>
            <w:tcBorders>
              <w:top w:val="nil"/>
              <w:bottom w:val="nil"/>
              <w:right w:val="single" w:color="000000" w:sz="4" w:space="0"/>
            </w:tcBorders>
            <w:vAlign w:val="center"/>
          </w:tcPr>
          <w:p>
            <w:pPr>
              <w:spacing w:line="240" w:lineRule="auto"/>
              <w:ind w:firstLine="0" w:firstLineChars="0"/>
              <w:jc w:val="center"/>
              <w:rPr>
                <w:rFonts w:cs="Times New Roman"/>
                <w:sz w:val="21"/>
                <w:szCs w:val="21"/>
              </w:rPr>
            </w:pPr>
          </w:p>
        </w:tc>
        <w:tc>
          <w:tcPr>
            <w:tcW w:w="625"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地表水</w:t>
            </w:r>
          </w:p>
        </w:tc>
        <w:tc>
          <w:tcPr>
            <w:tcW w:w="3749" w:type="pct"/>
            <w:gridSpan w:val="4"/>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Ⅰ</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57" w:hRule="atLeast"/>
        </w:trPr>
        <w:tc>
          <w:tcPr>
            <w:tcW w:w="625" w:type="pct"/>
            <w:vMerge w:val="continue"/>
            <w:tcBorders>
              <w:top w:val="nil"/>
              <w:right w:val="single" w:color="000000" w:sz="4" w:space="0"/>
            </w:tcBorders>
            <w:vAlign w:val="center"/>
          </w:tcPr>
          <w:p>
            <w:pPr>
              <w:spacing w:line="240" w:lineRule="auto"/>
              <w:ind w:firstLine="0" w:firstLineChars="0"/>
              <w:jc w:val="center"/>
              <w:rPr>
                <w:rFonts w:cs="Times New Roman"/>
                <w:sz w:val="21"/>
                <w:szCs w:val="21"/>
              </w:rPr>
            </w:pPr>
          </w:p>
        </w:tc>
        <w:tc>
          <w:tcPr>
            <w:tcW w:w="625"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地下水</w:t>
            </w:r>
          </w:p>
        </w:tc>
        <w:tc>
          <w:tcPr>
            <w:tcW w:w="3749" w:type="pct"/>
            <w:gridSpan w:val="4"/>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Ⅰ</w:t>
            </w:r>
          </w:p>
        </w:tc>
      </w:tr>
    </w:tbl>
    <w:p>
      <w:pPr>
        <w:pStyle w:val="7"/>
        <w:ind w:firstLine="562"/>
      </w:pPr>
      <w:r>
        <w:rPr>
          <w:rFonts w:hint="eastAsia"/>
        </w:rPr>
        <w:t>6.8.4、风险评价工作等级确定</w:t>
      </w:r>
    </w:p>
    <w:p>
      <w:pPr>
        <w:pStyle w:val="48"/>
        <w:widowControl w:val="0"/>
        <w:ind w:firstLine="436" w:firstLineChars="182"/>
        <w:rPr>
          <w:rFonts w:hint="default"/>
          <w:kern w:val="24"/>
          <w:szCs w:val="24"/>
        </w:rPr>
      </w:pPr>
      <w:r>
        <w:rPr>
          <w:rFonts w:hint="default"/>
          <w:kern w:val="24"/>
          <w:szCs w:val="24"/>
        </w:rPr>
        <w:t>根据HJ169-2018《建设项目环境风险评价技术导则》，风险评价等级评定见表</w:t>
      </w:r>
      <w:r>
        <w:rPr>
          <w:kern w:val="24"/>
          <w:szCs w:val="24"/>
        </w:rPr>
        <w:t>6.8-21。</w:t>
      </w:r>
    </w:p>
    <w:p>
      <w:pPr>
        <w:spacing w:line="0" w:lineRule="atLeast"/>
        <w:ind w:firstLine="482"/>
        <w:jc w:val="center"/>
        <w:rPr>
          <w:b/>
          <w:szCs w:val="21"/>
        </w:rPr>
      </w:pPr>
      <w:r>
        <w:rPr>
          <w:b/>
          <w:kern w:val="24"/>
          <w:szCs w:val="21"/>
        </w:rPr>
        <w:t>表</w:t>
      </w:r>
      <w:r>
        <w:rPr>
          <w:rFonts w:hint="eastAsia"/>
          <w:b/>
          <w:kern w:val="24"/>
          <w:szCs w:val="21"/>
        </w:rPr>
        <w:t>6.8-</w:t>
      </w:r>
      <w:r>
        <w:rPr>
          <w:rFonts w:hint="eastAsia"/>
          <w:b/>
          <w:kern w:val="24"/>
          <w:szCs w:val="21"/>
          <w:lang w:val="en-US" w:eastAsia="zh-CN"/>
        </w:rPr>
        <w:t>14</w:t>
      </w:r>
      <w:r>
        <w:rPr>
          <w:rFonts w:hint="eastAsia"/>
          <w:b/>
          <w:kern w:val="24"/>
          <w:szCs w:val="21"/>
        </w:rPr>
        <w:t xml:space="preserve">  </w:t>
      </w:r>
      <w:r>
        <w:rPr>
          <w:b/>
          <w:kern w:val="24"/>
          <w:szCs w:val="21"/>
        </w:rPr>
        <w:t>环境风险</w:t>
      </w:r>
      <w:r>
        <w:rPr>
          <w:b/>
          <w:szCs w:val="21"/>
        </w:rPr>
        <w:t>评价工作级别确定</w:t>
      </w:r>
    </w:p>
    <w:tbl>
      <w:tblPr>
        <w:tblStyle w:val="28"/>
        <w:tblW w:w="500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465"/>
        <w:gridCol w:w="1705"/>
        <w:gridCol w:w="1765"/>
        <w:gridCol w:w="2434"/>
        <w:gridCol w:w="1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 w:hRule="atLeast"/>
          <w:jc w:val="center"/>
        </w:trPr>
        <w:tc>
          <w:tcPr>
            <w:tcW w:w="806" w:type="pct"/>
            <w:vAlign w:val="center"/>
          </w:tcPr>
          <w:p>
            <w:pPr>
              <w:snapToGrid w:val="0"/>
              <w:spacing w:line="240" w:lineRule="auto"/>
              <w:ind w:firstLine="0" w:firstLineChars="0"/>
              <w:jc w:val="center"/>
              <w:rPr>
                <w:kern w:val="0"/>
                <w:sz w:val="21"/>
                <w:szCs w:val="21"/>
              </w:rPr>
            </w:pPr>
            <w:r>
              <w:rPr>
                <w:kern w:val="0"/>
                <w:sz w:val="21"/>
                <w:szCs w:val="21"/>
              </w:rPr>
              <w:t>环境风险潜势</w:t>
            </w:r>
          </w:p>
        </w:tc>
        <w:tc>
          <w:tcPr>
            <w:tcW w:w="938" w:type="pct"/>
            <w:vAlign w:val="center"/>
          </w:tcPr>
          <w:p>
            <w:pPr>
              <w:snapToGrid w:val="0"/>
              <w:spacing w:line="240" w:lineRule="auto"/>
              <w:ind w:firstLine="0" w:firstLineChars="0"/>
              <w:jc w:val="center"/>
              <w:rPr>
                <w:kern w:val="0"/>
                <w:sz w:val="21"/>
                <w:szCs w:val="21"/>
              </w:rPr>
            </w:pPr>
            <w:r>
              <w:rPr>
                <w:kern w:val="0"/>
                <w:sz w:val="21"/>
                <w:szCs w:val="21"/>
              </w:rPr>
              <w:fldChar w:fldCharType="begin"/>
            </w:r>
            <w:r>
              <w:rPr>
                <w:kern w:val="0"/>
                <w:sz w:val="21"/>
                <w:szCs w:val="21"/>
              </w:rPr>
              <w:instrText xml:space="preserve"> = 4 \* ROMAN </w:instrText>
            </w:r>
            <w:r>
              <w:rPr>
                <w:kern w:val="0"/>
                <w:sz w:val="21"/>
                <w:szCs w:val="21"/>
              </w:rPr>
              <w:fldChar w:fldCharType="separate"/>
            </w:r>
            <w:r>
              <w:rPr>
                <w:kern w:val="0"/>
                <w:sz w:val="21"/>
                <w:szCs w:val="21"/>
              </w:rPr>
              <w:t>IV</w:t>
            </w:r>
            <w:r>
              <w:rPr>
                <w:kern w:val="0"/>
                <w:sz w:val="21"/>
                <w:szCs w:val="21"/>
              </w:rPr>
              <w:fldChar w:fldCharType="end"/>
            </w:r>
            <w:r>
              <w:rPr>
                <w:kern w:val="0"/>
                <w:sz w:val="21"/>
                <w:szCs w:val="21"/>
              </w:rPr>
              <w:t>、</w:t>
            </w:r>
            <w:r>
              <w:rPr>
                <w:kern w:val="0"/>
                <w:sz w:val="21"/>
                <w:szCs w:val="21"/>
              </w:rPr>
              <w:fldChar w:fldCharType="begin"/>
            </w:r>
            <w:r>
              <w:rPr>
                <w:kern w:val="0"/>
                <w:sz w:val="21"/>
                <w:szCs w:val="21"/>
              </w:rPr>
              <w:instrText xml:space="preserve"> = 4 \* ROMAN </w:instrText>
            </w:r>
            <w:r>
              <w:rPr>
                <w:kern w:val="0"/>
                <w:sz w:val="21"/>
                <w:szCs w:val="21"/>
              </w:rPr>
              <w:fldChar w:fldCharType="separate"/>
            </w:r>
            <w:r>
              <w:rPr>
                <w:kern w:val="0"/>
                <w:sz w:val="21"/>
                <w:szCs w:val="21"/>
              </w:rPr>
              <w:t>IV</w:t>
            </w:r>
            <w:r>
              <w:rPr>
                <w:kern w:val="0"/>
                <w:sz w:val="21"/>
                <w:szCs w:val="21"/>
              </w:rPr>
              <w:fldChar w:fldCharType="end"/>
            </w:r>
            <w:r>
              <w:rPr>
                <w:kern w:val="0"/>
                <w:sz w:val="21"/>
                <w:szCs w:val="21"/>
                <w:vertAlign w:val="superscript"/>
              </w:rPr>
              <w:t>+</w:t>
            </w:r>
          </w:p>
        </w:tc>
        <w:tc>
          <w:tcPr>
            <w:tcW w:w="971" w:type="pct"/>
            <w:vAlign w:val="center"/>
          </w:tcPr>
          <w:p>
            <w:pPr>
              <w:snapToGrid w:val="0"/>
              <w:spacing w:line="240" w:lineRule="auto"/>
              <w:ind w:firstLine="0" w:firstLineChars="0"/>
              <w:jc w:val="center"/>
              <w:rPr>
                <w:spacing w:val="-10"/>
                <w:kern w:val="0"/>
                <w:sz w:val="21"/>
                <w:szCs w:val="21"/>
              </w:rPr>
            </w:pPr>
            <w:r>
              <w:rPr>
                <w:spacing w:val="-10"/>
                <w:kern w:val="0"/>
                <w:sz w:val="21"/>
                <w:szCs w:val="21"/>
              </w:rPr>
              <w:fldChar w:fldCharType="begin"/>
            </w:r>
            <w:r>
              <w:rPr>
                <w:spacing w:val="-10"/>
                <w:kern w:val="0"/>
                <w:sz w:val="21"/>
                <w:szCs w:val="21"/>
              </w:rPr>
              <w:instrText xml:space="preserve"> = 3 \* ROMAN </w:instrText>
            </w:r>
            <w:r>
              <w:rPr>
                <w:spacing w:val="-10"/>
                <w:kern w:val="0"/>
                <w:sz w:val="21"/>
                <w:szCs w:val="21"/>
              </w:rPr>
              <w:fldChar w:fldCharType="separate"/>
            </w:r>
            <w:r>
              <w:rPr>
                <w:spacing w:val="-10"/>
                <w:kern w:val="0"/>
                <w:sz w:val="21"/>
                <w:szCs w:val="21"/>
              </w:rPr>
              <w:t>III</w:t>
            </w:r>
            <w:r>
              <w:rPr>
                <w:spacing w:val="-10"/>
                <w:kern w:val="0"/>
                <w:sz w:val="21"/>
                <w:szCs w:val="21"/>
              </w:rPr>
              <w:fldChar w:fldCharType="end"/>
            </w:r>
          </w:p>
        </w:tc>
        <w:tc>
          <w:tcPr>
            <w:tcW w:w="1339" w:type="pct"/>
            <w:vAlign w:val="center"/>
          </w:tcPr>
          <w:p>
            <w:pPr>
              <w:snapToGrid w:val="0"/>
              <w:spacing w:line="240" w:lineRule="auto"/>
              <w:ind w:firstLine="0" w:firstLineChars="0"/>
              <w:jc w:val="center"/>
              <w:rPr>
                <w:kern w:val="0"/>
                <w:sz w:val="21"/>
                <w:szCs w:val="21"/>
              </w:rPr>
            </w:pPr>
            <w:r>
              <w:rPr>
                <w:kern w:val="0"/>
                <w:sz w:val="21"/>
                <w:szCs w:val="21"/>
              </w:rPr>
              <w:fldChar w:fldCharType="begin"/>
            </w:r>
            <w:r>
              <w:rPr>
                <w:kern w:val="0"/>
                <w:sz w:val="21"/>
                <w:szCs w:val="21"/>
              </w:rPr>
              <w:instrText xml:space="preserve"> = 2 \* ROMAN </w:instrText>
            </w:r>
            <w:r>
              <w:rPr>
                <w:kern w:val="0"/>
                <w:sz w:val="21"/>
                <w:szCs w:val="21"/>
              </w:rPr>
              <w:fldChar w:fldCharType="separate"/>
            </w:r>
            <w:r>
              <w:rPr>
                <w:kern w:val="0"/>
                <w:sz w:val="21"/>
                <w:szCs w:val="21"/>
              </w:rPr>
              <w:t>II</w:t>
            </w:r>
            <w:r>
              <w:rPr>
                <w:kern w:val="0"/>
                <w:sz w:val="21"/>
                <w:szCs w:val="21"/>
              </w:rPr>
              <w:fldChar w:fldCharType="end"/>
            </w:r>
          </w:p>
        </w:tc>
        <w:tc>
          <w:tcPr>
            <w:tcW w:w="943" w:type="pct"/>
            <w:vAlign w:val="center"/>
          </w:tcPr>
          <w:p>
            <w:pPr>
              <w:snapToGrid w:val="0"/>
              <w:spacing w:line="240" w:lineRule="auto"/>
              <w:ind w:firstLine="0" w:firstLineChars="0"/>
              <w:jc w:val="center"/>
              <w:rPr>
                <w:kern w:val="0"/>
                <w:sz w:val="21"/>
                <w:szCs w:val="21"/>
              </w:rPr>
            </w:pPr>
            <w:r>
              <w:rPr>
                <w:kern w:val="0"/>
                <w:sz w:val="21"/>
                <w:szCs w:val="21"/>
              </w:rPr>
              <w:fldChar w:fldCharType="begin"/>
            </w:r>
            <w:r>
              <w:rPr>
                <w:kern w:val="0"/>
                <w:sz w:val="21"/>
                <w:szCs w:val="21"/>
              </w:rPr>
              <w:instrText xml:space="preserve"> = 1 \* ROMAN </w:instrText>
            </w:r>
            <w:r>
              <w:rPr>
                <w:kern w:val="0"/>
                <w:sz w:val="21"/>
                <w:szCs w:val="21"/>
              </w:rPr>
              <w:fldChar w:fldCharType="separate"/>
            </w:r>
            <w:r>
              <w:rPr>
                <w:kern w:val="0"/>
                <w:sz w:val="21"/>
                <w:szCs w:val="21"/>
              </w:rPr>
              <w:t>I</w:t>
            </w:r>
            <w:r>
              <w:rPr>
                <w:kern w:val="0"/>
                <w:sz w:val="21"/>
                <w:szCs w:val="21"/>
              </w:rPr>
              <w:fldChar w:fldCharType="end"/>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 w:hRule="atLeast"/>
          <w:jc w:val="center"/>
        </w:trPr>
        <w:tc>
          <w:tcPr>
            <w:tcW w:w="806" w:type="pct"/>
            <w:vAlign w:val="center"/>
          </w:tcPr>
          <w:p>
            <w:pPr>
              <w:snapToGrid w:val="0"/>
              <w:spacing w:line="240" w:lineRule="auto"/>
              <w:ind w:firstLine="0" w:firstLineChars="0"/>
              <w:jc w:val="center"/>
              <w:rPr>
                <w:kern w:val="0"/>
                <w:sz w:val="21"/>
                <w:szCs w:val="21"/>
              </w:rPr>
            </w:pPr>
            <w:r>
              <w:rPr>
                <w:kern w:val="0"/>
                <w:sz w:val="21"/>
                <w:szCs w:val="21"/>
              </w:rPr>
              <w:t>评价工作等级</w:t>
            </w:r>
          </w:p>
        </w:tc>
        <w:tc>
          <w:tcPr>
            <w:tcW w:w="938" w:type="pct"/>
            <w:vAlign w:val="center"/>
          </w:tcPr>
          <w:p>
            <w:pPr>
              <w:snapToGrid w:val="0"/>
              <w:spacing w:line="240" w:lineRule="auto"/>
              <w:ind w:firstLine="0" w:firstLineChars="0"/>
              <w:jc w:val="center"/>
              <w:rPr>
                <w:kern w:val="0"/>
                <w:sz w:val="21"/>
                <w:szCs w:val="21"/>
              </w:rPr>
            </w:pPr>
            <w:r>
              <w:rPr>
                <w:kern w:val="0"/>
                <w:sz w:val="21"/>
                <w:szCs w:val="21"/>
              </w:rPr>
              <w:t>一</w:t>
            </w:r>
          </w:p>
        </w:tc>
        <w:tc>
          <w:tcPr>
            <w:tcW w:w="971" w:type="pct"/>
            <w:vAlign w:val="center"/>
          </w:tcPr>
          <w:p>
            <w:pPr>
              <w:snapToGrid w:val="0"/>
              <w:spacing w:line="240" w:lineRule="auto"/>
              <w:ind w:firstLine="0" w:firstLineChars="0"/>
              <w:jc w:val="center"/>
              <w:rPr>
                <w:kern w:val="0"/>
                <w:sz w:val="21"/>
                <w:szCs w:val="21"/>
              </w:rPr>
            </w:pPr>
            <w:r>
              <w:rPr>
                <w:kern w:val="0"/>
                <w:sz w:val="21"/>
                <w:szCs w:val="21"/>
              </w:rPr>
              <w:t>二</w:t>
            </w:r>
          </w:p>
        </w:tc>
        <w:tc>
          <w:tcPr>
            <w:tcW w:w="1339" w:type="pct"/>
            <w:vAlign w:val="center"/>
          </w:tcPr>
          <w:p>
            <w:pPr>
              <w:snapToGrid w:val="0"/>
              <w:spacing w:line="240" w:lineRule="auto"/>
              <w:ind w:firstLine="0" w:firstLineChars="0"/>
              <w:jc w:val="center"/>
              <w:rPr>
                <w:kern w:val="0"/>
                <w:sz w:val="21"/>
                <w:szCs w:val="21"/>
              </w:rPr>
            </w:pPr>
            <w:r>
              <w:rPr>
                <w:kern w:val="0"/>
                <w:sz w:val="21"/>
                <w:szCs w:val="21"/>
              </w:rPr>
              <w:t>三</w:t>
            </w:r>
          </w:p>
        </w:tc>
        <w:tc>
          <w:tcPr>
            <w:tcW w:w="943" w:type="pct"/>
            <w:vAlign w:val="center"/>
          </w:tcPr>
          <w:p>
            <w:pPr>
              <w:snapToGrid w:val="0"/>
              <w:spacing w:line="240" w:lineRule="auto"/>
              <w:ind w:firstLine="0" w:firstLineChars="0"/>
              <w:jc w:val="center"/>
              <w:rPr>
                <w:kern w:val="0"/>
                <w:sz w:val="21"/>
                <w:szCs w:val="21"/>
              </w:rPr>
            </w:pPr>
            <w:r>
              <w:rPr>
                <w:kern w:val="0"/>
                <w:sz w:val="21"/>
                <w:szCs w:val="21"/>
              </w:rPr>
              <w:t>简单分析</w:t>
            </w:r>
            <w:r>
              <w:rPr>
                <w:kern w:val="0"/>
                <w:sz w:val="21"/>
                <w:szCs w:val="21"/>
                <w:vertAlign w:val="superscript"/>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3" w:hRule="atLeast"/>
          <w:jc w:val="center"/>
        </w:trPr>
        <w:tc>
          <w:tcPr>
            <w:tcW w:w="806" w:type="pct"/>
            <w:vMerge w:val="restart"/>
            <w:vAlign w:val="center"/>
          </w:tcPr>
          <w:p>
            <w:pPr>
              <w:snapToGrid w:val="0"/>
              <w:spacing w:line="240" w:lineRule="auto"/>
              <w:ind w:firstLine="0" w:firstLineChars="0"/>
              <w:jc w:val="center"/>
              <w:rPr>
                <w:kern w:val="0"/>
                <w:sz w:val="21"/>
                <w:szCs w:val="21"/>
              </w:rPr>
            </w:pPr>
            <w:r>
              <w:rPr>
                <w:kern w:val="0"/>
                <w:sz w:val="21"/>
                <w:szCs w:val="21"/>
              </w:rPr>
              <w:t>本项目</w:t>
            </w:r>
          </w:p>
        </w:tc>
        <w:tc>
          <w:tcPr>
            <w:tcW w:w="3472" w:type="dxa"/>
            <w:gridSpan w:val="2"/>
          </w:tcPr>
          <w:p>
            <w:pPr>
              <w:snapToGrid w:val="0"/>
              <w:spacing w:line="240" w:lineRule="auto"/>
              <w:ind w:firstLine="0" w:firstLineChars="0"/>
              <w:jc w:val="center"/>
              <w:rPr>
                <w:kern w:val="0"/>
                <w:sz w:val="21"/>
                <w:szCs w:val="21"/>
              </w:rPr>
            </w:pPr>
            <w:r>
              <w:rPr>
                <w:kern w:val="0"/>
                <w:sz w:val="21"/>
                <w:szCs w:val="21"/>
              </w:rPr>
              <w:t>大气</w:t>
            </w:r>
          </w:p>
        </w:tc>
        <w:tc>
          <w:tcPr>
            <w:tcW w:w="4152" w:type="dxa"/>
            <w:gridSpan w:val="2"/>
          </w:tcPr>
          <w:p>
            <w:pPr>
              <w:snapToGrid w:val="0"/>
              <w:spacing w:line="240" w:lineRule="auto"/>
              <w:ind w:firstLine="0" w:firstLineChars="0"/>
              <w:jc w:val="center"/>
              <w:rPr>
                <w:kern w:val="0"/>
                <w:sz w:val="21"/>
                <w:szCs w:val="21"/>
              </w:rPr>
            </w:pPr>
            <w:r>
              <w:rPr>
                <w:kern w:val="0"/>
                <w:sz w:val="21"/>
                <w:szCs w:val="21"/>
              </w:rPr>
              <w:t>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8" w:hRule="atLeast"/>
          <w:jc w:val="center"/>
        </w:trPr>
        <w:tc>
          <w:tcPr>
            <w:tcW w:w="806" w:type="pct"/>
            <w:vMerge w:val="continue"/>
            <w:vAlign w:val="center"/>
          </w:tcPr>
          <w:p>
            <w:pPr>
              <w:snapToGrid w:val="0"/>
              <w:spacing w:line="240" w:lineRule="auto"/>
              <w:ind w:firstLine="0" w:firstLineChars="0"/>
              <w:jc w:val="center"/>
              <w:rPr>
                <w:kern w:val="0"/>
                <w:sz w:val="21"/>
                <w:szCs w:val="21"/>
              </w:rPr>
            </w:pPr>
          </w:p>
        </w:tc>
        <w:tc>
          <w:tcPr>
            <w:tcW w:w="3472" w:type="dxa"/>
            <w:gridSpan w:val="2"/>
          </w:tcPr>
          <w:p>
            <w:pPr>
              <w:snapToGrid w:val="0"/>
              <w:spacing w:line="240" w:lineRule="auto"/>
              <w:ind w:firstLine="0" w:firstLineChars="0"/>
              <w:jc w:val="center"/>
              <w:rPr>
                <w:kern w:val="0"/>
                <w:sz w:val="21"/>
                <w:szCs w:val="21"/>
              </w:rPr>
            </w:pPr>
            <w:r>
              <w:rPr>
                <w:kern w:val="0"/>
                <w:sz w:val="21"/>
                <w:szCs w:val="21"/>
              </w:rPr>
              <w:t>地表水</w:t>
            </w:r>
          </w:p>
        </w:tc>
        <w:tc>
          <w:tcPr>
            <w:tcW w:w="4152" w:type="dxa"/>
            <w:gridSpan w:val="2"/>
          </w:tcPr>
          <w:p>
            <w:pPr>
              <w:snapToGrid w:val="0"/>
              <w:spacing w:line="240" w:lineRule="auto"/>
              <w:ind w:firstLine="0" w:firstLineChars="0"/>
              <w:jc w:val="center"/>
              <w:rPr>
                <w:kern w:val="0"/>
                <w:sz w:val="21"/>
                <w:szCs w:val="21"/>
              </w:rPr>
            </w:pPr>
            <w:r>
              <w:rPr>
                <w:kern w:val="0"/>
                <w:sz w:val="21"/>
                <w:szCs w:val="21"/>
              </w:rPr>
              <w:t>简单分析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3" w:hRule="atLeast"/>
          <w:jc w:val="center"/>
        </w:trPr>
        <w:tc>
          <w:tcPr>
            <w:tcW w:w="806" w:type="pct"/>
            <w:vMerge w:val="continue"/>
            <w:vAlign w:val="center"/>
          </w:tcPr>
          <w:p>
            <w:pPr>
              <w:snapToGrid w:val="0"/>
              <w:spacing w:line="240" w:lineRule="auto"/>
              <w:ind w:firstLine="0" w:firstLineChars="0"/>
              <w:jc w:val="center"/>
              <w:rPr>
                <w:kern w:val="0"/>
                <w:sz w:val="21"/>
                <w:szCs w:val="21"/>
              </w:rPr>
            </w:pPr>
          </w:p>
        </w:tc>
        <w:tc>
          <w:tcPr>
            <w:tcW w:w="3472" w:type="dxa"/>
            <w:gridSpan w:val="2"/>
          </w:tcPr>
          <w:p>
            <w:pPr>
              <w:snapToGrid w:val="0"/>
              <w:spacing w:line="240" w:lineRule="auto"/>
              <w:ind w:firstLine="0" w:firstLineChars="0"/>
              <w:jc w:val="center"/>
              <w:rPr>
                <w:kern w:val="0"/>
                <w:sz w:val="21"/>
                <w:szCs w:val="21"/>
              </w:rPr>
            </w:pPr>
            <w:r>
              <w:rPr>
                <w:kern w:val="0"/>
                <w:sz w:val="21"/>
                <w:szCs w:val="21"/>
              </w:rPr>
              <w:t>地下水</w:t>
            </w:r>
          </w:p>
        </w:tc>
        <w:tc>
          <w:tcPr>
            <w:tcW w:w="4152" w:type="dxa"/>
            <w:gridSpan w:val="2"/>
          </w:tcPr>
          <w:p>
            <w:pPr>
              <w:snapToGrid w:val="0"/>
              <w:spacing w:line="240" w:lineRule="auto"/>
              <w:ind w:firstLine="0" w:firstLineChars="0"/>
              <w:jc w:val="center"/>
              <w:rPr>
                <w:kern w:val="0"/>
                <w:sz w:val="21"/>
                <w:szCs w:val="21"/>
              </w:rPr>
            </w:pPr>
            <w:r>
              <w:rPr>
                <w:kern w:val="0"/>
                <w:sz w:val="21"/>
                <w:szCs w:val="21"/>
              </w:rPr>
              <w:t>简单分析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 w:hRule="atLeast"/>
          <w:jc w:val="center"/>
        </w:trPr>
        <w:tc>
          <w:tcPr>
            <w:tcW w:w="5000" w:type="pct"/>
            <w:gridSpan w:val="5"/>
            <w:vAlign w:val="center"/>
          </w:tcPr>
          <w:p>
            <w:pPr>
              <w:snapToGrid w:val="0"/>
              <w:spacing w:line="240" w:lineRule="auto"/>
              <w:ind w:firstLine="0" w:firstLineChars="0"/>
              <w:jc w:val="center"/>
              <w:rPr>
                <w:kern w:val="0"/>
                <w:sz w:val="21"/>
                <w:szCs w:val="21"/>
              </w:rPr>
            </w:pPr>
            <w:r>
              <w:rPr>
                <w:kern w:val="0"/>
                <w:sz w:val="21"/>
                <w:szCs w:val="21"/>
                <w:vertAlign w:val="superscript"/>
              </w:rPr>
              <w:t>a</w:t>
            </w:r>
            <w:r>
              <w:rPr>
                <w:kern w:val="0"/>
                <w:sz w:val="21"/>
                <w:szCs w:val="21"/>
              </w:rPr>
              <w:t>是相对于详细评价工作内容而言，在描述危险物质、环境影响途径、环境危害后果、风险防范措施等方面给出定性的说明。见附录A。</w:t>
            </w:r>
          </w:p>
        </w:tc>
      </w:tr>
    </w:tbl>
    <w:p>
      <w:pPr>
        <w:pStyle w:val="7"/>
        <w:ind w:firstLine="562"/>
      </w:pPr>
      <w:r>
        <w:rPr>
          <w:rFonts w:hint="eastAsia"/>
        </w:rPr>
        <w:t>6.8.5、风险识别</w:t>
      </w:r>
    </w:p>
    <w:p>
      <w:pPr>
        <w:widowControl/>
        <w:ind w:firstLine="562"/>
        <w:jc w:val="left"/>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8.5.1</w:t>
      </w:r>
      <w:r>
        <w:rPr>
          <w:rFonts w:cs="Times New Roman"/>
          <w:b/>
          <w:bCs/>
          <w:color w:val="000000"/>
          <w:kern w:val="0"/>
          <w:sz w:val="28"/>
          <w:szCs w:val="28"/>
          <w:lang w:bidi="ar"/>
        </w:rPr>
        <w:t xml:space="preserve"> 物质风险识别</w:t>
      </w:r>
    </w:p>
    <w:p>
      <w:pPr>
        <w:pStyle w:val="48"/>
        <w:widowControl w:val="0"/>
        <w:ind w:firstLine="436" w:firstLineChars="182"/>
        <w:rPr>
          <w:rFonts w:hint="default"/>
          <w:kern w:val="24"/>
          <w:szCs w:val="24"/>
        </w:rPr>
      </w:pPr>
      <w:r>
        <w:rPr>
          <w:rFonts w:hint="default"/>
          <w:kern w:val="24"/>
          <w:szCs w:val="24"/>
        </w:rPr>
        <w:t>项目运行期涉及的环境风险物质识别情况见表6.</w:t>
      </w:r>
      <w:r>
        <w:rPr>
          <w:kern w:val="24"/>
          <w:szCs w:val="24"/>
        </w:rPr>
        <w:t>8-22</w:t>
      </w:r>
      <w:r>
        <w:rPr>
          <w:rFonts w:hint="default"/>
          <w:kern w:val="24"/>
          <w:szCs w:val="24"/>
        </w:rPr>
        <w:t>。</w:t>
      </w:r>
    </w:p>
    <w:p>
      <w:pPr>
        <w:widowControl/>
        <w:ind w:firstLine="0" w:firstLineChars="0"/>
        <w:jc w:val="center"/>
        <w:rPr>
          <w:rFonts w:cs="Times New Roman"/>
          <w:b/>
          <w:bCs/>
        </w:rPr>
      </w:pPr>
      <w:r>
        <w:rPr>
          <w:rFonts w:cs="Times New Roman"/>
          <w:b/>
          <w:bCs/>
        </w:rPr>
        <w:t>6.8-</w:t>
      </w:r>
      <w:r>
        <w:rPr>
          <w:rFonts w:hint="eastAsia" w:cs="Times New Roman"/>
          <w:b/>
          <w:bCs/>
          <w:lang w:val="en-US" w:eastAsia="zh-CN"/>
        </w:rPr>
        <w:t>15</w:t>
      </w:r>
      <w:r>
        <w:rPr>
          <w:rFonts w:cs="Times New Roman"/>
          <w:b/>
          <w:bCs/>
        </w:rPr>
        <w:t xml:space="preserve">  </w:t>
      </w:r>
      <w:r>
        <w:rPr>
          <w:rFonts w:cs="Times New Roman"/>
          <w:b/>
          <w:bCs/>
          <w:color w:val="000000"/>
          <w:kern w:val="0"/>
          <w:lang w:bidi="ar"/>
        </w:rPr>
        <w:t>项目主要风险物质危险性识别表</w:t>
      </w:r>
    </w:p>
    <w:tbl>
      <w:tblPr>
        <w:tblStyle w:val="51"/>
        <w:tblW w:w="5013" w:type="pct"/>
        <w:jc w:val="center"/>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Layout w:type="autofit"/>
        <w:tblCellMar>
          <w:top w:w="0" w:type="dxa"/>
          <w:left w:w="0" w:type="dxa"/>
          <w:bottom w:w="0" w:type="dxa"/>
          <w:right w:w="0" w:type="dxa"/>
        </w:tblCellMar>
      </w:tblPr>
      <w:tblGrid>
        <w:gridCol w:w="596"/>
        <w:gridCol w:w="1870"/>
        <w:gridCol w:w="1173"/>
        <w:gridCol w:w="1365"/>
        <w:gridCol w:w="1367"/>
        <w:gridCol w:w="1367"/>
        <w:gridCol w:w="1368"/>
      </w:tblGrid>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rPr>
            </w:pPr>
            <w:r>
              <w:rPr>
                <w:rFonts w:cs="Times New Roman"/>
                <w:sz w:val="21"/>
                <w:szCs w:val="21"/>
              </w:rPr>
              <w:t>序号</w:t>
            </w:r>
          </w:p>
        </w:tc>
        <w:tc>
          <w:tcPr>
            <w:tcW w:w="1026" w:type="pct"/>
            <w:vAlign w:val="center"/>
          </w:tcPr>
          <w:p>
            <w:pPr>
              <w:spacing w:line="240" w:lineRule="auto"/>
              <w:ind w:firstLine="0" w:firstLineChars="0"/>
              <w:jc w:val="center"/>
              <w:rPr>
                <w:rFonts w:cs="Times New Roman"/>
                <w:sz w:val="21"/>
                <w:szCs w:val="21"/>
              </w:rPr>
            </w:pPr>
            <w:r>
              <w:rPr>
                <w:rFonts w:cs="Times New Roman"/>
                <w:sz w:val="21"/>
                <w:szCs w:val="21"/>
              </w:rPr>
              <w:t>物质名称</w:t>
            </w:r>
          </w:p>
        </w:tc>
        <w:tc>
          <w:tcPr>
            <w:tcW w:w="644" w:type="pct"/>
            <w:vAlign w:val="center"/>
          </w:tcPr>
          <w:p>
            <w:pPr>
              <w:spacing w:line="240" w:lineRule="auto"/>
              <w:ind w:firstLine="0" w:firstLineChars="0"/>
              <w:jc w:val="center"/>
              <w:rPr>
                <w:rFonts w:cs="Times New Roman"/>
                <w:sz w:val="21"/>
                <w:szCs w:val="21"/>
              </w:rPr>
            </w:pPr>
            <w:r>
              <w:rPr>
                <w:rFonts w:cs="Times New Roman"/>
                <w:sz w:val="21"/>
                <w:szCs w:val="21"/>
              </w:rPr>
              <w:t>常态</w:t>
            </w:r>
          </w:p>
        </w:tc>
        <w:tc>
          <w:tcPr>
            <w:tcW w:w="749" w:type="pct"/>
            <w:vAlign w:val="center"/>
          </w:tcPr>
          <w:p>
            <w:pPr>
              <w:spacing w:line="240" w:lineRule="auto"/>
              <w:ind w:firstLine="0" w:firstLineChars="0"/>
              <w:jc w:val="center"/>
              <w:rPr>
                <w:rFonts w:cs="Times New Roman"/>
                <w:sz w:val="21"/>
                <w:szCs w:val="21"/>
              </w:rPr>
            </w:pPr>
            <w:r>
              <w:rPr>
                <w:rFonts w:cs="Times New Roman"/>
                <w:sz w:val="21"/>
                <w:szCs w:val="21"/>
              </w:rPr>
              <w:t>储存位置</w:t>
            </w:r>
          </w:p>
        </w:tc>
        <w:tc>
          <w:tcPr>
            <w:tcW w:w="750" w:type="pct"/>
            <w:vAlign w:val="center"/>
          </w:tcPr>
          <w:p>
            <w:pPr>
              <w:spacing w:line="240" w:lineRule="auto"/>
              <w:ind w:firstLine="0" w:firstLineChars="0"/>
              <w:jc w:val="center"/>
              <w:rPr>
                <w:rFonts w:cs="Times New Roman"/>
                <w:sz w:val="21"/>
                <w:szCs w:val="21"/>
              </w:rPr>
            </w:pPr>
            <w:r>
              <w:rPr>
                <w:rFonts w:cs="Times New Roman"/>
                <w:sz w:val="21"/>
                <w:szCs w:val="21"/>
              </w:rPr>
              <w:t>毒性毒理</w:t>
            </w:r>
          </w:p>
        </w:tc>
        <w:tc>
          <w:tcPr>
            <w:tcW w:w="750" w:type="pct"/>
            <w:vAlign w:val="center"/>
          </w:tcPr>
          <w:p>
            <w:pPr>
              <w:spacing w:line="240" w:lineRule="auto"/>
              <w:ind w:firstLine="0" w:firstLineChars="0"/>
              <w:jc w:val="center"/>
              <w:rPr>
                <w:rFonts w:cs="Times New Roman"/>
                <w:sz w:val="21"/>
                <w:szCs w:val="21"/>
              </w:rPr>
            </w:pPr>
            <w:r>
              <w:rPr>
                <w:rFonts w:cs="Times New Roman"/>
                <w:sz w:val="21"/>
                <w:szCs w:val="21"/>
              </w:rPr>
              <w:t>危险特性</w:t>
            </w:r>
          </w:p>
        </w:tc>
        <w:tc>
          <w:tcPr>
            <w:tcW w:w="751" w:type="pct"/>
            <w:vAlign w:val="center"/>
          </w:tcPr>
          <w:p>
            <w:pPr>
              <w:spacing w:line="240" w:lineRule="auto"/>
              <w:ind w:firstLine="0" w:firstLineChars="0"/>
              <w:jc w:val="center"/>
              <w:rPr>
                <w:rFonts w:cs="Times New Roman"/>
                <w:sz w:val="21"/>
                <w:szCs w:val="21"/>
              </w:rPr>
            </w:pPr>
            <w:r>
              <w:rPr>
                <w:rFonts w:hint="eastAsia" w:cs="Times New Roman"/>
                <w:sz w:val="21"/>
                <w:szCs w:val="21"/>
              </w:rPr>
              <w:t>最大储存量</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1</w:t>
            </w:r>
          </w:p>
        </w:tc>
        <w:tc>
          <w:tcPr>
            <w:tcW w:w="1026" w:type="pct"/>
            <w:vAlign w:val="center"/>
          </w:tcPr>
          <w:p>
            <w:pPr>
              <w:spacing w:line="240" w:lineRule="auto"/>
              <w:ind w:firstLine="0" w:firstLineChars="0"/>
              <w:jc w:val="center"/>
              <w:rPr>
                <w:rFonts w:cs="Times New Roman"/>
                <w:sz w:val="21"/>
                <w:szCs w:val="21"/>
                <w:u w:val="single"/>
              </w:rPr>
            </w:pPr>
            <w:r>
              <w:rPr>
                <w:rFonts w:cs="Times New Roman"/>
                <w:kern w:val="21"/>
                <w:sz w:val="21"/>
                <w:szCs w:val="21"/>
                <w:u w:val="single"/>
              </w:rPr>
              <w:t>MDI50</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急性毒性</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可燃</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2.0</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2</w:t>
            </w:r>
          </w:p>
        </w:tc>
        <w:tc>
          <w:tcPr>
            <w:tcW w:w="1026" w:type="pct"/>
            <w:vAlign w:val="center"/>
          </w:tcPr>
          <w:p>
            <w:pPr>
              <w:spacing w:line="240" w:lineRule="auto"/>
              <w:ind w:firstLine="0" w:firstLineChars="0"/>
              <w:jc w:val="center"/>
              <w:rPr>
                <w:rFonts w:cs="Times New Roman"/>
                <w:sz w:val="21"/>
                <w:szCs w:val="21"/>
                <w:u w:val="single"/>
              </w:rPr>
            </w:pPr>
            <w:r>
              <w:rPr>
                <w:rFonts w:cs="Times New Roman"/>
                <w:kern w:val="21"/>
                <w:sz w:val="21"/>
                <w:szCs w:val="21"/>
                <w:u w:val="single"/>
              </w:rPr>
              <w:t>碳酸二甲酯</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低毒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1.5</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3</w:t>
            </w:r>
          </w:p>
        </w:tc>
        <w:tc>
          <w:tcPr>
            <w:tcW w:w="1026"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丙烯酸</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水生生物高毒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10</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90"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4</w:t>
            </w:r>
          </w:p>
        </w:tc>
        <w:tc>
          <w:tcPr>
            <w:tcW w:w="1026"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甲基丙烯酸甲酯</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丙类仓库</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低毒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3.5</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5</w:t>
            </w:r>
          </w:p>
        </w:tc>
        <w:tc>
          <w:tcPr>
            <w:tcW w:w="1026"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丙烯酸丁酯</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急性毒性</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3.5</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6</w:t>
            </w:r>
          </w:p>
        </w:tc>
        <w:tc>
          <w:tcPr>
            <w:tcW w:w="1026"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lang w:eastAsia="zh-CN"/>
              </w:rPr>
              <w:t>硫磺</w:t>
            </w:r>
          </w:p>
        </w:tc>
        <w:tc>
          <w:tcPr>
            <w:tcW w:w="644"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lang w:eastAsia="zh-CN"/>
              </w:rPr>
              <w:t>固态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rPr>
              <w:t>低毒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eastAsia="宋体" w:cs="Times New Roman"/>
                <w:sz w:val="21"/>
                <w:szCs w:val="21"/>
                <w:u w:val="single"/>
                <w:lang w:val="en-US" w:eastAsia="zh-CN"/>
              </w:rPr>
            </w:pPr>
            <w:r>
              <w:rPr>
                <w:rFonts w:hint="eastAsia" w:cs="Times New Roman"/>
                <w:sz w:val="21"/>
                <w:szCs w:val="21"/>
                <w:u w:val="single"/>
                <w:lang w:val="en-US" w:eastAsia="zh-CN"/>
              </w:rPr>
              <w:t>1.0</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7</w:t>
            </w:r>
          </w:p>
        </w:tc>
        <w:tc>
          <w:tcPr>
            <w:tcW w:w="1026" w:type="pct"/>
            <w:vAlign w:val="center"/>
          </w:tcPr>
          <w:p>
            <w:pPr>
              <w:spacing w:line="240" w:lineRule="auto"/>
              <w:ind w:firstLine="0" w:firstLineChars="0"/>
              <w:jc w:val="center"/>
              <w:rPr>
                <w:rFonts w:hint="eastAsia" w:eastAsia="宋体" w:cs="Times New Roman"/>
                <w:sz w:val="21"/>
                <w:szCs w:val="21"/>
                <w:u w:val="single"/>
                <w:lang w:eastAsia="zh-CN"/>
              </w:rPr>
            </w:pPr>
            <w:r>
              <w:rPr>
                <w:rFonts w:hint="eastAsia" w:cs="Times New Roman"/>
                <w:sz w:val="21"/>
                <w:szCs w:val="21"/>
                <w:u w:val="single"/>
                <w:lang w:eastAsia="zh-CN"/>
              </w:rPr>
              <w:t>矿物油</w:t>
            </w:r>
          </w:p>
        </w:tc>
        <w:tc>
          <w:tcPr>
            <w:tcW w:w="644"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lang w:eastAsia="zh-CN"/>
              </w:rPr>
              <w:t>储罐区</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低毒</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cs="Times New Roman"/>
                <w:sz w:val="21"/>
                <w:szCs w:val="21"/>
                <w:u w:val="single"/>
              </w:rPr>
            </w:pPr>
            <w:r>
              <w:rPr>
                <w:rFonts w:hint="default" w:ascii="Times New Roman" w:hAnsi="Times New Roman" w:cs="Times New Roman"/>
                <w:kern w:val="21"/>
                <w:sz w:val="21"/>
                <w:szCs w:val="21"/>
                <w:u w:val="single"/>
                <w:lang w:val="en-US" w:eastAsia="zh-CN"/>
              </w:rPr>
              <w:t>40</w:t>
            </w:r>
          </w:p>
        </w:tc>
      </w:tr>
      <w:tr>
        <w:tblPrEx>
          <w:tblBorders>
            <w:top w:val="single" w:color="auto" w:sz="4" w:space="0"/>
            <w:left w:val="single" w:color="auto" w:sz="4" w:space="0"/>
            <w:bottom w:val="single" w:color="auto" w:sz="4" w:space="0"/>
            <w:right w:val="single" w:color="auto" w:sz="4" w:space="0"/>
            <w:insideH w:val="single" w:color="000000" w:sz="6" w:space="0"/>
            <w:insideV w:val="single" w:color="000000" w:sz="6" w:space="0"/>
          </w:tblBorders>
          <w:tblCellMar>
            <w:top w:w="0" w:type="dxa"/>
            <w:left w:w="0" w:type="dxa"/>
            <w:bottom w:w="0" w:type="dxa"/>
            <w:right w:w="0" w:type="dxa"/>
          </w:tblCellMar>
        </w:tblPrEx>
        <w:trPr>
          <w:trHeight w:val="23" w:hRule="atLeast"/>
          <w:jc w:val="center"/>
        </w:trPr>
        <w:tc>
          <w:tcPr>
            <w:tcW w:w="327" w:type="pct"/>
            <w:vAlign w:val="center"/>
          </w:tcPr>
          <w:p>
            <w:pPr>
              <w:spacing w:line="240" w:lineRule="auto"/>
              <w:ind w:firstLine="0" w:firstLineChars="0"/>
              <w:jc w:val="center"/>
              <w:rPr>
                <w:rFonts w:hint="eastAsia" w:eastAsia="宋体" w:cs="Times New Roman"/>
                <w:sz w:val="21"/>
                <w:szCs w:val="21"/>
                <w:u w:val="single"/>
                <w:lang w:val="en-US" w:eastAsia="zh-CN"/>
              </w:rPr>
            </w:pPr>
            <w:r>
              <w:rPr>
                <w:rFonts w:hint="eastAsia" w:cs="Times New Roman"/>
                <w:sz w:val="21"/>
                <w:szCs w:val="21"/>
                <w:u w:val="single"/>
                <w:lang w:val="en-US" w:eastAsia="zh-CN"/>
              </w:rPr>
              <w:t>8</w:t>
            </w:r>
          </w:p>
        </w:tc>
        <w:tc>
          <w:tcPr>
            <w:tcW w:w="1026" w:type="pct"/>
            <w:vAlign w:val="center"/>
          </w:tcPr>
          <w:p>
            <w:pPr>
              <w:spacing w:line="240" w:lineRule="auto"/>
              <w:ind w:firstLine="0" w:firstLineChars="0"/>
              <w:jc w:val="center"/>
              <w:rPr>
                <w:rFonts w:hint="eastAsia" w:cs="Times New Roman"/>
                <w:sz w:val="21"/>
                <w:szCs w:val="21"/>
                <w:u w:val="single"/>
                <w:lang w:eastAsia="zh-CN"/>
              </w:rPr>
            </w:pPr>
            <w:r>
              <w:rPr>
                <w:rFonts w:hint="eastAsia" w:cs="Times New Roman"/>
                <w:sz w:val="21"/>
                <w:szCs w:val="21"/>
                <w:u w:val="single"/>
                <w:lang w:eastAsia="zh-CN"/>
              </w:rPr>
              <w:t>甲苯二异氰酸酯</w:t>
            </w:r>
          </w:p>
        </w:tc>
        <w:tc>
          <w:tcPr>
            <w:tcW w:w="644" w:type="pct"/>
            <w:vAlign w:val="center"/>
          </w:tcPr>
          <w:p>
            <w:pPr>
              <w:spacing w:line="240" w:lineRule="auto"/>
              <w:ind w:firstLine="0" w:firstLineChars="0"/>
              <w:jc w:val="center"/>
              <w:rPr>
                <w:rFonts w:hint="eastAsia" w:cs="Times New Roman"/>
                <w:sz w:val="21"/>
                <w:szCs w:val="21"/>
                <w:u w:val="single"/>
              </w:rPr>
            </w:pPr>
            <w:r>
              <w:rPr>
                <w:rFonts w:hint="eastAsia" w:cs="Times New Roman"/>
                <w:sz w:val="21"/>
                <w:szCs w:val="21"/>
                <w:u w:val="single"/>
              </w:rPr>
              <w:t>液态</w:t>
            </w:r>
          </w:p>
        </w:tc>
        <w:tc>
          <w:tcPr>
            <w:tcW w:w="749" w:type="pct"/>
            <w:vAlign w:val="center"/>
          </w:tcPr>
          <w:p>
            <w:pPr>
              <w:spacing w:line="240" w:lineRule="auto"/>
              <w:ind w:firstLine="0" w:firstLineChars="0"/>
              <w:jc w:val="center"/>
              <w:rPr>
                <w:rFonts w:hint="eastAsia" w:cs="Times New Roman"/>
                <w:sz w:val="21"/>
                <w:szCs w:val="21"/>
                <w:u w:val="single"/>
                <w:lang w:eastAsia="zh-CN"/>
              </w:rPr>
            </w:pPr>
            <w:r>
              <w:rPr>
                <w:rFonts w:hint="eastAsia" w:cs="Times New Roman"/>
                <w:sz w:val="21"/>
                <w:szCs w:val="21"/>
                <w:u w:val="single"/>
              </w:rPr>
              <w:t>化学品库</w:t>
            </w:r>
          </w:p>
        </w:tc>
        <w:tc>
          <w:tcPr>
            <w:tcW w:w="750" w:type="pct"/>
            <w:vAlign w:val="center"/>
          </w:tcPr>
          <w:p>
            <w:pPr>
              <w:spacing w:line="240" w:lineRule="auto"/>
              <w:ind w:firstLine="0" w:firstLineChars="0"/>
              <w:jc w:val="center"/>
              <w:rPr>
                <w:rFonts w:cs="Times New Roman"/>
                <w:sz w:val="21"/>
                <w:szCs w:val="21"/>
                <w:u w:val="single"/>
              </w:rPr>
            </w:pPr>
            <w:r>
              <w:rPr>
                <w:rFonts w:hint="eastAsia" w:cs="Times New Roman"/>
                <w:sz w:val="21"/>
                <w:szCs w:val="21"/>
                <w:u w:val="single"/>
              </w:rPr>
              <w:t>低毒</w:t>
            </w:r>
            <w:r>
              <w:rPr>
                <w:rFonts w:cs="Times New Roman"/>
                <w:sz w:val="21"/>
                <w:szCs w:val="21"/>
                <w:u w:val="single"/>
              </w:rPr>
              <w:t>毒性</w:t>
            </w:r>
          </w:p>
        </w:tc>
        <w:tc>
          <w:tcPr>
            <w:tcW w:w="750" w:type="pct"/>
            <w:vAlign w:val="center"/>
          </w:tcPr>
          <w:p>
            <w:pPr>
              <w:spacing w:line="240" w:lineRule="auto"/>
              <w:ind w:firstLine="0" w:firstLineChars="0"/>
              <w:jc w:val="center"/>
              <w:rPr>
                <w:rFonts w:cs="Times New Roman"/>
                <w:sz w:val="21"/>
                <w:szCs w:val="21"/>
                <w:u w:val="single"/>
              </w:rPr>
            </w:pPr>
            <w:r>
              <w:rPr>
                <w:rFonts w:cs="Times New Roman"/>
                <w:sz w:val="21"/>
                <w:szCs w:val="21"/>
                <w:u w:val="single"/>
              </w:rPr>
              <w:t>易燃物质</w:t>
            </w:r>
          </w:p>
        </w:tc>
        <w:tc>
          <w:tcPr>
            <w:tcW w:w="751" w:type="pct"/>
            <w:vAlign w:val="center"/>
          </w:tcPr>
          <w:p>
            <w:pPr>
              <w:spacing w:line="240" w:lineRule="auto"/>
              <w:ind w:firstLine="0" w:firstLineChars="0"/>
              <w:jc w:val="center"/>
              <w:rPr>
                <w:rFonts w:hint="default" w:ascii="Times New Roman" w:hAnsi="Times New Roman" w:cs="Times New Roman"/>
                <w:kern w:val="21"/>
                <w:sz w:val="21"/>
                <w:szCs w:val="21"/>
                <w:u w:val="single"/>
                <w:lang w:val="en-US" w:eastAsia="zh-CN"/>
              </w:rPr>
            </w:pPr>
            <w:r>
              <w:rPr>
                <w:rFonts w:hint="eastAsia" w:cs="Times New Roman"/>
                <w:kern w:val="21"/>
                <w:sz w:val="21"/>
                <w:szCs w:val="21"/>
                <w:u w:val="single"/>
                <w:lang w:val="en-US" w:eastAsia="zh-CN"/>
              </w:rPr>
              <w:t>1.0</w:t>
            </w:r>
          </w:p>
        </w:tc>
      </w:tr>
    </w:tbl>
    <w:p>
      <w:pPr>
        <w:ind w:firstLine="562"/>
      </w:pPr>
      <w:r>
        <w:rPr>
          <w:rFonts w:cs="Times New Roman"/>
          <w:b/>
          <w:bCs/>
          <w:color w:val="000000"/>
          <w:kern w:val="0"/>
          <w:sz w:val="28"/>
          <w:szCs w:val="28"/>
          <w:lang w:bidi="ar"/>
        </w:rPr>
        <w:t>6.</w:t>
      </w:r>
      <w:r>
        <w:rPr>
          <w:rFonts w:hint="eastAsia" w:cs="Times New Roman"/>
          <w:b/>
          <w:bCs/>
          <w:color w:val="000000"/>
          <w:kern w:val="0"/>
          <w:sz w:val="28"/>
          <w:szCs w:val="28"/>
          <w:lang w:bidi="ar"/>
        </w:rPr>
        <w:t>8.5.2</w:t>
      </w:r>
      <w:r>
        <w:rPr>
          <w:rFonts w:cs="Times New Roman"/>
          <w:b/>
          <w:bCs/>
          <w:color w:val="000000"/>
          <w:kern w:val="0"/>
          <w:sz w:val="28"/>
          <w:szCs w:val="28"/>
          <w:lang w:bidi="ar"/>
        </w:rPr>
        <w:t xml:space="preserve"> 生产系统风险识别</w:t>
      </w:r>
    </w:p>
    <w:p>
      <w:pPr>
        <w:pStyle w:val="48"/>
        <w:widowControl w:val="0"/>
        <w:ind w:firstLine="436" w:firstLineChars="182"/>
        <w:rPr>
          <w:rFonts w:hint="default"/>
          <w:kern w:val="24"/>
          <w:szCs w:val="24"/>
        </w:rPr>
      </w:pPr>
      <w:r>
        <w:rPr>
          <w:rFonts w:hint="default"/>
          <w:kern w:val="24"/>
          <w:szCs w:val="24"/>
        </w:rPr>
        <w:t>生产设施识别范围包括：主体工程、储运工程、公辅工程、环保工程及辅助生产设施等。项目运行期生产工艺中部分装置内部是易燃、易爆的有机物，因此对设备及相应管道的承压、密封和耐腐蚀的要求都较高，存在因设备腐蚀或密封件磨损破裂而引起泄漏及着火爆炸的可能性。在运输、贮存或者操作不当时会发生燃烧、爆炸、腐蚀及毒性危害，人体接触这些物料会产生不同程度的损害。根据项目特点，可能发生的风险因素分析表见表</w:t>
      </w:r>
      <w:r>
        <w:rPr>
          <w:kern w:val="24"/>
          <w:szCs w:val="24"/>
        </w:rPr>
        <w:t>6.8-</w:t>
      </w:r>
      <w:r>
        <w:rPr>
          <w:rFonts w:hint="eastAsia"/>
          <w:kern w:val="24"/>
          <w:szCs w:val="24"/>
          <w:lang w:val="en-US" w:eastAsia="zh-CN"/>
        </w:rPr>
        <w:t>16</w:t>
      </w:r>
      <w:r>
        <w:rPr>
          <w:rFonts w:hint="default"/>
          <w:kern w:val="24"/>
          <w:szCs w:val="24"/>
        </w:rPr>
        <w:t>。</w:t>
      </w:r>
    </w:p>
    <w:p>
      <w:pPr>
        <w:widowControl/>
        <w:ind w:firstLine="0" w:firstLineChars="0"/>
        <w:jc w:val="center"/>
        <w:rPr>
          <w:rFonts w:cs="Times New Roman"/>
          <w:b/>
          <w:bCs/>
        </w:rPr>
      </w:pPr>
      <w:r>
        <w:rPr>
          <w:rFonts w:cs="Times New Roman"/>
          <w:b/>
          <w:bCs/>
        </w:rPr>
        <w:t>6.8-</w:t>
      </w:r>
      <w:r>
        <w:rPr>
          <w:rFonts w:hint="eastAsia" w:cs="Times New Roman"/>
          <w:b/>
          <w:bCs/>
          <w:lang w:val="en-US" w:eastAsia="zh-CN"/>
        </w:rPr>
        <w:t>16</w:t>
      </w:r>
      <w:r>
        <w:rPr>
          <w:rFonts w:cs="Times New Roman"/>
          <w:b/>
          <w:bCs/>
        </w:rPr>
        <w:t xml:space="preserve">  项目生产系统风险识别表</w:t>
      </w:r>
    </w:p>
    <w:tbl>
      <w:tblPr>
        <w:tblStyle w:val="51"/>
        <w:tblW w:w="4997"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966"/>
        <w:gridCol w:w="1051"/>
        <w:gridCol w:w="1887"/>
        <w:gridCol w:w="5173"/>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事故发生环节</w:t>
            </w: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类型</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原因</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32"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生产</w:t>
            </w:r>
          </w:p>
        </w:tc>
        <w:tc>
          <w:tcPr>
            <w:tcW w:w="578"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配料工序</w:t>
            </w: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泄露、火灾、爆炸</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配料罐破裂、无良好接地装置</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32" w:type="pct"/>
            <w:vMerge w:val="restart"/>
            <w:tcBorders>
              <w:bottom w:val="nil"/>
            </w:tcBorders>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装置</w:t>
            </w:r>
          </w:p>
        </w:tc>
        <w:tc>
          <w:tcPr>
            <w:tcW w:w="578"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搅拌工序</w:t>
            </w: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泄露、火灾、爆炸</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搅拌设备损坏、运行过载等</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32" w:type="pct"/>
            <w:vMerge w:val="continue"/>
            <w:tcBorders>
              <w:top w:val="nil"/>
            </w:tcBorders>
            <w:vAlign w:val="center"/>
          </w:tcPr>
          <w:p>
            <w:pPr>
              <w:snapToGrid w:val="0"/>
              <w:spacing w:line="240" w:lineRule="auto"/>
              <w:ind w:firstLine="0" w:firstLineChars="0"/>
              <w:jc w:val="center"/>
              <w:rPr>
                <w:rFonts w:cs="Times New Roman"/>
                <w:kern w:val="21"/>
                <w:sz w:val="21"/>
                <w:szCs w:val="21"/>
              </w:rPr>
            </w:pPr>
          </w:p>
        </w:tc>
        <w:tc>
          <w:tcPr>
            <w:tcW w:w="578"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反应工序</w:t>
            </w: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泄露、火灾、爆炸</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反应釜破裂</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Merge w:val="restart"/>
            <w:tcBorders>
              <w:bottom w:val="nil"/>
            </w:tcBorders>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贮存</w:t>
            </w: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泄露</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阀门破损、设备破损、违章操作，安全阀及控制系统失灵</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Merge w:val="continue"/>
            <w:tcBorders>
              <w:top w:val="nil"/>
              <w:bottom w:val="nil"/>
            </w:tcBorders>
            <w:vAlign w:val="center"/>
          </w:tcPr>
          <w:p>
            <w:pPr>
              <w:snapToGrid w:val="0"/>
              <w:spacing w:line="240" w:lineRule="auto"/>
              <w:ind w:firstLine="0" w:firstLineChars="0"/>
              <w:jc w:val="center"/>
              <w:rPr>
                <w:rFonts w:cs="Times New Roman"/>
                <w:kern w:val="21"/>
                <w:sz w:val="21"/>
                <w:szCs w:val="21"/>
              </w:rPr>
            </w:pP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中毒</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泄漏导致现场危险品浓度超标</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Merge w:val="continue"/>
            <w:tcBorders>
              <w:top w:val="nil"/>
            </w:tcBorders>
            <w:vAlign w:val="center"/>
          </w:tcPr>
          <w:p>
            <w:pPr>
              <w:snapToGrid w:val="0"/>
              <w:spacing w:line="240" w:lineRule="auto"/>
              <w:ind w:firstLine="0" w:firstLineChars="0"/>
              <w:jc w:val="center"/>
              <w:rPr>
                <w:rFonts w:cs="Times New Roman"/>
                <w:kern w:val="21"/>
                <w:sz w:val="21"/>
                <w:szCs w:val="21"/>
              </w:rPr>
            </w:pP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火灾、爆炸</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泄漏、明火、静电、摩擦、碰撞、雷击</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Merge w:val="restart"/>
            <w:tcBorders>
              <w:bottom w:val="nil"/>
            </w:tcBorders>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运输</w:t>
            </w: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泄露</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管线破损、泵密封不佳、车辆事故</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Merge w:val="continue"/>
            <w:tcBorders>
              <w:top w:val="nil"/>
            </w:tcBorders>
            <w:vAlign w:val="center"/>
          </w:tcPr>
          <w:p>
            <w:pPr>
              <w:snapToGrid w:val="0"/>
              <w:spacing w:line="240" w:lineRule="auto"/>
              <w:ind w:firstLine="0" w:firstLineChars="0"/>
              <w:jc w:val="center"/>
              <w:rPr>
                <w:rFonts w:cs="Times New Roman"/>
                <w:kern w:val="21"/>
                <w:sz w:val="21"/>
                <w:szCs w:val="21"/>
              </w:rPr>
            </w:pP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火灾</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泄漏与空气接触，明火、静电、雷击</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Merge w:val="restart"/>
            <w:tcBorders>
              <w:bottom w:val="nil"/>
            </w:tcBorders>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环保设施</w:t>
            </w: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废气处理系统故障</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若废气处理系统出现故障可能导致废气的事故排放。</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Merge w:val="continue"/>
            <w:tcBorders>
              <w:top w:val="nil"/>
              <w:bottom w:val="nil"/>
            </w:tcBorders>
            <w:vAlign w:val="center"/>
          </w:tcPr>
          <w:p>
            <w:pPr>
              <w:snapToGrid w:val="0"/>
              <w:spacing w:line="240" w:lineRule="auto"/>
              <w:ind w:firstLine="0" w:firstLineChars="0"/>
              <w:jc w:val="center"/>
              <w:rPr>
                <w:rFonts w:cs="Times New Roman"/>
                <w:kern w:val="21"/>
                <w:sz w:val="21"/>
                <w:szCs w:val="21"/>
              </w:rPr>
            </w:pP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废水处理设施故障</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废水处理设施出现故障，未经处理的废水通过污水管网进入污水处理厂，给园区污水处理厂造成一定的冲击，最终影响水体水质。</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Merge w:val="continue"/>
            <w:tcBorders>
              <w:top w:val="nil"/>
            </w:tcBorders>
            <w:vAlign w:val="center"/>
          </w:tcPr>
          <w:p>
            <w:pPr>
              <w:snapToGrid w:val="0"/>
              <w:spacing w:line="240" w:lineRule="auto"/>
              <w:ind w:firstLine="0" w:firstLineChars="0"/>
              <w:jc w:val="center"/>
              <w:rPr>
                <w:rFonts w:cs="Times New Roman"/>
                <w:kern w:val="21"/>
                <w:sz w:val="21"/>
                <w:szCs w:val="21"/>
              </w:rPr>
            </w:pPr>
          </w:p>
        </w:tc>
        <w:tc>
          <w:tcPr>
            <w:tcW w:w="103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危废泄漏</w:t>
            </w:r>
          </w:p>
        </w:tc>
        <w:tc>
          <w:tcPr>
            <w:tcW w:w="2849" w:type="pct"/>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包装破裂发生泄漏</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111" w:type="pct"/>
            <w:gridSpan w:val="2"/>
            <w:vAlign w:val="center"/>
          </w:tcPr>
          <w:p>
            <w:pPr>
              <w:snapToGrid w:val="0"/>
              <w:spacing w:line="240" w:lineRule="auto"/>
              <w:ind w:firstLine="0" w:firstLineChars="0"/>
              <w:jc w:val="center"/>
              <w:rPr>
                <w:rFonts w:cs="Times New Roman"/>
                <w:kern w:val="21"/>
                <w:sz w:val="21"/>
                <w:szCs w:val="21"/>
              </w:rPr>
            </w:pPr>
            <w:r>
              <w:rPr>
                <w:rFonts w:cs="Times New Roman"/>
                <w:kern w:val="21"/>
                <w:sz w:val="21"/>
                <w:szCs w:val="21"/>
              </w:rPr>
              <w:t>公用工程</w:t>
            </w:r>
          </w:p>
        </w:tc>
        <w:tc>
          <w:tcPr>
            <w:tcW w:w="3888" w:type="pct"/>
            <w:gridSpan w:val="2"/>
            <w:vAlign w:val="center"/>
          </w:tcPr>
          <w:p>
            <w:pPr>
              <w:snapToGrid w:val="0"/>
              <w:spacing w:line="240" w:lineRule="auto"/>
              <w:ind w:firstLine="0" w:firstLineChars="0"/>
              <w:jc w:val="center"/>
              <w:rPr>
                <w:rFonts w:cs="Times New Roman"/>
                <w:kern w:val="21"/>
                <w:sz w:val="21"/>
                <w:szCs w:val="21"/>
              </w:rPr>
            </w:pPr>
            <w:r>
              <w:rPr>
                <w:rFonts w:hint="eastAsia" w:cs="Times New Roman"/>
                <w:kern w:val="21"/>
                <w:sz w:val="21"/>
                <w:szCs w:val="21"/>
              </w:rPr>
              <w:t>电气设备</w:t>
            </w:r>
            <w:r>
              <w:rPr>
                <w:rFonts w:cs="Times New Roman"/>
                <w:kern w:val="21"/>
                <w:sz w:val="21"/>
                <w:szCs w:val="21"/>
              </w:rPr>
              <w:t>的主要危险是触电事故和超负荷引起的火灾，或者因电气设备损坏或失灵，突然停电，致使各类设备停止工作，由此可能引发废气处理措施失效造成废气污染物未经处理直接排放</w:t>
            </w:r>
          </w:p>
        </w:tc>
      </w:tr>
    </w:tbl>
    <w:p>
      <w:pPr>
        <w:pStyle w:val="48"/>
        <w:widowControl w:val="0"/>
        <w:ind w:firstLine="436" w:firstLineChars="182"/>
        <w:rPr>
          <w:rFonts w:hint="default"/>
          <w:kern w:val="24"/>
          <w:szCs w:val="24"/>
        </w:rPr>
      </w:pPr>
      <w:r>
        <w:rPr>
          <w:rFonts w:hint="default"/>
          <w:kern w:val="24"/>
          <w:szCs w:val="24"/>
        </w:rPr>
        <w:t>项目存在的主要危险因素有两种，一种自然因素，如暴雨、雷击、地震等自然因素均可引发事故；另一种是人为因素引发事故。一般自然因素引起的事故可通过安全装备的投入，如增加紧急停车系统、提高设施的抗震强度、防雷电、防静电等手段实现装置的本质安全，而人为因素是一种动态的、难以控制的因素，因此人为因素是引发事故的主要因素，特别是放松安全管理、违章操作或违反安全管理规程都可能发生事故。</w:t>
      </w:r>
    </w:p>
    <w:p>
      <w:pPr>
        <w:ind w:firstLine="562"/>
      </w:pPr>
      <w:r>
        <w:rPr>
          <w:rFonts w:cs="Times New Roman"/>
          <w:b/>
          <w:bCs/>
          <w:color w:val="000000"/>
          <w:kern w:val="0"/>
          <w:sz w:val="28"/>
          <w:szCs w:val="28"/>
          <w:lang w:bidi="ar"/>
        </w:rPr>
        <w:t>6.</w:t>
      </w:r>
      <w:r>
        <w:rPr>
          <w:rFonts w:hint="eastAsia" w:cs="Times New Roman"/>
          <w:b/>
          <w:bCs/>
          <w:color w:val="000000"/>
          <w:kern w:val="0"/>
          <w:sz w:val="28"/>
          <w:szCs w:val="28"/>
          <w:lang w:bidi="ar"/>
        </w:rPr>
        <w:t>8.5.3</w:t>
      </w:r>
      <w:r>
        <w:rPr>
          <w:rFonts w:cs="Times New Roman"/>
          <w:b/>
          <w:bCs/>
          <w:color w:val="000000"/>
          <w:kern w:val="0"/>
          <w:sz w:val="28"/>
          <w:szCs w:val="28"/>
          <w:lang w:bidi="ar"/>
        </w:rPr>
        <w:t xml:space="preserve"> 环境风险类型及危害分析</w:t>
      </w:r>
    </w:p>
    <w:p>
      <w:pPr>
        <w:pStyle w:val="48"/>
        <w:widowControl w:val="0"/>
        <w:ind w:firstLine="436" w:firstLineChars="182"/>
        <w:rPr>
          <w:rFonts w:hint="default"/>
          <w:kern w:val="24"/>
          <w:szCs w:val="24"/>
        </w:rPr>
      </w:pPr>
      <w:r>
        <w:rPr>
          <w:rFonts w:hint="default"/>
          <w:kern w:val="24"/>
          <w:szCs w:val="24"/>
        </w:rPr>
        <w:t>根据上述物质危险性识别结果及生产系统危险性识别结果分析，项目存在的风险类型包括危险物质</w:t>
      </w:r>
      <w:r>
        <w:rPr>
          <w:rFonts w:hint="eastAsia"/>
          <w:kern w:val="24"/>
          <w:szCs w:val="24"/>
          <w:lang w:eastAsia="zh-CN"/>
        </w:rPr>
        <w:t>泄漏</w:t>
      </w:r>
      <w:r>
        <w:rPr>
          <w:rFonts w:hint="default"/>
          <w:kern w:val="24"/>
          <w:szCs w:val="24"/>
        </w:rPr>
        <w:t>、火灾及爆炸引发的危害。</w:t>
      </w:r>
    </w:p>
    <w:p>
      <w:pPr>
        <w:ind w:firstLine="562"/>
      </w:pPr>
      <w:r>
        <w:rPr>
          <w:rFonts w:cs="Times New Roman"/>
          <w:b/>
          <w:bCs/>
          <w:color w:val="000000"/>
          <w:kern w:val="0"/>
          <w:sz w:val="28"/>
          <w:szCs w:val="28"/>
          <w:lang w:bidi="ar"/>
        </w:rPr>
        <w:t>6.</w:t>
      </w:r>
      <w:r>
        <w:rPr>
          <w:rFonts w:hint="eastAsia" w:cs="Times New Roman"/>
          <w:b/>
          <w:bCs/>
          <w:color w:val="000000"/>
          <w:kern w:val="0"/>
          <w:sz w:val="28"/>
          <w:szCs w:val="28"/>
          <w:lang w:bidi="ar"/>
        </w:rPr>
        <w:t>8.5.4</w:t>
      </w:r>
      <w:r>
        <w:rPr>
          <w:rFonts w:cs="Times New Roman"/>
          <w:b/>
          <w:bCs/>
          <w:color w:val="000000"/>
          <w:kern w:val="0"/>
          <w:sz w:val="28"/>
          <w:szCs w:val="28"/>
          <w:lang w:bidi="ar"/>
        </w:rPr>
        <w:t xml:space="preserve"> 风险识别结果</w:t>
      </w:r>
    </w:p>
    <w:p>
      <w:pPr>
        <w:pStyle w:val="48"/>
        <w:widowControl w:val="0"/>
        <w:ind w:firstLine="436" w:firstLineChars="182"/>
        <w:rPr>
          <w:rFonts w:hint="default"/>
          <w:kern w:val="24"/>
          <w:szCs w:val="24"/>
        </w:rPr>
      </w:pPr>
      <w:r>
        <w:rPr>
          <w:rFonts w:hint="default"/>
          <w:kern w:val="24"/>
          <w:szCs w:val="24"/>
        </w:rPr>
        <w:t>建设项目环境风险识别情况汇总见表</w:t>
      </w:r>
      <w:r>
        <w:rPr>
          <w:kern w:val="24"/>
          <w:szCs w:val="24"/>
        </w:rPr>
        <w:t>6.8-</w:t>
      </w:r>
      <w:r>
        <w:rPr>
          <w:rFonts w:hint="eastAsia"/>
          <w:kern w:val="24"/>
          <w:szCs w:val="24"/>
          <w:lang w:val="en-US" w:eastAsia="zh-CN"/>
        </w:rPr>
        <w:t>17</w:t>
      </w:r>
      <w:r>
        <w:rPr>
          <w:rFonts w:hint="default"/>
          <w:kern w:val="24"/>
          <w:szCs w:val="24"/>
        </w:rPr>
        <w:t>。</w:t>
      </w:r>
    </w:p>
    <w:p>
      <w:pPr>
        <w:widowControl/>
        <w:ind w:firstLine="0" w:firstLineChars="0"/>
        <w:jc w:val="center"/>
        <w:rPr>
          <w:rFonts w:cs="Times New Roman"/>
          <w:b/>
          <w:bCs/>
        </w:rPr>
      </w:pPr>
      <w:r>
        <w:rPr>
          <w:rFonts w:cs="Times New Roman"/>
          <w:b/>
          <w:bCs/>
        </w:rPr>
        <w:t>表</w:t>
      </w:r>
      <w:r>
        <w:rPr>
          <w:rFonts w:hint="eastAsia" w:cs="Times New Roman"/>
          <w:b/>
          <w:bCs/>
        </w:rPr>
        <w:t>6.8-</w:t>
      </w:r>
      <w:r>
        <w:rPr>
          <w:rFonts w:hint="eastAsia" w:cs="Times New Roman"/>
          <w:b/>
          <w:bCs/>
          <w:lang w:val="en-US" w:eastAsia="zh-CN"/>
        </w:rPr>
        <w:t>17</w:t>
      </w:r>
      <w:r>
        <w:rPr>
          <w:rFonts w:cs="Times New Roman"/>
          <w:b/>
          <w:bCs/>
        </w:rPr>
        <w:t xml:space="preserve">  建设项目环境风险识别表</w:t>
      </w:r>
    </w:p>
    <w:tbl>
      <w:tblPr>
        <w:tblStyle w:val="51"/>
        <w:tblW w:w="5057"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437"/>
        <w:gridCol w:w="764"/>
        <w:gridCol w:w="1434"/>
        <w:gridCol w:w="2311"/>
        <w:gridCol w:w="1232"/>
        <w:gridCol w:w="1096"/>
        <w:gridCol w:w="1912"/>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38" w:type="pct"/>
            <w:tcBorders>
              <w:right w:val="single" w:color="000000" w:sz="4" w:space="0"/>
            </w:tcBorders>
            <w:textDirection w:val="tbRlV"/>
            <w:vAlign w:val="center"/>
          </w:tcPr>
          <w:p>
            <w:pPr>
              <w:spacing w:line="240" w:lineRule="auto"/>
              <w:ind w:firstLine="0" w:firstLineChars="0"/>
              <w:jc w:val="center"/>
              <w:rPr>
                <w:rFonts w:cs="Times New Roman"/>
                <w:kern w:val="21"/>
                <w:sz w:val="21"/>
                <w:szCs w:val="21"/>
              </w:rPr>
            </w:pPr>
            <w:r>
              <w:rPr>
                <w:rFonts w:cs="Times New Roman"/>
                <w:kern w:val="21"/>
                <w:sz w:val="21"/>
                <w:szCs w:val="21"/>
              </w:rPr>
              <w:t>序号</w:t>
            </w:r>
          </w:p>
        </w:tc>
        <w:tc>
          <w:tcPr>
            <w:tcW w:w="416"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危险单元</w:t>
            </w:r>
          </w:p>
        </w:tc>
        <w:tc>
          <w:tcPr>
            <w:tcW w:w="780"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风险源</w:t>
            </w:r>
          </w:p>
        </w:tc>
        <w:tc>
          <w:tcPr>
            <w:tcW w:w="1257"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主要危险物质</w:t>
            </w:r>
          </w:p>
        </w:tc>
        <w:tc>
          <w:tcPr>
            <w:tcW w:w="670"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环境风险类型</w:t>
            </w:r>
          </w:p>
        </w:tc>
        <w:tc>
          <w:tcPr>
            <w:tcW w:w="596"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环境影响途径</w:t>
            </w:r>
          </w:p>
        </w:tc>
        <w:tc>
          <w:tcPr>
            <w:tcW w:w="1040"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可能受影响的环境敏感目标</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38"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1</w:t>
            </w:r>
          </w:p>
        </w:tc>
        <w:tc>
          <w:tcPr>
            <w:tcW w:w="41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危化品仓库</w:t>
            </w:r>
          </w:p>
        </w:tc>
        <w:tc>
          <w:tcPr>
            <w:tcW w:w="78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原材料</w:t>
            </w:r>
          </w:p>
        </w:tc>
        <w:tc>
          <w:tcPr>
            <w:tcW w:w="1257" w:type="pct"/>
            <w:vMerge w:val="restart"/>
            <w:tcBorders>
              <w:left w:val="single" w:color="000000" w:sz="4" w:space="0"/>
              <w:right w:val="single" w:color="000000" w:sz="4" w:space="0"/>
            </w:tcBorders>
            <w:vAlign w:val="center"/>
          </w:tcPr>
          <w:p>
            <w:pPr>
              <w:spacing w:line="240" w:lineRule="auto"/>
              <w:ind w:firstLine="0" w:firstLineChars="0"/>
              <w:jc w:val="center"/>
              <w:rPr>
                <w:rFonts w:hint="eastAsia" w:eastAsia="宋体" w:cs="Times New Roman"/>
                <w:sz w:val="21"/>
                <w:szCs w:val="21"/>
                <w:lang w:eastAsia="zh-CN"/>
              </w:rPr>
            </w:pPr>
            <w:r>
              <w:rPr>
                <w:rFonts w:cs="Times New Roman"/>
                <w:kern w:val="21"/>
                <w:sz w:val="21"/>
                <w:szCs w:val="21"/>
              </w:rPr>
              <w:t>MDI50</w:t>
            </w:r>
            <w:r>
              <w:rPr>
                <w:rFonts w:hint="eastAsia" w:cs="Times New Roman"/>
                <w:kern w:val="21"/>
                <w:sz w:val="21"/>
                <w:szCs w:val="21"/>
              </w:rPr>
              <w:t>、</w:t>
            </w:r>
            <w:r>
              <w:rPr>
                <w:rFonts w:cs="Times New Roman"/>
                <w:kern w:val="21"/>
                <w:sz w:val="21"/>
                <w:szCs w:val="21"/>
              </w:rPr>
              <w:t>碳酸二甲酯</w:t>
            </w:r>
            <w:r>
              <w:rPr>
                <w:rFonts w:hint="eastAsia" w:cs="Times New Roman"/>
                <w:sz w:val="21"/>
                <w:szCs w:val="21"/>
              </w:rPr>
              <w:t>、甲基丙烯酸甲酯、丙烯酸丁酯</w:t>
            </w:r>
            <w:r>
              <w:rPr>
                <w:rFonts w:hint="eastAsia" w:cs="Times New Roman"/>
                <w:sz w:val="21"/>
                <w:szCs w:val="21"/>
                <w:lang w:eastAsia="zh-CN"/>
              </w:rPr>
              <w:t>、硫磺、甲苯二异氰酸酯、矿物油</w:t>
            </w:r>
          </w:p>
        </w:tc>
        <w:tc>
          <w:tcPr>
            <w:tcW w:w="67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泄露、火灾、爆炸</w:t>
            </w:r>
          </w:p>
        </w:tc>
        <w:tc>
          <w:tcPr>
            <w:tcW w:w="59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大气、地表 水</w:t>
            </w:r>
          </w:p>
        </w:tc>
        <w:tc>
          <w:tcPr>
            <w:tcW w:w="1040"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周边居民点、</w:t>
            </w:r>
            <w:r>
              <w:rPr>
                <w:rFonts w:hint="eastAsia" w:cs="Times New Roman"/>
                <w:sz w:val="21"/>
                <w:szCs w:val="21"/>
              </w:rPr>
              <w:t>地表水、地下水</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238"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2</w:t>
            </w:r>
          </w:p>
        </w:tc>
        <w:tc>
          <w:tcPr>
            <w:tcW w:w="416" w:type="pct"/>
            <w:tcBorders>
              <w:left w:val="single" w:color="000000" w:sz="4" w:space="0"/>
              <w:right w:val="single" w:color="000000" w:sz="4" w:space="0"/>
            </w:tcBorders>
            <w:vAlign w:val="center"/>
          </w:tcPr>
          <w:p>
            <w:pPr>
              <w:spacing w:line="240" w:lineRule="auto"/>
              <w:ind w:firstLine="0" w:firstLineChars="0"/>
              <w:jc w:val="center"/>
              <w:rPr>
                <w:rFonts w:hint="eastAsia" w:eastAsia="宋体" w:cs="Times New Roman"/>
                <w:sz w:val="21"/>
                <w:szCs w:val="21"/>
                <w:lang w:eastAsia="zh-CN"/>
              </w:rPr>
            </w:pPr>
            <w:r>
              <w:rPr>
                <w:rFonts w:hint="eastAsia" w:cs="Times New Roman"/>
                <w:sz w:val="21"/>
                <w:szCs w:val="21"/>
                <w:lang w:val="en-US" w:eastAsia="zh-CN"/>
              </w:rPr>
              <w:t>4</w:t>
            </w:r>
            <w:r>
              <w:rPr>
                <w:rFonts w:hint="eastAsia" w:cs="Times New Roman"/>
                <w:sz w:val="21"/>
                <w:szCs w:val="21"/>
              </w:rPr>
              <w:t>#</w:t>
            </w:r>
            <w:r>
              <w:rPr>
                <w:rFonts w:hint="eastAsia" w:cs="Times New Roman"/>
                <w:sz w:val="21"/>
                <w:szCs w:val="21"/>
                <w:lang w:eastAsia="zh-CN"/>
              </w:rPr>
              <w:t>仓库</w:t>
            </w:r>
          </w:p>
        </w:tc>
        <w:tc>
          <w:tcPr>
            <w:tcW w:w="78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原材料</w:t>
            </w:r>
          </w:p>
        </w:tc>
        <w:tc>
          <w:tcPr>
            <w:tcW w:w="1257" w:type="pct"/>
            <w:vMerge w:val="continue"/>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p>
        </w:tc>
        <w:tc>
          <w:tcPr>
            <w:tcW w:w="67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泄露、火灾、爆炸</w:t>
            </w:r>
          </w:p>
        </w:tc>
        <w:tc>
          <w:tcPr>
            <w:tcW w:w="59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大气、地表 水</w:t>
            </w:r>
          </w:p>
        </w:tc>
        <w:tc>
          <w:tcPr>
            <w:tcW w:w="1040"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周边居民点、</w:t>
            </w:r>
            <w:r>
              <w:rPr>
                <w:rFonts w:hint="eastAsia" w:cs="Times New Roman"/>
                <w:sz w:val="21"/>
                <w:szCs w:val="21"/>
              </w:rPr>
              <w:t>地表水、地下水</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238" w:type="pct"/>
            <w:tcBorders>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3</w:t>
            </w:r>
          </w:p>
        </w:tc>
        <w:tc>
          <w:tcPr>
            <w:tcW w:w="41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丙类车间</w:t>
            </w:r>
          </w:p>
        </w:tc>
        <w:tc>
          <w:tcPr>
            <w:tcW w:w="78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原材料</w:t>
            </w:r>
          </w:p>
        </w:tc>
        <w:tc>
          <w:tcPr>
            <w:tcW w:w="125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MDI-50、碳酸二甲酯</w:t>
            </w:r>
            <w:r>
              <w:rPr>
                <w:rFonts w:hint="eastAsia" w:cs="Times New Roman"/>
                <w:kern w:val="21"/>
                <w:sz w:val="21"/>
                <w:szCs w:val="21"/>
              </w:rPr>
              <w:t>、</w:t>
            </w:r>
            <w:r>
              <w:rPr>
                <w:rFonts w:cs="Times New Roman"/>
                <w:sz w:val="21"/>
                <w:szCs w:val="21"/>
              </w:rPr>
              <w:t>丙烯酸</w:t>
            </w:r>
          </w:p>
        </w:tc>
        <w:tc>
          <w:tcPr>
            <w:tcW w:w="67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泄露、火灾、爆炸</w:t>
            </w:r>
          </w:p>
        </w:tc>
        <w:tc>
          <w:tcPr>
            <w:tcW w:w="59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大气、地表</w:t>
            </w:r>
          </w:p>
          <w:p>
            <w:pPr>
              <w:spacing w:line="240" w:lineRule="auto"/>
              <w:ind w:firstLine="0" w:firstLineChars="0"/>
              <w:jc w:val="center"/>
              <w:rPr>
                <w:rFonts w:cs="Times New Roman"/>
                <w:sz w:val="21"/>
                <w:szCs w:val="21"/>
              </w:rPr>
            </w:pPr>
            <w:r>
              <w:rPr>
                <w:rFonts w:cs="Times New Roman"/>
                <w:sz w:val="21"/>
                <w:szCs w:val="21"/>
              </w:rPr>
              <w:t>水</w:t>
            </w:r>
          </w:p>
        </w:tc>
        <w:tc>
          <w:tcPr>
            <w:tcW w:w="1040"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周边居民点、</w:t>
            </w:r>
            <w:r>
              <w:rPr>
                <w:rFonts w:hint="eastAsia" w:cs="Times New Roman"/>
                <w:sz w:val="21"/>
                <w:szCs w:val="21"/>
              </w:rPr>
              <w:t>地表水、地下水</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38" w:type="pct"/>
            <w:vMerge w:val="restart"/>
            <w:tcBorders>
              <w:bottom w:val="nil"/>
              <w:right w:val="single" w:color="000000" w:sz="4" w:space="0"/>
            </w:tcBorders>
            <w:vAlign w:val="center"/>
          </w:tcPr>
          <w:p>
            <w:pPr>
              <w:spacing w:line="240" w:lineRule="auto"/>
              <w:ind w:firstLine="0" w:firstLineChars="0"/>
              <w:jc w:val="center"/>
              <w:rPr>
                <w:rFonts w:cs="Times New Roman"/>
                <w:sz w:val="21"/>
                <w:szCs w:val="21"/>
              </w:rPr>
            </w:pPr>
            <w:r>
              <w:rPr>
                <w:rFonts w:hint="eastAsia" w:cs="Times New Roman"/>
                <w:sz w:val="21"/>
                <w:szCs w:val="21"/>
              </w:rPr>
              <w:t>4</w:t>
            </w:r>
          </w:p>
        </w:tc>
        <w:tc>
          <w:tcPr>
            <w:tcW w:w="416" w:type="pct"/>
            <w:vMerge w:val="restart"/>
            <w:tcBorders>
              <w:left w:val="single" w:color="000000" w:sz="4" w:space="0"/>
              <w:bottom w:val="nil"/>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环保装置</w:t>
            </w:r>
          </w:p>
        </w:tc>
        <w:tc>
          <w:tcPr>
            <w:tcW w:w="78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废气处理装置</w:t>
            </w:r>
          </w:p>
        </w:tc>
        <w:tc>
          <w:tcPr>
            <w:tcW w:w="125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废气</w:t>
            </w:r>
            <w:r>
              <w:rPr>
                <w:rFonts w:hint="eastAsia" w:cs="Times New Roman"/>
                <w:sz w:val="21"/>
                <w:szCs w:val="21"/>
              </w:rPr>
              <w:t>（</w:t>
            </w:r>
            <w:r>
              <w:rPr>
                <w:rFonts w:cs="Times New Roman"/>
                <w:sz w:val="21"/>
                <w:szCs w:val="21"/>
              </w:rPr>
              <w:t>VOCs、颗粒物</w:t>
            </w:r>
            <w:r>
              <w:rPr>
                <w:rFonts w:hint="eastAsia" w:cs="Times New Roman"/>
                <w:sz w:val="21"/>
                <w:szCs w:val="21"/>
              </w:rPr>
              <w:t>、氨、硫化氢）</w:t>
            </w:r>
          </w:p>
        </w:tc>
        <w:tc>
          <w:tcPr>
            <w:tcW w:w="67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泄露</w:t>
            </w:r>
          </w:p>
        </w:tc>
        <w:tc>
          <w:tcPr>
            <w:tcW w:w="59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大气</w:t>
            </w:r>
          </w:p>
        </w:tc>
        <w:tc>
          <w:tcPr>
            <w:tcW w:w="1040"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周边居民点</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38" w:type="pct"/>
            <w:vMerge w:val="continue"/>
            <w:tcBorders>
              <w:top w:val="nil"/>
              <w:bottom w:val="nil"/>
              <w:right w:val="single" w:color="000000" w:sz="4" w:space="0"/>
            </w:tcBorders>
            <w:vAlign w:val="center"/>
          </w:tcPr>
          <w:p>
            <w:pPr>
              <w:spacing w:line="240" w:lineRule="auto"/>
              <w:ind w:firstLine="0" w:firstLineChars="0"/>
              <w:jc w:val="center"/>
              <w:rPr>
                <w:rFonts w:cs="Times New Roman"/>
                <w:sz w:val="21"/>
                <w:szCs w:val="21"/>
              </w:rPr>
            </w:pPr>
          </w:p>
        </w:tc>
        <w:tc>
          <w:tcPr>
            <w:tcW w:w="416" w:type="pct"/>
            <w:vMerge w:val="continue"/>
            <w:tcBorders>
              <w:top w:val="nil"/>
              <w:left w:val="single" w:color="000000" w:sz="4" w:space="0"/>
              <w:bottom w:val="nil"/>
              <w:right w:val="single" w:color="000000" w:sz="4" w:space="0"/>
            </w:tcBorders>
            <w:vAlign w:val="center"/>
          </w:tcPr>
          <w:p>
            <w:pPr>
              <w:spacing w:line="240" w:lineRule="auto"/>
              <w:ind w:firstLine="0" w:firstLineChars="0"/>
              <w:jc w:val="center"/>
              <w:rPr>
                <w:rFonts w:cs="Times New Roman"/>
                <w:sz w:val="21"/>
                <w:szCs w:val="21"/>
              </w:rPr>
            </w:pPr>
          </w:p>
        </w:tc>
        <w:tc>
          <w:tcPr>
            <w:tcW w:w="78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污水处理设施</w:t>
            </w:r>
          </w:p>
        </w:tc>
        <w:tc>
          <w:tcPr>
            <w:tcW w:w="125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生产废水</w:t>
            </w:r>
          </w:p>
        </w:tc>
        <w:tc>
          <w:tcPr>
            <w:tcW w:w="67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泄露</w:t>
            </w:r>
          </w:p>
        </w:tc>
        <w:tc>
          <w:tcPr>
            <w:tcW w:w="59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地表水、土 壤、地下水</w:t>
            </w:r>
          </w:p>
        </w:tc>
        <w:tc>
          <w:tcPr>
            <w:tcW w:w="1040"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周边土壤环境、地下水环境</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238" w:type="pct"/>
            <w:vMerge w:val="continue"/>
            <w:tcBorders>
              <w:top w:val="nil"/>
              <w:right w:val="single" w:color="000000" w:sz="4" w:space="0"/>
            </w:tcBorders>
            <w:vAlign w:val="center"/>
          </w:tcPr>
          <w:p>
            <w:pPr>
              <w:spacing w:line="240" w:lineRule="auto"/>
              <w:ind w:firstLine="0" w:firstLineChars="0"/>
              <w:jc w:val="center"/>
              <w:rPr>
                <w:rFonts w:cs="Times New Roman"/>
                <w:sz w:val="21"/>
                <w:szCs w:val="21"/>
              </w:rPr>
            </w:pPr>
          </w:p>
        </w:tc>
        <w:tc>
          <w:tcPr>
            <w:tcW w:w="416" w:type="pct"/>
            <w:vMerge w:val="continue"/>
            <w:tcBorders>
              <w:top w:val="nil"/>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p>
        </w:tc>
        <w:tc>
          <w:tcPr>
            <w:tcW w:w="78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危废暂存间</w:t>
            </w:r>
          </w:p>
        </w:tc>
        <w:tc>
          <w:tcPr>
            <w:tcW w:w="1257"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危险废物</w:t>
            </w:r>
          </w:p>
        </w:tc>
        <w:tc>
          <w:tcPr>
            <w:tcW w:w="670"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泄露</w:t>
            </w:r>
          </w:p>
        </w:tc>
        <w:tc>
          <w:tcPr>
            <w:tcW w:w="596" w:type="pct"/>
            <w:tcBorders>
              <w:left w:val="single" w:color="000000" w:sz="4" w:space="0"/>
              <w:righ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地表水、土 壤、地下水</w:t>
            </w:r>
          </w:p>
        </w:tc>
        <w:tc>
          <w:tcPr>
            <w:tcW w:w="1040" w:type="pct"/>
            <w:tcBorders>
              <w:left w:val="single" w:color="000000" w:sz="4" w:space="0"/>
            </w:tcBorders>
            <w:vAlign w:val="center"/>
          </w:tcPr>
          <w:p>
            <w:pPr>
              <w:spacing w:line="240" w:lineRule="auto"/>
              <w:ind w:firstLine="0" w:firstLineChars="0"/>
              <w:jc w:val="center"/>
              <w:rPr>
                <w:rFonts w:cs="Times New Roman"/>
                <w:sz w:val="21"/>
                <w:szCs w:val="21"/>
              </w:rPr>
            </w:pPr>
            <w:r>
              <w:rPr>
                <w:rFonts w:cs="Times New Roman"/>
                <w:sz w:val="21"/>
                <w:szCs w:val="21"/>
              </w:rPr>
              <w:t>周边土壤环境、地下水环境</w:t>
            </w:r>
          </w:p>
        </w:tc>
      </w:tr>
    </w:tbl>
    <w:p>
      <w:pPr>
        <w:pStyle w:val="7"/>
        <w:ind w:firstLine="562"/>
      </w:pPr>
      <w:r>
        <w:rPr>
          <w:rFonts w:hint="eastAsia"/>
        </w:rPr>
        <w:t>6.8.6、风险事故情形分析</w:t>
      </w:r>
    </w:p>
    <w:p>
      <w:pPr>
        <w:ind w:firstLine="562"/>
      </w:pPr>
      <w:r>
        <w:rPr>
          <w:rFonts w:cs="Times New Roman"/>
          <w:b/>
          <w:bCs/>
          <w:color w:val="000000"/>
          <w:kern w:val="0"/>
          <w:sz w:val="28"/>
          <w:szCs w:val="28"/>
          <w:lang w:bidi="ar"/>
        </w:rPr>
        <w:t>6.</w:t>
      </w:r>
      <w:r>
        <w:rPr>
          <w:rFonts w:hint="eastAsia" w:cs="Times New Roman"/>
          <w:b/>
          <w:bCs/>
          <w:color w:val="000000"/>
          <w:kern w:val="0"/>
          <w:sz w:val="28"/>
          <w:szCs w:val="28"/>
          <w:lang w:bidi="ar"/>
        </w:rPr>
        <w:t>8.6.1</w:t>
      </w:r>
      <w:r>
        <w:rPr>
          <w:rFonts w:cs="Times New Roman"/>
          <w:b/>
          <w:bCs/>
          <w:color w:val="000000"/>
          <w:kern w:val="0"/>
          <w:sz w:val="28"/>
          <w:szCs w:val="28"/>
          <w:lang w:bidi="ar"/>
        </w:rPr>
        <w:t xml:space="preserve"> 风险事故情形设定</w:t>
      </w:r>
    </w:p>
    <w:p>
      <w:pPr>
        <w:pStyle w:val="48"/>
        <w:widowControl w:val="0"/>
        <w:ind w:firstLine="436" w:firstLineChars="182"/>
        <w:rPr>
          <w:rFonts w:hint="default"/>
          <w:kern w:val="24"/>
          <w:szCs w:val="24"/>
        </w:rPr>
      </w:pPr>
      <w:r>
        <w:rPr>
          <w:rFonts w:hint="default"/>
          <w:kern w:val="24"/>
          <w:szCs w:val="24"/>
        </w:rPr>
        <w:t>在化工厂各类事故隐患中，以反应装置、管线及贮罐泄漏为多，而造成泄漏的原因多为管理不善、未能定时检修和操作失误造成。泄漏事故主要有三大类：一是因容器、管道碰撞产生溢液；二是检修时残液泄漏；三是容器、设备老化断裂时产生溢液。</w:t>
      </w:r>
    </w:p>
    <w:p>
      <w:pPr>
        <w:pStyle w:val="48"/>
        <w:widowControl w:val="0"/>
        <w:ind w:firstLine="436" w:firstLineChars="182"/>
        <w:rPr>
          <w:rFonts w:hint="default"/>
          <w:kern w:val="24"/>
          <w:szCs w:val="24"/>
        </w:rPr>
      </w:pPr>
      <w:r>
        <w:rPr>
          <w:rFonts w:hint="default"/>
          <w:kern w:val="24"/>
          <w:szCs w:val="24"/>
        </w:rPr>
        <w:t>据统计资料表明，化工行业的物料泄漏事故发生概率约为1×10</w:t>
      </w:r>
      <w:r>
        <w:rPr>
          <w:rFonts w:hint="default"/>
          <w:kern w:val="24"/>
          <w:szCs w:val="24"/>
          <w:vertAlign w:val="superscript"/>
        </w:rPr>
        <w:t>-2</w:t>
      </w:r>
      <w:r>
        <w:rPr>
          <w:rFonts w:hint="default"/>
          <w:kern w:val="24"/>
          <w:szCs w:val="24"/>
        </w:rPr>
        <w:t>次/年</w:t>
      </w:r>
      <w:r>
        <w:rPr>
          <w:kern w:val="24"/>
          <w:szCs w:val="24"/>
        </w:rPr>
        <w:t>～</w:t>
      </w:r>
      <w:r>
        <w:rPr>
          <w:rFonts w:hint="default"/>
          <w:kern w:val="24"/>
          <w:szCs w:val="24"/>
        </w:rPr>
        <w:t>1×10</w:t>
      </w:r>
      <w:r>
        <w:rPr>
          <w:rFonts w:hint="default"/>
          <w:kern w:val="24"/>
          <w:szCs w:val="24"/>
          <w:vertAlign w:val="superscript"/>
        </w:rPr>
        <w:t>-3</w:t>
      </w:r>
      <w:r>
        <w:rPr>
          <w:rFonts w:hint="default"/>
          <w:kern w:val="24"/>
          <w:szCs w:val="24"/>
        </w:rPr>
        <w:t>次/年。本次环评风险事故评价不考虑工程外部事故风险因素</w:t>
      </w:r>
      <w:r>
        <w:rPr>
          <w:kern w:val="24"/>
          <w:szCs w:val="24"/>
        </w:rPr>
        <w:t>（</w:t>
      </w:r>
      <w:r>
        <w:rPr>
          <w:rFonts w:hint="default"/>
          <w:kern w:val="24"/>
          <w:szCs w:val="24"/>
        </w:rPr>
        <w:t>如地震、战争、人为蓄意破坏等</w:t>
      </w:r>
      <w:r>
        <w:rPr>
          <w:kern w:val="24"/>
          <w:szCs w:val="24"/>
        </w:rPr>
        <w:t>）</w:t>
      </w:r>
      <w:r>
        <w:rPr>
          <w:rFonts w:hint="default"/>
          <w:kern w:val="24"/>
          <w:szCs w:val="24"/>
        </w:rPr>
        <w:t>，不考虑危害范围只限于场内的事故，假想事故应当是可能对厂内居民和周围环境造成最大影响的可信事故。</w:t>
      </w:r>
    </w:p>
    <w:p>
      <w:pPr>
        <w:pStyle w:val="48"/>
        <w:widowControl w:val="0"/>
        <w:ind w:firstLine="436" w:firstLineChars="182"/>
        <w:rPr>
          <w:rFonts w:hint="default"/>
          <w:kern w:val="24"/>
          <w:szCs w:val="24"/>
        </w:rPr>
      </w:pPr>
      <w:r>
        <w:rPr>
          <w:rFonts w:hint="default"/>
          <w:kern w:val="24"/>
          <w:szCs w:val="24"/>
        </w:rPr>
        <w:t>由前述可知，项目原料及产品多为易燃易爆、有毒有害化学品，如能严格各项规章制度、加强设备维护、提高操作水平和技能，一般而言不会发生风险事故。但在某些特定情况下，仍有可能发生大量泄漏甚至燃爆现象。</w:t>
      </w:r>
    </w:p>
    <w:p>
      <w:pPr>
        <w:pStyle w:val="48"/>
        <w:widowControl w:val="0"/>
        <w:ind w:firstLine="436" w:firstLineChars="182"/>
        <w:rPr>
          <w:rFonts w:hint="default"/>
          <w:kern w:val="24"/>
          <w:szCs w:val="24"/>
        </w:rPr>
      </w:pPr>
      <w:r>
        <w:rPr>
          <w:rFonts w:hint="default"/>
          <w:kern w:val="24"/>
          <w:szCs w:val="24"/>
        </w:rPr>
        <w:t>根据《建设项目环境风险评价技术导则》HJ169-2018的定义，最大可信事故是基于经验统计分析，在一定可能性区间内发生的事故中，造成环境危害最严重</w:t>
      </w:r>
      <w:r>
        <w:rPr>
          <w:kern w:val="24"/>
          <w:szCs w:val="24"/>
        </w:rPr>
        <w:t>的</w:t>
      </w:r>
      <w:r>
        <w:rPr>
          <w:rFonts w:hint="default"/>
          <w:kern w:val="24"/>
          <w:szCs w:val="24"/>
        </w:rPr>
        <w:t>事故。从物质的理化性质、毒性以及储存量，并考虑q/Q比值。本评价筛选</w:t>
      </w:r>
      <w:r>
        <w:rPr>
          <w:kern w:val="24"/>
          <w:szCs w:val="24"/>
        </w:rPr>
        <w:t>丙烯酸</w:t>
      </w:r>
      <w:r>
        <w:rPr>
          <w:rFonts w:hint="default"/>
          <w:kern w:val="24"/>
          <w:szCs w:val="24"/>
        </w:rPr>
        <w:t>的包装桶发生破损引起的泄漏、火灾及爆炸，作为本项目最大可信事故。</w:t>
      </w:r>
    </w:p>
    <w:p>
      <w:pPr>
        <w:ind w:firstLine="562"/>
      </w:pPr>
      <w:r>
        <w:rPr>
          <w:rFonts w:cs="Times New Roman"/>
          <w:b/>
          <w:bCs/>
          <w:color w:val="000000"/>
          <w:kern w:val="0"/>
          <w:sz w:val="28"/>
          <w:szCs w:val="28"/>
          <w:lang w:bidi="ar"/>
        </w:rPr>
        <w:t>6.</w:t>
      </w:r>
      <w:r>
        <w:rPr>
          <w:rFonts w:hint="eastAsia" w:cs="Times New Roman"/>
          <w:b/>
          <w:bCs/>
          <w:color w:val="000000"/>
          <w:kern w:val="0"/>
          <w:sz w:val="28"/>
          <w:szCs w:val="28"/>
          <w:lang w:bidi="ar"/>
        </w:rPr>
        <w:t>8.6.2</w:t>
      </w:r>
      <w:r>
        <w:rPr>
          <w:rFonts w:cs="Times New Roman"/>
          <w:b/>
          <w:bCs/>
          <w:color w:val="000000"/>
          <w:kern w:val="0"/>
          <w:sz w:val="28"/>
          <w:szCs w:val="28"/>
          <w:lang w:bidi="ar"/>
        </w:rPr>
        <w:t xml:space="preserve"> 事故源强的确定</w:t>
      </w:r>
    </w:p>
    <w:p>
      <w:pPr>
        <w:pStyle w:val="48"/>
        <w:widowControl w:val="0"/>
        <w:ind w:firstLine="436" w:firstLineChars="182"/>
        <w:rPr>
          <w:rFonts w:hint="default"/>
          <w:kern w:val="24"/>
          <w:szCs w:val="24"/>
        </w:rPr>
      </w:pPr>
      <w:r>
        <w:rPr>
          <w:kern w:val="24"/>
          <w:szCs w:val="24"/>
        </w:rPr>
        <w:t>（</w:t>
      </w:r>
      <w:r>
        <w:rPr>
          <w:rFonts w:hint="default"/>
          <w:kern w:val="24"/>
          <w:szCs w:val="24"/>
        </w:rPr>
        <w:t>1</w:t>
      </w:r>
      <w:r>
        <w:rPr>
          <w:kern w:val="24"/>
          <w:szCs w:val="24"/>
        </w:rPr>
        <w:t>）</w:t>
      </w:r>
      <w:r>
        <w:rPr>
          <w:rFonts w:hint="default"/>
          <w:kern w:val="24"/>
          <w:szCs w:val="24"/>
        </w:rPr>
        <w:t>泄露频率</w:t>
      </w:r>
    </w:p>
    <w:p>
      <w:pPr>
        <w:pStyle w:val="48"/>
        <w:widowControl w:val="0"/>
        <w:ind w:firstLine="436" w:firstLineChars="182"/>
        <w:rPr>
          <w:rFonts w:hint="default"/>
          <w:kern w:val="24"/>
          <w:szCs w:val="24"/>
        </w:rPr>
      </w:pPr>
      <w:r>
        <w:rPr>
          <w:rFonts w:hint="default"/>
          <w:kern w:val="24"/>
          <w:szCs w:val="24"/>
        </w:rPr>
        <w:t>本次评价参考《建设项目环境风险评价技术导则》</w:t>
      </w:r>
      <w:r>
        <w:rPr>
          <w:kern w:val="24"/>
          <w:szCs w:val="24"/>
        </w:rPr>
        <w:t>（</w:t>
      </w:r>
      <w:r>
        <w:rPr>
          <w:rFonts w:hint="default"/>
          <w:kern w:val="24"/>
          <w:szCs w:val="24"/>
        </w:rPr>
        <w:t>HJ169-2018</w:t>
      </w:r>
      <w:r>
        <w:rPr>
          <w:kern w:val="24"/>
          <w:szCs w:val="24"/>
        </w:rPr>
        <w:t>）</w:t>
      </w:r>
      <w:r>
        <w:rPr>
          <w:rFonts w:hint="default"/>
          <w:kern w:val="24"/>
          <w:szCs w:val="24"/>
        </w:rPr>
        <w:t>中附录E</w:t>
      </w:r>
      <w:r>
        <w:rPr>
          <w:rFonts w:hint="eastAsia"/>
          <w:kern w:val="24"/>
          <w:szCs w:val="24"/>
          <w:lang w:eastAsia="zh-CN"/>
        </w:rPr>
        <w:t>“</w:t>
      </w:r>
      <w:r>
        <w:rPr>
          <w:rFonts w:hint="default"/>
          <w:kern w:val="24"/>
          <w:szCs w:val="24"/>
        </w:rPr>
        <w:t>E.1泄露频率表</w:t>
      </w:r>
      <w:r>
        <w:rPr>
          <w:rFonts w:hint="eastAsia"/>
          <w:kern w:val="24"/>
          <w:szCs w:val="24"/>
          <w:lang w:eastAsia="zh-CN"/>
        </w:rPr>
        <w:t>”</w:t>
      </w:r>
      <w:r>
        <w:rPr>
          <w:rFonts w:hint="default"/>
          <w:kern w:val="24"/>
          <w:szCs w:val="24"/>
        </w:rPr>
        <w:t>，推算本次泄露频率。泄露频率表见表6.</w:t>
      </w:r>
      <w:r>
        <w:rPr>
          <w:kern w:val="24"/>
          <w:szCs w:val="24"/>
        </w:rPr>
        <w:t>8-</w:t>
      </w:r>
      <w:r>
        <w:rPr>
          <w:rFonts w:hint="eastAsia"/>
          <w:kern w:val="24"/>
          <w:szCs w:val="24"/>
          <w:lang w:val="en-US" w:eastAsia="zh-CN"/>
        </w:rPr>
        <w:t>18</w:t>
      </w:r>
      <w:r>
        <w:rPr>
          <w:rFonts w:hint="default"/>
          <w:kern w:val="24"/>
          <w:szCs w:val="24"/>
        </w:rPr>
        <w:t>。</w:t>
      </w:r>
    </w:p>
    <w:p>
      <w:pPr>
        <w:spacing w:line="240" w:lineRule="auto"/>
        <w:ind w:left="432" w:firstLine="482"/>
        <w:jc w:val="center"/>
        <w:rPr>
          <w:b/>
        </w:rPr>
      </w:pPr>
      <w:r>
        <w:rPr>
          <w:b/>
        </w:rPr>
        <w:t>表</w:t>
      </w:r>
      <w:r>
        <w:rPr>
          <w:rFonts w:hint="eastAsia"/>
          <w:b/>
        </w:rPr>
        <w:t>6.8-</w:t>
      </w:r>
      <w:r>
        <w:rPr>
          <w:rFonts w:hint="eastAsia"/>
          <w:b/>
          <w:lang w:val="en-US" w:eastAsia="zh-CN"/>
        </w:rPr>
        <w:t>18</w:t>
      </w:r>
      <w:r>
        <w:rPr>
          <w:b/>
        </w:rPr>
        <w:t xml:space="preserve">  泄露频率表</w:t>
      </w:r>
    </w:p>
    <w:tbl>
      <w:tblPr>
        <w:tblStyle w:val="51"/>
        <w:tblW w:w="5013"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2238"/>
        <w:gridCol w:w="4352"/>
        <w:gridCol w:w="2516"/>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tcBorders>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部件类型</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泄露模式</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泄露频率</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restart"/>
            <w:tcBorders>
              <w:bottom w:val="nil"/>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反应器/工艺储罐/气体储罐/塔器</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泄露孔径为10mm孔径</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1.00×10</w:t>
            </w:r>
            <w:r>
              <w:rPr>
                <w:rFonts w:cs="Times New Roman"/>
                <w:kern w:val="21"/>
                <w:sz w:val="21"/>
                <w:szCs w:val="21"/>
                <w:vertAlign w:val="superscript"/>
              </w:rPr>
              <w:t>-4</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top w:val="nil"/>
              <w:bottom w:val="nil"/>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10min内储罐</w:t>
            </w:r>
            <w:r>
              <w:rPr>
                <w:rFonts w:hint="eastAsia" w:cs="Times New Roman"/>
                <w:kern w:val="21"/>
                <w:sz w:val="21"/>
                <w:szCs w:val="21"/>
                <w:lang w:eastAsia="zh-CN"/>
              </w:rPr>
              <w:t>泄漏</w:t>
            </w:r>
            <w:r>
              <w:rPr>
                <w:rFonts w:cs="Times New Roman"/>
                <w:kern w:val="21"/>
                <w:sz w:val="21"/>
                <w:szCs w:val="21"/>
              </w:rPr>
              <w:t>完</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5.00×10</w:t>
            </w:r>
            <w:r>
              <w:rPr>
                <w:rFonts w:cs="Times New Roman"/>
                <w:kern w:val="21"/>
                <w:sz w:val="21"/>
                <w:szCs w:val="21"/>
                <w:vertAlign w:val="superscript"/>
              </w:rPr>
              <w:t>-6</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top w:val="nil"/>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储罐全破裂</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5.00×10</w:t>
            </w:r>
            <w:r>
              <w:rPr>
                <w:rFonts w:cs="Times New Roman"/>
                <w:kern w:val="21"/>
                <w:sz w:val="21"/>
                <w:szCs w:val="21"/>
                <w:vertAlign w:val="superscript"/>
              </w:rPr>
              <w:t>-6</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restart"/>
            <w:tcBorders>
              <w:bottom w:val="nil"/>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常压单包容储罐</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泄露孔径为10mm孔径</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1.00×10</w:t>
            </w:r>
            <w:r>
              <w:rPr>
                <w:rFonts w:cs="Times New Roman"/>
                <w:kern w:val="21"/>
                <w:sz w:val="21"/>
                <w:szCs w:val="21"/>
                <w:vertAlign w:val="superscript"/>
              </w:rPr>
              <w:t>-4</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top w:val="nil"/>
              <w:bottom w:val="nil"/>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10min内储罐</w:t>
            </w:r>
            <w:r>
              <w:rPr>
                <w:rFonts w:hint="eastAsia" w:cs="Times New Roman"/>
                <w:kern w:val="21"/>
                <w:sz w:val="21"/>
                <w:szCs w:val="21"/>
                <w:lang w:eastAsia="zh-CN"/>
              </w:rPr>
              <w:t>泄漏</w:t>
            </w:r>
            <w:r>
              <w:rPr>
                <w:rFonts w:cs="Times New Roman"/>
                <w:kern w:val="21"/>
                <w:sz w:val="21"/>
                <w:szCs w:val="21"/>
              </w:rPr>
              <w:t>完</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1.25×10</w:t>
            </w:r>
            <w:r>
              <w:rPr>
                <w:rFonts w:cs="Times New Roman"/>
                <w:kern w:val="21"/>
                <w:sz w:val="21"/>
                <w:szCs w:val="21"/>
                <w:vertAlign w:val="superscript"/>
              </w:rPr>
              <w:t>-8</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top w:val="nil"/>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储罐全破裂</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1.25×10</w:t>
            </w:r>
            <w:r>
              <w:rPr>
                <w:rFonts w:cs="Times New Roman"/>
                <w:kern w:val="21"/>
                <w:sz w:val="21"/>
                <w:szCs w:val="21"/>
                <w:vertAlign w:val="superscript"/>
              </w:rPr>
              <w:t>-8</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tcBorders>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常压全包容储罐</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储罐全破裂</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1.00×10</w:t>
            </w:r>
            <w:r>
              <w:rPr>
                <w:rFonts w:cs="Times New Roman"/>
                <w:kern w:val="21"/>
                <w:sz w:val="21"/>
                <w:szCs w:val="21"/>
                <w:vertAlign w:val="superscript"/>
              </w:rPr>
              <w:t>-8</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restart"/>
            <w:tcBorders>
              <w:bottom w:val="nil"/>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内径≤75mm</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泄露孔径为10%孔径</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5.00×10</w:t>
            </w:r>
            <w:r>
              <w:rPr>
                <w:rFonts w:cs="Times New Roman"/>
                <w:kern w:val="21"/>
                <w:sz w:val="21"/>
                <w:szCs w:val="21"/>
                <w:vertAlign w:val="superscript"/>
              </w:rPr>
              <w:t>-6</w:t>
            </w:r>
            <w:r>
              <w:rPr>
                <w:rFonts w:cs="Times New Roman"/>
                <w:kern w:val="21"/>
                <w:sz w:val="21"/>
                <w:szCs w:val="21"/>
              </w:rPr>
              <w:t>/</w:t>
            </w:r>
            <w:r>
              <w:rPr>
                <w:rFonts w:hint="eastAsia" w:cs="Times New Roman"/>
                <w:kern w:val="21"/>
                <w:sz w:val="21"/>
                <w:szCs w:val="21"/>
              </w:rPr>
              <w:t>（</w:t>
            </w:r>
            <w:r>
              <w:rPr>
                <w:rFonts w:cs="Times New Roman"/>
                <w:kern w:val="21"/>
                <w:sz w:val="21"/>
                <w:szCs w:val="21"/>
              </w:rPr>
              <w:t>m·a</w:t>
            </w: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top w:val="nil"/>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全管径泄露</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1.00×10</w:t>
            </w:r>
            <w:r>
              <w:rPr>
                <w:rFonts w:cs="Times New Roman"/>
                <w:kern w:val="21"/>
                <w:sz w:val="21"/>
                <w:szCs w:val="21"/>
                <w:vertAlign w:val="superscript"/>
              </w:rPr>
              <w:t>-6</w:t>
            </w:r>
            <w:r>
              <w:rPr>
                <w:rFonts w:cs="Times New Roman"/>
                <w:kern w:val="21"/>
                <w:sz w:val="21"/>
                <w:szCs w:val="21"/>
              </w:rPr>
              <w:t>/</w:t>
            </w:r>
            <w:r>
              <w:rPr>
                <w:rFonts w:hint="eastAsia" w:cs="Times New Roman"/>
                <w:kern w:val="21"/>
                <w:sz w:val="21"/>
                <w:szCs w:val="21"/>
              </w:rPr>
              <w:t>（</w:t>
            </w:r>
            <w:r>
              <w:rPr>
                <w:rFonts w:cs="Times New Roman"/>
                <w:kern w:val="21"/>
                <w:sz w:val="21"/>
                <w:szCs w:val="21"/>
              </w:rPr>
              <w:t>m·a</w:t>
            </w: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restart"/>
            <w:tcBorders>
              <w:bottom w:val="nil"/>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75mm＜内径≤150mm的管道</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泄露孔径为10%孔径</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2.00×10</w:t>
            </w:r>
            <w:r>
              <w:rPr>
                <w:rFonts w:cs="Times New Roman"/>
                <w:kern w:val="21"/>
                <w:sz w:val="21"/>
                <w:szCs w:val="21"/>
                <w:vertAlign w:val="superscript"/>
              </w:rPr>
              <w:t>-6</w:t>
            </w:r>
            <w:r>
              <w:rPr>
                <w:rFonts w:cs="Times New Roman"/>
                <w:kern w:val="21"/>
                <w:sz w:val="21"/>
                <w:szCs w:val="21"/>
              </w:rPr>
              <w:t>/</w:t>
            </w:r>
            <w:r>
              <w:rPr>
                <w:rFonts w:hint="eastAsia" w:cs="Times New Roman"/>
                <w:kern w:val="21"/>
                <w:sz w:val="21"/>
                <w:szCs w:val="21"/>
              </w:rPr>
              <w:t>（</w:t>
            </w:r>
            <w:r>
              <w:rPr>
                <w:rFonts w:cs="Times New Roman"/>
                <w:kern w:val="21"/>
                <w:sz w:val="21"/>
                <w:szCs w:val="21"/>
              </w:rPr>
              <w:t>m·a</w:t>
            </w: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top w:val="nil"/>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全管径泄露</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3.00×10</w:t>
            </w:r>
            <w:r>
              <w:rPr>
                <w:rFonts w:cs="Times New Roman"/>
                <w:kern w:val="21"/>
                <w:sz w:val="21"/>
                <w:szCs w:val="21"/>
                <w:vertAlign w:val="superscript"/>
              </w:rPr>
              <w:t>-7</w:t>
            </w:r>
            <w:r>
              <w:rPr>
                <w:rFonts w:cs="Times New Roman"/>
                <w:kern w:val="21"/>
                <w:sz w:val="21"/>
                <w:szCs w:val="21"/>
              </w:rPr>
              <w:t>/</w:t>
            </w:r>
            <w:r>
              <w:rPr>
                <w:rFonts w:hint="eastAsia" w:cs="Times New Roman"/>
                <w:kern w:val="21"/>
                <w:sz w:val="21"/>
                <w:szCs w:val="21"/>
              </w:rPr>
              <w:t>（</w:t>
            </w:r>
            <w:r>
              <w:rPr>
                <w:rFonts w:cs="Times New Roman"/>
                <w:kern w:val="21"/>
                <w:sz w:val="21"/>
                <w:szCs w:val="21"/>
              </w:rPr>
              <w:t>m·a</w:t>
            </w: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restart"/>
            <w:tcBorders>
              <w:bottom w:val="nil"/>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内径＞150mm的管道</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泄露孔径为10%孔径</w:t>
            </w:r>
            <w:r>
              <w:rPr>
                <w:rFonts w:hint="eastAsia" w:cs="Times New Roman"/>
                <w:kern w:val="21"/>
                <w:sz w:val="21"/>
                <w:szCs w:val="21"/>
              </w:rPr>
              <w:t>（</w:t>
            </w:r>
            <w:r>
              <w:rPr>
                <w:rFonts w:cs="Times New Roman"/>
                <w:kern w:val="21"/>
                <w:sz w:val="21"/>
                <w:szCs w:val="21"/>
              </w:rPr>
              <w:t>最大50mm</w:t>
            </w:r>
            <w:r>
              <w:rPr>
                <w:rFonts w:hint="eastAsia" w:cs="Times New Roman"/>
                <w:kern w:val="21"/>
                <w:sz w:val="21"/>
                <w:szCs w:val="21"/>
              </w:rPr>
              <w:t>）</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2.40×10</w:t>
            </w:r>
            <w:r>
              <w:rPr>
                <w:rFonts w:cs="Times New Roman"/>
                <w:kern w:val="21"/>
                <w:sz w:val="21"/>
                <w:szCs w:val="21"/>
                <w:vertAlign w:val="superscript"/>
              </w:rPr>
              <w:t>-6</w:t>
            </w:r>
            <w:r>
              <w:rPr>
                <w:rFonts w:cs="Times New Roman"/>
                <w:kern w:val="21"/>
                <w:sz w:val="21"/>
                <w:szCs w:val="21"/>
              </w:rPr>
              <w:t>/</w:t>
            </w:r>
            <w:r>
              <w:rPr>
                <w:rFonts w:hint="eastAsia" w:cs="Times New Roman"/>
                <w:kern w:val="21"/>
                <w:sz w:val="21"/>
                <w:szCs w:val="21"/>
              </w:rPr>
              <w:t>（</w:t>
            </w:r>
            <w:r>
              <w:rPr>
                <w:rFonts w:cs="Times New Roman"/>
                <w:kern w:val="21"/>
                <w:sz w:val="21"/>
                <w:szCs w:val="21"/>
              </w:rPr>
              <w:t>m·a</w:t>
            </w: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top w:val="nil"/>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全管径泄露</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1.00×10</w:t>
            </w:r>
            <w:r>
              <w:rPr>
                <w:rFonts w:cs="Times New Roman"/>
                <w:kern w:val="21"/>
                <w:sz w:val="21"/>
                <w:szCs w:val="21"/>
                <w:vertAlign w:val="superscript"/>
              </w:rPr>
              <w:t>-7</w:t>
            </w:r>
            <w:r>
              <w:rPr>
                <w:rFonts w:cs="Times New Roman"/>
                <w:kern w:val="21"/>
                <w:sz w:val="21"/>
                <w:szCs w:val="21"/>
              </w:rPr>
              <w:t>/</w:t>
            </w:r>
            <w:r>
              <w:rPr>
                <w:rFonts w:hint="eastAsia" w:cs="Times New Roman"/>
                <w:kern w:val="21"/>
                <w:sz w:val="21"/>
                <w:szCs w:val="21"/>
              </w:rPr>
              <w:t>（</w:t>
            </w:r>
            <w:r>
              <w:rPr>
                <w:rFonts w:cs="Times New Roman"/>
                <w:kern w:val="21"/>
                <w:sz w:val="21"/>
                <w:szCs w:val="21"/>
              </w:rPr>
              <w:t>m·a</w:t>
            </w:r>
            <w:r>
              <w:rPr>
                <w:rFonts w:hint="eastAsia" w:cs="Times New Roman"/>
                <w:kern w:val="21"/>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restart"/>
            <w:tcBorders>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泵体和压缩机</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泵体和压缩机最大连接管泄露孔径为10%</w:t>
            </w:r>
          </w:p>
        </w:tc>
        <w:tc>
          <w:tcPr>
            <w:tcW w:w="1381" w:type="pct"/>
            <w:vMerge w:val="restar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5.00×10</w:t>
            </w:r>
            <w:r>
              <w:rPr>
                <w:rFonts w:cs="Times New Roman"/>
                <w:kern w:val="21"/>
                <w:sz w:val="21"/>
                <w:szCs w:val="21"/>
                <w:vertAlign w:val="superscript"/>
              </w:rPr>
              <w:t>-4</w:t>
            </w:r>
            <w:r>
              <w:rPr>
                <w:rFonts w:cs="Times New Roman"/>
                <w:kern w:val="21"/>
                <w:sz w:val="21"/>
                <w:szCs w:val="21"/>
              </w:rPr>
              <w:t>/a</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孔径</w:t>
            </w:r>
            <w:r>
              <w:rPr>
                <w:rFonts w:hint="eastAsia" w:cs="Times New Roman"/>
                <w:kern w:val="21"/>
                <w:sz w:val="21"/>
                <w:szCs w:val="21"/>
              </w:rPr>
              <w:t>（</w:t>
            </w:r>
            <w:r>
              <w:rPr>
                <w:rFonts w:cs="Times New Roman"/>
                <w:kern w:val="21"/>
                <w:sz w:val="21"/>
                <w:szCs w:val="21"/>
              </w:rPr>
              <w:t>最大50mm</w:t>
            </w:r>
            <w:r>
              <w:rPr>
                <w:rFonts w:hint="eastAsia" w:cs="Times New Roman"/>
                <w:kern w:val="21"/>
                <w:sz w:val="21"/>
                <w:szCs w:val="21"/>
              </w:rPr>
              <w:t>）</w:t>
            </w:r>
          </w:p>
        </w:tc>
        <w:tc>
          <w:tcPr>
            <w:tcW w:w="1381" w:type="pct"/>
            <w:vMerge w:val="continue"/>
            <w:tcBorders>
              <w:left w:val="single" w:color="000000" w:sz="4" w:space="0"/>
            </w:tcBorders>
            <w:vAlign w:val="center"/>
          </w:tcPr>
          <w:p>
            <w:pPr>
              <w:spacing w:line="240" w:lineRule="auto"/>
              <w:ind w:firstLine="0" w:firstLineChars="0"/>
              <w:jc w:val="center"/>
              <w:rPr>
                <w:rFonts w:cs="Times New Roman"/>
                <w:kern w:val="21"/>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泵体和压缩机最大连接管全管泄露</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3.00×10</w:t>
            </w:r>
            <w:r>
              <w:rPr>
                <w:rFonts w:cs="Times New Roman"/>
                <w:kern w:val="21"/>
                <w:sz w:val="21"/>
                <w:szCs w:val="21"/>
                <w:vertAlign w:val="superscript"/>
              </w:rPr>
              <w:t>-7</w:t>
            </w:r>
            <w:r>
              <w:rPr>
                <w:rFonts w:cs="Times New Roman"/>
                <w:kern w:val="21"/>
                <w:sz w:val="21"/>
                <w:szCs w:val="21"/>
              </w:rPr>
              <w:t>/a</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restart"/>
            <w:tcBorders>
              <w:bottom w:val="nil"/>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装卸臂</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装卸臂连接管泄露孔径为10%孔径</w:t>
            </w:r>
            <w:r>
              <w:rPr>
                <w:rFonts w:hint="eastAsia" w:cs="Times New Roman"/>
                <w:kern w:val="21"/>
                <w:sz w:val="21"/>
                <w:szCs w:val="21"/>
              </w:rPr>
              <w:t>（</w:t>
            </w:r>
            <w:r>
              <w:rPr>
                <w:rFonts w:cs="Times New Roman"/>
                <w:kern w:val="21"/>
                <w:sz w:val="21"/>
                <w:szCs w:val="21"/>
              </w:rPr>
              <w:t>最大50mm</w:t>
            </w:r>
            <w:r>
              <w:rPr>
                <w:rFonts w:hint="eastAsia" w:cs="Times New Roman"/>
                <w:kern w:val="21"/>
                <w:sz w:val="21"/>
                <w:szCs w:val="21"/>
              </w:rPr>
              <w:t>）</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3.00×10</w:t>
            </w:r>
            <w:r>
              <w:rPr>
                <w:rFonts w:cs="Times New Roman"/>
                <w:kern w:val="21"/>
                <w:sz w:val="21"/>
                <w:szCs w:val="21"/>
                <w:vertAlign w:val="superscript"/>
              </w:rPr>
              <w:t>-7</w:t>
            </w:r>
            <w:r>
              <w:rPr>
                <w:rFonts w:cs="Times New Roman"/>
                <w:kern w:val="21"/>
                <w:sz w:val="21"/>
                <w:szCs w:val="21"/>
              </w:rPr>
              <w:t>/h</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top w:val="nil"/>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装卸臂全管径泄露</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3.00×10</w:t>
            </w:r>
            <w:r>
              <w:rPr>
                <w:rFonts w:cs="Times New Roman"/>
                <w:kern w:val="21"/>
                <w:sz w:val="21"/>
                <w:szCs w:val="21"/>
                <w:vertAlign w:val="superscript"/>
              </w:rPr>
              <w:t>-8</w:t>
            </w:r>
            <w:r>
              <w:rPr>
                <w:rFonts w:cs="Times New Roman"/>
                <w:kern w:val="21"/>
                <w:sz w:val="21"/>
                <w:szCs w:val="21"/>
              </w:rPr>
              <w:t>/h</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restart"/>
            <w:tcBorders>
              <w:bottom w:val="nil"/>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装卸软管</w:t>
            </w: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装卸软管连接管泄露孔径为10%孔径</w:t>
            </w:r>
            <w:r>
              <w:rPr>
                <w:rFonts w:hint="eastAsia" w:cs="Times New Roman"/>
                <w:kern w:val="21"/>
                <w:sz w:val="21"/>
                <w:szCs w:val="21"/>
              </w:rPr>
              <w:t>（</w:t>
            </w:r>
            <w:r>
              <w:rPr>
                <w:rFonts w:cs="Times New Roman"/>
                <w:kern w:val="21"/>
                <w:sz w:val="21"/>
                <w:szCs w:val="21"/>
              </w:rPr>
              <w:t>最大50mm</w:t>
            </w:r>
            <w:r>
              <w:rPr>
                <w:rFonts w:hint="eastAsia" w:cs="Times New Roman"/>
                <w:kern w:val="21"/>
                <w:sz w:val="21"/>
                <w:szCs w:val="21"/>
              </w:rPr>
              <w:t>）</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4.00×10</w:t>
            </w:r>
            <w:r>
              <w:rPr>
                <w:rFonts w:cs="Times New Roman"/>
                <w:kern w:val="21"/>
                <w:sz w:val="21"/>
                <w:szCs w:val="21"/>
                <w:vertAlign w:val="superscript"/>
              </w:rPr>
              <w:t>-5</w:t>
            </w:r>
            <w:r>
              <w:rPr>
                <w:rFonts w:cs="Times New Roman"/>
                <w:kern w:val="21"/>
                <w:sz w:val="21"/>
                <w:szCs w:val="21"/>
              </w:rPr>
              <w:t>/h</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29" w:type="pct"/>
            <w:vMerge w:val="continue"/>
            <w:tcBorders>
              <w:top w:val="nil"/>
              <w:right w:val="single" w:color="000000" w:sz="4" w:space="0"/>
            </w:tcBorders>
            <w:vAlign w:val="center"/>
          </w:tcPr>
          <w:p>
            <w:pPr>
              <w:spacing w:line="240" w:lineRule="auto"/>
              <w:ind w:firstLine="0" w:firstLineChars="0"/>
              <w:jc w:val="center"/>
              <w:rPr>
                <w:rFonts w:cs="Times New Roman"/>
                <w:kern w:val="21"/>
                <w:sz w:val="21"/>
                <w:szCs w:val="21"/>
              </w:rPr>
            </w:pPr>
          </w:p>
        </w:tc>
        <w:tc>
          <w:tcPr>
            <w:tcW w:w="2389" w:type="pct"/>
            <w:tcBorders>
              <w:left w:val="single" w:color="000000" w:sz="4" w:space="0"/>
              <w:righ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装卸软管全管径泄露</w:t>
            </w:r>
          </w:p>
        </w:tc>
        <w:tc>
          <w:tcPr>
            <w:tcW w:w="1381" w:type="pct"/>
            <w:tcBorders>
              <w:left w:val="single" w:color="000000" w:sz="4" w:space="0"/>
            </w:tcBorders>
            <w:vAlign w:val="center"/>
          </w:tcPr>
          <w:p>
            <w:pPr>
              <w:spacing w:line="240" w:lineRule="auto"/>
              <w:ind w:firstLine="0" w:firstLineChars="0"/>
              <w:jc w:val="center"/>
              <w:rPr>
                <w:rFonts w:cs="Times New Roman"/>
                <w:kern w:val="21"/>
                <w:sz w:val="21"/>
                <w:szCs w:val="21"/>
              </w:rPr>
            </w:pPr>
            <w:r>
              <w:rPr>
                <w:rFonts w:cs="Times New Roman"/>
                <w:kern w:val="21"/>
                <w:sz w:val="21"/>
                <w:szCs w:val="21"/>
              </w:rPr>
              <w:t>4.00×10</w:t>
            </w:r>
            <w:r>
              <w:rPr>
                <w:rFonts w:cs="Times New Roman"/>
                <w:kern w:val="21"/>
                <w:sz w:val="21"/>
                <w:szCs w:val="21"/>
                <w:vertAlign w:val="superscript"/>
              </w:rPr>
              <w:t>-6</w:t>
            </w:r>
            <w:r>
              <w:rPr>
                <w:rFonts w:cs="Times New Roman"/>
                <w:kern w:val="21"/>
                <w:sz w:val="21"/>
                <w:szCs w:val="21"/>
              </w:rPr>
              <w:t>/h</w:t>
            </w:r>
          </w:p>
        </w:tc>
      </w:tr>
    </w:tbl>
    <w:p>
      <w:pPr>
        <w:pStyle w:val="48"/>
        <w:widowControl w:val="0"/>
        <w:ind w:firstLine="436" w:firstLineChars="182"/>
        <w:rPr>
          <w:rFonts w:hint="default"/>
          <w:kern w:val="24"/>
          <w:szCs w:val="24"/>
        </w:rPr>
      </w:pPr>
      <w:r>
        <w:rPr>
          <w:rFonts w:hint="default"/>
          <w:kern w:val="24"/>
          <w:szCs w:val="24"/>
        </w:rPr>
        <w:t>本项目</w:t>
      </w:r>
      <w:r>
        <w:rPr>
          <w:kern w:val="24"/>
          <w:szCs w:val="24"/>
        </w:rPr>
        <w:t>丙烯酸</w:t>
      </w:r>
      <w:r>
        <w:rPr>
          <w:rFonts w:hint="default"/>
          <w:kern w:val="24"/>
          <w:szCs w:val="24"/>
        </w:rPr>
        <w:t>包装桶倾倒或破损频率参考表中工业储罐完全破裂的频率，即为5.00×10</w:t>
      </w:r>
      <w:r>
        <w:rPr>
          <w:rFonts w:hint="default"/>
          <w:kern w:val="24"/>
          <w:szCs w:val="24"/>
          <w:vertAlign w:val="superscript"/>
        </w:rPr>
        <w:t>-6</w:t>
      </w:r>
      <w:r>
        <w:rPr>
          <w:rFonts w:hint="default"/>
          <w:kern w:val="24"/>
          <w:szCs w:val="24"/>
        </w:rPr>
        <w:t>/a。</w:t>
      </w:r>
    </w:p>
    <w:p>
      <w:pPr>
        <w:pStyle w:val="48"/>
        <w:widowControl w:val="0"/>
        <w:ind w:firstLine="436" w:firstLineChars="182"/>
        <w:rPr>
          <w:rFonts w:hint="default"/>
          <w:kern w:val="24"/>
          <w:szCs w:val="24"/>
        </w:rPr>
      </w:pPr>
      <w:r>
        <w:rPr>
          <w:kern w:val="24"/>
          <w:szCs w:val="24"/>
        </w:rPr>
        <w:t>（</w:t>
      </w:r>
      <w:r>
        <w:rPr>
          <w:rFonts w:hint="default"/>
          <w:kern w:val="24"/>
          <w:szCs w:val="24"/>
        </w:rPr>
        <w:t>3</w:t>
      </w:r>
      <w:r>
        <w:rPr>
          <w:kern w:val="24"/>
          <w:szCs w:val="24"/>
        </w:rPr>
        <w:t>）</w:t>
      </w:r>
      <w:r>
        <w:rPr>
          <w:rFonts w:hint="default"/>
          <w:kern w:val="24"/>
          <w:szCs w:val="24"/>
        </w:rPr>
        <w:t>泄漏量计算</w:t>
      </w:r>
    </w:p>
    <w:p>
      <w:pPr>
        <w:pStyle w:val="48"/>
        <w:widowControl w:val="0"/>
        <w:ind w:firstLine="436" w:firstLineChars="182"/>
        <w:rPr>
          <w:rFonts w:hint="default"/>
          <w:kern w:val="24"/>
          <w:szCs w:val="24"/>
        </w:rPr>
      </w:pPr>
      <w:r>
        <w:rPr>
          <w:kern w:val="24"/>
          <w:szCs w:val="24"/>
        </w:rPr>
        <w:t>丙烯酸</w:t>
      </w:r>
      <w:r>
        <w:rPr>
          <w:rFonts w:hint="default"/>
          <w:kern w:val="24"/>
          <w:szCs w:val="24"/>
        </w:rPr>
        <w:t>的</w:t>
      </w:r>
      <w:r>
        <w:rPr>
          <w:rFonts w:hint="eastAsia"/>
          <w:kern w:val="24"/>
          <w:szCs w:val="24"/>
          <w:lang w:eastAsia="zh-CN"/>
        </w:rPr>
        <w:t>储罐为</w:t>
      </w:r>
      <w:r>
        <w:rPr>
          <w:rFonts w:hint="eastAsia"/>
          <w:kern w:val="24"/>
          <w:szCs w:val="24"/>
          <w:lang w:val="en-US" w:eastAsia="zh-CN"/>
        </w:rPr>
        <w:t>10t</w:t>
      </w:r>
      <w:r>
        <w:rPr>
          <w:rFonts w:hint="default"/>
          <w:kern w:val="24"/>
          <w:szCs w:val="24"/>
        </w:rPr>
        <w:t>，存贮在</w:t>
      </w:r>
      <w:r>
        <w:rPr>
          <w:kern w:val="24"/>
          <w:szCs w:val="24"/>
        </w:rPr>
        <w:t>丙类</w:t>
      </w:r>
      <w:r>
        <w:rPr>
          <w:rFonts w:hint="default"/>
          <w:kern w:val="24"/>
          <w:szCs w:val="24"/>
        </w:rPr>
        <w:t>仓库</w:t>
      </w:r>
      <w:r>
        <w:rPr>
          <w:rFonts w:hint="eastAsia"/>
          <w:kern w:val="24"/>
          <w:szCs w:val="24"/>
          <w:lang w:eastAsia="zh-CN"/>
        </w:rPr>
        <w:t>储罐区</w:t>
      </w:r>
      <w:r>
        <w:rPr>
          <w:rFonts w:hint="default"/>
          <w:kern w:val="24"/>
          <w:szCs w:val="24"/>
        </w:rPr>
        <w:t>，设定装卸时发生倾倒或破损，瞬间泄漏完全，在地面形成液池，挥发扩散到空气中。由于装卸时现场有操作人员，能立即采取应急措施，使用黄沙、吸收棉、沙袋等应急物资进行处理，在15min内吸附或处理完毕，因而挥发时间设定为15min。</w:t>
      </w:r>
    </w:p>
    <w:p>
      <w:pPr>
        <w:pStyle w:val="48"/>
        <w:widowControl w:val="0"/>
        <w:ind w:firstLine="436" w:firstLineChars="182"/>
        <w:rPr>
          <w:rFonts w:hint="default"/>
          <w:kern w:val="24"/>
          <w:szCs w:val="24"/>
        </w:rPr>
      </w:pPr>
      <w:r>
        <w:rPr>
          <w:rFonts w:hint="default"/>
          <w:kern w:val="24"/>
          <w:szCs w:val="24"/>
        </w:rPr>
        <w:t>采用《建设项目环境风险评价技术导则》</w:t>
      </w:r>
      <w:r>
        <w:rPr>
          <w:kern w:val="24"/>
          <w:szCs w:val="24"/>
        </w:rPr>
        <w:t>（</w:t>
      </w:r>
      <w:r>
        <w:rPr>
          <w:rFonts w:hint="default"/>
          <w:kern w:val="24"/>
          <w:szCs w:val="24"/>
        </w:rPr>
        <w:t>HJ 169-2018</w:t>
      </w:r>
      <w:r>
        <w:rPr>
          <w:kern w:val="24"/>
          <w:szCs w:val="24"/>
        </w:rPr>
        <w:t>）</w:t>
      </w:r>
      <w:r>
        <w:rPr>
          <w:rFonts w:hint="default"/>
          <w:kern w:val="24"/>
          <w:szCs w:val="24"/>
        </w:rPr>
        <w:t>推荐的液体泄漏公式进行计算：</w:t>
      </w:r>
    </w:p>
    <w:p>
      <w:pPr>
        <w:pStyle w:val="48"/>
        <w:widowControl w:val="0"/>
        <w:ind w:firstLine="436" w:firstLineChars="182"/>
        <w:jc w:val="center"/>
        <w:rPr>
          <w:rFonts w:hint="default"/>
          <w:kern w:val="24"/>
          <w:szCs w:val="24"/>
        </w:rPr>
      </w:pPr>
      <w:r>
        <w:rPr>
          <w:rFonts w:hint="default"/>
          <w:kern w:val="24"/>
          <w:szCs w:val="24"/>
        </w:rPr>
        <w:t>QL=CdAp</w:t>
      </w:r>
      <w:r>
        <w:rPr>
          <w:position w:val="-31"/>
          <w:sz w:val="25"/>
          <w:szCs w:val="25"/>
        </w:rPr>
        <w:drawing>
          <wp:inline distT="0" distB="0" distL="0" distR="0">
            <wp:extent cx="1062990" cy="410210"/>
            <wp:effectExtent l="0" t="0" r="3810" b="8890"/>
            <wp:docPr id="57" name="IM 5"/>
            <wp:cNvGraphicFramePr/>
            <a:graphic xmlns:a="http://schemas.openxmlformats.org/drawingml/2006/main">
              <a:graphicData uri="http://schemas.openxmlformats.org/drawingml/2006/picture">
                <pic:pic xmlns:pic="http://schemas.openxmlformats.org/drawingml/2006/picture">
                  <pic:nvPicPr>
                    <pic:cNvPr id="57" name="IM 5"/>
                    <pic:cNvPicPr/>
                  </pic:nvPicPr>
                  <pic:blipFill>
                    <a:blip r:embed="rId103"/>
                    <a:stretch>
                      <a:fillRect/>
                    </a:stretch>
                  </pic:blipFill>
                  <pic:spPr>
                    <a:xfrm>
                      <a:off x="0" y="0"/>
                      <a:ext cx="1063529" cy="410501"/>
                    </a:xfrm>
                    <a:prstGeom prst="rect">
                      <a:avLst/>
                    </a:prstGeom>
                  </pic:spPr>
                </pic:pic>
              </a:graphicData>
            </a:graphic>
          </wp:inline>
        </w:drawing>
      </w:r>
    </w:p>
    <w:p>
      <w:pPr>
        <w:pStyle w:val="48"/>
        <w:widowControl w:val="0"/>
        <w:ind w:firstLine="436" w:firstLineChars="182"/>
        <w:rPr>
          <w:rFonts w:hint="default"/>
          <w:kern w:val="24"/>
          <w:szCs w:val="24"/>
        </w:rPr>
      </w:pPr>
      <w:r>
        <w:rPr>
          <w:kern w:val="24"/>
          <w:szCs w:val="24"/>
        </w:rPr>
        <w:t>式中：QL——液体泄漏速度，kg/s；</w:t>
      </w:r>
    </w:p>
    <w:p>
      <w:pPr>
        <w:pStyle w:val="48"/>
        <w:widowControl w:val="0"/>
        <w:ind w:firstLine="436" w:firstLineChars="182"/>
        <w:rPr>
          <w:rFonts w:hint="default"/>
          <w:kern w:val="24"/>
          <w:szCs w:val="24"/>
        </w:rPr>
      </w:pPr>
      <w:r>
        <w:rPr>
          <w:kern w:val="24"/>
          <w:szCs w:val="24"/>
        </w:rPr>
        <w:t>Cd——液体泄漏系数，取0.65；</w:t>
      </w:r>
    </w:p>
    <w:p>
      <w:pPr>
        <w:pStyle w:val="48"/>
        <w:widowControl w:val="0"/>
        <w:ind w:firstLine="436" w:firstLineChars="182"/>
        <w:rPr>
          <w:rFonts w:hint="default"/>
          <w:kern w:val="24"/>
          <w:szCs w:val="24"/>
        </w:rPr>
      </w:pPr>
      <w:r>
        <w:rPr>
          <w:kern w:val="24"/>
          <w:szCs w:val="24"/>
        </w:rPr>
        <w:t>A——裂口面积，m</w:t>
      </w:r>
      <w:r>
        <w:rPr>
          <w:kern w:val="24"/>
          <w:szCs w:val="24"/>
          <w:vertAlign w:val="superscript"/>
        </w:rPr>
        <w:t>2</w:t>
      </w:r>
      <w:r>
        <w:rPr>
          <w:kern w:val="24"/>
          <w:szCs w:val="24"/>
        </w:rPr>
        <w:t>；</w:t>
      </w:r>
    </w:p>
    <w:p>
      <w:pPr>
        <w:pStyle w:val="48"/>
        <w:widowControl w:val="0"/>
        <w:ind w:firstLine="436" w:firstLineChars="182"/>
        <w:rPr>
          <w:rFonts w:hint="default"/>
          <w:kern w:val="24"/>
          <w:szCs w:val="24"/>
        </w:rPr>
      </w:pPr>
      <w:r>
        <w:rPr>
          <w:kern w:val="24"/>
          <w:szCs w:val="24"/>
        </w:rPr>
        <w:t>ρ—泄漏液体密度，kg/m</w:t>
      </w:r>
      <w:r>
        <w:rPr>
          <w:kern w:val="24"/>
          <w:szCs w:val="24"/>
          <w:vertAlign w:val="superscript"/>
        </w:rPr>
        <w:t>3</w:t>
      </w:r>
      <w:r>
        <w:rPr>
          <w:kern w:val="24"/>
          <w:szCs w:val="24"/>
        </w:rPr>
        <w:t>；</w:t>
      </w:r>
    </w:p>
    <w:p>
      <w:pPr>
        <w:pStyle w:val="48"/>
        <w:widowControl w:val="0"/>
        <w:ind w:firstLine="436" w:firstLineChars="182"/>
        <w:rPr>
          <w:rFonts w:hint="default"/>
          <w:kern w:val="24"/>
          <w:szCs w:val="24"/>
        </w:rPr>
      </w:pPr>
      <w:r>
        <w:rPr>
          <w:kern w:val="24"/>
          <w:szCs w:val="24"/>
        </w:rPr>
        <w:t>P——容器内介质压力，Pa；</w:t>
      </w:r>
    </w:p>
    <w:p>
      <w:pPr>
        <w:pStyle w:val="48"/>
        <w:widowControl w:val="0"/>
        <w:ind w:firstLine="436" w:firstLineChars="182"/>
        <w:rPr>
          <w:rFonts w:hint="default"/>
          <w:kern w:val="24"/>
          <w:szCs w:val="24"/>
        </w:rPr>
      </w:pPr>
      <w:r>
        <w:rPr>
          <w:kern w:val="24"/>
          <w:szCs w:val="24"/>
        </w:rPr>
        <w:t>P0——环境压力，Pa；取1.01×105Pa；</w:t>
      </w:r>
    </w:p>
    <w:p>
      <w:pPr>
        <w:pStyle w:val="48"/>
        <w:widowControl w:val="0"/>
        <w:ind w:firstLine="436" w:firstLineChars="182"/>
        <w:rPr>
          <w:rFonts w:hint="default"/>
          <w:kern w:val="24"/>
          <w:szCs w:val="24"/>
        </w:rPr>
      </w:pPr>
      <w:r>
        <w:rPr>
          <w:kern w:val="24"/>
          <w:szCs w:val="24"/>
        </w:rPr>
        <w:t>g——重力加速度；取9.81；</w:t>
      </w:r>
    </w:p>
    <w:p>
      <w:pPr>
        <w:pStyle w:val="48"/>
        <w:widowControl w:val="0"/>
        <w:ind w:firstLine="436" w:firstLineChars="182"/>
        <w:rPr>
          <w:rFonts w:hint="default"/>
          <w:kern w:val="24"/>
          <w:szCs w:val="24"/>
        </w:rPr>
      </w:pPr>
      <w:r>
        <w:rPr>
          <w:kern w:val="24"/>
          <w:szCs w:val="24"/>
        </w:rPr>
        <w:t>h——裂口之上液位高度，m；</w:t>
      </w:r>
    </w:p>
    <w:p>
      <w:pPr>
        <w:pStyle w:val="48"/>
        <w:widowControl w:val="0"/>
        <w:ind w:firstLine="436" w:firstLineChars="182"/>
        <w:rPr>
          <w:rFonts w:hint="default"/>
          <w:kern w:val="24"/>
          <w:szCs w:val="24"/>
        </w:rPr>
      </w:pPr>
      <w:r>
        <w:rPr>
          <w:kern w:val="24"/>
          <w:szCs w:val="24"/>
        </w:rPr>
        <w:t>根据项目运行期储运条件，丙烯酸</w:t>
      </w:r>
      <w:r>
        <w:rPr>
          <w:rFonts w:hint="default"/>
          <w:kern w:val="24"/>
          <w:szCs w:val="24"/>
        </w:rPr>
        <w:t>的</w:t>
      </w:r>
      <w:r>
        <w:rPr>
          <w:rFonts w:hint="eastAsia"/>
          <w:kern w:val="24"/>
          <w:szCs w:val="24"/>
          <w:lang w:eastAsia="zh-CN"/>
        </w:rPr>
        <w:t>储罐为</w:t>
      </w:r>
      <w:r>
        <w:rPr>
          <w:rFonts w:hint="eastAsia"/>
          <w:kern w:val="24"/>
          <w:szCs w:val="24"/>
          <w:lang w:val="en-US" w:eastAsia="zh-CN"/>
        </w:rPr>
        <w:t>10t</w:t>
      </w:r>
      <w:r>
        <w:rPr>
          <w:kern w:val="24"/>
          <w:szCs w:val="24"/>
        </w:rPr>
        <w:t>，泄漏完全。项目物质泄露速度计算表如下表6.8-</w:t>
      </w:r>
      <w:r>
        <w:rPr>
          <w:rFonts w:hint="eastAsia"/>
          <w:kern w:val="24"/>
          <w:szCs w:val="24"/>
          <w:lang w:val="en-US" w:eastAsia="zh-CN"/>
        </w:rPr>
        <w:t>19</w:t>
      </w:r>
      <w:r>
        <w:rPr>
          <w:kern w:val="24"/>
          <w:szCs w:val="24"/>
        </w:rPr>
        <w:t>。</w:t>
      </w:r>
    </w:p>
    <w:p>
      <w:pPr>
        <w:spacing w:line="240" w:lineRule="auto"/>
        <w:ind w:left="432" w:firstLine="482"/>
        <w:jc w:val="center"/>
        <w:rPr>
          <w:b/>
        </w:rPr>
      </w:pPr>
      <w:r>
        <w:rPr>
          <w:b/>
        </w:rPr>
        <w:t>表</w:t>
      </w:r>
      <w:r>
        <w:rPr>
          <w:rFonts w:hint="eastAsia"/>
          <w:b/>
        </w:rPr>
        <w:t>6.8-</w:t>
      </w:r>
      <w:r>
        <w:rPr>
          <w:rFonts w:hint="eastAsia"/>
          <w:b/>
          <w:lang w:val="en-US" w:eastAsia="zh-CN"/>
        </w:rPr>
        <w:t>19</w:t>
      </w:r>
      <w:r>
        <w:rPr>
          <w:b/>
        </w:rPr>
        <w:t xml:space="preserve">  物质泄漏速率计算表</w:t>
      </w:r>
    </w:p>
    <w:tbl>
      <w:tblPr>
        <w:tblStyle w:val="51"/>
        <w:tblW w:w="4998"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1133"/>
        <w:gridCol w:w="1133"/>
        <w:gridCol w:w="1135"/>
        <w:gridCol w:w="1135"/>
        <w:gridCol w:w="1135"/>
        <w:gridCol w:w="1135"/>
        <w:gridCol w:w="1136"/>
        <w:gridCol w:w="1136"/>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650" w:hRule="atLeast"/>
          <w:jc w:val="center"/>
        </w:trPr>
        <w:tc>
          <w:tcPr>
            <w:tcW w:w="624" w:type="pct"/>
            <w:vAlign w:val="center"/>
          </w:tcPr>
          <w:p>
            <w:pPr>
              <w:spacing w:line="240" w:lineRule="auto"/>
              <w:ind w:firstLine="0" w:firstLineChars="0"/>
              <w:jc w:val="center"/>
              <w:rPr>
                <w:rFonts w:cs="Times New Roman"/>
                <w:sz w:val="21"/>
                <w:szCs w:val="21"/>
              </w:rPr>
            </w:pPr>
            <w:r>
              <w:rPr>
                <w:rFonts w:cs="Times New Roman"/>
                <w:spacing w:val="4"/>
                <w:sz w:val="21"/>
                <w:szCs w:val="21"/>
              </w:rPr>
              <w:t>名</w:t>
            </w:r>
            <w:r>
              <w:rPr>
                <w:rFonts w:cs="Times New Roman"/>
                <w:spacing w:val="3"/>
                <w:sz w:val="21"/>
                <w:szCs w:val="21"/>
              </w:rPr>
              <w:t>称</w:t>
            </w:r>
          </w:p>
        </w:tc>
        <w:tc>
          <w:tcPr>
            <w:tcW w:w="624" w:type="pct"/>
            <w:vAlign w:val="center"/>
          </w:tcPr>
          <w:p>
            <w:pPr>
              <w:spacing w:line="240" w:lineRule="auto"/>
              <w:ind w:firstLine="0" w:firstLineChars="0"/>
              <w:jc w:val="center"/>
              <w:rPr>
                <w:rFonts w:cs="Times New Roman"/>
                <w:sz w:val="21"/>
                <w:szCs w:val="21"/>
              </w:rPr>
            </w:pPr>
            <w:r>
              <w:rPr>
                <w:rFonts w:cs="Times New Roman"/>
                <w:sz w:val="21"/>
                <w:szCs w:val="21"/>
              </w:rPr>
              <w:t>A</w:t>
            </w:r>
            <w:r>
              <w:rPr>
                <w:rFonts w:hint="eastAsia" w:cs="Times New Roman"/>
                <w:spacing w:val="4"/>
                <w:sz w:val="21"/>
                <w:szCs w:val="21"/>
              </w:rPr>
              <w:t>（</w:t>
            </w:r>
            <w:r>
              <w:rPr>
                <w:rFonts w:cs="Times New Roman"/>
                <w:sz w:val="21"/>
                <w:szCs w:val="21"/>
              </w:rPr>
              <w:t>m</w:t>
            </w:r>
            <w:r>
              <w:rPr>
                <w:rFonts w:hint="eastAsia" w:cs="Times New Roman"/>
                <w:sz w:val="21"/>
                <w:szCs w:val="21"/>
                <w:vertAlign w:val="superscript"/>
              </w:rPr>
              <w:t>2</w:t>
            </w:r>
            <w:r>
              <w:rPr>
                <w:rFonts w:hint="eastAsia" w:cs="Times New Roman"/>
                <w:spacing w:val="3"/>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spacing w:val="5"/>
                <w:position w:val="2"/>
                <w:sz w:val="21"/>
                <w:szCs w:val="21"/>
              </w:rPr>
              <w:t>ρ</w:t>
            </w:r>
            <w:r>
              <w:rPr>
                <w:rFonts w:hint="eastAsia" w:cs="Times New Roman"/>
                <w:spacing w:val="3"/>
                <w:position w:val="2"/>
                <w:sz w:val="21"/>
                <w:szCs w:val="21"/>
              </w:rPr>
              <w:t>（</w:t>
            </w:r>
            <w:r>
              <w:rPr>
                <w:rFonts w:cs="Times New Roman"/>
                <w:position w:val="2"/>
                <w:sz w:val="21"/>
                <w:szCs w:val="21"/>
              </w:rPr>
              <w:t>kg</w:t>
            </w:r>
            <w:r>
              <w:rPr>
                <w:rFonts w:cs="Times New Roman"/>
                <w:spacing w:val="3"/>
                <w:position w:val="2"/>
                <w:sz w:val="21"/>
                <w:szCs w:val="21"/>
              </w:rPr>
              <w:t>/</w:t>
            </w:r>
            <w:r>
              <w:rPr>
                <w:rFonts w:cs="Times New Roman"/>
                <w:position w:val="2"/>
                <w:sz w:val="21"/>
                <w:szCs w:val="21"/>
              </w:rPr>
              <w:t>m</w:t>
            </w:r>
            <w:r>
              <w:rPr>
                <w:rFonts w:hint="eastAsia" w:cs="Times New Roman"/>
                <w:position w:val="2"/>
                <w:sz w:val="21"/>
                <w:szCs w:val="21"/>
                <w:vertAlign w:val="superscript"/>
              </w:rPr>
              <w:t>3</w:t>
            </w:r>
            <w:r>
              <w:rPr>
                <w:rFonts w:hint="eastAsia" w:cs="Times New Roman"/>
                <w:spacing w:val="3"/>
                <w:position w:val="2"/>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position w:val="3"/>
                <w:sz w:val="21"/>
                <w:szCs w:val="21"/>
              </w:rPr>
              <w:t>g</w:t>
            </w:r>
            <w:r>
              <w:rPr>
                <w:rFonts w:hint="eastAsia" w:cs="Times New Roman"/>
                <w:spacing w:val="6"/>
                <w:position w:val="3"/>
                <w:sz w:val="21"/>
                <w:szCs w:val="21"/>
              </w:rPr>
              <w:t>（</w:t>
            </w:r>
            <w:r>
              <w:rPr>
                <w:rFonts w:cs="Times New Roman"/>
                <w:position w:val="3"/>
                <w:sz w:val="21"/>
                <w:szCs w:val="21"/>
              </w:rPr>
              <w:t>m</w:t>
            </w:r>
            <w:r>
              <w:rPr>
                <w:rFonts w:cs="Times New Roman"/>
                <w:spacing w:val="6"/>
                <w:position w:val="3"/>
                <w:sz w:val="21"/>
                <w:szCs w:val="21"/>
              </w:rPr>
              <w:t>/</w:t>
            </w:r>
            <w:r>
              <w:rPr>
                <w:rFonts w:cs="Times New Roman"/>
                <w:position w:val="3"/>
                <w:sz w:val="21"/>
                <w:szCs w:val="21"/>
              </w:rPr>
              <w:t>s</w:t>
            </w:r>
            <w:r>
              <w:rPr>
                <w:rFonts w:hint="eastAsia" w:cs="Times New Roman"/>
                <w:position w:val="3"/>
                <w:sz w:val="21"/>
                <w:szCs w:val="21"/>
                <w:vertAlign w:val="superscript"/>
              </w:rPr>
              <w:t>2</w:t>
            </w:r>
            <w:r>
              <w:rPr>
                <w:rFonts w:hint="eastAsia" w:cs="Times New Roman"/>
                <w:spacing w:val="5"/>
                <w:position w:val="3"/>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sz w:val="21"/>
                <w:szCs w:val="21"/>
              </w:rPr>
              <w:t>H</w:t>
            </w:r>
            <w:r>
              <w:rPr>
                <w:rFonts w:hint="eastAsia" w:cs="Times New Roman"/>
                <w:sz w:val="21"/>
                <w:szCs w:val="21"/>
              </w:rPr>
              <w:t>（</w:t>
            </w:r>
            <w:r>
              <w:rPr>
                <w:rFonts w:cs="Times New Roman"/>
                <w:sz w:val="21"/>
                <w:szCs w:val="21"/>
              </w:rPr>
              <w:t>m</w:t>
            </w:r>
            <w:r>
              <w:rPr>
                <w:rFonts w:hint="eastAsia" w:cs="Times New Roman"/>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position w:val="2"/>
                <w:sz w:val="21"/>
                <w:szCs w:val="21"/>
              </w:rPr>
              <w:t>Q</w:t>
            </w:r>
            <w:r>
              <w:rPr>
                <w:rFonts w:cs="Times New Roman"/>
                <w:position w:val="1"/>
                <w:sz w:val="21"/>
                <w:szCs w:val="21"/>
              </w:rPr>
              <w:t>L</w:t>
            </w:r>
            <w:r>
              <w:rPr>
                <w:rFonts w:hint="eastAsia" w:cs="Times New Roman"/>
                <w:spacing w:val="2"/>
                <w:position w:val="2"/>
                <w:sz w:val="21"/>
                <w:szCs w:val="21"/>
              </w:rPr>
              <w:t>（</w:t>
            </w:r>
            <w:r>
              <w:rPr>
                <w:rFonts w:cs="Times New Roman"/>
                <w:position w:val="2"/>
                <w:sz w:val="21"/>
                <w:szCs w:val="21"/>
              </w:rPr>
              <w:t>kg</w:t>
            </w:r>
            <w:r>
              <w:rPr>
                <w:rFonts w:cs="Times New Roman"/>
                <w:spacing w:val="2"/>
                <w:position w:val="2"/>
                <w:sz w:val="21"/>
                <w:szCs w:val="21"/>
              </w:rPr>
              <w:t>/</w:t>
            </w:r>
            <w:r>
              <w:rPr>
                <w:rFonts w:cs="Times New Roman"/>
                <w:position w:val="2"/>
                <w:sz w:val="21"/>
                <w:szCs w:val="21"/>
              </w:rPr>
              <w:t>s</w:t>
            </w:r>
            <w:r>
              <w:rPr>
                <w:rFonts w:hint="eastAsia" w:cs="Times New Roman"/>
                <w:position w:val="2"/>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spacing w:val="9"/>
                <w:sz w:val="21"/>
                <w:szCs w:val="21"/>
              </w:rPr>
              <w:t>持</w:t>
            </w:r>
            <w:r>
              <w:rPr>
                <w:rFonts w:cs="Times New Roman"/>
                <w:spacing w:val="6"/>
                <w:sz w:val="21"/>
                <w:szCs w:val="21"/>
              </w:rPr>
              <w:t>续时间</w:t>
            </w:r>
            <w:r>
              <w:rPr>
                <w:rFonts w:hint="eastAsia" w:cs="Times New Roman"/>
                <w:spacing w:val="30"/>
                <w:sz w:val="21"/>
                <w:szCs w:val="21"/>
              </w:rPr>
              <w:t>（</w:t>
            </w:r>
            <w:r>
              <w:rPr>
                <w:rFonts w:cs="Times New Roman"/>
                <w:sz w:val="21"/>
                <w:szCs w:val="21"/>
              </w:rPr>
              <w:t>min</w:t>
            </w:r>
            <w:r>
              <w:rPr>
                <w:rFonts w:hint="eastAsia" w:cs="Times New Roman"/>
                <w:spacing w:val="28"/>
                <w:sz w:val="21"/>
                <w:szCs w:val="21"/>
              </w:rPr>
              <w:t>）</w:t>
            </w:r>
          </w:p>
        </w:tc>
        <w:tc>
          <w:tcPr>
            <w:tcW w:w="625" w:type="pct"/>
            <w:vAlign w:val="center"/>
          </w:tcPr>
          <w:p>
            <w:pPr>
              <w:spacing w:line="240" w:lineRule="auto"/>
              <w:ind w:firstLine="0" w:firstLineChars="0"/>
              <w:jc w:val="center"/>
              <w:rPr>
                <w:rFonts w:cs="Times New Roman"/>
                <w:spacing w:val="5"/>
                <w:position w:val="5"/>
                <w:sz w:val="21"/>
                <w:szCs w:val="21"/>
              </w:rPr>
            </w:pPr>
            <w:r>
              <w:rPr>
                <w:rFonts w:cs="Times New Roman"/>
                <w:spacing w:val="6"/>
                <w:position w:val="5"/>
                <w:sz w:val="21"/>
                <w:szCs w:val="21"/>
              </w:rPr>
              <w:t>泄漏</w:t>
            </w:r>
            <w:r>
              <w:rPr>
                <w:rFonts w:cs="Times New Roman"/>
                <w:spacing w:val="5"/>
                <w:position w:val="5"/>
                <w:sz w:val="21"/>
                <w:szCs w:val="21"/>
              </w:rPr>
              <w:t>量</w:t>
            </w:r>
          </w:p>
          <w:p>
            <w:pPr>
              <w:spacing w:line="240" w:lineRule="auto"/>
              <w:ind w:firstLine="0" w:firstLineChars="0"/>
              <w:jc w:val="center"/>
              <w:rPr>
                <w:rFonts w:cs="Times New Roman"/>
                <w:sz w:val="21"/>
                <w:szCs w:val="21"/>
              </w:rPr>
            </w:pPr>
            <w:r>
              <w:rPr>
                <w:rFonts w:hint="eastAsia" w:cs="Times New Roman"/>
                <w:spacing w:val="50"/>
                <w:position w:val="2"/>
                <w:sz w:val="21"/>
                <w:szCs w:val="21"/>
              </w:rPr>
              <w:t>（</w:t>
            </w:r>
            <w:r>
              <w:rPr>
                <w:rFonts w:cs="Times New Roman"/>
                <w:position w:val="2"/>
                <w:sz w:val="21"/>
                <w:szCs w:val="21"/>
              </w:rPr>
              <w:t>kg</w:t>
            </w:r>
            <w:r>
              <w:rPr>
                <w:rFonts w:hint="eastAsia" w:cs="Times New Roman"/>
                <w:spacing w:val="50"/>
                <w:position w:val="2"/>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39" w:hRule="atLeast"/>
          <w:jc w:val="center"/>
        </w:trPr>
        <w:tc>
          <w:tcPr>
            <w:tcW w:w="624" w:type="pct"/>
            <w:vAlign w:val="center"/>
          </w:tcPr>
          <w:p>
            <w:pPr>
              <w:spacing w:line="240" w:lineRule="auto"/>
              <w:ind w:firstLine="0" w:firstLineChars="0"/>
              <w:jc w:val="center"/>
              <w:rPr>
                <w:rFonts w:cs="Times New Roman"/>
                <w:sz w:val="21"/>
                <w:szCs w:val="21"/>
              </w:rPr>
            </w:pPr>
            <w:r>
              <w:rPr>
                <w:rFonts w:hint="eastAsia" w:cs="Times New Roman"/>
                <w:spacing w:val="6"/>
                <w:sz w:val="21"/>
                <w:szCs w:val="21"/>
              </w:rPr>
              <w:t>丙烯酸</w:t>
            </w:r>
          </w:p>
        </w:tc>
        <w:tc>
          <w:tcPr>
            <w:tcW w:w="624" w:type="pct"/>
            <w:vAlign w:val="center"/>
          </w:tcPr>
          <w:p>
            <w:pPr>
              <w:spacing w:line="240" w:lineRule="auto"/>
              <w:ind w:firstLine="0" w:firstLineChars="0"/>
              <w:jc w:val="center"/>
              <w:rPr>
                <w:rFonts w:cs="Times New Roman"/>
                <w:sz w:val="21"/>
                <w:szCs w:val="21"/>
              </w:rPr>
            </w:pPr>
            <w:r>
              <w:rPr>
                <w:rFonts w:cs="Times New Roman"/>
                <w:spacing w:val="2"/>
                <w:position w:val="1"/>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spacing w:val="2"/>
                <w:position w:val="1"/>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spacing w:val="2"/>
                <w:position w:val="1"/>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spacing w:val="2"/>
                <w:position w:val="1"/>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spacing w:val="2"/>
                <w:position w:val="1"/>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spacing w:val="2"/>
                <w:position w:val="1"/>
                <w:sz w:val="21"/>
                <w:szCs w:val="21"/>
              </w:rPr>
              <w:t>/</w:t>
            </w:r>
          </w:p>
        </w:tc>
        <w:tc>
          <w:tcPr>
            <w:tcW w:w="625" w:type="pct"/>
            <w:vAlign w:val="center"/>
          </w:tcPr>
          <w:p>
            <w:pPr>
              <w:spacing w:line="240" w:lineRule="auto"/>
              <w:ind w:firstLine="0" w:firstLineChars="0"/>
              <w:jc w:val="center"/>
              <w:rPr>
                <w:rFonts w:hint="default" w:eastAsia="宋体" w:cs="Times New Roman"/>
                <w:sz w:val="21"/>
                <w:szCs w:val="21"/>
                <w:lang w:val="en-US" w:eastAsia="zh-CN"/>
              </w:rPr>
            </w:pPr>
            <w:r>
              <w:rPr>
                <w:rFonts w:hint="eastAsia" w:cs="Times New Roman"/>
                <w:spacing w:val="5"/>
                <w:sz w:val="21"/>
                <w:szCs w:val="21"/>
                <w:lang w:val="en-US" w:eastAsia="zh-CN"/>
              </w:rPr>
              <w:t>250.0</w:t>
            </w:r>
          </w:p>
        </w:tc>
      </w:tr>
    </w:tbl>
    <w:p>
      <w:pPr>
        <w:pStyle w:val="48"/>
        <w:widowControl w:val="0"/>
        <w:ind w:firstLine="436" w:firstLineChars="182"/>
        <w:rPr>
          <w:rFonts w:hint="default"/>
          <w:kern w:val="24"/>
          <w:szCs w:val="24"/>
        </w:rPr>
      </w:pPr>
      <w:r>
        <w:rPr>
          <w:kern w:val="24"/>
          <w:szCs w:val="24"/>
        </w:rPr>
        <w:t>（4）蒸发量计算</w:t>
      </w:r>
    </w:p>
    <w:p>
      <w:pPr>
        <w:pStyle w:val="48"/>
        <w:widowControl w:val="0"/>
        <w:ind w:firstLine="436" w:firstLineChars="182"/>
        <w:rPr>
          <w:rFonts w:hint="default"/>
          <w:kern w:val="24"/>
          <w:szCs w:val="24"/>
        </w:rPr>
      </w:pPr>
      <w:r>
        <w:rPr>
          <w:kern w:val="24"/>
          <w:szCs w:val="24"/>
        </w:rPr>
        <w:t>泄漏液体蒸发分为闪蒸蒸发、热量蒸发和质量蒸发。由于工程原料储存温度和环境温度均不高于40℃，因此，本次环评只计算质量蒸发量一种，质量蒸发量采用《建设项目环境风险评价技术导则》  （HJ169-2018）推荐的质量蒸发公式进行计算：</w:t>
      </w:r>
    </w:p>
    <w:p>
      <w:pPr>
        <w:ind w:firstLine="0" w:firstLineChars="0"/>
        <w:jc w:val="center"/>
      </w:pPr>
      <w:r>
        <w:drawing>
          <wp:inline distT="0" distB="0" distL="114300" distR="114300">
            <wp:extent cx="1567180" cy="516255"/>
            <wp:effectExtent l="0" t="0" r="13970" b="17145"/>
            <wp:docPr id="6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8"/>
                    <pic:cNvPicPr>
                      <a:picLocks noChangeAspect="1"/>
                    </pic:cNvPicPr>
                  </pic:nvPicPr>
                  <pic:blipFill>
                    <a:blip r:embed="rId104"/>
                    <a:stretch>
                      <a:fillRect/>
                    </a:stretch>
                  </pic:blipFill>
                  <pic:spPr>
                    <a:xfrm>
                      <a:off x="0" y="0"/>
                      <a:ext cx="1567180" cy="516255"/>
                    </a:xfrm>
                    <a:prstGeom prst="rect">
                      <a:avLst/>
                    </a:prstGeom>
                    <a:noFill/>
                    <a:ln>
                      <a:noFill/>
                    </a:ln>
                  </pic:spPr>
                </pic:pic>
              </a:graphicData>
            </a:graphic>
          </wp:inline>
        </w:drawing>
      </w:r>
    </w:p>
    <w:p>
      <w:pPr>
        <w:pStyle w:val="48"/>
        <w:widowControl w:val="0"/>
        <w:ind w:firstLine="436" w:firstLineChars="182"/>
        <w:rPr>
          <w:rFonts w:hint="default"/>
          <w:kern w:val="24"/>
          <w:szCs w:val="24"/>
        </w:rPr>
      </w:pPr>
      <w:r>
        <w:rPr>
          <w:kern w:val="24"/>
          <w:szCs w:val="24"/>
        </w:rPr>
        <w:t>式中：Q</w:t>
      </w:r>
      <w:r>
        <w:rPr>
          <w:kern w:val="24"/>
          <w:szCs w:val="24"/>
          <w:vertAlign w:val="subscript"/>
        </w:rPr>
        <w:t>3</w:t>
      </w:r>
      <w:r>
        <w:rPr>
          <w:kern w:val="24"/>
          <w:szCs w:val="24"/>
        </w:rPr>
        <w:t>——质量蒸发速率，kg/s；</w:t>
      </w:r>
    </w:p>
    <w:p>
      <w:pPr>
        <w:pStyle w:val="48"/>
        <w:widowControl w:val="0"/>
        <w:ind w:firstLine="1152" w:firstLineChars="480"/>
        <w:rPr>
          <w:rFonts w:hint="default"/>
          <w:kern w:val="24"/>
          <w:szCs w:val="24"/>
        </w:rPr>
      </w:pPr>
      <w:r>
        <w:rPr>
          <w:kern w:val="24"/>
          <w:szCs w:val="24"/>
        </w:rPr>
        <w:t>p——液体表面蒸气压，Pa；取1.01×105Pa；</w:t>
      </w:r>
    </w:p>
    <w:p>
      <w:pPr>
        <w:pStyle w:val="48"/>
        <w:widowControl w:val="0"/>
        <w:ind w:firstLine="1152" w:firstLineChars="480"/>
        <w:rPr>
          <w:rFonts w:hint="default"/>
          <w:kern w:val="24"/>
          <w:szCs w:val="24"/>
        </w:rPr>
      </w:pPr>
      <w:r>
        <w:rPr>
          <w:kern w:val="24"/>
          <w:szCs w:val="24"/>
        </w:rPr>
        <w:t>R——气体常数，J/（mol·K）；8.314（J/mol·K）；</w:t>
      </w:r>
    </w:p>
    <w:p>
      <w:pPr>
        <w:pStyle w:val="48"/>
        <w:widowControl w:val="0"/>
        <w:ind w:firstLine="1152" w:firstLineChars="480"/>
        <w:rPr>
          <w:rFonts w:hint="default"/>
          <w:kern w:val="24"/>
          <w:szCs w:val="24"/>
        </w:rPr>
      </w:pPr>
      <w:r>
        <w:rPr>
          <w:kern w:val="24"/>
          <w:szCs w:val="24"/>
        </w:rPr>
        <w:t>T0——环境温度，K；（按298.15K计算）</w:t>
      </w:r>
    </w:p>
    <w:p>
      <w:pPr>
        <w:pStyle w:val="48"/>
        <w:widowControl w:val="0"/>
        <w:ind w:firstLine="1152" w:firstLineChars="480"/>
        <w:rPr>
          <w:rFonts w:hint="default"/>
          <w:kern w:val="24"/>
          <w:szCs w:val="24"/>
        </w:rPr>
      </w:pPr>
      <w:r>
        <w:rPr>
          <w:kern w:val="24"/>
          <w:szCs w:val="24"/>
        </w:rPr>
        <w:t>M——物质的摩尔质量，kg/mol；</w:t>
      </w:r>
    </w:p>
    <w:p>
      <w:pPr>
        <w:pStyle w:val="48"/>
        <w:widowControl w:val="0"/>
        <w:ind w:firstLine="1152" w:firstLineChars="480"/>
        <w:rPr>
          <w:rFonts w:hint="default"/>
          <w:kern w:val="24"/>
          <w:szCs w:val="24"/>
        </w:rPr>
      </w:pPr>
      <w:r>
        <w:rPr>
          <w:kern w:val="24"/>
          <w:szCs w:val="24"/>
        </w:rPr>
        <w:t>u——风速，m/s；</w:t>
      </w:r>
    </w:p>
    <w:p>
      <w:pPr>
        <w:pStyle w:val="48"/>
        <w:widowControl w:val="0"/>
        <w:ind w:firstLine="1152" w:firstLineChars="480"/>
        <w:rPr>
          <w:rFonts w:hint="default"/>
          <w:kern w:val="24"/>
          <w:szCs w:val="24"/>
        </w:rPr>
      </w:pPr>
      <w:r>
        <w:rPr>
          <w:kern w:val="24"/>
          <w:szCs w:val="24"/>
        </w:rPr>
        <w:t>r——液池半径，m；取1m；</w:t>
      </w:r>
    </w:p>
    <w:p>
      <w:pPr>
        <w:pStyle w:val="48"/>
        <w:widowControl w:val="0"/>
        <w:ind w:firstLine="1152" w:firstLineChars="480"/>
        <w:rPr>
          <w:rFonts w:hint="default"/>
          <w:kern w:val="24"/>
          <w:szCs w:val="24"/>
        </w:rPr>
      </w:pPr>
      <w:r>
        <w:rPr>
          <w:kern w:val="24"/>
          <w:szCs w:val="24"/>
        </w:rPr>
        <w:t>αn——大气稳定度系数，取值见表6.8-</w:t>
      </w:r>
      <w:r>
        <w:rPr>
          <w:rFonts w:hint="eastAsia"/>
          <w:kern w:val="24"/>
          <w:szCs w:val="24"/>
          <w:lang w:val="en-US" w:eastAsia="zh-CN"/>
        </w:rPr>
        <w:t>20</w:t>
      </w:r>
      <w:r>
        <w:rPr>
          <w:kern w:val="24"/>
          <w:szCs w:val="24"/>
        </w:rPr>
        <w:t>。</w:t>
      </w:r>
    </w:p>
    <w:p>
      <w:pPr>
        <w:spacing w:line="240" w:lineRule="auto"/>
        <w:ind w:left="432" w:firstLine="482"/>
        <w:jc w:val="center"/>
        <w:rPr>
          <w:b/>
        </w:rPr>
      </w:pPr>
      <w:r>
        <w:rPr>
          <w:b/>
        </w:rPr>
        <w:t>表</w:t>
      </w:r>
      <w:r>
        <w:rPr>
          <w:rFonts w:hint="eastAsia"/>
          <w:b/>
        </w:rPr>
        <w:t>6.8-</w:t>
      </w:r>
      <w:r>
        <w:rPr>
          <w:rFonts w:hint="eastAsia"/>
          <w:b/>
          <w:lang w:val="en-US" w:eastAsia="zh-CN"/>
        </w:rPr>
        <w:t>20</w:t>
      </w:r>
      <w:r>
        <w:rPr>
          <w:b/>
        </w:rPr>
        <w:t xml:space="preserve">  液池蒸发模式参数</w:t>
      </w:r>
    </w:p>
    <w:tbl>
      <w:tblPr>
        <w:tblStyle w:val="51"/>
        <w:tblW w:w="4999" w:type="pct"/>
        <w:tblInd w:w="0" w:type="dxa"/>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3026"/>
        <w:gridCol w:w="3026"/>
        <w:gridCol w:w="3028"/>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0" w:hRule="atLeast"/>
        </w:trPr>
        <w:tc>
          <w:tcPr>
            <w:tcW w:w="1666" w:type="pct"/>
            <w:vAlign w:val="center"/>
          </w:tcPr>
          <w:p>
            <w:pPr>
              <w:spacing w:line="240" w:lineRule="auto"/>
              <w:ind w:firstLine="0" w:firstLineChars="0"/>
              <w:jc w:val="center"/>
              <w:rPr>
                <w:sz w:val="21"/>
                <w:szCs w:val="21"/>
              </w:rPr>
            </w:pPr>
            <w:r>
              <w:rPr>
                <w:sz w:val="21"/>
                <w:szCs w:val="21"/>
              </w:rPr>
              <w:t>大气稳定度</w:t>
            </w:r>
          </w:p>
        </w:tc>
        <w:tc>
          <w:tcPr>
            <w:tcW w:w="1666" w:type="pct"/>
            <w:vAlign w:val="center"/>
          </w:tcPr>
          <w:p>
            <w:pPr>
              <w:spacing w:line="240" w:lineRule="auto"/>
              <w:ind w:firstLine="0" w:firstLineChars="0"/>
              <w:jc w:val="center"/>
              <w:rPr>
                <w:sz w:val="21"/>
                <w:szCs w:val="21"/>
              </w:rPr>
            </w:pPr>
            <w:r>
              <w:rPr>
                <w:sz w:val="21"/>
                <w:szCs w:val="21"/>
              </w:rPr>
              <w:t>n</w:t>
            </w:r>
          </w:p>
        </w:tc>
        <w:tc>
          <w:tcPr>
            <w:tcW w:w="1667" w:type="pct"/>
            <w:vAlign w:val="center"/>
          </w:tcPr>
          <w:p>
            <w:pPr>
              <w:spacing w:line="240" w:lineRule="auto"/>
              <w:ind w:firstLine="0" w:firstLineChars="0"/>
              <w:jc w:val="center"/>
              <w:rPr>
                <w:sz w:val="21"/>
                <w:szCs w:val="21"/>
              </w:rPr>
            </w:pPr>
            <w:r>
              <w:rPr>
                <w:sz w:val="21"/>
                <w:szCs w:val="21"/>
              </w:rPr>
              <w:t>α</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66" w:type="pct"/>
            <w:vAlign w:val="center"/>
          </w:tcPr>
          <w:p>
            <w:pPr>
              <w:spacing w:line="240" w:lineRule="auto"/>
              <w:ind w:firstLine="0" w:firstLineChars="0"/>
              <w:jc w:val="center"/>
              <w:rPr>
                <w:sz w:val="21"/>
                <w:szCs w:val="21"/>
              </w:rPr>
            </w:pPr>
            <w:r>
              <w:rPr>
                <w:sz w:val="21"/>
                <w:szCs w:val="21"/>
              </w:rPr>
              <w:t>不稳定</w:t>
            </w:r>
            <w:r>
              <w:rPr>
                <w:rFonts w:hint="eastAsia"/>
                <w:sz w:val="21"/>
                <w:szCs w:val="21"/>
              </w:rPr>
              <w:t>（</w:t>
            </w:r>
            <w:r>
              <w:rPr>
                <w:sz w:val="21"/>
                <w:szCs w:val="21"/>
              </w:rPr>
              <w:t>A</w:t>
            </w:r>
            <w:r>
              <w:rPr>
                <w:rFonts w:hint="eastAsia"/>
                <w:sz w:val="21"/>
                <w:szCs w:val="21"/>
                <w:lang w:eastAsia="zh-CN"/>
              </w:rPr>
              <w:t>，</w:t>
            </w:r>
            <w:r>
              <w:rPr>
                <w:sz w:val="21"/>
                <w:szCs w:val="21"/>
              </w:rPr>
              <w:t>B</w:t>
            </w:r>
            <w:r>
              <w:rPr>
                <w:rFonts w:hint="eastAsia"/>
                <w:sz w:val="21"/>
                <w:szCs w:val="21"/>
              </w:rPr>
              <w:t>）</w:t>
            </w:r>
          </w:p>
        </w:tc>
        <w:tc>
          <w:tcPr>
            <w:tcW w:w="1666" w:type="pct"/>
            <w:vAlign w:val="center"/>
          </w:tcPr>
          <w:p>
            <w:pPr>
              <w:spacing w:line="240" w:lineRule="auto"/>
              <w:ind w:firstLine="0" w:firstLineChars="0"/>
              <w:jc w:val="center"/>
              <w:rPr>
                <w:sz w:val="21"/>
                <w:szCs w:val="21"/>
              </w:rPr>
            </w:pPr>
            <w:r>
              <w:rPr>
                <w:sz w:val="21"/>
                <w:szCs w:val="21"/>
              </w:rPr>
              <w:t>0.2</w:t>
            </w:r>
          </w:p>
        </w:tc>
        <w:tc>
          <w:tcPr>
            <w:tcW w:w="1667" w:type="pct"/>
            <w:vAlign w:val="center"/>
          </w:tcPr>
          <w:p>
            <w:pPr>
              <w:spacing w:line="240" w:lineRule="auto"/>
              <w:ind w:firstLine="0" w:firstLineChars="0"/>
              <w:jc w:val="center"/>
              <w:rPr>
                <w:sz w:val="21"/>
                <w:szCs w:val="21"/>
              </w:rPr>
            </w:pPr>
            <w:r>
              <w:rPr>
                <w:sz w:val="21"/>
                <w:szCs w:val="21"/>
              </w:rPr>
              <w:t>3.846×10</w:t>
            </w:r>
            <w:r>
              <w:rPr>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666" w:type="pct"/>
            <w:vAlign w:val="center"/>
          </w:tcPr>
          <w:p>
            <w:pPr>
              <w:spacing w:line="240" w:lineRule="auto"/>
              <w:ind w:firstLine="0" w:firstLineChars="0"/>
              <w:jc w:val="center"/>
              <w:rPr>
                <w:sz w:val="21"/>
                <w:szCs w:val="21"/>
              </w:rPr>
            </w:pPr>
            <w:r>
              <w:rPr>
                <w:sz w:val="21"/>
                <w:szCs w:val="21"/>
              </w:rPr>
              <w:t>中性</w:t>
            </w:r>
            <w:r>
              <w:rPr>
                <w:rFonts w:hint="eastAsia"/>
                <w:sz w:val="21"/>
                <w:szCs w:val="21"/>
              </w:rPr>
              <w:t>（</w:t>
            </w:r>
            <w:r>
              <w:rPr>
                <w:sz w:val="21"/>
                <w:szCs w:val="21"/>
              </w:rPr>
              <w:t>D</w:t>
            </w:r>
            <w:r>
              <w:rPr>
                <w:rFonts w:hint="eastAsia"/>
                <w:sz w:val="21"/>
                <w:szCs w:val="21"/>
              </w:rPr>
              <w:t>）</w:t>
            </w:r>
          </w:p>
        </w:tc>
        <w:tc>
          <w:tcPr>
            <w:tcW w:w="1666" w:type="pct"/>
            <w:vAlign w:val="center"/>
          </w:tcPr>
          <w:p>
            <w:pPr>
              <w:spacing w:line="240" w:lineRule="auto"/>
              <w:ind w:firstLine="0" w:firstLineChars="0"/>
              <w:jc w:val="center"/>
              <w:rPr>
                <w:sz w:val="21"/>
                <w:szCs w:val="21"/>
              </w:rPr>
            </w:pPr>
            <w:r>
              <w:rPr>
                <w:sz w:val="21"/>
                <w:szCs w:val="21"/>
              </w:rPr>
              <w:t>0.25</w:t>
            </w:r>
          </w:p>
        </w:tc>
        <w:tc>
          <w:tcPr>
            <w:tcW w:w="1667" w:type="pct"/>
            <w:vAlign w:val="center"/>
          </w:tcPr>
          <w:p>
            <w:pPr>
              <w:spacing w:line="240" w:lineRule="auto"/>
              <w:ind w:firstLine="0" w:firstLineChars="0"/>
              <w:jc w:val="center"/>
              <w:rPr>
                <w:sz w:val="21"/>
                <w:szCs w:val="21"/>
              </w:rPr>
            </w:pPr>
            <w:r>
              <w:rPr>
                <w:sz w:val="21"/>
                <w:szCs w:val="21"/>
              </w:rPr>
              <w:t>4.685×10</w:t>
            </w:r>
            <w:r>
              <w:rPr>
                <w:sz w:val="21"/>
                <w:szCs w:val="21"/>
                <w:vertAlign w:val="superscript"/>
              </w:rPr>
              <w:t>-3</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39" w:hRule="atLeast"/>
        </w:trPr>
        <w:tc>
          <w:tcPr>
            <w:tcW w:w="1666" w:type="pct"/>
            <w:vAlign w:val="center"/>
          </w:tcPr>
          <w:p>
            <w:pPr>
              <w:spacing w:line="240" w:lineRule="auto"/>
              <w:ind w:firstLine="0" w:firstLineChars="0"/>
              <w:jc w:val="center"/>
              <w:rPr>
                <w:sz w:val="21"/>
                <w:szCs w:val="21"/>
              </w:rPr>
            </w:pPr>
            <w:r>
              <w:rPr>
                <w:sz w:val="21"/>
                <w:szCs w:val="21"/>
              </w:rPr>
              <w:t>稳定</w:t>
            </w:r>
            <w:r>
              <w:rPr>
                <w:rFonts w:hint="eastAsia"/>
                <w:sz w:val="21"/>
                <w:szCs w:val="21"/>
              </w:rPr>
              <w:t>（</w:t>
            </w:r>
            <w:r>
              <w:rPr>
                <w:sz w:val="21"/>
                <w:szCs w:val="21"/>
              </w:rPr>
              <w:t>E</w:t>
            </w:r>
            <w:r>
              <w:rPr>
                <w:rFonts w:hint="eastAsia"/>
                <w:sz w:val="21"/>
                <w:szCs w:val="21"/>
                <w:lang w:eastAsia="zh-CN"/>
              </w:rPr>
              <w:t>，</w:t>
            </w:r>
            <w:r>
              <w:rPr>
                <w:sz w:val="21"/>
                <w:szCs w:val="21"/>
              </w:rPr>
              <w:t>F</w:t>
            </w:r>
            <w:r>
              <w:rPr>
                <w:rFonts w:hint="eastAsia"/>
                <w:sz w:val="21"/>
                <w:szCs w:val="21"/>
              </w:rPr>
              <w:t>）</w:t>
            </w:r>
          </w:p>
        </w:tc>
        <w:tc>
          <w:tcPr>
            <w:tcW w:w="1666" w:type="pct"/>
            <w:vAlign w:val="center"/>
          </w:tcPr>
          <w:p>
            <w:pPr>
              <w:spacing w:line="240" w:lineRule="auto"/>
              <w:ind w:firstLine="0" w:firstLineChars="0"/>
              <w:jc w:val="center"/>
              <w:rPr>
                <w:sz w:val="21"/>
                <w:szCs w:val="21"/>
              </w:rPr>
            </w:pPr>
            <w:r>
              <w:rPr>
                <w:sz w:val="21"/>
                <w:szCs w:val="21"/>
              </w:rPr>
              <w:t>0.3</w:t>
            </w:r>
          </w:p>
        </w:tc>
        <w:tc>
          <w:tcPr>
            <w:tcW w:w="1667" w:type="pct"/>
            <w:vAlign w:val="center"/>
          </w:tcPr>
          <w:p>
            <w:pPr>
              <w:spacing w:line="240" w:lineRule="auto"/>
              <w:ind w:firstLine="0" w:firstLineChars="0"/>
              <w:jc w:val="center"/>
              <w:rPr>
                <w:sz w:val="21"/>
                <w:szCs w:val="21"/>
              </w:rPr>
            </w:pPr>
            <w:r>
              <w:rPr>
                <w:sz w:val="21"/>
                <w:szCs w:val="21"/>
              </w:rPr>
              <w:t>5.285×10</w:t>
            </w:r>
            <w:r>
              <w:rPr>
                <w:sz w:val="21"/>
                <w:szCs w:val="21"/>
                <w:vertAlign w:val="superscript"/>
              </w:rPr>
              <w:t>-3</w:t>
            </w:r>
          </w:p>
        </w:tc>
      </w:tr>
    </w:tbl>
    <w:p>
      <w:pPr>
        <w:pStyle w:val="48"/>
        <w:widowControl w:val="0"/>
        <w:ind w:firstLine="436" w:firstLineChars="182"/>
        <w:rPr>
          <w:rFonts w:hint="default"/>
          <w:kern w:val="24"/>
          <w:szCs w:val="24"/>
        </w:rPr>
      </w:pPr>
      <w:r>
        <w:rPr>
          <w:kern w:val="24"/>
          <w:szCs w:val="24"/>
        </w:rPr>
        <w:t>考虑到事故发生后15min内被有效处理，丙烯酸的质量蒸发速率、总蒸发量见6.8-2</w:t>
      </w:r>
      <w:r>
        <w:rPr>
          <w:rFonts w:hint="eastAsia"/>
          <w:kern w:val="24"/>
          <w:szCs w:val="24"/>
          <w:lang w:val="en-US" w:eastAsia="zh-CN"/>
        </w:rPr>
        <w:t>1</w:t>
      </w:r>
      <w:r>
        <w:rPr>
          <w:kern w:val="24"/>
          <w:szCs w:val="24"/>
        </w:rPr>
        <w:t>。</w:t>
      </w:r>
    </w:p>
    <w:p>
      <w:pPr>
        <w:spacing w:line="240" w:lineRule="auto"/>
        <w:ind w:left="432" w:firstLine="482"/>
        <w:jc w:val="center"/>
        <w:rPr>
          <w:b/>
        </w:rPr>
      </w:pPr>
    </w:p>
    <w:p>
      <w:pPr>
        <w:spacing w:line="240" w:lineRule="auto"/>
        <w:ind w:left="432" w:firstLine="482"/>
        <w:jc w:val="center"/>
        <w:rPr>
          <w:b/>
        </w:rPr>
      </w:pPr>
    </w:p>
    <w:p>
      <w:pPr>
        <w:spacing w:line="240" w:lineRule="auto"/>
        <w:ind w:left="432" w:firstLine="482"/>
        <w:jc w:val="center"/>
        <w:rPr>
          <w:b/>
        </w:rPr>
      </w:pPr>
      <w:r>
        <w:rPr>
          <w:b/>
        </w:rPr>
        <w:t>表</w:t>
      </w:r>
      <w:r>
        <w:rPr>
          <w:rFonts w:hint="eastAsia"/>
          <w:b/>
        </w:rPr>
        <w:t>6.8-2</w:t>
      </w:r>
      <w:r>
        <w:rPr>
          <w:rFonts w:hint="eastAsia"/>
          <w:b/>
          <w:lang w:val="en-US" w:eastAsia="zh-CN"/>
        </w:rPr>
        <w:t>1</w:t>
      </w:r>
      <w:r>
        <w:rPr>
          <w:b/>
        </w:rPr>
        <w:t xml:space="preserve">  物质质量蒸发速率</w:t>
      </w:r>
    </w:p>
    <w:tbl>
      <w:tblPr>
        <w:tblStyle w:val="51"/>
        <w:tblW w:w="4998"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586"/>
        <w:gridCol w:w="2000"/>
        <w:gridCol w:w="1298"/>
        <w:gridCol w:w="1298"/>
        <w:gridCol w:w="1298"/>
        <w:gridCol w:w="1298"/>
        <w:gridCol w:w="1300"/>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650" w:hRule="atLeast"/>
          <w:jc w:val="center"/>
        </w:trPr>
        <w:tc>
          <w:tcPr>
            <w:tcW w:w="323" w:type="pct"/>
            <w:vAlign w:val="center"/>
          </w:tcPr>
          <w:p>
            <w:pPr>
              <w:spacing w:line="240" w:lineRule="auto"/>
              <w:ind w:firstLine="0" w:firstLineChars="0"/>
              <w:jc w:val="center"/>
              <w:rPr>
                <w:sz w:val="21"/>
                <w:szCs w:val="21"/>
              </w:rPr>
            </w:pPr>
            <w:r>
              <w:rPr>
                <w:sz w:val="21"/>
                <w:szCs w:val="21"/>
              </w:rPr>
              <w:t>序号</w:t>
            </w:r>
          </w:p>
        </w:tc>
        <w:tc>
          <w:tcPr>
            <w:tcW w:w="1100" w:type="pct"/>
            <w:vAlign w:val="center"/>
          </w:tcPr>
          <w:p>
            <w:pPr>
              <w:spacing w:line="240" w:lineRule="auto"/>
              <w:ind w:firstLine="0" w:firstLineChars="0"/>
              <w:jc w:val="center"/>
              <w:rPr>
                <w:sz w:val="21"/>
                <w:szCs w:val="21"/>
              </w:rPr>
            </w:pPr>
            <w:r>
              <w:rPr>
                <w:sz w:val="21"/>
                <w:szCs w:val="21"/>
              </w:rPr>
              <w:t>物质名称</w:t>
            </w:r>
          </w:p>
        </w:tc>
        <w:tc>
          <w:tcPr>
            <w:tcW w:w="714" w:type="pct"/>
            <w:vAlign w:val="center"/>
          </w:tcPr>
          <w:p>
            <w:pPr>
              <w:spacing w:line="240" w:lineRule="auto"/>
              <w:ind w:firstLine="0" w:firstLineChars="0"/>
              <w:jc w:val="center"/>
              <w:rPr>
                <w:sz w:val="21"/>
                <w:szCs w:val="21"/>
              </w:rPr>
            </w:pPr>
            <w:r>
              <w:rPr>
                <w:sz w:val="21"/>
                <w:szCs w:val="21"/>
              </w:rPr>
              <w:t>稳定度</w:t>
            </w:r>
          </w:p>
        </w:tc>
        <w:tc>
          <w:tcPr>
            <w:tcW w:w="714" w:type="pct"/>
            <w:vAlign w:val="center"/>
          </w:tcPr>
          <w:p>
            <w:pPr>
              <w:spacing w:line="240" w:lineRule="auto"/>
              <w:ind w:firstLine="0" w:firstLineChars="0"/>
              <w:jc w:val="center"/>
              <w:rPr>
                <w:sz w:val="21"/>
                <w:szCs w:val="21"/>
              </w:rPr>
            </w:pPr>
            <w:r>
              <w:rPr>
                <w:sz w:val="21"/>
                <w:szCs w:val="21"/>
              </w:rPr>
              <w:t>风速</w:t>
            </w:r>
            <w:r>
              <w:rPr>
                <w:rFonts w:hint="eastAsia"/>
                <w:sz w:val="21"/>
                <w:szCs w:val="21"/>
              </w:rPr>
              <w:t>（</w:t>
            </w:r>
            <w:r>
              <w:rPr>
                <w:sz w:val="21"/>
                <w:szCs w:val="21"/>
              </w:rPr>
              <w:t>m/s</w:t>
            </w:r>
            <w:r>
              <w:rPr>
                <w:rFonts w:hint="eastAsia"/>
                <w:sz w:val="21"/>
                <w:szCs w:val="21"/>
              </w:rPr>
              <w:t>）</w:t>
            </w:r>
          </w:p>
        </w:tc>
        <w:tc>
          <w:tcPr>
            <w:tcW w:w="714" w:type="pct"/>
            <w:vAlign w:val="center"/>
          </w:tcPr>
          <w:p>
            <w:pPr>
              <w:spacing w:line="240" w:lineRule="auto"/>
              <w:ind w:firstLine="0" w:firstLineChars="0"/>
              <w:jc w:val="center"/>
              <w:rPr>
                <w:sz w:val="21"/>
                <w:szCs w:val="21"/>
              </w:rPr>
            </w:pPr>
            <w:r>
              <w:rPr>
                <w:sz w:val="21"/>
                <w:szCs w:val="21"/>
              </w:rPr>
              <w:t>质量蒸发速率</w:t>
            </w:r>
            <w:r>
              <w:rPr>
                <w:rFonts w:hint="eastAsia"/>
                <w:sz w:val="21"/>
                <w:szCs w:val="21"/>
              </w:rPr>
              <w:t>（</w:t>
            </w:r>
            <w:r>
              <w:rPr>
                <w:sz w:val="21"/>
                <w:szCs w:val="21"/>
              </w:rPr>
              <w:t>kg/s</w:t>
            </w:r>
            <w:r>
              <w:rPr>
                <w:rFonts w:hint="eastAsia"/>
                <w:sz w:val="21"/>
                <w:szCs w:val="21"/>
              </w:rPr>
              <w:t>）</w:t>
            </w:r>
          </w:p>
        </w:tc>
        <w:tc>
          <w:tcPr>
            <w:tcW w:w="714" w:type="pct"/>
            <w:vAlign w:val="center"/>
          </w:tcPr>
          <w:p>
            <w:pPr>
              <w:spacing w:line="240" w:lineRule="auto"/>
              <w:ind w:firstLine="0" w:firstLineChars="0"/>
              <w:jc w:val="center"/>
              <w:rPr>
                <w:sz w:val="21"/>
                <w:szCs w:val="21"/>
              </w:rPr>
            </w:pPr>
            <w:r>
              <w:rPr>
                <w:sz w:val="21"/>
                <w:szCs w:val="21"/>
              </w:rPr>
              <w:t>时间</w:t>
            </w:r>
            <w:r>
              <w:rPr>
                <w:rFonts w:hint="eastAsia"/>
                <w:sz w:val="21"/>
                <w:szCs w:val="21"/>
              </w:rPr>
              <w:t>（</w:t>
            </w:r>
            <w:r>
              <w:rPr>
                <w:sz w:val="21"/>
                <w:szCs w:val="21"/>
              </w:rPr>
              <w:t>min</w:t>
            </w:r>
            <w:r>
              <w:rPr>
                <w:rFonts w:hint="eastAsia"/>
                <w:sz w:val="21"/>
                <w:szCs w:val="21"/>
              </w:rPr>
              <w:t>）</w:t>
            </w:r>
          </w:p>
        </w:tc>
        <w:tc>
          <w:tcPr>
            <w:tcW w:w="715" w:type="pct"/>
            <w:vAlign w:val="center"/>
          </w:tcPr>
          <w:p>
            <w:pPr>
              <w:spacing w:line="240" w:lineRule="auto"/>
              <w:ind w:firstLine="0" w:firstLineChars="0"/>
              <w:jc w:val="center"/>
              <w:rPr>
                <w:sz w:val="21"/>
                <w:szCs w:val="21"/>
              </w:rPr>
            </w:pPr>
            <w:r>
              <w:rPr>
                <w:sz w:val="21"/>
                <w:szCs w:val="21"/>
              </w:rPr>
              <w:t>总蒸发量</w:t>
            </w:r>
          </w:p>
          <w:p>
            <w:pPr>
              <w:spacing w:line="240" w:lineRule="auto"/>
              <w:ind w:firstLine="0" w:firstLineChars="0"/>
              <w:jc w:val="center"/>
              <w:rPr>
                <w:sz w:val="21"/>
                <w:szCs w:val="21"/>
              </w:rPr>
            </w:pPr>
            <w:r>
              <w:rPr>
                <w:rFonts w:hint="eastAsia"/>
                <w:sz w:val="21"/>
                <w:szCs w:val="21"/>
              </w:rPr>
              <w:t>（</w:t>
            </w:r>
            <w:r>
              <w:rPr>
                <w:sz w:val="21"/>
                <w:szCs w:val="21"/>
              </w:rPr>
              <w:t>kg</w:t>
            </w:r>
            <w:r>
              <w:rPr>
                <w:rFonts w:hint="eastAsia"/>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39" w:hRule="atLeast"/>
          <w:jc w:val="center"/>
        </w:trPr>
        <w:tc>
          <w:tcPr>
            <w:tcW w:w="323" w:type="pct"/>
            <w:vAlign w:val="center"/>
          </w:tcPr>
          <w:p>
            <w:pPr>
              <w:spacing w:line="240" w:lineRule="auto"/>
              <w:ind w:firstLine="0" w:firstLineChars="0"/>
              <w:jc w:val="center"/>
              <w:rPr>
                <w:sz w:val="21"/>
                <w:szCs w:val="21"/>
              </w:rPr>
            </w:pPr>
            <w:r>
              <w:rPr>
                <w:sz w:val="21"/>
                <w:szCs w:val="21"/>
              </w:rPr>
              <w:t>1</w:t>
            </w:r>
          </w:p>
        </w:tc>
        <w:tc>
          <w:tcPr>
            <w:tcW w:w="1100" w:type="pct"/>
            <w:vAlign w:val="center"/>
          </w:tcPr>
          <w:p>
            <w:pPr>
              <w:spacing w:line="240" w:lineRule="auto"/>
              <w:ind w:firstLine="0" w:firstLineChars="0"/>
              <w:jc w:val="center"/>
              <w:rPr>
                <w:sz w:val="21"/>
                <w:szCs w:val="21"/>
              </w:rPr>
            </w:pPr>
            <w:r>
              <w:rPr>
                <w:rFonts w:hint="eastAsia"/>
                <w:sz w:val="21"/>
                <w:szCs w:val="21"/>
              </w:rPr>
              <w:t>丙烯酸</w:t>
            </w:r>
          </w:p>
        </w:tc>
        <w:tc>
          <w:tcPr>
            <w:tcW w:w="714" w:type="pct"/>
            <w:vAlign w:val="center"/>
          </w:tcPr>
          <w:p>
            <w:pPr>
              <w:spacing w:line="240" w:lineRule="auto"/>
              <w:ind w:firstLine="0" w:firstLineChars="0"/>
              <w:jc w:val="center"/>
              <w:rPr>
                <w:sz w:val="21"/>
                <w:szCs w:val="21"/>
              </w:rPr>
            </w:pPr>
            <w:r>
              <w:rPr>
                <w:sz w:val="21"/>
                <w:szCs w:val="21"/>
              </w:rPr>
              <w:t>D类</w:t>
            </w:r>
          </w:p>
        </w:tc>
        <w:tc>
          <w:tcPr>
            <w:tcW w:w="714" w:type="pct"/>
            <w:vAlign w:val="center"/>
          </w:tcPr>
          <w:p>
            <w:pPr>
              <w:spacing w:line="240" w:lineRule="auto"/>
              <w:ind w:firstLine="0" w:firstLineChars="0"/>
              <w:jc w:val="center"/>
              <w:rPr>
                <w:sz w:val="21"/>
                <w:szCs w:val="21"/>
              </w:rPr>
            </w:pPr>
            <w:r>
              <w:rPr>
                <w:sz w:val="21"/>
                <w:szCs w:val="21"/>
              </w:rPr>
              <w:t>1.5</w:t>
            </w:r>
          </w:p>
        </w:tc>
        <w:tc>
          <w:tcPr>
            <w:tcW w:w="714" w:type="pct"/>
            <w:vAlign w:val="center"/>
          </w:tcPr>
          <w:p>
            <w:pPr>
              <w:spacing w:line="240" w:lineRule="auto"/>
              <w:ind w:firstLine="0" w:firstLineChars="0"/>
              <w:jc w:val="center"/>
              <w:rPr>
                <w:sz w:val="21"/>
                <w:szCs w:val="21"/>
              </w:rPr>
            </w:pPr>
            <w:r>
              <w:rPr>
                <w:sz w:val="21"/>
                <w:szCs w:val="21"/>
              </w:rPr>
              <w:t>0.0277</w:t>
            </w:r>
          </w:p>
        </w:tc>
        <w:tc>
          <w:tcPr>
            <w:tcW w:w="714" w:type="pct"/>
            <w:vAlign w:val="center"/>
          </w:tcPr>
          <w:p>
            <w:pPr>
              <w:spacing w:line="240" w:lineRule="auto"/>
              <w:ind w:firstLine="0" w:firstLineChars="0"/>
              <w:jc w:val="center"/>
              <w:rPr>
                <w:sz w:val="21"/>
                <w:szCs w:val="21"/>
              </w:rPr>
            </w:pPr>
            <w:r>
              <w:rPr>
                <w:sz w:val="21"/>
                <w:szCs w:val="21"/>
              </w:rPr>
              <w:t>15</w:t>
            </w:r>
          </w:p>
        </w:tc>
        <w:tc>
          <w:tcPr>
            <w:tcW w:w="715" w:type="pct"/>
            <w:vAlign w:val="center"/>
          </w:tcPr>
          <w:p>
            <w:pPr>
              <w:spacing w:line="240" w:lineRule="auto"/>
              <w:ind w:firstLine="0" w:firstLineChars="0"/>
              <w:jc w:val="center"/>
              <w:rPr>
                <w:sz w:val="21"/>
                <w:szCs w:val="21"/>
              </w:rPr>
            </w:pPr>
            <w:r>
              <w:rPr>
                <w:sz w:val="21"/>
                <w:szCs w:val="21"/>
              </w:rPr>
              <w:t>24.93</w:t>
            </w:r>
          </w:p>
        </w:tc>
      </w:tr>
    </w:tbl>
    <w:p>
      <w:pPr>
        <w:pStyle w:val="48"/>
        <w:widowControl w:val="0"/>
        <w:ind w:firstLine="436" w:firstLineChars="182"/>
        <w:rPr>
          <w:rFonts w:hint="default"/>
          <w:kern w:val="24"/>
          <w:szCs w:val="24"/>
        </w:rPr>
      </w:pPr>
      <w:r>
        <w:rPr>
          <w:kern w:val="24"/>
          <w:szCs w:val="24"/>
        </w:rPr>
        <w:t>（5）项目环境风险源强</w:t>
      </w:r>
    </w:p>
    <w:p>
      <w:pPr>
        <w:pStyle w:val="48"/>
        <w:widowControl w:val="0"/>
        <w:ind w:firstLine="436" w:firstLineChars="182"/>
        <w:rPr>
          <w:rFonts w:hint="default"/>
          <w:kern w:val="24"/>
          <w:szCs w:val="24"/>
        </w:rPr>
      </w:pPr>
      <w:r>
        <w:rPr>
          <w:kern w:val="24"/>
          <w:szCs w:val="24"/>
        </w:rPr>
        <w:t>项目环境风险源强一览表见6.8-2</w:t>
      </w:r>
      <w:r>
        <w:rPr>
          <w:rFonts w:hint="eastAsia"/>
          <w:kern w:val="24"/>
          <w:szCs w:val="24"/>
          <w:lang w:val="en-US" w:eastAsia="zh-CN"/>
        </w:rPr>
        <w:t>2</w:t>
      </w:r>
      <w:r>
        <w:rPr>
          <w:kern w:val="24"/>
          <w:szCs w:val="24"/>
        </w:rPr>
        <w:t>。</w:t>
      </w:r>
    </w:p>
    <w:p>
      <w:pPr>
        <w:spacing w:line="240" w:lineRule="auto"/>
        <w:ind w:left="432" w:firstLine="482"/>
        <w:jc w:val="center"/>
        <w:rPr>
          <w:b/>
        </w:rPr>
      </w:pPr>
      <w:r>
        <w:rPr>
          <w:b/>
        </w:rPr>
        <w:t>表</w:t>
      </w:r>
      <w:r>
        <w:rPr>
          <w:rFonts w:hint="eastAsia"/>
          <w:b/>
        </w:rPr>
        <w:t>6.8-2</w:t>
      </w:r>
      <w:r>
        <w:rPr>
          <w:rFonts w:hint="eastAsia"/>
          <w:b/>
          <w:lang w:val="en-US" w:eastAsia="zh-CN"/>
        </w:rPr>
        <w:t>2</w:t>
      </w:r>
      <w:r>
        <w:rPr>
          <w:b/>
        </w:rPr>
        <w:t xml:space="preserve">  项目源强一览表</w:t>
      </w:r>
    </w:p>
    <w:tbl>
      <w:tblPr>
        <w:tblStyle w:val="51"/>
        <w:tblW w:w="4997"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404"/>
        <w:gridCol w:w="1209"/>
        <w:gridCol w:w="789"/>
        <w:gridCol w:w="916"/>
        <w:gridCol w:w="1223"/>
        <w:gridCol w:w="971"/>
        <w:gridCol w:w="902"/>
        <w:gridCol w:w="998"/>
        <w:gridCol w:w="747"/>
        <w:gridCol w:w="918"/>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962" w:hRule="atLeast"/>
          <w:jc w:val="center"/>
        </w:trPr>
        <w:tc>
          <w:tcPr>
            <w:tcW w:w="223" w:type="pct"/>
            <w:textDirection w:val="tbRlV"/>
            <w:vAlign w:val="center"/>
          </w:tcPr>
          <w:p>
            <w:pPr>
              <w:spacing w:line="240" w:lineRule="auto"/>
              <w:ind w:firstLine="0" w:firstLineChars="0"/>
              <w:jc w:val="center"/>
              <w:rPr>
                <w:sz w:val="21"/>
                <w:szCs w:val="21"/>
              </w:rPr>
            </w:pPr>
            <w:r>
              <w:rPr>
                <w:sz w:val="21"/>
                <w:szCs w:val="21"/>
              </w:rPr>
              <w:t>序号</w:t>
            </w:r>
          </w:p>
        </w:tc>
        <w:tc>
          <w:tcPr>
            <w:tcW w:w="665" w:type="pct"/>
            <w:vAlign w:val="center"/>
          </w:tcPr>
          <w:p>
            <w:pPr>
              <w:spacing w:line="240" w:lineRule="auto"/>
              <w:ind w:firstLine="0" w:firstLineChars="0"/>
              <w:jc w:val="center"/>
              <w:rPr>
                <w:sz w:val="21"/>
                <w:szCs w:val="21"/>
              </w:rPr>
            </w:pPr>
            <w:r>
              <w:rPr>
                <w:sz w:val="21"/>
                <w:szCs w:val="21"/>
              </w:rPr>
              <w:t>风险事故情形描述</w:t>
            </w:r>
          </w:p>
        </w:tc>
        <w:tc>
          <w:tcPr>
            <w:tcW w:w="434" w:type="pct"/>
            <w:vAlign w:val="center"/>
          </w:tcPr>
          <w:p>
            <w:pPr>
              <w:spacing w:line="240" w:lineRule="auto"/>
              <w:ind w:firstLine="0" w:firstLineChars="0"/>
              <w:jc w:val="center"/>
              <w:rPr>
                <w:sz w:val="21"/>
                <w:szCs w:val="21"/>
              </w:rPr>
            </w:pPr>
            <w:r>
              <w:rPr>
                <w:sz w:val="21"/>
                <w:szCs w:val="21"/>
              </w:rPr>
              <w:t>危险单元</w:t>
            </w:r>
          </w:p>
        </w:tc>
        <w:tc>
          <w:tcPr>
            <w:tcW w:w="504" w:type="pct"/>
            <w:vAlign w:val="center"/>
          </w:tcPr>
          <w:p>
            <w:pPr>
              <w:spacing w:line="240" w:lineRule="auto"/>
              <w:ind w:firstLine="0" w:firstLineChars="0"/>
              <w:jc w:val="center"/>
              <w:rPr>
                <w:sz w:val="21"/>
                <w:szCs w:val="21"/>
              </w:rPr>
            </w:pPr>
            <w:r>
              <w:rPr>
                <w:sz w:val="21"/>
                <w:szCs w:val="21"/>
              </w:rPr>
              <w:t>危险</w:t>
            </w:r>
          </w:p>
          <w:p>
            <w:pPr>
              <w:spacing w:line="240" w:lineRule="auto"/>
              <w:ind w:firstLine="0" w:firstLineChars="0"/>
              <w:jc w:val="center"/>
              <w:rPr>
                <w:sz w:val="21"/>
                <w:szCs w:val="21"/>
              </w:rPr>
            </w:pPr>
            <w:r>
              <w:rPr>
                <w:sz w:val="21"/>
                <w:szCs w:val="21"/>
              </w:rPr>
              <w:t>物质</w:t>
            </w:r>
          </w:p>
        </w:tc>
        <w:tc>
          <w:tcPr>
            <w:tcW w:w="673" w:type="pct"/>
            <w:vAlign w:val="center"/>
          </w:tcPr>
          <w:p>
            <w:pPr>
              <w:spacing w:line="240" w:lineRule="auto"/>
              <w:ind w:firstLine="0" w:firstLineChars="0"/>
              <w:jc w:val="center"/>
              <w:rPr>
                <w:sz w:val="21"/>
                <w:szCs w:val="21"/>
              </w:rPr>
            </w:pPr>
            <w:r>
              <w:rPr>
                <w:sz w:val="21"/>
                <w:szCs w:val="21"/>
              </w:rPr>
              <w:t>影响途径</w:t>
            </w:r>
          </w:p>
        </w:tc>
        <w:tc>
          <w:tcPr>
            <w:tcW w:w="534" w:type="pct"/>
            <w:vAlign w:val="center"/>
          </w:tcPr>
          <w:p>
            <w:pPr>
              <w:spacing w:line="240" w:lineRule="auto"/>
              <w:ind w:firstLine="0" w:firstLineChars="0"/>
              <w:jc w:val="center"/>
              <w:rPr>
                <w:sz w:val="21"/>
                <w:szCs w:val="21"/>
              </w:rPr>
            </w:pPr>
            <w:r>
              <w:rPr>
                <w:sz w:val="21"/>
                <w:szCs w:val="21"/>
              </w:rPr>
              <w:t>吸附或泄漏速率</w:t>
            </w:r>
            <w:r>
              <w:rPr>
                <w:rFonts w:hint="eastAsia"/>
                <w:sz w:val="21"/>
                <w:szCs w:val="21"/>
              </w:rPr>
              <w:t>（</w:t>
            </w:r>
            <w:r>
              <w:rPr>
                <w:sz w:val="21"/>
                <w:szCs w:val="21"/>
              </w:rPr>
              <w:t>kg/s</w:t>
            </w:r>
            <w:r>
              <w:rPr>
                <w:rFonts w:hint="eastAsia"/>
                <w:sz w:val="21"/>
                <w:szCs w:val="21"/>
              </w:rPr>
              <w:t>）</w:t>
            </w:r>
          </w:p>
        </w:tc>
        <w:tc>
          <w:tcPr>
            <w:tcW w:w="496" w:type="pct"/>
            <w:vAlign w:val="center"/>
          </w:tcPr>
          <w:p>
            <w:pPr>
              <w:spacing w:line="240" w:lineRule="auto"/>
              <w:ind w:firstLine="0" w:firstLineChars="0"/>
              <w:jc w:val="center"/>
              <w:rPr>
                <w:sz w:val="21"/>
                <w:szCs w:val="21"/>
              </w:rPr>
            </w:pPr>
            <w:r>
              <w:rPr>
                <w:sz w:val="21"/>
                <w:szCs w:val="21"/>
              </w:rPr>
              <w:t>释放或泄漏时间</w:t>
            </w:r>
            <w:r>
              <w:rPr>
                <w:rFonts w:hint="eastAsia"/>
                <w:sz w:val="21"/>
                <w:szCs w:val="21"/>
              </w:rPr>
              <w:t>（</w:t>
            </w:r>
            <w:r>
              <w:rPr>
                <w:sz w:val="21"/>
                <w:szCs w:val="21"/>
              </w:rPr>
              <w:t>min</w:t>
            </w:r>
            <w:r>
              <w:rPr>
                <w:rFonts w:hint="eastAsia"/>
                <w:sz w:val="21"/>
                <w:szCs w:val="21"/>
              </w:rPr>
              <w:t>）</w:t>
            </w:r>
          </w:p>
        </w:tc>
        <w:tc>
          <w:tcPr>
            <w:tcW w:w="549" w:type="pct"/>
            <w:vAlign w:val="center"/>
          </w:tcPr>
          <w:p>
            <w:pPr>
              <w:spacing w:line="240" w:lineRule="auto"/>
              <w:ind w:firstLine="0" w:firstLineChars="0"/>
              <w:jc w:val="center"/>
              <w:rPr>
                <w:sz w:val="21"/>
                <w:szCs w:val="21"/>
              </w:rPr>
            </w:pPr>
            <w:r>
              <w:rPr>
                <w:sz w:val="21"/>
                <w:szCs w:val="21"/>
              </w:rPr>
              <w:t>最大释放或泄漏量</w:t>
            </w:r>
            <w:r>
              <w:rPr>
                <w:rFonts w:hint="eastAsia"/>
                <w:sz w:val="21"/>
                <w:szCs w:val="21"/>
              </w:rPr>
              <w:t>（</w:t>
            </w:r>
            <w:r>
              <w:rPr>
                <w:sz w:val="21"/>
                <w:szCs w:val="21"/>
              </w:rPr>
              <w:t>kg</w:t>
            </w:r>
            <w:r>
              <w:rPr>
                <w:rFonts w:hint="eastAsia"/>
                <w:sz w:val="21"/>
                <w:szCs w:val="21"/>
              </w:rPr>
              <w:t>）</w:t>
            </w:r>
          </w:p>
        </w:tc>
        <w:tc>
          <w:tcPr>
            <w:tcW w:w="411" w:type="pct"/>
            <w:vAlign w:val="center"/>
          </w:tcPr>
          <w:p>
            <w:pPr>
              <w:spacing w:line="240" w:lineRule="auto"/>
              <w:ind w:firstLine="0" w:firstLineChars="0"/>
              <w:jc w:val="center"/>
              <w:rPr>
                <w:sz w:val="21"/>
                <w:szCs w:val="21"/>
              </w:rPr>
            </w:pPr>
            <w:r>
              <w:rPr>
                <w:sz w:val="21"/>
                <w:szCs w:val="21"/>
              </w:rPr>
              <w:t>风速</w:t>
            </w:r>
            <w:r>
              <w:rPr>
                <w:rFonts w:hint="eastAsia"/>
                <w:sz w:val="21"/>
                <w:szCs w:val="21"/>
              </w:rPr>
              <w:t>（</w:t>
            </w:r>
            <w:r>
              <w:rPr>
                <w:sz w:val="21"/>
                <w:szCs w:val="21"/>
              </w:rPr>
              <w:t>m/s</w:t>
            </w:r>
            <w:r>
              <w:rPr>
                <w:rFonts w:hint="eastAsia"/>
                <w:sz w:val="21"/>
                <w:szCs w:val="21"/>
              </w:rPr>
              <w:t>）</w:t>
            </w:r>
          </w:p>
        </w:tc>
        <w:tc>
          <w:tcPr>
            <w:tcW w:w="505" w:type="pct"/>
            <w:vAlign w:val="center"/>
          </w:tcPr>
          <w:p>
            <w:pPr>
              <w:spacing w:line="240" w:lineRule="auto"/>
              <w:ind w:firstLine="0" w:firstLineChars="0"/>
              <w:jc w:val="center"/>
              <w:rPr>
                <w:sz w:val="21"/>
                <w:szCs w:val="21"/>
              </w:rPr>
            </w:pPr>
            <w:r>
              <w:rPr>
                <w:sz w:val="21"/>
                <w:szCs w:val="21"/>
              </w:rPr>
              <w:t>泄漏液体蒸发量</w:t>
            </w:r>
            <w:r>
              <w:rPr>
                <w:rFonts w:hint="eastAsia"/>
                <w:sz w:val="21"/>
                <w:szCs w:val="21"/>
              </w:rPr>
              <w:t>（</w:t>
            </w:r>
            <w:r>
              <w:rPr>
                <w:sz w:val="21"/>
                <w:szCs w:val="21"/>
              </w:rPr>
              <w:t>kg</w:t>
            </w:r>
            <w:r>
              <w:rPr>
                <w:rFonts w:hint="eastAsia"/>
                <w:sz w:val="21"/>
                <w:szCs w:val="21"/>
              </w:rPr>
              <w: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651" w:hRule="atLeast"/>
          <w:jc w:val="center"/>
        </w:trPr>
        <w:tc>
          <w:tcPr>
            <w:tcW w:w="223" w:type="pct"/>
            <w:vAlign w:val="center"/>
          </w:tcPr>
          <w:p>
            <w:pPr>
              <w:spacing w:line="240" w:lineRule="auto"/>
              <w:ind w:firstLine="0" w:firstLineChars="0"/>
              <w:jc w:val="center"/>
              <w:rPr>
                <w:sz w:val="21"/>
                <w:szCs w:val="21"/>
              </w:rPr>
            </w:pPr>
            <w:r>
              <w:rPr>
                <w:sz w:val="21"/>
                <w:szCs w:val="21"/>
              </w:rPr>
              <w:t>1</w:t>
            </w:r>
          </w:p>
        </w:tc>
        <w:tc>
          <w:tcPr>
            <w:tcW w:w="665" w:type="pct"/>
            <w:vAlign w:val="center"/>
          </w:tcPr>
          <w:p>
            <w:pPr>
              <w:spacing w:line="240" w:lineRule="auto"/>
              <w:ind w:firstLine="0" w:firstLineChars="0"/>
              <w:jc w:val="center"/>
              <w:rPr>
                <w:sz w:val="21"/>
                <w:szCs w:val="21"/>
              </w:rPr>
            </w:pPr>
            <w:r>
              <w:rPr>
                <w:rFonts w:hint="eastAsia"/>
                <w:sz w:val="21"/>
                <w:szCs w:val="21"/>
              </w:rPr>
              <w:t>丙烯酸</w:t>
            </w:r>
            <w:r>
              <w:rPr>
                <w:sz w:val="21"/>
                <w:szCs w:val="21"/>
              </w:rPr>
              <w:t>泄露</w:t>
            </w:r>
          </w:p>
        </w:tc>
        <w:tc>
          <w:tcPr>
            <w:tcW w:w="434" w:type="pct"/>
            <w:vAlign w:val="center"/>
          </w:tcPr>
          <w:p>
            <w:pPr>
              <w:spacing w:line="240" w:lineRule="auto"/>
              <w:ind w:firstLine="0" w:firstLineChars="0"/>
              <w:jc w:val="center"/>
              <w:rPr>
                <w:sz w:val="21"/>
                <w:szCs w:val="21"/>
              </w:rPr>
            </w:pPr>
            <w:r>
              <w:rPr>
                <w:sz w:val="21"/>
                <w:szCs w:val="21"/>
              </w:rPr>
              <w:t>危化品仓库</w:t>
            </w:r>
          </w:p>
        </w:tc>
        <w:tc>
          <w:tcPr>
            <w:tcW w:w="504" w:type="pct"/>
            <w:vAlign w:val="center"/>
          </w:tcPr>
          <w:p>
            <w:pPr>
              <w:spacing w:line="240" w:lineRule="auto"/>
              <w:ind w:firstLine="0" w:firstLineChars="0"/>
              <w:jc w:val="center"/>
              <w:rPr>
                <w:sz w:val="21"/>
                <w:szCs w:val="21"/>
              </w:rPr>
            </w:pPr>
            <w:r>
              <w:rPr>
                <w:rFonts w:hint="eastAsia"/>
                <w:sz w:val="21"/>
                <w:szCs w:val="21"/>
              </w:rPr>
              <w:t>丙烯酸</w:t>
            </w:r>
          </w:p>
        </w:tc>
        <w:tc>
          <w:tcPr>
            <w:tcW w:w="673" w:type="pct"/>
            <w:vAlign w:val="center"/>
          </w:tcPr>
          <w:p>
            <w:pPr>
              <w:spacing w:line="240" w:lineRule="auto"/>
              <w:ind w:firstLine="0" w:firstLineChars="0"/>
              <w:jc w:val="center"/>
              <w:rPr>
                <w:sz w:val="21"/>
                <w:szCs w:val="21"/>
              </w:rPr>
            </w:pPr>
            <w:r>
              <w:rPr>
                <w:sz w:val="21"/>
                <w:szCs w:val="21"/>
              </w:rPr>
              <w:t>大气、地表水、地下水</w:t>
            </w:r>
          </w:p>
        </w:tc>
        <w:tc>
          <w:tcPr>
            <w:tcW w:w="534" w:type="pct"/>
            <w:vAlign w:val="center"/>
          </w:tcPr>
          <w:p>
            <w:pPr>
              <w:spacing w:line="240" w:lineRule="auto"/>
              <w:ind w:firstLine="0" w:firstLineChars="0"/>
              <w:jc w:val="center"/>
              <w:rPr>
                <w:sz w:val="21"/>
                <w:szCs w:val="21"/>
              </w:rPr>
            </w:pPr>
            <w:r>
              <w:rPr>
                <w:sz w:val="21"/>
                <w:szCs w:val="21"/>
              </w:rPr>
              <w:t>0.22</w:t>
            </w:r>
          </w:p>
        </w:tc>
        <w:tc>
          <w:tcPr>
            <w:tcW w:w="496" w:type="pct"/>
            <w:vAlign w:val="center"/>
          </w:tcPr>
          <w:p>
            <w:pPr>
              <w:spacing w:line="240" w:lineRule="auto"/>
              <w:ind w:firstLine="0" w:firstLineChars="0"/>
              <w:jc w:val="center"/>
              <w:rPr>
                <w:sz w:val="21"/>
                <w:szCs w:val="21"/>
              </w:rPr>
            </w:pPr>
            <w:r>
              <w:rPr>
                <w:sz w:val="21"/>
                <w:szCs w:val="21"/>
              </w:rPr>
              <w:t>15</w:t>
            </w:r>
          </w:p>
        </w:tc>
        <w:tc>
          <w:tcPr>
            <w:tcW w:w="549" w:type="pct"/>
            <w:vAlign w:val="center"/>
          </w:tcPr>
          <w:p>
            <w:pPr>
              <w:spacing w:line="240" w:lineRule="auto"/>
              <w:ind w:firstLine="0" w:firstLineChars="0"/>
              <w:jc w:val="center"/>
              <w:rPr>
                <w:rFonts w:hint="default"/>
                <w:sz w:val="21"/>
                <w:szCs w:val="21"/>
                <w:lang w:val="en-US"/>
              </w:rPr>
            </w:pPr>
            <w:r>
              <w:rPr>
                <w:rFonts w:hint="eastAsia"/>
                <w:sz w:val="21"/>
                <w:szCs w:val="21"/>
                <w:lang w:val="en-US" w:eastAsia="zh-CN"/>
              </w:rPr>
              <w:t>250</w:t>
            </w:r>
          </w:p>
        </w:tc>
        <w:tc>
          <w:tcPr>
            <w:tcW w:w="411" w:type="pct"/>
            <w:vAlign w:val="center"/>
          </w:tcPr>
          <w:p>
            <w:pPr>
              <w:spacing w:line="240" w:lineRule="auto"/>
              <w:ind w:firstLine="0" w:firstLineChars="0"/>
              <w:jc w:val="center"/>
              <w:rPr>
                <w:sz w:val="21"/>
                <w:szCs w:val="21"/>
              </w:rPr>
            </w:pPr>
            <w:r>
              <w:rPr>
                <w:sz w:val="21"/>
                <w:szCs w:val="21"/>
              </w:rPr>
              <w:t>1.5</w:t>
            </w:r>
          </w:p>
        </w:tc>
        <w:tc>
          <w:tcPr>
            <w:tcW w:w="505" w:type="pct"/>
            <w:vAlign w:val="center"/>
          </w:tcPr>
          <w:p>
            <w:pPr>
              <w:spacing w:line="240" w:lineRule="auto"/>
              <w:ind w:firstLine="0" w:firstLineChars="0"/>
              <w:jc w:val="center"/>
              <w:rPr>
                <w:sz w:val="21"/>
                <w:szCs w:val="21"/>
              </w:rPr>
            </w:pPr>
            <w:r>
              <w:rPr>
                <w:sz w:val="21"/>
                <w:szCs w:val="21"/>
              </w:rPr>
              <w:t>24.93</w:t>
            </w:r>
          </w:p>
        </w:tc>
      </w:tr>
    </w:tbl>
    <w:p>
      <w:pPr>
        <w:ind w:firstLine="562"/>
      </w:pPr>
      <w:r>
        <w:rPr>
          <w:rFonts w:cs="Times New Roman"/>
          <w:b/>
          <w:bCs/>
          <w:color w:val="000000"/>
          <w:kern w:val="0"/>
          <w:sz w:val="28"/>
          <w:szCs w:val="28"/>
          <w:lang w:bidi="ar"/>
        </w:rPr>
        <w:t>6.</w:t>
      </w:r>
      <w:r>
        <w:rPr>
          <w:rFonts w:hint="eastAsia" w:cs="Times New Roman"/>
          <w:b/>
          <w:bCs/>
          <w:color w:val="000000"/>
          <w:kern w:val="0"/>
          <w:sz w:val="28"/>
          <w:szCs w:val="28"/>
          <w:lang w:bidi="ar"/>
        </w:rPr>
        <w:t>8.6.3</w:t>
      </w:r>
      <w:r>
        <w:rPr>
          <w:rFonts w:cs="Times New Roman"/>
          <w:b/>
          <w:bCs/>
          <w:color w:val="000000"/>
          <w:kern w:val="0"/>
          <w:sz w:val="28"/>
          <w:szCs w:val="28"/>
          <w:lang w:bidi="ar"/>
        </w:rPr>
        <w:t xml:space="preserve"> 火灾伴生/次生污染物产生量估算</w:t>
      </w:r>
    </w:p>
    <w:p>
      <w:pPr>
        <w:pStyle w:val="48"/>
        <w:widowControl w:val="0"/>
        <w:ind w:firstLine="436" w:firstLineChars="182"/>
        <w:rPr>
          <w:rFonts w:hint="default"/>
          <w:kern w:val="24"/>
          <w:szCs w:val="24"/>
        </w:rPr>
      </w:pPr>
      <w:r>
        <w:rPr>
          <w:kern w:val="24"/>
          <w:szCs w:val="24"/>
        </w:rPr>
        <w:t>由于项目丙烯酸的使用量较大，考虑丙烯酸泄漏后遇明火发生火灾爆炸事故，可能的次生危险性包括救火过程产生的消防废水和燃爆污染物一氧化碳、二氧化碳等，如没有得到有效控制，可能会进入雨水系统和大气，造成环境空气的污染。火灾后破坏地表覆盖物，会有部分液体物料、受污染消防水进入土壤，甚至污染地下水。随着化学物质的不完全燃烧，生成一氧化碳、二氧化碳，产生的废气将会向大气扩散，对周围人群及大气环境产生影响。</w:t>
      </w:r>
    </w:p>
    <w:p>
      <w:pPr>
        <w:pStyle w:val="48"/>
        <w:widowControl w:val="0"/>
        <w:ind w:firstLine="436" w:firstLineChars="182"/>
        <w:rPr>
          <w:rFonts w:hint="default"/>
          <w:kern w:val="24"/>
          <w:szCs w:val="24"/>
        </w:rPr>
      </w:pPr>
      <w:r>
        <w:rPr>
          <w:kern w:val="24"/>
          <w:szCs w:val="24"/>
        </w:rPr>
        <w:t>火灾伴生/次生污染物产生量估算参照《建设项目环境风险评价技术导则》（HJ169-2018）附录F中油品火灾伴生/次生污染物产生量计算。</w:t>
      </w:r>
    </w:p>
    <w:p>
      <w:pPr>
        <w:pStyle w:val="48"/>
        <w:widowControl w:val="0"/>
        <w:ind w:firstLine="436" w:firstLineChars="182"/>
        <w:jc w:val="center"/>
        <w:rPr>
          <w:rFonts w:hint="default"/>
          <w:kern w:val="24"/>
          <w:szCs w:val="24"/>
        </w:rPr>
      </w:pPr>
      <w:r>
        <w:rPr>
          <w:kern w:val="24"/>
          <w:szCs w:val="24"/>
        </w:rPr>
        <w:t>CO产生量计算公式：Gco=2330qCQ</w:t>
      </w:r>
    </w:p>
    <w:p>
      <w:pPr>
        <w:pStyle w:val="48"/>
        <w:widowControl w:val="0"/>
        <w:ind w:firstLine="436" w:firstLineChars="182"/>
        <w:rPr>
          <w:rFonts w:hint="default"/>
          <w:kern w:val="24"/>
          <w:szCs w:val="24"/>
        </w:rPr>
      </w:pPr>
      <w:r>
        <w:rPr>
          <w:kern w:val="24"/>
          <w:szCs w:val="24"/>
        </w:rPr>
        <w:t>式中：Gco——CO的产生量（kg/s）；</w:t>
      </w:r>
    </w:p>
    <w:p>
      <w:pPr>
        <w:pStyle w:val="48"/>
        <w:widowControl w:val="0"/>
        <w:ind w:firstLine="1152" w:firstLineChars="480"/>
        <w:rPr>
          <w:rFonts w:hint="default"/>
          <w:kern w:val="24"/>
          <w:szCs w:val="24"/>
        </w:rPr>
      </w:pPr>
      <w:r>
        <w:rPr>
          <w:kern w:val="24"/>
          <w:szCs w:val="24"/>
        </w:rPr>
        <w:t>C——燃料中碳的质量百分比含量 （%） ；</w:t>
      </w:r>
    </w:p>
    <w:p>
      <w:pPr>
        <w:pStyle w:val="48"/>
        <w:widowControl w:val="0"/>
        <w:ind w:left="1255" w:leftChars="500" w:hanging="55" w:hangingChars="23"/>
        <w:rPr>
          <w:rFonts w:hint="default"/>
          <w:kern w:val="24"/>
          <w:szCs w:val="24"/>
        </w:rPr>
      </w:pPr>
      <w:r>
        <w:rPr>
          <w:kern w:val="24"/>
          <w:szCs w:val="24"/>
        </w:rPr>
        <w:t>q——化学不完全燃烧值（%），取1.5-6.0%本次计算中，项目取平均值3.75%</w:t>
      </w:r>
    </w:p>
    <w:p>
      <w:pPr>
        <w:pStyle w:val="48"/>
        <w:widowControl w:val="0"/>
        <w:ind w:left="1255" w:leftChars="500" w:hanging="55" w:hangingChars="23"/>
        <w:rPr>
          <w:rFonts w:hint="default"/>
          <w:kern w:val="24"/>
          <w:szCs w:val="24"/>
        </w:rPr>
      </w:pPr>
      <w:r>
        <w:rPr>
          <w:kern w:val="24"/>
          <w:szCs w:val="24"/>
        </w:rPr>
        <w:t>Q——参与燃烧物质量，t/s</w:t>
      </w:r>
    </w:p>
    <w:p>
      <w:pPr>
        <w:pStyle w:val="48"/>
        <w:widowControl w:val="0"/>
        <w:ind w:firstLine="436" w:firstLineChars="182"/>
        <w:rPr>
          <w:rFonts w:hint="default"/>
          <w:kern w:val="24"/>
          <w:szCs w:val="24"/>
        </w:rPr>
      </w:pPr>
      <w:r>
        <w:rPr>
          <w:kern w:val="24"/>
          <w:szCs w:val="24"/>
        </w:rPr>
        <w:t>考虑到事故发生后30min内被有效处理，丙烯酸火灾伴生/次生污染物产生量见表6.8-</w:t>
      </w:r>
      <w:r>
        <w:rPr>
          <w:rFonts w:hint="eastAsia"/>
          <w:kern w:val="24"/>
          <w:szCs w:val="24"/>
          <w:lang w:val="en-US" w:eastAsia="zh-CN"/>
        </w:rPr>
        <w:t>23</w:t>
      </w:r>
      <w:r>
        <w:rPr>
          <w:kern w:val="24"/>
          <w:szCs w:val="24"/>
        </w:rPr>
        <w:t>。</w:t>
      </w:r>
    </w:p>
    <w:p>
      <w:pPr>
        <w:spacing w:line="240" w:lineRule="auto"/>
        <w:ind w:left="432" w:firstLine="482"/>
        <w:jc w:val="center"/>
        <w:rPr>
          <w:b/>
        </w:rPr>
      </w:pPr>
      <w:r>
        <w:rPr>
          <w:b/>
        </w:rPr>
        <w:t>表</w:t>
      </w:r>
      <w:r>
        <w:rPr>
          <w:rFonts w:hint="eastAsia"/>
          <w:b/>
        </w:rPr>
        <w:t>6.8-</w:t>
      </w:r>
      <w:r>
        <w:rPr>
          <w:rFonts w:hint="eastAsia"/>
          <w:b/>
          <w:lang w:val="en-US" w:eastAsia="zh-CN"/>
        </w:rPr>
        <w:t>23</w:t>
      </w:r>
      <w:r>
        <w:rPr>
          <w:b/>
        </w:rPr>
        <w:t xml:space="preserve">  火灾伴生一氧化碳产生量</w:t>
      </w:r>
    </w:p>
    <w:tbl>
      <w:tblPr>
        <w:tblStyle w:val="51"/>
        <w:tblW w:w="4997"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507"/>
        <w:gridCol w:w="1219"/>
        <w:gridCol w:w="1317"/>
        <w:gridCol w:w="1163"/>
        <w:gridCol w:w="1092"/>
        <w:gridCol w:w="1136"/>
        <w:gridCol w:w="1168"/>
        <w:gridCol w:w="1475"/>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650" w:hRule="atLeast"/>
          <w:jc w:val="center"/>
        </w:trPr>
        <w:tc>
          <w:tcPr>
            <w:tcW w:w="279" w:type="pct"/>
            <w:textDirection w:val="tbRlV"/>
            <w:vAlign w:val="center"/>
          </w:tcPr>
          <w:p>
            <w:pPr>
              <w:spacing w:line="240" w:lineRule="auto"/>
              <w:ind w:firstLine="0" w:firstLineChars="0"/>
              <w:jc w:val="center"/>
              <w:rPr>
                <w:rFonts w:cs="Times New Roman"/>
                <w:sz w:val="21"/>
                <w:szCs w:val="21"/>
              </w:rPr>
            </w:pPr>
            <w:r>
              <w:rPr>
                <w:rFonts w:cs="Times New Roman"/>
                <w:sz w:val="21"/>
                <w:szCs w:val="21"/>
              </w:rPr>
              <w:t>序号</w:t>
            </w:r>
          </w:p>
        </w:tc>
        <w:tc>
          <w:tcPr>
            <w:tcW w:w="671" w:type="pct"/>
            <w:vAlign w:val="center"/>
          </w:tcPr>
          <w:p>
            <w:pPr>
              <w:spacing w:line="240" w:lineRule="auto"/>
              <w:ind w:firstLine="0" w:firstLineChars="0"/>
              <w:jc w:val="center"/>
              <w:rPr>
                <w:rFonts w:cs="Times New Roman"/>
                <w:sz w:val="21"/>
                <w:szCs w:val="21"/>
              </w:rPr>
            </w:pPr>
            <w:r>
              <w:rPr>
                <w:rFonts w:cs="Times New Roman"/>
                <w:sz w:val="21"/>
                <w:szCs w:val="21"/>
              </w:rPr>
              <w:t>物质名称</w:t>
            </w:r>
          </w:p>
        </w:tc>
        <w:tc>
          <w:tcPr>
            <w:tcW w:w="725" w:type="pct"/>
            <w:vAlign w:val="center"/>
          </w:tcPr>
          <w:p>
            <w:pPr>
              <w:spacing w:line="240" w:lineRule="auto"/>
              <w:ind w:firstLine="0" w:firstLineChars="0"/>
              <w:jc w:val="center"/>
              <w:rPr>
                <w:rFonts w:cs="Times New Roman"/>
                <w:sz w:val="21"/>
                <w:szCs w:val="21"/>
              </w:rPr>
            </w:pPr>
            <w:r>
              <w:rPr>
                <w:rFonts w:cs="Times New Roman"/>
                <w:sz w:val="21"/>
                <w:szCs w:val="21"/>
              </w:rPr>
              <w:t>单桶最大存储量</w:t>
            </w:r>
            <w:r>
              <w:rPr>
                <w:rFonts w:hint="eastAsia" w:cs="Times New Roman"/>
                <w:sz w:val="21"/>
                <w:szCs w:val="21"/>
              </w:rPr>
              <w:t>（</w:t>
            </w:r>
            <w:r>
              <w:rPr>
                <w:rFonts w:cs="Times New Roman"/>
                <w:sz w:val="21"/>
                <w:szCs w:val="21"/>
              </w:rPr>
              <w:t>t/s</w:t>
            </w:r>
            <w:r>
              <w:rPr>
                <w:rFonts w:hint="eastAsia" w:cs="Times New Roman"/>
                <w:sz w:val="21"/>
                <w:szCs w:val="21"/>
              </w:rPr>
              <w:t>）</w:t>
            </w:r>
          </w:p>
        </w:tc>
        <w:tc>
          <w:tcPr>
            <w:tcW w:w="640" w:type="pct"/>
            <w:vAlign w:val="center"/>
          </w:tcPr>
          <w:p>
            <w:pPr>
              <w:spacing w:line="240" w:lineRule="auto"/>
              <w:ind w:firstLine="0" w:firstLineChars="0"/>
              <w:jc w:val="center"/>
              <w:rPr>
                <w:rFonts w:cs="Times New Roman"/>
                <w:sz w:val="21"/>
                <w:szCs w:val="21"/>
              </w:rPr>
            </w:pPr>
            <w:r>
              <w:rPr>
                <w:rFonts w:cs="Times New Roman"/>
                <w:sz w:val="21"/>
                <w:szCs w:val="21"/>
              </w:rPr>
              <w:t>C</w:t>
            </w:r>
            <w:r>
              <w:rPr>
                <w:rFonts w:hint="eastAsia" w:cs="Times New Roman"/>
                <w:sz w:val="21"/>
                <w:szCs w:val="21"/>
              </w:rPr>
              <w:t>（</w:t>
            </w:r>
            <w:r>
              <w:rPr>
                <w:rFonts w:cs="Times New Roman"/>
                <w:sz w:val="21"/>
                <w:szCs w:val="21"/>
              </w:rPr>
              <w:t>%</w:t>
            </w:r>
            <w:r>
              <w:rPr>
                <w:rFonts w:hint="eastAsia" w:cs="Times New Roman"/>
                <w:sz w:val="21"/>
                <w:szCs w:val="21"/>
              </w:rPr>
              <w:t>）</w:t>
            </w:r>
          </w:p>
        </w:tc>
        <w:tc>
          <w:tcPr>
            <w:tcW w:w="601" w:type="pct"/>
            <w:vAlign w:val="center"/>
          </w:tcPr>
          <w:p>
            <w:pPr>
              <w:spacing w:line="240" w:lineRule="auto"/>
              <w:ind w:firstLine="0" w:firstLineChars="0"/>
              <w:jc w:val="center"/>
              <w:rPr>
                <w:rFonts w:cs="Times New Roman"/>
                <w:sz w:val="21"/>
                <w:szCs w:val="21"/>
              </w:rPr>
            </w:pPr>
            <w:r>
              <w:rPr>
                <w:rFonts w:cs="Times New Roman"/>
                <w:sz w:val="21"/>
                <w:szCs w:val="21"/>
              </w:rPr>
              <w:t>q</w:t>
            </w:r>
            <w:r>
              <w:rPr>
                <w:rFonts w:hint="eastAsia" w:cs="Times New Roman"/>
                <w:sz w:val="21"/>
                <w:szCs w:val="21"/>
              </w:rPr>
              <w:t>（</w:t>
            </w:r>
            <w:r>
              <w:rPr>
                <w:rFonts w:cs="Times New Roman"/>
                <w:sz w:val="21"/>
                <w:szCs w:val="21"/>
              </w:rPr>
              <w:t>%</w:t>
            </w:r>
            <w:r>
              <w:rPr>
                <w:rFonts w:hint="eastAsia" w:cs="Times New Roman"/>
                <w:sz w:val="21"/>
                <w:szCs w:val="21"/>
              </w:rPr>
              <w:t>）</w:t>
            </w:r>
          </w:p>
        </w:tc>
        <w:tc>
          <w:tcPr>
            <w:tcW w:w="625" w:type="pct"/>
            <w:vAlign w:val="center"/>
          </w:tcPr>
          <w:p>
            <w:pPr>
              <w:spacing w:line="240" w:lineRule="auto"/>
              <w:ind w:firstLine="0" w:firstLineChars="0"/>
              <w:jc w:val="center"/>
              <w:rPr>
                <w:rFonts w:cs="Times New Roman"/>
                <w:sz w:val="21"/>
                <w:szCs w:val="21"/>
              </w:rPr>
            </w:pPr>
            <w:r>
              <w:rPr>
                <w:rFonts w:cs="Times New Roman"/>
                <w:sz w:val="21"/>
                <w:szCs w:val="21"/>
              </w:rPr>
              <w:t>Q</w:t>
            </w:r>
            <w:r>
              <w:rPr>
                <w:rFonts w:hint="eastAsia" w:cs="Times New Roman"/>
                <w:sz w:val="21"/>
                <w:szCs w:val="21"/>
              </w:rPr>
              <w:t>（</w:t>
            </w:r>
            <w:r>
              <w:rPr>
                <w:rFonts w:cs="Times New Roman"/>
                <w:sz w:val="21"/>
                <w:szCs w:val="21"/>
              </w:rPr>
              <w:t>t/s</w:t>
            </w:r>
            <w:r>
              <w:rPr>
                <w:rFonts w:hint="eastAsia" w:cs="Times New Roman"/>
                <w:sz w:val="21"/>
                <w:szCs w:val="21"/>
              </w:rPr>
              <w:t>）</w:t>
            </w:r>
          </w:p>
        </w:tc>
        <w:tc>
          <w:tcPr>
            <w:tcW w:w="643" w:type="pct"/>
            <w:vAlign w:val="center"/>
          </w:tcPr>
          <w:p>
            <w:pPr>
              <w:spacing w:line="240" w:lineRule="auto"/>
              <w:ind w:firstLine="0" w:firstLineChars="0"/>
              <w:jc w:val="center"/>
              <w:rPr>
                <w:rFonts w:cs="Times New Roman"/>
                <w:sz w:val="21"/>
                <w:szCs w:val="21"/>
              </w:rPr>
            </w:pPr>
            <w:r>
              <w:rPr>
                <w:rFonts w:cs="Times New Roman"/>
                <w:sz w:val="21"/>
                <w:szCs w:val="21"/>
              </w:rPr>
              <w:t>Gco</w:t>
            </w:r>
            <w:r>
              <w:rPr>
                <w:rFonts w:hint="eastAsia" w:cs="Times New Roman"/>
                <w:sz w:val="21"/>
                <w:szCs w:val="21"/>
              </w:rPr>
              <w:t>（</w:t>
            </w:r>
            <w:r>
              <w:rPr>
                <w:rFonts w:cs="Times New Roman"/>
                <w:sz w:val="21"/>
                <w:szCs w:val="21"/>
              </w:rPr>
              <w:t>kg/s</w:t>
            </w:r>
            <w:r>
              <w:rPr>
                <w:rFonts w:hint="eastAsia" w:cs="Times New Roman"/>
                <w:sz w:val="21"/>
                <w:szCs w:val="21"/>
              </w:rPr>
              <w:t>）</w:t>
            </w:r>
          </w:p>
        </w:tc>
        <w:tc>
          <w:tcPr>
            <w:tcW w:w="812" w:type="pct"/>
            <w:vAlign w:val="center"/>
          </w:tcPr>
          <w:p>
            <w:pPr>
              <w:spacing w:line="240" w:lineRule="auto"/>
              <w:ind w:firstLine="0" w:firstLineChars="0"/>
              <w:jc w:val="center"/>
              <w:rPr>
                <w:rFonts w:cs="Times New Roman"/>
                <w:sz w:val="21"/>
                <w:szCs w:val="21"/>
              </w:rPr>
            </w:pPr>
            <w:r>
              <w:rPr>
                <w:rFonts w:cs="Times New Roman"/>
                <w:sz w:val="21"/>
                <w:szCs w:val="21"/>
              </w:rPr>
              <w:t>最大释放量/t</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424" w:hRule="atLeast"/>
          <w:jc w:val="center"/>
        </w:trPr>
        <w:tc>
          <w:tcPr>
            <w:tcW w:w="279" w:type="pct"/>
            <w:vAlign w:val="center"/>
          </w:tcPr>
          <w:p>
            <w:pPr>
              <w:spacing w:line="240" w:lineRule="auto"/>
              <w:ind w:firstLine="0" w:firstLineChars="0"/>
              <w:jc w:val="center"/>
              <w:rPr>
                <w:rFonts w:cs="Times New Roman"/>
                <w:sz w:val="21"/>
                <w:szCs w:val="21"/>
              </w:rPr>
            </w:pPr>
            <w:r>
              <w:rPr>
                <w:rFonts w:cs="Times New Roman"/>
                <w:sz w:val="21"/>
                <w:szCs w:val="21"/>
              </w:rPr>
              <w:t>1</w:t>
            </w:r>
          </w:p>
        </w:tc>
        <w:tc>
          <w:tcPr>
            <w:tcW w:w="671" w:type="pct"/>
            <w:vAlign w:val="center"/>
          </w:tcPr>
          <w:p>
            <w:pPr>
              <w:spacing w:line="240" w:lineRule="auto"/>
              <w:ind w:firstLine="0" w:firstLineChars="0"/>
              <w:jc w:val="center"/>
              <w:rPr>
                <w:rFonts w:cs="Times New Roman"/>
                <w:sz w:val="21"/>
                <w:szCs w:val="21"/>
              </w:rPr>
            </w:pPr>
            <w:r>
              <w:rPr>
                <w:rFonts w:hint="eastAsia" w:cs="Times New Roman"/>
                <w:sz w:val="21"/>
                <w:szCs w:val="21"/>
              </w:rPr>
              <w:t>丙烯酸</w:t>
            </w:r>
          </w:p>
        </w:tc>
        <w:tc>
          <w:tcPr>
            <w:tcW w:w="725" w:type="pct"/>
            <w:vAlign w:val="center"/>
          </w:tcPr>
          <w:p>
            <w:pPr>
              <w:spacing w:line="240" w:lineRule="auto"/>
              <w:ind w:firstLine="0" w:firstLineChars="0"/>
              <w:jc w:val="center"/>
              <w:rPr>
                <w:rFonts w:cs="Times New Roman"/>
                <w:sz w:val="21"/>
                <w:szCs w:val="21"/>
              </w:rPr>
            </w:pPr>
            <w:r>
              <w:rPr>
                <w:rFonts w:hint="eastAsia" w:cs="Times New Roman"/>
                <w:sz w:val="21"/>
                <w:szCs w:val="21"/>
              </w:rPr>
              <w:t>25</w:t>
            </w:r>
          </w:p>
        </w:tc>
        <w:tc>
          <w:tcPr>
            <w:tcW w:w="640" w:type="pct"/>
            <w:vAlign w:val="center"/>
          </w:tcPr>
          <w:p>
            <w:pPr>
              <w:spacing w:line="240" w:lineRule="auto"/>
              <w:ind w:firstLine="0" w:firstLineChars="0"/>
              <w:jc w:val="center"/>
              <w:rPr>
                <w:rFonts w:cs="Times New Roman"/>
                <w:sz w:val="21"/>
                <w:szCs w:val="21"/>
              </w:rPr>
            </w:pPr>
            <w:r>
              <w:rPr>
                <w:rFonts w:cs="Times New Roman"/>
                <w:sz w:val="21"/>
                <w:szCs w:val="21"/>
              </w:rPr>
              <w:t>90.6</w:t>
            </w:r>
          </w:p>
        </w:tc>
        <w:tc>
          <w:tcPr>
            <w:tcW w:w="601" w:type="pct"/>
            <w:vAlign w:val="center"/>
          </w:tcPr>
          <w:p>
            <w:pPr>
              <w:spacing w:line="240" w:lineRule="auto"/>
              <w:ind w:firstLine="0" w:firstLineChars="0"/>
              <w:jc w:val="center"/>
              <w:rPr>
                <w:rFonts w:cs="Times New Roman"/>
                <w:sz w:val="21"/>
                <w:szCs w:val="21"/>
              </w:rPr>
            </w:pPr>
            <w:r>
              <w:rPr>
                <w:rFonts w:cs="Times New Roman"/>
                <w:sz w:val="21"/>
                <w:szCs w:val="21"/>
              </w:rPr>
              <w:t>3.75</w:t>
            </w:r>
          </w:p>
        </w:tc>
        <w:tc>
          <w:tcPr>
            <w:tcW w:w="625" w:type="pct"/>
            <w:vAlign w:val="center"/>
          </w:tcPr>
          <w:p>
            <w:pPr>
              <w:spacing w:line="240" w:lineRule="auto"/>
              <w:ind w:firstLine="0" w:firstLineChars="0"/>
              <w:jc w:val="center"/>
              <w:rPr>
                <w:rFonts w:cs="Times New Roman"/>
                <w:sz w:val="21"/>
                <w:szCs w:val="21"/>
              </w:rPr>
            </w:pPr>
            <w:r>
              <w:rPr>
                <w:rFonts w:cs="Times New Roman"/>
                <w:sz w:val="21"/>
                <w:szCs w:val="21"/>
              </w:rPr>
              <w:t>0. 11</w:t>
            </w:r>
          </w:p>
        </w:tc>
        <w:tc>
          <w:tcPr>
            <w:tcW w:w="643" w:type="pct"/>
            <w:vAlign w:val="center"/>
          </w:tcPr>
          <w:p>
            <w:pPr>
              <w:spacing w:line="240" w:lineRule="auto"/>
              <w:ind w:firstLine="0" w:firstLineChars="0"/>
              <w:jc w:val="center"/>
              <w:rPr>
                <w:rFonts w:cs="Times New Roman"/>
                <w:sz w:val="21"/>
                <w:szCs w:val="21"/>
              </w:rPr>
            </w:pPr>
            <w:r>
              <w:rPr>
                <w:rFonts w:cs="Times New Roman"/>
                <w:sz w:val="21"/>
                <w:szCs w:val="21"/>
              </w:rPr>
              <w:t>8.71</w:t>
            </w:r>
          </w:p>
        </w:tc>
        <w:tc>
          <w:tcPr>
            <w:tcW w:w="812" w:type="pct"/>
            <w:vAlign w:val="center"/>
          </w:tcPr>
          <w:p>
            <w:pPr>
              <w:spacing w:line="240" w:lineRule="auto"/>
              <w:ind w:firstLine="0" w:firstLineChars="0"/>
              <w:jc w:val="center"/>
              <w:rPr>
                <w:rFonts w:cs="Times New Roman"/>
                <w:sz w:val="21"/>
                <w:szCs w:val="21"/>
              </w:rPr>
            </w:pPr>
            <w:r>
              <w:rPr>
                <w:rFonts w:cs="Times New Roman"/>
                <w:sz w:val="21"/>
                <w:szCs w:val="21"/>
              </w:rPr>
              <w:t>15.7</w:t>
            </w:r>
          </w:p>
        </w:tc>
      </w:tr>
    </w:tbl>
    <w:p>
      <w:pPr>
        <w:pStyle w:val="7"/>
        <w:ind w:firstLine="562"/>
      </w:pPr>
      <w:r>
        <w:rPr>
          <w:rFonts w:hint="eastAsia"/>
        </w:rPr>
        <w:t>6.8.7、环境风险影响分析</w:t>
      </w:r>
    </w:p>
    <w:p>
      <w:pPr>
        <w:ind w:firstLine="562"/>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8.7.1</w:t>
      </w:r>
      <w:r>
        <w:rPr>
          <w:rFonts w:cs="Times New Roman"/>
          <w:b/>
          <w:bCs/>
          <w:color w:val="000000"/>
          <w:kern w:val="0"/>
          <w:sz w:val="28"/>
          <w:szCs w:val="28"/>
          <w:lang w:bidi="ar"/>
        </w:rPr>
        <w:t xml:space="preserve"> 有毒有害物质对大气环境的污染影响分析</w:t>
      </w:r>
    </w:p>
    <w:p>
      <w:pPr>
        <w:pStyle w:val="48"/>
        <w:widowControl w:val="0"/>
        <w:ind w:firstLine="436" w:firstLineChars="182"/>
        <w:rPr>
          <w:rFonts w:hint="default"/>
          <w:kern w:val="24"/>
          <w:szCs w:val="24"/>
        </w:rPr>
      </w:pPr>
      <w:r>
        <w:rPr>
          <w:kern w:val="24"/>
          <w:szCs w:val="24"/>
        </w:rPr>
        <w:t>本项目发生原料化学品泄漏时，会形成挥发性有机物，进入大气环境。本项目使用的原料化学品均采用铁桶包装，并在库房内按物料性质设置不同的分隔区域和防泄漏围堰，由于有机溶剂的黏滞性相对较大，在泄漏到地面时流动性较差，其液膜与空气接触面积相对较小，如能及时采用沙土覆盖吸收，及时清理，有机物挥发量相对较小，因此，由于泄漏产生的有机溶剂挥发对项目周围环境风险影响较小。</w:t>
      </w:r>
    </w:p>
    <w:p>
      <w:pPr>
        <w:ind w:firstLine="562"/>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8.7.2</w:t>
      </w:r>
      <w:r>
        <w:rPr>
          <w:rFonts w:cs="Times New Roman"/>
          <w:b/>
          <w:bCs/>
          <w:color w:val="000000"/>
          <w:kern w:val="0"/>
          <w:sz w:val="28"/>
          <w:szCs w:val="28"/>
          <w:lang w:bidi="ar"/>
        </w:rPr>
        <w:t xml:space="preserve">  有毒有害物质对地表水的影响分析</w:t>
      </w:r>
    </w:p>
    <w:p>
      <w:pPr>
        <w:pStyle w:val="48"/>
        <w:widowControl w:val="0"/>
        <w:ind w:firstLine="436" w:firstLineChars="182"/>
        <w:rPr>
          <w:rFonts w:hint="default"/>
          <w:kern w:val="24"/>
          <w:szCs w:val="24"/>
        </w:rPr>
      </w:pPr>
      <w:r>
        <w:rPr>
          <w:kern w:val="24"/>
          <w:szCs w:val="24"/>
        </w:rPr>
        <w:t>本项目的废水事故风险主要为液态危险物料泄漏的风险。在发生风险事故时产生的事故 废水对周围水环境的影响途径有两条：一是事故废水没有控制在厂区内，进入附近内河水体，污染内河水体水质；二是事故废水虽然控制在厂区内，但是出现大量超标废水进入厂区污水处理站，影响污水处理站的正常运行，从而导致废水不能正常处理，污水处理站外排污水超标。</w:t>
      </w:r>
    </w:p>
    <w:p>
      <w:pPr>
        <w:pStyle w:val="48"/>
        <w:widowControl w:val="0"/>
        <w:ind w:firstLine="436" w:firstLineChars="182"/>
        <w:rPr>
          <w:rFonts w:hint="default"/>
          <w:kern w:val="24"/>
          <w:szCs w:val="24"/>
        </w:rPr>
      </w:pPr>
      <w:r>
        <w:rPr>
          <w:kern w:val="24"/>
          <w:szCs w:val="24"/>
        </w:rPr>
        <w:t>厂区内实行雨污分流，雨水基本不受污染，排入雨水系统。因此发生事故时，将受污染的消防水（含物料）全部收集至事故应急池内。事故过后，对事故废水进行水质监测分析，根据化验分析出来的受污染程度采用限流送入污水处理站或者第三方污水处理设施进行处理的方法。同时在污水处理装置排放口设监测点，一旦发现排水中有害污染物质浓度超标，则应减少事故污水进入污水处理装置流量，必要时切断，使其不会对污水处理站的正常运行产生不良影响。</w:t>
      </w:r>
    </w:p>
    <w:p>
      <w:pPr>
        <w:pStyle w:val="48"/>
        <w:widowControl w:val="0"/>
        <w:ind w:firstLine="436" w:firstLineChars="182"/>
        <w:rPr>
          <w:rFonts w:hint="default"/>
          <w:kern w:val="24"/>
          <w:szCs w:val="24"/>
        </w:rPr>
      </w:pPr>
      <w:r>
        <w:rPr>
          <w:kern w:val="24"/>
          <w:szCs w:val="24"/>
        </w:rPr>
        <w:t>（1）消防废水量确定</w:t>
      </w:r>
    </w:p>
    <w:p>
      <w:pPr>
        <w:pStyle w:val="48"/>
        <w:widowControl w:val="0"/>
        <w:ind w:firstLine="436" w:firstLineChars="182"/>
        <w:rPr>
          <w:rFonts w:hint="default"/>
          <w:kern w:val="24"/>
          <w:szCs w:val="24"/>
        </w:rPr>
      </w:pPr>
      <w:r>
        <w:rPr>
          <w:kern w:val="24"/>
          <w:szCs w:val="24"/>
        </w:rPr>
        <w:t>主要由火灾事故发生时消防水流量和火灾延续时间而定。根据GB50016-2014《建筑设计防火规范》（2018年版）、GB50974-2014《消防给水及消火栓系统技术规范》，本项目生产车间、仓库火灾延续时间按3h考虑。</w:t>
      </w:r>
    </w:p>
    <w:p>
      <w:pPr>
        <w:pStyle w:val="48"/>
        <w:widowControl w:val="0"/>
        <w:ind w:firstLine="436" w:firstLineChars="182"/>
        <w:rPr>
          <w:rFonts w:hint="default"/>
          <w:kern w:val="24"/>
          <w:szCs w:val="24"/>
        </w:rPr>
      </w:pPr>
      <w:r>
        <w:rPr>
          <w:kern w:val="24"/>
          <w:szCs w:val="24"/>
        </w:rPr>
        <w:t>（2）风险事故应急水池</w:t>
      </w:r>
    </w:p>
    <w:p>
      <w:pPr>
        <w:pStyle w:val="48"/>
        <w:widowControl w:val="0"/>
        <w:ind w:firstLine="436" w:firstLineChars="182"/>
        <w:rPr>
          <w:rFonts w:hint="default"/>
          <w:kern w:val="24"/>
          <w:szCs w:val="24"/>
        </w:rPr>
      </w:pPr>
      <w:r>
        <w:rPr>
          <w:kern w:val="24"/>
          <w:szCs w:val="24"/>
        </w:rPr>
        <w:t>根据GB50483-2009《化工建设项目环境保护设计规范》规定：</w:t>
      </w:r>
      <w:r>
        <w:rPr>
          <w:rFonts w:hint="eastAsia"/>
          <w:kern w:val="24"/>
          <w:szCs w:val="24"/>
          <w:lang w:eastAsia="zh-CN"/>
        </w:rPr>
        <w:t>“</w:t>
      </w:r>
      <w:r>
        <w:rPr>
          <w:kern w:val="24"/>
          <w:szCs w:val="24"/>
        </w:rPr>
        <w:t>化工建设项目应设置应急事故水池</w:t>
      </w:r>
      <w:r>
        <w:rPr>
          <w:rFonts w:hint="eastAsia"/>
          <w:kern w:val="24"/>
          <w:szCs w:val="24"/>
          <w:lang w:eastAsia="zh-CN"/>
        </w:rPr>
        <w:t>”</w:t>
      </w:r>
      <w:r>
        <w:rPr>
          <w:kern w:val="24"/>
          <w:szCs w:val="24"/>
        </w:rPr>
        <w:t>，以保证事故时能有效地接纳装置排水、消防废水等污染水，避免事故污染水进入水体造成污染。本项目根据GB50483-2009《化工建设项目环境保护设计规范》，并参照Q/SY1190-2009《事故状态下水体污染的预防与控制要求》，确定事故应急水池容积。事故应急水池有效容积按下式计算：</w:t>
      </w:r>
    </w:p>
    <w:p>
      <w:pPr>
        <w:ind w:firstLine="0" w:firstLineChars="0"/>
        <w:jc w:val="center"/>
        <w:rPr>
          <w:rFonts w:cs="Times New Roman"/>
        </w:rPr>
      </w:pPr>
      <w:r>
        <w:rPr>
          <w:rFonts w:cs="Times New Roman"/>
          <w:i/>
          <w:iCs/>
          <w:position w:val="1"/>
        </w:rPr>
        <w:t>V</w:t>
      </w:r>
      <w:r>
        <w:rPr>
          <w:rFonts w:cs="Times New Roman"/>
          <w:spacing w:val="-1"/>
          <w:position w:val="-5"/>
        </w:rPr>
        <w:t>总</w:t>
      </w:r>
      <w:r>
        <w:rPr>
          <w:rFonts w:cs="Times New Roman"/>
          <w:spacing w:val="-1"/>
          <w:position w:val="1"/>
        </w:rPr>
        <w:t>=</w:t>
      </w:r>
      <w:r>
        <w:rPr>
          <w:rFonts w:hint="eastAsia" w:cs="Times New Roman"/>
          <w:spacing w:val="-1"/>
          <w:position w:val="1"/>
        </w:rPr>
        <w:t>（</w:t>
      </w:r>
      <w:r>
        <w:rPr>
          <w:rFonts w:cs="Times New Roman"/>
          <w:position w:val="1"/>
        </w:rPr>
        <w:t>V</w:t>
      </w:r>
      <w:r>
        <w:rPr>
          <w:rFonts w:cs="Times New Roman"/>
          <w:spacing w:val="-1"/>
          <w:position w:val="-4"/>
          <w:vertAlign w:val="subscript"/>
        </w:rPr>
        <w:t>1</w:t>
      </w:r>
      <w:r>
        <w:rPr>
          <w:rFonts w:cs="Times New Roman"/>
          <w:spacing w:val="-1"/>
          <w:position w:val="1"/>
        </w:rPr>
        <w:t>+</w:t>
      </w:r>
      <w:r>
        <w:rPr>
          <w:rFonts w:cs="Times New Roman"/>
          <w:position w:val="1"/>
        </w:rPr>
        <w:t>V</w:t>
      </w:r>
      <w:r>
        <w:rPr>
          <w:rFonts w:cs="Times New Roman"/>
          <w:spacing w:val="-1"/>
          <w:position w:val="-4"/>
          <w:vertAlign w:val="subscript"/>
        </w:rPr>
        <w:t>2</w:t>
      </w:r>
      <w:r>
        <w:rPr>
          <w:rFonts w:cs="Times New Roman"/>
          <w:position w:val="-3"/>
        </w:rPr>
        <w:drawing>
          <wp:inline distT="0" distB="0" distL="0" distR="0">
            <wp:extent cx="77470" cy="184785"/>
            <wp:effectExtent l="0" t="0" r="0" b="0"/>
            <wp:docPr id="66" name="IM 8"/>
            <wp:cNvGraphicFramePr/>
            <a:graphic xmlns:a="http://schemas.openxmlformats.org/drawingml/2006/main">
              <a:graphicData uri="http://schemas.openxmlformats.org/drawingml/2006/picture">
                <pic:pic xmlns:pic="http://schemas.openxmlformats.org/drawingml/2006/picture">
                  <pic:nvPicPr>
                    <pic:cNvPr id="66" name="IM 8"/>
                    <pic:cNvPicPr/>
                  </pic:nvPicPr>
                  <pic:blipFill>
                    <a:blip r:embed="rId105"/>
                    <a:stretch>
                      <a:fillRect/>
                    </a:stretch>
                  </pic:blipFill>
                  <pic:spPr>
                    <a:xfrm>
                      <a:off x="0" y="0"/>
                      <a:ext cx="77555" cy="185045"/>
                    </a:xfrm>
                    <a:prstGeom prst="rect">
                      <a:avLst/>
                    </a:prstGeom>
                  </pic:spPr>
                </pic:pic>
              </a:graphicData>
            </a:graphic>
          </wp:inline>
        </w:drawing>
      </w:r>
      <w:r>
        <w:rPr>
          <w:rFonts w:cs="Times New Roman"/>
          <w:position w:val="1"/>
        </w:rPr>
        <w:t>V</w:t>
      </w:r>
      <w:r>
        <w:rPr>
          <w:rFonts w:cs="Times New Roman"/>
          <w:spacing w:val="-1"/>
          <w:position w:val="-4"/>
          <w:vertAlign w:val="subscript"/>
        </w:rPr>
        <w:t>3</w:t>
      </w:r>
      <w:r>
        <w:rPr>
          <w:rFonts w:hint="eastAsia" w:cs="Times New Roman"/>
          <w:spacing w:val="-1"/>
          <w:position w:val="1"/>
        </w:rPr>
        <w:t>）</w:t>
      </w:r>
      <w:r>
        <w:rPr>
          <w:rFonts w:cs="Times New Roman"/>
          <w:position w:val="-4"/>
        </w:rPr>
        <w:t>max</w:t>
      </w:r>
      <w:r>
        <w:rPr>
          <w:rFonts w:cs="Times New Roman"/>
          <w:spacing w:val="-1"/>
          <w:position w:val="1"/>
        </w:rPr>
        <w:t>+</w:t>
      </w:r>
      <w:r>
        <w:rPr>
          <w:rFonts w:cs="Times New Roman"/>
          <w:position w:val="1"/>
        </w:rPr>
        <w:t>V</w:t>
      </w:r>
      <w:r>
        <w:rPr>
          <w:rFonts w:cs="Times New Roman"/>
          <w:spacing w:val="-1"/>
          <w:position w:val="-4"/>
          <w:vertAlign w:val="subscript"/>
        </w:rPr>
        <w:t>4</w:t>
      </w:r>
      <w:r>
        <w:rPr>
          <w:rFonts w:cs="Times New Roman"/>
          <w:position w:val="1"/>
        </w:rPr>
        <w:t>+V</w:t>
      </w:r>
      <w:r>
        <w:rPr>
          <w:rFonts w:cs="Times New Roman"/>
          <w:position w:val="-4"/>
          <w:vertAlign w:val="subscript"/>
        </w:rPr>
        <w:t>5</w:t>
      </w:r>
    </w:p>
    <w:p>
      <w:pPr>
        <w:ind w:firstLine="480"/>
        <w:rPr>
          <w:rFonts w:cs="Times New Roman"/>
        </w:rPr>
      </w:pPr>
      <w:r>
        <w:rPr>
          <w:rFonts w:cs="Times New Roman"/>
        </w:rPr>
        <w:t>式中：</w:t>
      </w:r>
    </w:p>
    <w:p>
      <w:pPr>
        <w:ind w:firstLine="480"/>
        <w:rPr>
          <w:rFonts w:cs="Times New Roman"/>
        </w:rPr>
      </w:pPr>
      <w:r>
        <w:rPr>
          <w:rFonts w:cs="Times New Roman"/>
        </w:rPr>
        <w:t>V1——收集系统范围内发生事故的一个罐组或一套装置的物料量。储存相同物料的罐组按一个最大</w:t>
      </w:r>
      <w:r>
        <w:rPr>
          <w:rFonts w:hint="eastAsia" w:cs="Times New Roman"/>
          <w:lang w:eastAsia="zh-CN"/>
        </w:rPr>
        <w:t>储桶</w:t>
      </w:r>
      <w:r>
        <w:rPr>
          <w:rFonts w:cs="Times New Roman"/>
        </w:rPr>
        <w:t>计，装置物料量按存留最大物料量的一台反应器或中间</w:t>
      </w:r>
      <w:r>
        <w:rPr>
          <w:rFonts w:hint="eastAsia" w:cs="Times New Roman"/>
          <w:lang w:eastAsia="zh-CN"/>
        </w:rPr>
        <w:t>储桶</w:t>
      </w:r>
      <w:r>
        <w:rPr>
          <w:rFonts w:cs="Times New Roman"/>
        </w:rPr>
        <w:t>计，m</w:t>
      </w:r>
      <w:r>
        <w:rPr>
          <w:rFonts w:cs="Times New Roman"/>
          <w:vertAlign w:val="superscript"/>
        </w:rPr>
        <w:t>3</w:t>
      </w:r>
      <w:r>
        <w:rPr>
          <w:rFonts w:cs="Times New Roman"/>
        </w:rPr>
        <w:t>；</w:t>
      </w:r>
    </w:p>
    <w:p>
      <w:pPr>
        <w:ind w:firstLine="480"/>
        <w:rPr>
          <w:rFonts w:cs="Times New Roman"/>
        </w:rPr>
      </w:pPr>
      <w:r>
        <w:rPr>
          <w:rFonts w:cs="Times New Roman"/>
        </w:rPr>
        <w:t>V2——发生事故的储罐或装置的消防水量，m</w:t>
      </w:r>
      <w:r>
        <w:rPr>
          <w:rFonts w:cs="Times New Roman"/>
          <w:vertAlign w:val="superscript"/>
        </w:rPr>
        <w:t>3</w:t>
      </w:r>
      <w:r>
        <w:rPr>
          <w:rFonts w:cs="Times New Roman"/>
        </w:rPr>
        <w:t>；</w:t>
      </w:r>
    </w:p>
    <w:p>
      <w:pPr>
        <w:ind w:firstLine="480"/>
        <w:rPr>
          <w:rFonts w:cs="Times New Roman"/>
        </w:rPr>
      </w:pPr>
      <w:r>
        <w:rPr>
          <w:rFonts w:cs="Times New Roman"/>
        </w:rPr>
        <w:t>V3——发生事故时可以</w:t>
      </w:r>
      <w:r>
        <w:rPr>
          <w:rFonts w:hint="eastAsia" w:cs="Times New Roman"/>
        </w:rPr>
        <w:t>传输</w:t>
      </w:r>
      <w:r>
        <w:rPr>
          <w:rFonts w:cs="Times New Roman"/>
        </w:rPr>
        <w:t>到其他储存或处理设施的物料量，m</w:t>
      </w:r>
      <w:r>
        <w:rPr>
          <w:rFonts w:cs="Times New Roman"/>
          <w:vertAlign w:val="superscript"/>
        </w:rPr>
        <w:t>3</w:t>
      </w:r>
      <w:r>
        <w:rPr>
          <w:rFonts w:cs="Times New Roman"/>
        </w:rPr>
        <w:t>；</w:t>
      </w:r>
    </w:p>
    <w:p>
      <w:pPr>
        <w:ind w:firstLine="480"/>
        <w:rPr>
          <w:rFonts w:cs="Times New Roman"/>
        </w:rPr>
      </w:pPr>
      <w:r>
        <w:rPr>
          <w:rFonts w:cs="Times New Roman"/>
        </w:rPr>
        <w:t>V4——发生事故时仍必须进入该收集系统的生产废水量，m</w:t>
      </w:r>
      <w:r>
        <w:rPr>
          <w:rFonts w:cs="Times New Roman"/>
          <w:vertAlign w:val="superscript"/>
        </w:rPr>
        <w:t>3</w:t>
      </w:r>
      <w:r>
        <w:rPr>
          <w:rFonts w:cs="Times New Roman"/>
        </w:rPr>
        <w:t>；</w:t>
      </w:r>
    </w:p>
    <w:p>
      <w:pPr>
        <w:ind w:firstLine="480"/>
        <w:rPr>
          <w:rFonts w:cs="Times New Roman"/>
        </w:rPr>
      </w:pPr>
      <w:r>
        <w:rPr>
          <w:rFonts w:cs="Times New Roman"/>
        </w:rPr>
        <w:t>V5——发生事故时可能进入该收集系统的降雨量，m</w:t>
      </w:r>
      <w:r>
        <w:rPr>
          <w:rFonts w:cs="Times New Roman"/>
          <w:vertAlign w:val="superscript"/>
        </w:rPr>
        <w:t>3</w:t>
      </w:r>
      <w:r>
        <w:rPr>
          <w:rFonts w:cs="Times New Roman"/>
        </w:rPr>
        <w:t>。</w:t>
      </w:r>
    </w:p>
    <w:p>
      <w:pPr>
        <w:ind w:firstLine="480"/>
        <w:rPr>
          <w:rFonts w:cs="Times New Roman"/>
        </w:rPr>
      </w:pPr>
      <w:r>
        <w:rPr>
          <w:rFonts w:cs="Times New Roman"/>
        </w:rPr>
        <w:t>相关参数确定如下：</w:t>
      </w:r>
    </w:p>
    <w:p>
      <w:pPr>
        <w:ind w:firstLine="480"/>
        <w:rPr>
          <w:rFonts w:cs="Times New Roman"/>
        </w:rPr>
      </w:pPr>
      <w:r>
        <w:rPr>
          <w:rFonts w:cs="Times New Roman"/>
        </w:rPr>
        <w:t>V1：本项目不设置物料罐组，所有液体原料均采用桶装，车间反应釜最大容积</w:t>
      </w:r>
      <w:r>
        <w:rPr>
          <w:rFonts w:hint="eastAsia" w:cs="Times New Roman"/>
          <w:lang w:val="en-US" w:eastAsia="zh-CN"/>
        </w:rPr>
        <w:t>2</w:t>
      </w:r>
      <w:r>
        <w:rPr>
          <w:rFonts w:cs="Times New Roman"/>
        </w:rPr>
        <w:t>000L，故确定V1为5m</w:t>
      </w:r>
      <w:r>
        <w:rPr>
          <w:rFonts w:cs="Times New Roman"/>
          <w:vertAlign w:val="superscript"/>
        </w:rPr>
        <w:t>3</w:t>
      </w:r>
      <w:r>
        <w:rPr>
          <w:rFonts w:cs="Times New Roman"/>
        </w:rPr>
        <w:t>。</w:t>
      </w:r>
    </w:p>
    <w:p>
      <w:pPr>
        <w:ind w:firstLine="480"/>
        <w:rPr>
          <w:rFonts w:cs="Times New Roman"/>
        </w:rPr>
      </w:pPr>
      <w:r>
        <w:rPr>
          <w:rFonts w:cs="Times New Roman"/>
        </w:rPr>
        <w:t>V2：消防废水量按最大值考虑，为378m</w:t>
      </w:r>
      <w:r>
        <w:rPr>
          <w:rFonts w:cs="Times New Roman"/>
          <w:vertAlign w:val="superscript"/>
        </w:rPr>
        <w:t>3</w:t>
      </w:r>
      <w:r>
        <w:rPr>
          <w:rFonts w:cs="Times New Roman"/>
        </w:rPr>
        <w:t>。</w:t>
      </w:r>
    </w:p>
    <w:p>
      <w:pPr>
        <w:ind w:firstLine="480"/>
        <w:rPr>
          <w:rFonts w:cs="Times New Roman"/>
        </w:rPr>
      </w:pPr>
      <w:r>
        <w:rPr>
          <w:rFonts w:cs="Times New Roman"/>
        </w:rPr>
        <w:t>V3：不考虑物料事故状态下物料切换储存设置，取值为0。</w:t>
      </w:r>
    </w:p>
    <w:p>
      <w:pPr>
        <w:ind w:firstLine="480"/>
        <w:rPr>
          <w:rFonts w:cs="Times New Roman"/>
        </w:rPr>
      </w:pPr>
      <w:r>
        <w:rPr>
          <w:rFonts w:cs="Times New Roman"/>
        </w:rPr>
        <w:t>V4：事故状态下，车间、仓库不进行保洁作业，故无废水排放，取值为0。</w:t>
      </w:r>
    </w:p>
    <w:p>
      <w:pPr>
        <w:ind w:firstLine="480"/>
        <w:rPr>
          <w:rFonts w:cs="Times New Roman"/>
        </w:rPr>
      </w:pPr>
      <w:r>
        <w:rPr>
          <w:rFonts w:cs="Times New Roman"/>
        </w:rPr>
        <w:t>V5：发生事故时可能进入该收集系统的降雨量按下式计算</w:t>
      </w:r>
    </w:p>
    <w:p>
      <w:pPr>
        <w:ind w:firstLine="480"/>
        <w:jc w:val="center"/>
        <w:rPr>
          <w:rFonts w:cs="Times New Roman"/>
        </w:rPr>
      </w:pPr>
      <w:r>
        <w:rPr>
          <w:rFonts w:cs="Times New Roman"/>
        </w:rPr>
        <w:t>V5＝10qF；q=qa/n</w:t>
      </w:r>
    </w:p>
    <w:p>
      <w:pPr>
        <w:ind w:firstLine="480"/>
        <w:rPr>
          <w:rFonts w:cs="Times New Roman"/>
        </w:rPr>
      </w:pPr>
      <w:r>
        <w:rPr>
          <w:rFonts w:cs="Times New Roman"/>
        </w:rPr>
        <w:t>式中：</w:t>
      </w:r>
    </w:p>
    <w:p>
      <w:pPr>
        <w:ind w:firstLine="480"/>
        <w:rPr>
          <w:rFonts w:cs="Times New Roman"/>
        </w:rPr>
      </w:pPr>
      <w:r>
        <w:rPr>
          <w:rFonts w:cs="Times New Roman"/>
        </w:rPr>
        <w:t>q为降雨强度，按平均日降雨量；</w:t>
      </w:r>
    </w:p>
    <w:p>
      <w:pPr>
        <w:ind w:firstLine="480"/>
        <w:rPr>
          <w:rFonts w:cs="Times New Roman"/>
        </w:rPr>
      </w:pPr>
      <w:r>
        <w:rPr>
          <w:rFonts w:cs="Times New Roman"/>
        </w:rPr>
        <w:t>qa为年平均降雨量，mm，取值1113.0mm；</w:t>
      </w:r>
    </w:p>
    <w:p>
      <w:pPr>
        <w:ind w:firstLine="480"/>
        <w:rPr>
          <w:rFonts w:cs="Times New Roman"/>
        </w:rPr>
      </w:pPr>
      <w:r>
        <w:rPr>
          <w:rFonts w:cs="Times New Roman"/>
        </w:rPr>
        <w:t>n为年平均降雨日数，取值120天；</w:t>
      </w:r>
    </w:p>
    <w:p>
      <w:pPr>
        <w:ind w:firstLine="480"/>
        <w:rPr>
          <w:rFonts w:cs="Times New Roman"/>
        </w:rPr>
      </w:pPr>
      <w:r>
        <w:rPr>
          <w:rFonts w:cs="Times New Roman"/>
        </w:rPr>
        <w:t>F为必须进入事故废水收集系统的雨水汇水面积，hm</w:t>
      </w:r>
      <w:r>
        <w:rPr>
          <w:rFonts w:cs="Times New Roman"/>
          <w:vertAlign w:val="superscript"/>
        </w:rPr>
        <w:t>2</w:t>
      </w:r>
      <w:r>
        <w:rPr>
          <w:rFonts w:cs="Times New Roman"/>
        </w:rPr>
        <w:t>，按拟建项目生产区及仓库面积取值0.555hm</w:t>
      </w:r>
      <w:r>
        <w:rPr>
          <w:rFonts w:cs="Times New Roman"/>
          <w:vertAlign w:val="superscript"/>
        </w:rPr>
        <w:t>2</w:t>
      </w:r>
      <w:r>
        <w:rPr>
          <w:rFonts w:cs="Times New Roman"/>
        </w:rPr>
        <w:t>。</w:t>
      </w:r>
    </w:p>
    <w:p>
      <w:pPr>
        <w:ind w:firstLine="480"/>
        <w:rPr>
          <w:rFonts w:cs="Times New Roman"/>
        </w:rPr>
      </w:pPr>
      <w:r>
        <w:rPr>
          <w:rFonts w:cs="Times New Roman"/>
        </w:rPr>
        <w:t>根据以上计算，V5为51.5m</w:t>
      </w:r>
      <w:r>
        <w:rPr>
          <w:rFonts w:cs="Times New Roman"/>
          <w:vertAlign w:val="superscript"/>
        </w:rPr>
        <w:t>3</w:t>
      </w:r>
      <w:r>
        <w:rPr>
          <w:rFonts w:cs="Times New Roman"/>
        </w:rPr>
        <w:t>；计算本项目事故应急水池有效容积为434.5m</w:t>
      </w:r>
      <w:r>
        <w:rPr>
          <w:rFonts w:cs="Times New Roman"/>
          <w:vertAlign w:val="superscript"/>
        </w:rPr>
        <w:t>3</w:t>
      </w:r>
      <w:r>
        <w:rPr>
          <w:rFonts w:cs="Times New Roman"/>
        </w:rPr>
        <w:t>。建设单位拟在生产区北侧设置事故应急池，用于收集事故状态下厂内废水，事故应急水池设计容量为1000m</w:t>
      </w:r>
      <w:r>
        <w:rPr>
          <w:rFonts w:cs="Times New Roman"/>
          <w:vertAlign w:val="superscript"/>
        </w:rPr>
        <w:t>3</w:t>
      </w:r>
      <w:r>
        <w:rPr>
          <w:rFonts w:cs="Times New Roman"/>
        </w:rPr>
        <w:t>&gt;434.5m</w:t>
      </w:r>
      <w:r>
        <w:rPr>
          <w:rFonts w:cs="Times New Roman"/>
          <w:vertAlign w:val="superscript"/>
        </w:rPr>
        <w:t>3</w:t>
      </w:r>
      <w:r>
        <w:rPr>
          <w:rFonts w:cs="Times New Roman"/>
        </w:rPr>
        <w:t>，设计可行。</w:t>
      </w:r>
    </w:p>
    <w:p>
      <w:pPr>
        <w:ind w:firstLine="480"/>
        <w:rPr>
          <w:rFonts w:cs="Times New Roman"/>
        </w:rPr>
      </w:pPr>
      <w:r>
        <w:rPr>
          <w:rFonts w:cs="Times New Roman"/>
        </w:rPr>
        <w:t>在事故状态下，事故废水如果直接进入污水处理厂，一旦事故废水受污染程度较大，则会对污水处理装置在处理能力和处理污染负荷上产生较大冲击。因此，须设置三通切换阀，在事故污水未进入污水处理厂前，将其引入事故水收集系统</w:t>
      </w:r>
      <w:r>
        <w:rPr>
          <w:rFonts w:hint="eastAsia" w:cs="Times New Roman"/>
        </w:rPr>
        <w:t>（</w:t>
      </w:r>
      <w:r>
        <w:rPr>
          <w:rFonts w:cs="Times New Roman"/>
        </w:rPr>
        <w:t>前述的应急事故池等</w:t>
      </w:r>
      <w:r>
        <w:rPr>
          <w:rFonts w:hint="eastAsia" w:cs="Times New Roman"/>
        </w:rPr>
        <w:t>）</w:t>
      </w:r>
      <w:r>
        <w:rPr>
          <w:rFonts w:cs="Times New Roman"/>
        </w:rPr>
        <w:t>，事故过后，对事故废水进行水质监测分析，根据化验分析出来的受污染程度采用限流方式经厂区内污水处理站处理后再送入集中污水处理厂进行处理。一旦发现排水中有害污染物质浓度超标，则应减小事故污水进入污水处理装置流量，必要时切断，使其不会对污水处理厂的正常运行产生不良影响，确保不会对附近水环境质量产生污染事故。</w:t>
      </w:r>
    </w:p>
    <w:p>
      <w:pPr>
        <w:ind w:firstLine="562"/>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8.7.3</w:t>
      </w:r>
      <w:r>
        <w:rPr>
          <w:rFonts w:cs="Times New Roman"/>
          <w:b/>
          <w:bCs/>
          <w:color w:val="000000"/>
          <w:kern w:val="0"/>
          <w:sz w:val="28"/>
          <w:szCs w:val="28"/>
          <w:lang w:bidi="ar"/>
        </w:rPr>
        <w:t xml:space="preserve"> 伴生/次生事故引起风险影响分析</w:t>
      </w:r>
    </w:p>
    <w:p>
      <w:pPr>
        <w:ind w:firstLine="480"/>
      </w:pPr>
      <w:r>
        <w:t>项目使用的原料泄漏后，遇明火、高热能引起燃烧，燃烧后产生的污染物有烟尘、一氧化碳等。火灾现场的浓烟可造成人员窒息，一氧化碳为有毒气体，吸入会出现头痛、头晕、耳鸣、心悸、恶心、呕吐、无力等症状，深度中毒可致死。由于本项目危化品原料等采用</w:t>
      </w:r>
      <w:r>
        <w:rPr>
          <w:rFonts w:hint="eastAsia"/>
        </w:rPr>
        <w:t>25</w:t>
      </w:r>
      <w:r>
        <w:t>kg铁桶包装，故发生火灾事故时，物料一次泄漏及燃烧量较少</w:t>
      </w:r>
      <w:r>
        <w:rPr>
          <w:rFonts w:hint="eastAsia"/>
        </w:rPr>
        <w:t>（</w:t>
      </w:r>
      <w:r>
        <w:t>最大取值约200kg</w:t>
      </w:r>
      <w:r>
        <w:rPr>
          <w:rFonts w:hint="eastAsia"/>
        </w:rPr>
        <w:t>）</w:t>
      </w:r>
      <w:r>
        <w:t>，火灾伴生/次生中一氧化碳等产生量很小，其对周围环境可能造成的影响也较小。</w:t>
      </w:r>
    </w:p>
    <w:p>
      <w:pPr>
        <w:ind w:firstLine="480"/>
      </w:pPr>
      <w:r>
        <w:t>若项目发生火灾事故，泄漏的化学品和燃烧产生的污染物将进入喷淋消防水，若随意排放，会对项目周边地表水造成一定的污染。根据GB50483-2009《化工建设项目环境保护设计规范》，建设单位拟在生产区</w:t>
      </w:r>
      <w:r>
        <w:rPr>
          <w:rFonts w:hint="eastAsia"/>
        </w:rPr>
        <w:t>东南</w:t>
      </w:r>
      <w:r>
        <w:t>侧设置事故应急池，规格20m×10m×5m，用于收集事故状态下厂内废水，事故池容积1000m</w:t>
      </w:r>
      <w:r>
        <w:rPr>
          <w:vertAlign w:val="superscript"/>
        </w:rPr>
        <w:t>3</w:t>
      </w:r>
      <w:r>
        <w:t>。同时，拟在生产车间、仓库四周设置截流沟，用于将事故废水导流至事故应急池，防止消防废水等事故废水外排。当火灾事故发生时，消防废水等经单独收集后暂存于厂区事故应急池内，事故结束后将应急池废水限流泵入厂区污水处理站，处理达标废水再经市政污水管网排入污水处理厂，不会直接排放到周边地表水体，因此，事故状态下产生的消防废水等对周围地表水体产生的影响较小。</w:t>
      </w:r>
    </w:p>
    <w:p>
      <w:pPr>
        <w:pStyle w:val="7"/>
        <w:ind w:firstLine="562"/>
      </w:pPr>
      <w:r>
        <w:rPr>
          <w:rFonts w:hint="eastAsia"/>
        </w:rPr>
        <w:t>6.8.8、环境风险管理</w:t>
      </w:r>
    </w:p>
    <w:p>
      <w:pPr>
        <w:ind w:firstLine="562"/>
        <w:rPr>
          <w:rFonts w:cs="Times New Roman"/>
          <w:b/>
          <w:bCs/>
          <w:color w:val="000000"/>
          <w:kern w:val="0"/>
          <w:sz w:val="28"/>
          <w:szCs w:val="28"/>
          <w:lang w:bidi="ar"/>
        </w:rPr>
      </w:pPr>
      <w:r>
        <w:rPr>
          <w:rFonts w:cs="Times New Roman"/>
          <w:b/>
          <w:bCs/>
          <w:color w:val="000000"/>
          <w:kern w:val="0"/>
          <w:sz w:val="28"/>
          <w:szCs w:val="28"/>
          <w:lang w:bidi="ar"/>
        </w:rPr>
        <w:t>6.</w:t>
      </w:r>
      <w:r>
        <w:rPr>
          <w:rFonts w:hint="eastAsia" w:cs="Times New Roman"/>
          <w:b/>
          <w:bCs/>
          <w:color w:val="000000"/>
          <w:kern w:val="0"/>
          <w:sz w:val="28"/>
          <w:szCs w:val="28"/>
          <w:lang w:bidi="ar"/>
        </w:rPr>
        <w:t>8.8.1</w:t>
      </w:r>
      <w:r>
        <w:rPr>
          <w:rFonts w:cs="Times New Roman"/>
          <w:b/>
          <w:bCs/>
          <w:color w:val="000000"/>
          <w:kern w:val="0"/>
          <w:sz w:val="28"/>
          <w:szCs w:val="28"/>
          <w:lang w:bidi="ar"/>
        </w:rPr>
        <w:t xml:space="preserve"> 环境风险防范措施</w:t>
      </w:r>
    </w:p>
    <w:p>
      <w:pPr>
        <w:ind w:firstLine="480"/>
      </w:pPr>
      <w:r>
        <w:rPr>
          <w:rFonts w:hint="eastAsia"/>
        </w:rPr>
        <w:t>1、</w:t>
      </w:r>
      <w:r>
        <w:t>大气环境风险防范措施</w:t>
      </w:r>
    </w:p>
    <w:p>
      <w:pPr>
        <w:ind w:firstLine="480"/>
      </w:pPr>
      <w:r>
        <w:t>严格执行相关规范要求，所有建、构筑物之间或与其它场所之间留有足够的防火间距，防止在火灾或爆炸时相互影响；严格按工艺处理物料特性，对厂区进行危险区划分；厂区道路实行人、货流分开</w:t>
      </w:r>
      <w:r>
        <w:rPr>
          <w:rFonts w:hint="eastAsia"/>
        </w:rPr>
        <w:t>（</w:t>
      </w:r>
      <w:r>
        <w:t>划分人行区域和车辆行驶区域、不重叠</w:t>
      </w:r>
      <w:r>
        <w:rPr>
          <w:rFonts w:hint="eastAsia"/>
        </w:rPr>
        <w:t>）</w:t>
      </w:r>
      <w:r>
        <w:t>，划出专用车辆行驶路线；在厂区总平面布置中配套建设应急救援设施、救援通道、应急疏散避难所等防护设施；按《安全标志》规定在装置区设置有关的安全标志。根据《排污单位自行检测技术指南总则》</w:t>
      </w:r>
      <w:r>
        <w:rPr>
          <w:rFonts w:hint="eastAsia"/>
        </w:rPr>
        <w:t>（</w:t>
      </w:r>
      <w:r>
        <w:t>HJ819-2017</w:t>
      </w:r>
      <w:r>
        <w:rPr>
          <w:rFonts w:hint="eastAsia"/>
        </w:rPr>
        <w:t>）</w:t>
      </w:r>
      <w:r>
        <w:t>中规定的检测频次，并结合本项目的特点，制定大气污染源检测计划，定期对相应废气处理装置进行维护保养，及时对活性炭吸附装置内饱和吸附的活性炭进行更换处理，确保生产过程产生的有机废气能得到有效处理、达标排放。</w:t>
      </w:r>
    </w:p>
    <w:p>
      <w:pPr>
        <w:ind w:firstLine="480"/>
      </w:pPr>
      <w:r>
        <w:rPr>
          <w:rFonts w:hint="eastAsia"/>
        </w:rPr>
        <w:t>2、事故废水环境风险防范措施</w:t>
      </w:r>
    </w:p>
    <w:p>
      <w:pPr>
        <w:ind w:firstLine="480"/>
      </w:pPr>
      <w:r>
        <w:rPr>
          <w:rFonts w:hint="eastAsia"/>
        </w:rPr>
        <w:t>结合《事故状态下水体污染的预防与控制技术要求》（Q/SY1190-2013），本项目坚持以</w:t>
      </w:r>
      <w:r>
        <w:rPr>
          <w:rFonts w:hint="eastAsia"/>
          <w:lang w:eastAsia="zh-CN"/>
        </w:rPr>
        <w:t>“</w:t>
      </w:r>
      <w:r>
        <w:rPr>
          <w:rFonts w:hint="eastAsia"/>
        </w:rPr>
        <w:t>预防为主、防控结合</w:t>
      </w:r>
      <w:r>
        <w:rPr>
          <w:rFonts w:hint="eastAsia"/>
          <w:lang w:eastAsia="zh-CN"/>
        </w:rPr>
        <w:t>”</w:t>
      </w:r>
      <w:r>
        <w:rPr>
          <w:rFonts w:hint="eastAsia"/>
        </w:rPr>
        <w:t>的指导思想，建立安全、及时、有效</w:t>
      </w:r>
      <w:r>
        <w:rPr>
          <w:rFonts w:hint="eastAsia"/>
          <w:lang w:eastAsia="zh-CN"/>
        </w:rPr>
        <w:t>的</w:t>
      </w:r>
      <w:r>
        <w:rPr>
          <w:rFonts w:hint="eastAsia"/>
        </w:rPr>
        <w:t>污染综合预防与控制体系，确保事故状态下的事故废水全部处于受控状态，事故废水得到有效处理达标后排放，防止对水环境的污染。对于事故废水环境风险防范，采取</w:t>
      </w:r>
      <w:r>
        <w:rPr>
          <w:rFonts w:hint="eastAsia"/>
          <w:lang w:eastAsia="zh-CN"/>
        </w:rPr>
        <w:t>“</w:t>
      </w:r>
      <w:r>
        <w:rPr>
          <w:rFonts w:hint="eastAsia"/>
        </w:rPr>
        <w:t>单元—厂区—园区</w:t>
      </w:r>
      <w:r>
        <w:rPr>
          <w:rFonts w:hint="eastAsia"/>
          <w:lang w:eastAsia="zh-CN"/>
        </w:rPr>
        <w:t>”</w:t>
      </w:r>
      <w:r>
        <w:rPr>
          <w:rFonts w:hint="eastAsia"/>
        </w:rPr>
        <w:t>的环境风险防控体系，厂内同时建立完善的水体污染事故三级预防与控制体系。</w:t>
      </w:r>
    </w:p>
    <w:p>
      <w:pPr>
        <w:ind w:firstLine="480"/>
      </w:pPr>
      <w:r>
        <w:rPr>
          <w:rFonts w:hint="eastAsia"/>
        </w:rPr>
        <w:t>①一级预防与控制体系</w:t>
      </w:r>
    </w:p>
    <w:p>
      <w:pPr>
        <w:ind w:firstLine="480"/>
      </w:pPr>
      <w:r>
        <w:rPr>
          <w:rFonts w:hint="eastAsia"/>
        </w:rPr>
        <w:t>本项目设有丙类危化品仓库，储存相应的危险化学品，危化品仓库必须分别设置防泄漏围堰或收集管道，围堰或管道的容量不得小于原料的最大贮量。一旦发生事故，化学原料及产品等滞留在围堰内，可避免对水体、土壤的污染。危化品仓库的地面及围堰均采取耐腐蚀、防渗漏处理，入渗系数达到＜10</w:t>
      </w:r>
      <w:r>
        <w:rPr>
          <w:rFonts w:hint="eastAsia"/>
          <w:vertAlign w:val="superscript"/>
        </w:rPr>
        <w:t>-7</w:t>
      </w:r>
      <w:r>
        <w:rPr>
          <w:rFonts w:hint="eastAsia"/>
        </w:rPr>
        <w:t>cm/s要求，保证地面无裂痕。</w:t>
      </w:r>
    </w:p>
    <w:p>
      <w:pPr>
        <w:ind w:firstLine="480"/>
      </w:pPr>
      <w:r>
        <w:rPr>
          <w:rFonts w:hint="eastAsia"/>
        </w:rPr>
        <w:t>②二级预防与控制体系</w:t>
      </w:r>
    </w:p>
    <w:p>
      <w:pPr>
        <w:ind w:firstLine="480"/>
      </w:pPr>
      <w:r>
        <w:rPr>
          <w:rFonts w:hint="eastAsia"/>
        </w:rPr>
        <w:t>为防止危化品仓库物料泄漏进入雨水管网，需对危化品仓库区域内雨水接管口安装止回阀，一旦出现泄漏事故可将泄漏液回流至应急事故水池；在车间废水进入厂区内集、排水系统管网中设置排污闸板，在厂区集、排水系统总排放口设置排污闸板，防止事故废水外排。</w:t>
      </w:r>
    </w:p>
    <w:p>
      <w:pPr>
        <w:ind w:firstLine="480"/>
      </w:pPr>
      <w:r>
        <w:rPr>
          <w:rFonts w:hint="eastAsia"/>
        </w:rPr>
        <w:t>③三级预防与控制体系</w:t>
      </w:r>
    </w:p>
    <w:p>
      <w:pPr>
        <w:ind w:firstLine="480"/>
      </w:pPr>
      <w:r>
        <w:rPr>
          <w:rFonts w:hint="eastAsia"/>
        </w:rPr>
        <w:t>针对可能发生的消防事故废水应设置应急事故池。应急事故池的底部和侧面均采取耐腐蚀、防渗漏处理，入渗系数达到＜10</w:t>
      </w:r>
      <w:r>
        <w:rPr>
          <w:rFonts w:hint="eastAsia"/>
          <w:vertAlign w:val="superscript"/>
        </w:rPr>
        <w:t>-7</w:t>
      </w:r>
      <w:r>
        <w:rPr>
          <w:rFonts w:hint="eastAsia"/>
        </w:rPr>
        <w:t>cm/s要求，保证地面无裂痕。</w:t>
      </w:r>
    </w:p>
    <w:p>
      <w:pPr>
        <w:ind w:firstLine="480"/>
      </w:pPr>
      <w:r>
        <w:rPr>
          <w:rFonts w:hint="eastAsia"/>
        </w:rPr>
        <w:t>应按照《建筑设计防火规范》（GB50016-2006）的规定并结合拟建项目实际情况，拟在生产区东南侧设置事故应急池，规格20m×10m×5m，用于收集事故状态下厂内废水，事故池容积1000m</w:t>
      </w:r>
      <w:r>
        <w:rPr>
          <w:rFonts w:hint="eastAsia"/>
          <w:vertAlign w:val="superscript"/>
        </w:rPr>
        <w:t>3</w:t>
      </w:r>
      <w:r>
        <w:rPr>
          <w:rFonts w:hint="eastAsia"/>
        </w:rPr>
        <w:t>。收集的事故废水采用分批次排入厂内污水处理站，经处理达标后再排入市政污水管网。</w:t>
      </w:r>
    </w:p>
    <w:p>
      <w:pPr>
        <w:ind w:firstLine="480"/>
      </w:pPr>
      <w:r>
        <w:rPr>
          <w:rFonts w:hint="eastAsia"/>
        </w:rPr>
        <w:t>同时，危化品仓库发生较大量泄漏事故时，应将围堰内收集的泄漏液及时收集，送有资质的危废处理单位进行安全处置；化学品库发生事故少量泄漏时，用吸液棉或其它惰性材料吸附残液，转移到安全容器中，送有资质的危废处理单位进行安全处置。</w:t>
      </w:r>
    </w:p>
    <w:p>
      <w:pPr>
        <w:ind w:firstLine="480"/>
      </w:pPr>
      <w:r>
        <w:rPr>
          <w:rFonts w:hint="eastAsia"/>
        </w:rPr>
        <w:t>3、地下水环境风险防范措施</w:t>
      </w:r>
    </w:p>
    <w:p>
      <w:pPr>
        <w:ind w:firstLine="480"/>
      </w:pPr>
      <w:r>
        <w:rPr>
          <w:rFonts w:hint="eastAsia"/>
        </w:rPr>
        <w:t>地下水环境风险防范重点采取源头控制和分区防渗措施，并加强地下水环境的监控、预警，提出事故应急减缓措施。</w:t>
      </w:r>
    </w:p>
    <w:p>
      <w:pPr>
        <w:ind w:firstLine="480"/>
      </w:pPr>
      <w:r>
        <w:rPr>
          <w:rFonts w:hint="eastAsia"/>
        </w:rPr>
        <w:t>①源头控制</w:t>
      </w:r>
    </w:p>
    <w:p>
      <w:pPr>
        <w:ind w:firstLine="480"/>
      </w:pPr>
      <w:r>
        <w:rPr>
          <w:rFonts w:hint="eastAsia"/>
        </w:rPr>
        <w:t>主要包括在管道、设备、污水储存及处理构筑物采取相应措施，防止和降低污染物跑、冒、滴、漏，将污染物泄漏的环境风险事故降到最低程度；管线敷设尽量采用</w:t>
      </w:r>
      <w:r>
        <w:rPr>
          <w:rFonts w:hint="eastAsia"/>
          <w:lang w:eastAsia="zh-CN"/>
        </w:rPr>
        <w:t>“</w:t>
      </w:r>
      <w:r>
        <w:rPr>
          <w:rFonts w:hint="eastAsia"/>
        </w:rPr>
        <w:t>可视化</w:t>
      </w:r>
      <w:r>
        <w:rPr>
          <w:rFonts w:hint="eastAsia"/>
          <w:lang w:eastAsia="zh-CN"/>
        </w:rPr>
        <w:t>”</w:t>
      </w:r>
      <w:r>
        <w:rPr>
          <w:rFonts w:hint="eastAsia"/>
        </w:rPr>
        <w:t>原则，即管道尽可能地上敷设，做到污染物</w:t>
      </w:r>
      <w:r>
        <w:rPr>
          <w:rFonts w:hint="eastAsia"/>
          <w:lang w:eastAsia="zh-CN"/>
        </w:rPr>
        <w:t>“</w:t>
      </w:r>
      <w:r>
        <w:rPr>
          <w:rFonts w:hint="eastAsia"/>
        </w:rPr>
        <w:t>早发现</w:t>
      </w:r>
      <w:r>
        <w:rPr>
          <w:rFonts w:hint="eastAsia"/>
          <w:lang w:eastAsia="zh-CN"/>
        </w:rPr>
        <w:t>”</w:t>
      </w:r>
      <w:r>
        <w:rPr>
          <w:rFonts w:hint="eastAsia"/>
        </w:rPr>
        <w:t>早处理，减少由于埋地管道泄漏而造成的地下水污染。</w:t>
      </w:r>
    </w:p>
    <w:p>
      <w:pPr>
        <w:ind w:firstLine="480"/>
      </w:pPr>
      <w:r>
        <w:rPr>
          <w:rFonts w:hint="eastAsia"/>
        </w:rPr>
        <w:t>②分区防渗</w:t>
      </w:r>
    </w:p>
    <w:p>
      <w:pPr>
        <w:ind w:firstLine="480"/>
      </w:pPr>
      <w:r>
        <w:rPr>
          <w:rFonts w:hint="eastAsia"/>
        </w:rPr>
        <w:t>主要包括厂内污染区地面的防渗措施和泄漏、渗漏污染物收集措施，即在污染区地面进行防渗处理，防止洒落地面的污染物渗入地下，并把滞留在地面的污染物收集起来，集中处理，从而避免对地下水的污染。结合建设项目各生产设备、管廊或管线、贮存、运输装置等因素，根据可能进入地下水环境的各种有毒有害污染物的性质、产生量和排放量，将污染防治区划分为特殊防渗区、重点防渗区和一般防渗区。</w:t>
      </w:r>
    </w:p>
    <w:p>
      <w:pPr>
        <w:spacing w:line="240" w:lineRule="auto"/>
        <w:ind w:left="432" w:firstLine="482"/>
        <w:jc w:val="center"/>
        <w:rPr>
          <w:b/>
        </w:rPr>
      </w:pPr>
      <w:r>
        <w:rPr>
          <w:b/>
        </w:rPr>
        <w:t>表</w:t>
      </w:r>
      <w:r>
        <w:rPr>
          <w:rFonts w:hint="eastAsia"/>
          <w:b/>
        </w:rPr>
        <w:t>6.8-</w:t>
      </w:r>
      <w:r>
        <w:rPr>
          <w:rFonts w:hint="eastAsia"/>
          <w:b/>
          <w:lang w:val="en-US" w:eastAsia="zh-CN"/>
        </w:rPr>
        <w:t>24</w:t>
      </w:r>
      <w:r>
        <w:rPr>
          <w:b/>
        </w:rPr>
        <w:t xml:space="preserve">  项目厂区地下水污染防渗分区</w:t>
      </w:r>
    </w:p>
    <w:tbl>
      <w:tblPr>
        <w:tblStyle w:val="51"/>
        <w:tblW w:w="5003" w:type="pct"/>
        <w:jc w:val="center"/>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Layout w:type="autofit"/>
        <w:tblCellMar>
          <w:top w:w="0" w:type="dxa"/>
          <w:left w:w="0" w:type="dxa"/>
          <w:bottom w:w="0" w:type="dxa"/>
          <w:right w:w="0" w:type="dxa"/>
        </w:tblCellMar>
      </w:tblPr>
      <w:tblGrid>
        <w:gridCol w:w="520"/>
        <w:gridCol w:w="1944"/>
        <w:gridCol w:w="1195"/>
        <w:gridCol w:w="1407"/>
        <w:gridCol w:w="1424"/>
        <w:gridCol w:w="1298"/>
        <w:gridCol w:w="1299"/>
      </w:tblGrid>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653" w:hRule="atLeast"/>
          <w:jc w:val="center"/>
        </w:trPr>
        <w:tc>
          <w:tcPr>
            <w:tcW w:w="286" w:type="pct"/>
            <w:textDirection w:val="tbRlV"/>
            <w:vAlign w:val="center"/>
          </w:tcPr>
          <w:p>
            <w:pPr>
              <w:spacing w:line="240" w:lineRule="auto"/>
              <w:ind w:firstLine="0" w:firstLineChars="0"/>
              <w:jc w:val="center"/>
              <w:rPr>
                <w:rFonts w:cs="Times New Roman"/>
                <w:sz w:val="21"/>
                <w:szCs w:val="21"/>
              </w:rPr>
            </w:pPr>
            <w:r>
              <w:rPr>
                <w:rFonts w:cs="Times New Roman"/>
                <w:sz w:val="21"/>
                <w:szCs w:val="21"/>
              </w:rPr>
              <w:t>序号</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名称</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污染物控制难易程度</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天然包气带防污性能分级</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污染物类型</w:t>
            </w:r>
          </w:p>
        </w:tc>
        <w:tc>
          <w:tcPr>
            <w:tcW w:w="714" w:type="pct"/>
            <w:vAlign w:val="center"/>
          </w:tcPr>
          <w:p>
            <w:pPr>
              <w:spacing w:line="240" w:lineRule="auto"/>
              <w:ind w:firstLine="0" w:firstLineChars="0"/>
              <w:jc w:val="center"/>
              <w:rPr>
                <w:rFonts w:cs="Times New Roman"/>
                <w:sz w:val="21"/>
                <w:szCs w:val="21"/>
              </w:rPr>
            </w:pPr>
            <w:r>
              <w:rPr>
                <w:rFonts w:cs="Times New Roman"/>
                <w:sz w:val="21"/>
                <w:szCs w:val="21"/>
              </w:rPr>
              <w:t>防渗分区</w:t>
            </w:r>
          </w:p>
        </w:tc>
        <w:tc>
          <w:tcPr>
            <w:tcW w:w="714" w:type="pct"/>
            <w:vAlign w:val="center"/>
          </w:tcPr>
          <w:p>
            <w:pPr>
              <w:spacing w:line="240" w:lineRule="auto"/>
              <w:ind w:firstLine="0" w:firstLineChars="0"/>
              <w:jc w:val="center"/>
              <w:rPr>
                <w:rFonts w:cs="Times New Roman"/>
                <w:sz w:val="21"/>
                <w:szCs w:val="21"/>
              </w:rPr>
            </w:pPr>
            <w:r>
              <w:rPr>
                <w:rFonts w:cs="Times New Roman"/>
                <w:sz w:val="21"/>
                <w:szCs w:val="21"/>
              </w:rPr>
              <w:t>防渗技术要求</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7" w:hRule="atLeast"/>
          <w:jc w:val="center"/>
        </w:trPr>
        <w:tc>
          <w:tcPr>
            <w:tcW w:w="286" w:type="pct"/>
            <w:vAlign w:val="center"/>
          </w:tcPr>
          <w:p>
            <w:pPr>
              <w:spacing w:line="240" w:lineRule="auto"/>
              <w:ind w:firstLine="0" w:firstLineChars="0"/>
              <w:jc w:val="center"/>
              <w:rPr>
                <w:rFonts w:cs="Times New Roman"/>
                <w:sz w:val="21"/>
                <w:szCs w:val="21"/>
              </w:rPr>
            </w:pPr>
            <w:r>
              <w:rPr>
                <w:rFonts w:hint="eastAsia" w:cs="Times New Roman"/>
                <w:sz w:val="21"/>
                <w:szCs w:val="21"/>
              </w:rPr>
              <w:t>1</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危化品仓库</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难</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中</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持久性污染物</w:t>
            </w:r>
          </w:p>
        </w:tc>
        <w:tc>
          <w:tcPr>
            <w:tcW w:w="714" w:type="pct"/>
            <w:vMerge w:val="restart"/>
            <w:tcBorders>
              <w:top w:val="single" w:color="auto" w:sz="4" w:space="0"/>
            </w:tcBorders>
            <w:vAlign w:val="center"/>
          </w:tcPr>
          <w:p>
            <w:pPr>
              <w:spacing w:line="240" w:lineRule="auto"/>
              <w:ind w:firstLine="0" w:firstLineChars="0"/>
              <w:jc w:val="center"/>
              <w:rPr>
                <w:rFonts w:cs="Times New Roman"/>
                <w:sz w:val="21"/>
                <w:szCs w:val="21"/>
              </w:rPr>
            </w:pPr>
            <w:r>
              <w:rPr>
                <w:rFonts w:cs="Times New Roman"/>
                <w:sz w:val="21"/>
                <w:szCs w:val="21"/>
              </w:rPr>
              <w:t>重点防渗区</w:t>
            </w:r>
          </w:p>
        </w:tc>
        <w:tc>
          <w:tcPr>
            <w:tcW w:w="714" w:type="pct"/>
            <w:vMerge w:val="restart"/>
            <w:tcBorders>
              <w:top w:val="single" w:color="auto" w:sz="4" w:space="0"/>
            </w:tcBorders>
            <w:vAlign w:val="center"/>
          </w:tcPr>
          <w:p>
            <w:pPr>
              <w:spacing w:line="240" w:lineRule="auto"/>
              <w:ind w:firstLine="0" w:firstLineChars="0"/>
              <w:jc w:val="center"/>
              <w:rPr>
                <w:rFonts w:cs="Times New Roman"/>
                <w:sz w:val="21"/>
                <w:szCs w:val="21"/>
              </w:rPr>
            </w:pPr>
            <w:r>
              <w:rPr>
                <w:rFonts w:cs="Times New Roman"/>
                <w:sz w:val="21"/>
                <w:szCs w:val="21"/>
              </w:rPr>
              <w:t>等效</w:t>
            </w:r>
            <w:r>
              <w:rPr>
                <w:rFonts w:hint="eastAsia" w:cs="Times New Roman"/>
                <w:sz w:val="21"/>
                <w:szCs w:val="21"/>
              </w:rPr>
              <w:t>黏土</w:t>
            </w:r>
            <w:r>
              <w:rPr>
                <w:rFonts w:cs="Times New Roman"/>
                <w:sz w:val="21"/>
                <w:szCs w:val="21"/>
              </w:rPr>
              <w:t>防</w:t>
            </w:r>
          </w:p>
          <w:p>
            <w:pPr>
              <w:spacing w:line="240" w:lineRule="auto"/>
              <w:ind w:firstLine="0" w:firstLineChars="0"/>
              <w:jc w:val="center"/>
              <w:rPr>
                <w:rFonts w:cs="Times New Roman"/>
                <w:sz w:val="21"/>
                <w:szCs w:val="21"/>
              </w:rPr>
            </w:pPr>
            <w:r>
              <w:rPr>
                <w:rFonts w:cs="Times New Roman"/>
                <w:sz w:val="21"/>
                <w:szCs w:val="21"/>
              </w:rPr>
              <w:t>渗层Mb≥6.0m，K≤10</w:t>
            </w:r>
            <w:r>
              <w:rPr>
                <w:rFonts w:cs="Times New Roman"/>
                <w:sz w:val="21"/>
                <w:szCs w:val="21"/>
                <w:vertAlign w:val="superscript"/>
              </w:rPr>
              <w:t>-7</w:t>
            </w:r>
            <w:r>
              <w:rPr>
                <w:rFonts w:cs="Times New Roman"/>
                <w:sz w:val="21"/>
                <w:szCs w:val="21"/>
              </w:rPr>
              <w:t>cm/s</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6" w:hRule="atLeast"/>
          <w:jc w:val="center"/>
        </w:trPr>
        <w:tc>
          <w:tcPr>
            <w:tcW w:w="286" w:type="pct"/>
            <w:vAlign w:val="center"/>
          </w:tcPr>
          <w:p>
            <w:pPr>
              <w:spacing w:line="240" w:lineRule="auto"/>
              <w:ind w:firstLine="0" w:firstLineChars="0"/>
              <w:jc w:val="center"/>
              <w:rPr>
                <w:rFonts w:cs="Times New Roman"/>
                <w:sz w:val="21"/>
                <w:szCs w:val="21"/>
              </w:rPr>
            </w:pPr>
            <w:r>
              <w:rPr>
                <w:rFonts w:hint="eastAsia" w:cs="Times New Roman"/>
                <w:sz w:val="21"/>
                <w:szCs w:val="21"/>
              </w:rPr>
              <w:t>2</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事故应急池</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难</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中</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持久性污染物</w:t>
            </w: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7" w:hRule="atLeast"/>
          <w:jc w:val="center"/>
        </w:trPr>
        <w:tc>
          <w:tcPr>
            <w:tcW w:w="286" w:type="pct"/>
            <w:vAlign w:val="center"/>
          </w:tcPr>
          <w:p>
            <w:pPr>
              <w:spacing w:line="240" w:lineRule="auto"/>
              <w:ind w:firstLine="0" w:firstLineChars="0"/>
              <w:jc w:val="center"/>
              <w:rPr>
                <w:rFonts w:cs="Times New Roman"/>
                <w:sz w:val="21"/>
                <w:szCs w:val="21"/>
              </w:rPr>
            </w:pPr>
            <w:r>
              <w:rPr>
                <w:rFonts w:hint="eastAsia" w:cs="Times New Roman"/>
                <w:sz w:val="21"/>
                <w:szCs w:val="21"/>
              </w:rPr>
              <w:t>3</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污水收集池</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难</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中</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持久性污染物</w:t>
            </w: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6" w:hRule="atLeast"/>
          <w:jc w:val="center"/>
        </w:trPr>
        <w:tc>
          <w:tcPr>
            <w:tcW w:w="286" w:type="pct"/>
            <w:vAlign w:val="center"/>
          </w:tcPr>
          <w:p>
            <w:pPr>
              <w:spacing w:line="240" w:lineRule="auto"/>
              <w:ind w:firstLine="0" w:firstLineChars="0"/>
              <w:jc w:val="center"/>
              <w:rPr>
                <w:rFonts w:cs="Times New Roman"/>
                <w:sz w:val="21"/>
                <w:szCs w:val="21"/>
              </w:rPr>
            </w:pPr>
            <w:r>
              <w:rPr>
                <w:rFonts w:hint="eastAsia" w:cs="Times New Roman"/>
                <w:sz w:val="21"/>
                <w:szCs w:val="21"/>
              </w:rPr>
              <w:t>4</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初期雨水池</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难</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中</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持久性污染物</w:t>
            </w: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6" w:hRule="atLeast"/>
          <w:jc w:val="center"/>
        </w:trPr>
        <w:tc>
          <w:tcPr>
            <w:tcW w:w="286" w:type="pct"/>
            <w:vAlign w:val="center"/>
          </w:tcPr>
          <w:p>
            <w:pPr>
              <w:spacing w:line="240" w:lineRule="auto"/>
              <w:ind w:firstLine="0" w:firstLineChars="0"/>
              <w:jc w:val="center"/>
              <w:rPr>
                <w:rFonts w:cs="Times New Roman"/>
                <w:sz w:val="21"/>
                <w:szCs w:val="21"/>
              </w:rPr>
            </w:pPr>
            <w:r>
              <w:rPr>
                <w:rFonts w:hint="eastAsia" w:cs="Times New Roman"/>
                <w:sz w:val="21"/>
                <w:szCs w:val="21"/>
              </w:rPr>
              <w:t>5</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危废暂存间</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难</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中</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持久性污染物</w:t>
            </w:r>
          </w:p>
        </w:tc>
        <w:tc>
          <w:tcPr>
            <w:tcW w:w="714" w:type="pct"/>
            <w:vMerge w:val="continue"/>
            <w:tcBorders>
              <w:top w:val="nil"/>
            </w:tcBorders>
            <w:vAlign w:val="center"/>
          </w:tcPr>
          <w:p>
            <w:pPr>
              <w:spacing w:line="240" w:lineRule="auto"/>
              <w:ind w:firstLine="0" w:firstLineChars="0"/>
              <w:jc w:val="center"/>
              <w:rPr>
                <w:rFonts w:cs="Times New Roman"/>
                <w:sz w:val="21"/>
                <w:szCs w:val="21"/>
              </w:rPr>
            </w:pPr>
          </w:p>
        </w:tc>
        <w:tc>
          <w:tcPr>
            <w:tcW w:w="714" w:type="pct"/>
            <w:vMerge w:val="continue"/>
            <w:tcBorders>
              <w:top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7" w:hRule="atLeast"/>
          <w:jc w:val="center"/>
        </w:trPr>
        <w:tc>
          <w:tcPr>
            <w:tcW w:w="286" w:type="pct"/>
            <w:vAlign w:val="center"/>
          </w:tcPr>
          <w:p>
            <w:pPr>
              <w:spacing w:line="240" w:lineRule="auto"/>
              <w:ind w:firstLine="0" w:firstLineChars="0"/>
              <w:jc w:val="center"/>
              <w:rPr>
                <w:rFonts w:cs="Times New Roman"/>
                <w:sz w:val="21"/>
                <w:szCs w:val="21"/>
              </w:rPr>
            </w:pPr>
            <w:r>
              <w:rPr>
                <w:rFonts w:hint="eastAsia" w:cs="Times New Roman"/>
                <w:sz w:val="21"/>
                <w:szCs w:val="21"/>
              </w:rPr>
              <w:t>6</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丙类车间</w:t>
            </w:r>
            <w:r>
              <w:rPr>
                <w:rFonts w:hint="eastAsia" w:cs="Times New Roman"/>
                <w:sz w:val="21"/>
                <w:szCs w:val="21"/>
              </w:rPr>
              <w:t>（</w:t>
            </w:r>
            <w:r>
              <w:rPr>
                <w:rFonts w:cs="Times New Roman"/>
                <w:sz w:val="21"/>
                <w:szCs w:val="21"/>
              </w:rPr>
              <w:t>丙类</w:t>
            </w:r>
            <w:r>
              <w:rPr>
                <w:rFonts w:hint="eastAsia" w:cs="Times New Roman"/>
                <w:sz w:val="21"/>
                <w:szCs w:val="21"/>
              </w:rPr>
              <w:t>）</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易</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中</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持久性污染物</w:t>
            </w:r>
          </w:p>
        </w:tc>
        <w:tc>
          <w:tcPr>
            <w:tcW w:w="714" w:type="pct"/>
            <w:vMerge w:val="restart"/>
            <w:tcBorders>
              <w:bottom w:val="nil"/>
            </w:tcBorders>
            <w:vAlign w:val="center"/>
          </w:tcPr>
          <w:p>
            <w:pPr>
              <w:spacing w:line="240" w:lineRule="auto"/>
              <w:ind w:firstLine="0" w:firstLineChars="0"/>
              <w:jc w:val="center"/>
              <w:rPr>
                <w:rFonts w:cs="Times New Roman"/>
                <w:sz w:val="21"/>
                <w:szCs w:val="21"/>
              </w:rPr>
            </w:pPr>
            <w:r>
              <w:rPr>
                <w:rFonts w:cs="Times New Roman"/>
                <w:sz w:val="21"/>
                <w:szCs w:val="21"/>
              </w:rPr>
              <w:t>一般防渗区</w:t>
            </w:r>
          </w:p>
        </w:tc>
        <w:tc>
          <w:tcPr>
            <w:tcW w:w="714" w:type="pct"/>
            <w:vMerge w:val="restart"/>
            <w:tcBorders>
              <w:bottom w:val="nil"/>
            </w:tcBorders>
            <w:vAlign w:val="center"/>
          </w:tcPr>
          <w:p>
            <w:pPr>
              <w:spacing w:line="240" w:lineRule="auto"/>
              <w:ind w:firstLine="0" w:firstLineChars="0"/>
              <w:jc w:val="center"/>
              <w:rPr>
                <w:rFonts w:cs="Times New Roman"/>
                <w:sz w:val="21"/>
                <w:szCs w:val="21"/>
              </w:rPr>
            </w:pPr>
            <w:r>
              <w:rPr>
                <w:rFonts w:cs="Times New Roman"/>
                <w:sz w:val="21"/>
                <w:szCs w:val="21"/>
              </w:rPr>
              <w:t>等效</w:t>
            </w:r>
            <w:r>
              <w:rPr>
                <w:rFonts w:hint="eastAsia" w:cs="Times New Roman"/>
                <w:sz w:val="21"/>
                <w:szCs w:val="21"/>
              </w:rPr>
              <w:t>黏土</w:t>
            </w:r>
            <w:r>
              <w:rPr>
                <w:rFonts w:cs="Times New Roman"/>
                <w:sz w:val="21"/>
                <w:szCs w:val="21"/>
              </w:rPr>
              <w:t>防</w:t>
            </w:r>
          </w:p>
          <w:p>
            <w:pPr>
              <w:spacing w:line="240" w:lineRule="auto"/>
              <w:ind w:firstLine="0" w:firstLineChars="0"/>
              <w:jc w:val="center"/>
              <w:rPr>
                <w:rFonts w:cs="Times New Roman"/>
                <w:sz w:val="21"/>
                <w:szCs w:val="21"/>
              </w:rPr>
            </w:pPr>
            <w:r>
              <w:rPr>
                <w:rFonts w:cs="Times New Roman"/>
                <w:sz w:val="21"/>
                <w:szCs w:val="21"/>
              </w:rPr>
              <w:t>渗层Mb≥1.5m，K≤10</w:t>
            </w:r>
            <w:r>
              <w:rPr>
                <w:rFonts w:cs="Times New Roman"/>
                <w:sz w:val="21"/>
                <w:szCs w:val="21"/>
                <w:vertAlign w:val="superscript"/>
              </w:rPr>
              <w:t>-7</w:t>
            </w:r>
            <w:r>
              <w:rPr>
                <w:rFonts w:cs="Times New Roman"/>
                <w:sz w:val="21"/>
                <w:szCs w:val="21"/>
              </w:rPr>
              <w:t>cm/s</w:t>
            </w: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6" w:hRule="atLeast"/>
          <w:jc w:val="center"/>
        </w:trPr>
        <w:tc>
          <w:tcPr>
            <w:tcW w:w="286" w:type="pct"/>
            <w:vAlign w:val="center"/>
          </w:tcPr>
          <w:p>
            <w:pPr>
              <w:spacing w:line="240" w:lineRule="auto"/>
              <w:ind w:firstLine="0" w:firstLineChars="0"/>
              <w:jc w:val="center"/>
              <w:rPr>
                <w:rFonts w:cs="Times New Roman"/>
                <w:sz w:val="21"/>
                <w:szCs w:val="21"/>
              </w:rPr>
            </w:pPr>
            <w:r>
              <w:rPr>
                <w:rFonts w:hint="eastAsia" w:cs="Times New Roman"/>
                <w:sz w:val="21"/>
                <w:szCs w:val="21"/>
              </w:rPr>
              <w:t>7</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丙类仓库</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易</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中</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持久性污染物</w:t>
            </w: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17" w:hRule="atLeast"/>
          <w:jc w:val="center"/>
        </w:trPr>
        <w:tc>
          <w:tcPr>
            <w:tcW w:w="286" w:type="pct"/>
            <w:vAlign w:val="center"/>
          </w:tcPr>
          <w:p>
            <w:pPr>
              <w:spacing w:line="240" w:lineRule="auto"/>
              <w:ind w:firstLine="0" w:firstLineChars="0"/>
              <w:jc w:val="center"/>
              <w:rPr>
                <w:rFonts w:cs="Times New Roman"/>
                <w:sz w:val="21"/>
                <w:szCs w:val="21"/>
              </w:rPr>
            </w:pPr>
            <w:r>
              <w:rPr>
                <w:rFonts w:hint="eastAsia" w:cs="Times New Roman"/>
                <w:sz w:val="21"/>
                <w:szCs w:val="21"/>
              </w:rPr>
              <w:t>8</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一般固废仓库</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易</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中</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持久性污染物</w:t>
            </w: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c>
          <w:tcPr>
            <w:tcW w:w="714" w:type="pct"/>
            <w:vMerge w:val="continue"/>
            <w:tcBorders>
              <w:top w:val="nil"/>
              <w:bottom w:val="nil"/>
            </w:tcBorders>
            <w:vAlign w:val="center"/>
          </w:tcPr>
          <w:p>
            <w:pPr>
              <w:spacing w:line="240" w:lineRule="auto"/>
              <w:ind w:firstLine="0" w:firstLineChars="0"/>
              <w:jc w:val="center"/>
              <w:rPr>
                <w:rFonts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86" w:type="pct"/>
            <w:vAlign w:val="center"/>
          </w:tcPr>
          <w:p>
            <w:pPr>
              <w:spacing w:line="240" w:lineRule="auto"/>
              <w:ind w:firstLine="0" w:firstLineChars="0"/>
              <w:jc w:val="center"/>
              <w:rPr>
                <w:rFonts w:cs="Times New Roman"/>
                <w:sz w:val="21"/>
                <w:szCs w:val="21"/>
              </w:rPr>
            </w:pPr>
            <w:r>
              <w:rPr>
                <w:rFonts w:hint="eastAsia" w:cs="Times New Roman"/>
                <w:sz w:val="21"/>
                <w:szCs w:val="21"/>
              </w:rPr>
              <w:t>9</w:t>
            </w:r>
          </w:p>
        </w:tc>
        <w:tc>
          <w:tcPr>
            <w:tcW w:w="1069" w:type="pct"/>
            <w:vAlign w:val="center"/>
          </w:tcPr>
          <w:p>
            <w:pPr>
              <w:spacing w:line="240" w:lineRule="auto"/>
              <w:ind w:firstLine="0" w:firstLineChars="0"/>
              <w:jc w:val="center"/>
              <w:rPr>
                <w:rFonts w:cs="Times New Roman"/>
                <w:sz w:val="21"/>
                <w:szCs w:val="21"/>
              </w:rPr>
            </w:pPr>
            <w:r>
              <w:rPr>
                <w:rFonts w:cs="Times New Roman"/>
                <w:sz w:val="21"/>
                <w:szCs w:val="21"/>
              </w:rPr>
              <w:t>消防水池</w:t>
            </w:r>
            <w:r>
              <w:rPr>
                <w:rFonts w:hint="eastAsia" w:cs="Times New Roman"/>
                <w:sz w:val="21"/>
                <w:szCs w:val="21"/>
              </w:rPr>
              <w:t>（</w:t>
            </w:r>
            <w:r>
              <w:rPr>
                <w:rFonts w:cs="Times New Roman"/>
                <w:sz w:val="21"/>
                <w:szCs w:val="21"/>
              </w:rPr>
              <w:t>循环水池</w:t>
            </w:r>
            <w:r>
              <w:rPr>
                <w:rFonts w:hint="eastAsia" w:cs="Times New Roman"/>
                <w:sz w:val="21"/>
                <w:szCs w:val="21"/>
              </w:rPr>
              <w:t>）</w:t>
            </w:r>
          </w:p>
        </w:tc>
        <w:tc>
          <w:tcPr>
            <w:tcW w:w="657" w:type="pct"/>
            <w:vAlign w:val="center"/>
          </w:tcPr>
          <w:p>
            <w:pPr>
              <w:spacing w:line="240" w:lineRule="auto"/>
              <w:ind w:firstLine="0" w:firstLineChars="0"/>
              <w:jc w:val="center"/>
              <w:rPr>
                <w:rFonts w:cs="Times New Roman"/>
                <w:sz w:val="21"/>
                <w:szCs w:val="21"/>
              </w:rPr>
            </w:pPr>
            <w:r>
              <w:rPr>
                <w:rFonts w:cs="Times New Roman"/>
                <w:sz w:val="21"/>
                <w:szCs w:val="21"/>
              </w:rPr>
              <w:t>易</w:t>
            </w:r>
          </w:p>
        </w:tc>
        <w:tc>
          <w:tcPr>
            <w:tcW w:w="774" w:type="pct"/>
            <w:vAlign w:val="center"/>
          </w:tcPr>
          <w:p>
            <w:pPr>
              <w:spacing w:line="240" w:lineRule="auto"/>
              <w:ind w:firstLine="0" w:firstLineChars="0"/>
              <w:jc w:val="center"/>
              <w:rPr>
                <w:rFonts w:cs="Times New Roman"/>
                <w:sz w:val="21"/>
                <w:szCs w:val="21"/>
              </w:rPr>
            </w:pPr>
            <w:r>
              <w:rPr>
                <w:rFonts w:cs="Times New Roman"/>
                <w:sz w:val="21"/>
                <w:szCs w:val="21"/>
              </w:rPr>
              <w:t>中</w:t>
            </w:r>
          </w:p>
        </w:tc>
        <w:tc>
          <w:tcPr>
            <w:tcW w:w="783" w:type="pct"/>
            <w:vAlign w:val="center"/>
          </w:tcPr>
          <w:p>
            <w:pPr>
              <w:spacing w:line="240" w:lineRule="auto"/>
              <w:ind w:firstLine="0" w:firstLineChars="0"/>
              <w:jc w:val="center"/>
              <w:rPr>
                <w:rFonts w:cs="Times New Roman"/>
                <w:sz w:val="21"/>
                <w:szCs w:val="21"/>
              </w:rPr>
            </w:pPr>
            <w:r>
              <w:rPr>
                <w:rFonts w:cs="Times New Roman"/>
                <w:sz w:val="21"/>
                <w:szCs w:val="21"/>
              </w:rPr>
              <w:t>持久性污染物</w:t>
            </w:r>
          </w:p>
        </w:tc>
        <w:tc>
          <w:tcPr>
            <w:tcW w:w="714" w:type="pct"/>
            <w:vMerge w:val="continue"/>
            <w:tcBorders>
              <w:top w:val="nil"/>
            </w:tcBorders>
            <w:vAlign w:val="center"/>
          </w:tcPr>
          <w:p>
            <w:pPr>
              <w:spacing w:line="240" w:lineRule="auto"/>
              <w:ind w:firstLine="0" w:firstLineChars="0"/>
              <w:jc w:val="center"/>
              <w:rPr>
                <w:rFonts w:cs="Times New Roman"/>
                <w:sz w:val="21"/>
                <w:szCs w:val="21"/>
              </w:rPr>
            </w:pPr>
          </w:p>
        </w:tc>
        <w:tc>
          <w:tcPr>
            <w:tcW w:w="714" w:type="pct"/>
            <w:vMerge w:val="continue"/>
            <w:tcBorders>
              <w:top w:val="nil"/>
            </w:tcBorders>
            <w:vAlign w:val="center"/>
          </w:tcPr>
          <w:p>
            <w:pPr>
              <w:spacing w:line="240" w:lineRule="auto"/>
              <w:ind w:firstLine="0" w:firstLineChars="0"/>
              <w:jc w:val="center"/>
              <w:rPr>
                <w:rFonts w:cs="Times New Roman"/>
                <w:sz w:val="21"/>
                <w:szCs w:val="21"/>
              </w:rPr>
            </w:pPr>
          </w:p>
        </w:tc>
      </w:tr>
    </w:tbl>
    <w:p>
      <w:pPr>
        <w:ind w:firstLine="480"/>
      </w:pPr>
      <w:r>
        <w:rPr>
          <w:rFonts w:hint="eastAsia"/>
        </w:rPr>
        <w:t>③污染监控体系</w:t>
      </w:r>
    </w:p>
    <w:p>
      <w:pPr>
        <w:ind w:firstLine="480"/>
      </w:pPr>
      <w:r>
        <w:rPr>
          <w:rFonts w:hint="eastAsia"/>
        </w:rPr>
        <w:t>实施覆盖生产区的地下水污染监控系统，包括建立完善的监测制度、配备先进的检测仪器和设备，科学、合理设置地下水污染监控井，及时发现污染、及时控制。拟建项目应设3个地下水水质跟踪监测井，建设场地、场地的上游、下游各1个，跟踪监测地下水水质。一旦发现地下水污染事故，立即启动应急预案、采取应急措施控制地下水污染，并使污染得到治理。</w:t>
      </w:r>
    </w:p>
    <w:p>
      <w:pPr>
        <w:ind w:firstLine="480"/>
      </w:pPr>
      <w:r>
        <w:rPr>
          <w:rFonts w:hint="eastAsia"/>
        </w:rPr>
        <w:t>4、火灾爆炸风险防范措施</w:t>
      </w:r>
    </w:p>
    <w:p>
      <w:pPr>
        <w:ind w:firstLine="480"/>
      </w:pPr>
      <w:r>
        <w:rPr>
          <w:rFonts w:hint="eastAsia"/>
        </w:rPr>
        <w:t>（1）生产过程事故风险防范是安全生产的核心，本次建设项目中使用了一些易燃易爆和毒害性物质。火灾爆炸风险以及事故性泄漏常与装置设备故障相关联，安全管理中要密切关注各类装置易发生事故部位，做好运行监督检查与维修保养，防患于未然。</w:t>
      </w:r>
    </w:p>
    <w:p>
      <w:pPr>
        <w:ind w:firstLine="480"/>
      </w:pPr>
      <w:r>
        <w:rPr>
          <w:rFonts w:hint="eastAsia"/>
        </w:rPr>
        <w:t>（2）严格控制设备质量与安装质量，器、泵、管线等设备及其配套仪表选用合格产品；管道等有关设施应按要求进行试压；对设备、管线、泵等定期检查、保养、维修；电器线路定期进行检查、保养、维修。</w:t>
      </w:r>
    </w:p>
    <w:p>
      <w:pPr>
        <w:ind w:firstLine="480"/>
      </w:pPr>
      <w:r>
        <w:rPr>
          <w:rFonts w:hint="eastAsia"/>
        </w:rPr>
        <w:t>（3）严格控制和消除火源，工作时严禁吸烟、携带火种、穿带钉皮鞋等进入易燃易爆区；动火必须按动火手续办理动火证，采取有效的防范措施；使用防爆型电器；严禁钢制工具敲打、撞击、抛掷；安装避雷装置；转动设备部位要保持清洁，防止因摩擦引起杂物等燃烧；物料运输要请专门的、有资质的运输单位，运用专用的设备进行运输。</w:t>
      </w:r>
    </w:p>
    <w:p>
      <w:pPr>
        <w:ind w:firstLine="480"/>
      </w:pPr>
      <w:r>
        <w:rPr>
          <w:rFonts w:hint="eastAsia"/>
        </w:rPr>
        <w:t>（4）加强管理、严格纪律，遵守各项规章制度和操作规程，严格执行岗位责任制；坚持巡回检查，发现问题及时处理，如通风、管线是否泄漏，消防通道、地沟是否通畅等；检修时，做好隔离、清洗干净，分析合格后，要有现场监护在通风良好的条件下方能动火；加强培训、教育和考核工作。</w:t>
      </w:r>
    </w:p>
    <w:p>
      <w:pPr>
        <w:ind w:firstLine="480"/>
      </w:pPr>
      <w:r>
        <w:rPr>
          <w:rFonts w:hint="eastAsia"/>
        </w:rPr>
        <w:t>（5）加强安全措施，消防设施要保持完好；易燃易爆场所安装可燃气体检测报警装置等；要正确佩戴相应的劳防用品和正确使用防毒过滤器等防护用具；搬运时轻装轻卸，防止包装破损；厂区要有卫生冲洗设施；采取必要的防静电措施。</w:t>
      </w:r>
    </w:p>
    <w:p>
      <w:pPr>
        <w:ind w:firstLine="480"/>
      </w:pPr>
      <w:r>
        <w:rPr>
          <w:rFonts w:hint="eastAsia"/>
        </w:rPr>
        <w:t>（6）万一发生火灾等危害性事故，应立即组织营救受害人员，组织撤离或者采取其他措施，保护危害区域的其他人员。同时迅速采取与火源相适宜的灭火方式，控制危险火源。</w:t>
      </w:r>
    </w:p>
    <w:p>
      <w:pPr>
        <w:ind w:firstLine="480"/>
      </w:pPr>
      <w:r>
        <w:rPr>
          <w:rFonts w:hint="eastAsia"/>
        </w:rPr>
        <w:t>5、化学品泄漏</w:t>
      </w:r>
      <w:r>
        <w:t>风险防范措施</w:t>
      </w:r>
    </w:p>
    <w:p>
      <w:pPr>
        <w:ind w:firstLine="480"/>
      </w:pPr>
      <w:r>
        <w:t>化学品泄漏事故的防治是生产和储运过程中重要的环节，发生泄漏事故可能引起火灾和爆炸等一系列重大事故。经验表明：设备失灵和</w:t>
      </w:r>
      <w:r>
        <w:rPr>
          <w:rFonts w:hint="eastAsia"/>
        </w:rPr>
        <w:t>人为</w:t>
      </w:r>
      <w:r>
        <w:rPr>
          <w:rFonts w:hint="eastAsia"/>
          <w:lang w:eastAsia="zh-CN"/>
        </w:rPr>
        <w:t>的</w:t>
      </w:r>
      <w:r>
        <w:rPr>
          <w:rFonts w:hint="eastAsia"/>
        </w:rPr>
        <w:t>操作</w:t>
      </w:r>
      <w:r>
        <w:t>失误是引发泄漏的主要原因。因此选用较好的设备、精心设计和制造、</w:t>
      </w:r>
      <w:r>
        <w:rPr>
          <w:rFonts w:hint="eastAsia"/>
        </w:rPr>
        <w:t>认真</w:t>
      </w:r>
      <w:r>
        <w:rPr>
          <w:rFonts w:hint="eastAsia"/>
          <w:lang w:eastAsia="zh-CN"/>
        </w:rPr>
        <w:t>的</w:t>
      </w:r>
      <w:r>
        <w:rPr>
          <w:rFonts w:hint="eastAsia"/>
        </w:rPr>
        <w:t>管理</w:t>
      </w:r>
      <w:r>
        <w:t>和操作人员的责任心是减少泄漏事故的关键。</w:t>
      </w:r>
    </w:p>
    <w:p>
      <w:pPr>
        <w:ind w:firstLine="480"/>
      </w:pPr>
      <w:r>
        <w:rPr>
          <w:rFonts w:hint="eastAsia"/>
        </w:rPr>
        <w:t>（</w:t>
      </w:r>
      <w:r>
        <w:t>1</w:t>
      </w:r>
      <w:r>
        <w:rPr>
          <w:rFonts w:hint="eastAsia"/>
        </w:rPr>
        <w:t>）</w:t>
      </w:r>
      <w:r>
        <w:t>为减少危险化学品大面积泄漏的风险，除加强管道、阀门等日常监管与维护，设置泄露监测报警器、摄像头、应急处置装置外，还采用减少长期贮存量，减缓存在的环境风险。</w:t>
      </w:r>
    </w:p>
    <w:p>
      <w:pPr>
        <w:ind w:firstLine="480"/>
      </w:pPr>
      <w:r>
        <w:rPr>
          <w:rFonts w:hint="eastAsia"/>
        </w:rPr>
        <w:t>（</w:t>
      </w:r>
      <w:r>
        <w:t>2</w:t>
      </w:r>
      <w:r>
        <w:rPr>
          <w:rFonts w:hint="eastAsia"/>
        </w:rPr>
        <w:t>）</w:t>
      </w:r>
      <w:r>
        <w:t>在车间、仓库、厂界设置有毒有害气体及易燃易爆气体检测探头，当发生泄漏后，自动启动应急措施。</w:t>
      </w:r>
    </w:p>
    <w:p>
      <w:pPr>
        <w:ind w:firstLine="480"/>
      </w:pPr>
      <w:r>
        <w:rPr>
          <w:rFonts w:hint="eastAsia"/>
        </w:rPr>
        <w:t>（</w:t>
      </w:r>
      <w:r>
        <w:t>3</w:t>
      </w:r>
      <w:r>
        <w:rPr>
          <w:rFonts w:hint="eastAsia"/>
        </w:rPr>
        <w:t>）</w:t>
      </w:r>
      <w:r>
        <w:t>装卸时的防泄漏措施：在装卸物料时，要严格按章操作，尽量避免事故的发生；装卸区设围堰以防止液体化工物料直接流入路面或水道，围堰设计上应比堰区地面的高出150~200mm，并设有排水设施，排水设施内应设有阀门控制体系，以便于在发生泄漏事故时通过阀门调控将有害废液引向事故水收集池，围堰内地面应坡向排水设施，坡度不宜小于3‰，围堰内应有硬化地面并同样设置防渗材料。</w:t>
      </w:r>
    </w:p>
    <w:p>
      <w:pPr>
        <w:ind w:firstLine="480"/>
      </w:pPr>
      <w:r>
        <w:rPr>
          <w:rFonts w:hint="eastAsia"/>
        </w:rPr>
        <w:t>（</w:t>
      </w:r>
      <w:r>
        <w:t>4</w:t>
      </w:r>
      <w:r>
        <w:rPr>
          <w:rFonts w:hint="eastAsia"/>
        </w:rPr>
        <w:t>）</w:t>
      </w:r>
      <w:r>
        <w:t>所有化学品进出管道均设2道以上的安全控制阀。</w:t>
      </w:r>
    </w:p>
    <w:p>
      <w:pPr>
        <w:ind w:firstLine="480"/>
      </w:pPr>
      <w:r>
        <w:rPr>
          <w:rFonts w:hint="eastAsia"/>
        </w:rPr>
        <w:t>（</w:t>
      </w:r>
      <w:r>
        <w:t>5</w:t>
      </w:r>
      <w:r>
        <w:rPr>
          <w:rFonts w:hint="eastAsia"/>
        </w:rPr>
        <w:t>）</w:t>
      </w:r>
      <w:r>
        <w:t>装置区和化学品贮存</w:t>
      </w:r>
      <w:r>
        <w:rPr>
          <w:rFonts w:hint="eastAsia"/>
        </w:rPr>
        <w:t>区</w:t>
      </w:r>
      <w:r>
        <w:t>均应设置围堰，围堰高度不低于1.2m；围堰地坪应满足防渗要求，并设置集水沟等导流设施；围堰设置排水切换装置，确保</w:t>
      </w:r>
      <w:r>
        <w:rPr>
          <w:rFonts w:hint="eastAsia"/>
        </w:rPr>
        <w:t>正常</w:t>
      </w:r>
      <w:r>
        <w:rPr>
          <w:rFonts w:hint="eastAsia"/>
          <w:lang w:eastAsia="zh-CN"/>
        </w:rPr>
        <w:t>的</w:t>
      </w:r>
      <w:r>
        <w:rPr>
          <w:rFonts w:hint="eastAsia"/>
        </w:rPr>
        <w:t>冲洗</w:t>
      </w:r>
      <w:r>
        <w:t>水、初期雨水和事故情况下的泄漏污染物、消防水可以纳入污水处理系统。另外，对于污水处理站电力系统设置独立应急系统，一旦发生重大泄漏火灾爆炸事故，可确保污水处理站的正常运行。</w:t>
      </w:r>
    </w:p>
    <w:p>
      <w:pPr>
        <w:ind w:firstLine="480"/>
      </w:pPr>
      <w:r>
        <w:rPr>
          <w:rFonts w:hint="eastAsia"/>
        </w:rPr>
        <w:t>（</w:t>
      </w:r>
      <w:r>
        <w:t>6</w:t>
      </w:r>
      <w:r>
        <w:rPr>
          <w:rFonts w:hint="eastAsia"/>
        </w:rPr>
        <w:t>）</w:t>
      </w:r>
      <w:r>
        <w:t>仓库应设计有堵截泄漏的裙脚，地面与裙脚所围建的容积不低于堵截最大容器的最大储量或总储量的五分之一。</w:t>
      </w:r>
    </w:p>
    <w:p>
      <w:pPr>
        <w:ind w:firstLine="480"/>
      </w:pPr>
      <w:r>
        <w:rPr>
          <w:rFonts w:hint="eastAsia"/>
        </w:rPr>
        <w:t>6、</w:t>
      </w:r>
      <w:r>
        <w:t>物料储存风险防范措施</w:t>
      </w:r>
    </w:p>
    <w:p>
      <w:pPr>
        <w:ind w:firstLine="480"/>
      </w:pPr>
      <w:r>
        <w:t>贮存过程事故风险主要是因设备泄漏而造成的火灾爆炸、毒气释放和水质污染等事故，是安全生产的重要方面。应从以下方面对物料储存风险进行防范：</w:t>
      </w:r>
    </w:p>
    <w:p>
      <w:pPr>
        <w:ind w:firstLine="480"/>
      </w:pPr>
      <w:r>
        <w:rPr>
          <w:rFonts w:hint="eastAsia"/>
        </w:rPr>
        <w:t>（</w:t>
      </w:r>
      <w:r>
        <w:t>1</w:t>
      </w:r>
      <w:r>
        <w:rPr>
          <w:rFonts w:hint="eastAsia"/>
        </w:rPr>
        <w:t>）</w:t>
      </w:r>
      <w:r>
        <w:t>根据物料的易燃、易爆、易挥发性等性质进行储存，不相容的化学品应分区存放。</w:t>
      </w:r>
    </w:p>
    <w:p>
      <w:pPr>
        <w:ind w:firstLine="480"/>
      </w:pPr>
      <w:r>
        <w:rPr>
          <w:rFonts w:hint="eastAsia"/>
        </w:rPr>
        <w:t>（</w:t>
      </w:r>
      <w:r>
        <w:t>2</w:t>
      </w:r>
      <w:r>
        <w:rPr>
          <w:rFonts w:hint="eastAsia"/>
        </w:rPr>
        <w:t>）</w:t>
      </w:r>
      <w:r>
        <w:t>在危化品仓库设置危险介质浓度报警探头，各车间、仓库应按消防要求配置消防灭火系统。包括泡沫消防设施和水炮消防设施，制定严格的作业制度。</w:t>
      </w:r>
    </w:p>
    <w:p>
      <w:pPr>
        <w:ind w:firstLine="480"/>
      </w:pPr>
      <w:r>
        <w:rPr>
          <w:rFonts w:hint="eastAsia"/>
        </w:rPr>
        <w:t>（</w:t>
      </w:r>
      <w:r>
        <w:t>3</w:t>
      </w:r>
      <w:r>
        <w:rPr>
          <w:rFonts w:hint="eastAsia"/>
        </w:rPr>
        <w:t>）</w:t>
      </w:r>
      <w:r>
        <w:t>危险化学品贮存的场所必须是经公安消防部门审查批准设置的专门危险化学品库房，露天堆放的必须符合防火防爆要求；爆炸物品、遇湿燃烧物品、剧毒物品和一级易燃物品不能露天堆放。</w:t>
      </w:r>
    </w:p>
    <w:p>
      <w:pPr>
        <w:ind w:firstLine="480"/>
      </w:pPr>
      <w:r>
        <w:rPr>
          <w:rFonts w:hint="eastAsia"/>
        </w:rPr>
        <w:t>（</w:t>
      </w:r>
      <w:r>
        <w:t>4</w:t>
      </w:r>
      <w:r>
        <w:rPr>
          <w:rFonts w:hint="eastAsia"/>
        </w:rPr>
        <w:t>）</w:t>
      </w:r>
      <w:r>
        <w:t>贮存危险化学品的仓库管理人员，必须经过专业知识培训，熟悉贮存物品的特性、事故处理办法和防护知识，持证上岗，同时，必须配备有关的个人防护用品，危化品仓库必须有专人24小时看管</w:t>
      </w:r>
      <w:r>
        <w:rPr>
          <w:rFonts w:hint="eastAsia"/>
        </w:rPr>
        <w:t>；</w:t>
      </w:r>
    </w:p>
    <w:p>
      <w:pPr>
        <w:ind w:firstLine="480"/>
      </w:pPr>
      <w:r>
        <w:rPr>
          <w:rFonts w:hint="eastAsia"/>
        </w:rPr>
        <w:t>（</w:t>
      </w:r>
      <w:r>
        <w:t>5</w:t>
      </w:r>
      <w:r>
        <w:rPr>
          <w:rFonts w:hint="eastAsia"/>
        </w:rPr>
        <w:t>）</w:t>
      </w:r>
      <w:r>
        <w:t xml:space="preserve">贮存的危险化学品必须设有明显的标志，并按国家规定标准控制不同单位面积的最大贮存限量和垛炬。在危险化学品包装 </w:t>
      </w:r>
      <w:r>
        <w:rPr>
          <w:rFonts w:hint="eastAsia"/>
        </w:rPr>
        <w:t>（</w:t>
      </w:r>
      <w:r>
        <w:t>包括外包装件</w:t>
      </w:r>
      <w:r>
        <w:rPr>
          <w:rFonts w:hint="eastAsia"/>
        </w:rPr>
        <w:t>）</w:t>
      </w:r>
      <w:r>
        <w:t xml:space="preserve"> 上粘贴或者拴挂与包装内危险化学品相符的化学品安全标签。化学品安全技术说明书和化学品安全标签所载明的内容应当符合国家标准的要求。</w:t>
      </w:r>
    </w:p>
    <w:p>
      <w:pPr>
        <w:ind w:firstLine="480"/>
      </w:pPr>
      <w:r>
        <w:rPr>
          <w:rFonts w:hint="eastAsia"/>
        </w:rPr>
        <w:t>（</w:t>
      </w:r>
      <w:r>
        <w:t>6</w:t>
      </w:r>
      <w:r>
        <w:rPr>
          <w:rFonts w:hint="eastAsia"/>
        </w:rPr>
        <w:t>）</w:t>
      </w:r>
      <w:r>
        <w:t>贮存危险化学品的库房、场所的消防设施、用电设施、防雷防静电设施等必须符合国家规定的安全要求。</w:t>
      </w:r>
    </w:p>
    <w:p>
      <w:pPr>
        <w:ind w:firstLine="480"/>
      </w:pPr>
      <w:r>
        <w:rPr>
          <w:rFonts w:hint="eastAsia"/>
        </w:rPr>
        <w:t>（</w:t>
      </w:r>
      <w:r>
        <w:t>7</w:t>
      </w:r>
      <w:r>
        <w:rPr>
          <w:rFonts w:hint="eastAsia"/>
        </w:rPr>
        <w:t>）</w:t>
      </w:r>
      <w:r>
        <w:t>危险化学品出入库必须检查验收登记，贮存期间定期养护，控制好贮存场所的温度和湿度；装卸、搬运时应轻装轻卸，注意自我防护。</w:t>
      </w:r>
    </w:p>
    <w:p>
      <w:pPr>
        <w:ind w:firstLine="480"/>
      </w:pPr>
      <w:r>
        <w:rPr>
          <w:rFonts w:hint="eastAsia"/>
        </w:rPr>
        <w:t>（</w:t>
      </w:r>
      <w:r>
        <w:t>8</w:t>
      </w:r>
      <w:r>
        <w:rPr>
          <w:rFonts w:hint="eastAsia"/>
        </w:rPr>
        <w:t>）</w:t>
      </w:r>
      <w:r>
        <w:t>仓库应阴凉、干燥、通风，避免阳光直射、曝晒，远离热源、电源、火源。按化学 品不同类别、性质、危险程度、灭火方法等分区分类贮存，并附上明显标识，性质相抵的禁止同库贮存。</w:t>
      </w:r>
    </w:p>
    <w:p>
      <w:pPr>
        <w:ind w:firstLine="480"/>
      </w:pPr>
      <w:r>
        <w:rPr>
          <w:rFonts w:hint="eastAsia"/>
        </w:rPr>
        <w:t>（</w:t>
      </w:r>
      <w:r>
        <w:t>9</w:t>
      </w:r>
      <w:r>
        <w:rPr>
          <w:rFonts w:hint="eastAsia"/>
        </w:rPr>
        <w:t>）</w:t>
      </w:r>
      <w:r>
        <w:t>仓库门口应设置10~15cm高的挡水坡，</w:t>
      </w:r>
      <w:r>
        <w:rPr>
          <w:rFonts w:hint="eastAsia"/>
        </w:rPr>
        <w:t>防止</w:t>
      </w:r>
      <w:r>
        <w:t>暴雨时有雨水涌进；堆放货架最底层应距地面至少20cm，易溶性物品必须放在上层，防止水淹溶解；在仓库、车间外部设雨水沟，下雨时可收集雨水，防止雨水浸入仓库。</w:t>
      </w:r>
    </w:p>
    <w:p>
      <w:pPr>
        <w:ind w:firstLine="480"/>
      </w:pPr>
      <w:r>
        <w:rPr>
          <w:rFonts w:hint="eastAsia"/>
        </w:rPr>
        <w:t>（</w:t>
      </w:r>
      <w:r>
        <w:t>10</w:t>
      </w:r>
      <w:r>
        <w:rPr>
          <w:rFonts w:hint="eastAsia"/>
        </w:rPr>
        <w:t>）</w:t>
      </w:r>
      <w:r>
        <w:t>要严格遵守有关贮存的安全规定，具体包括《仓库防火安全管理规则》</w:t>
      </w:r>
      <w:r>
        <w:rPr>
          <w:rFonts w:hint="eastAsia"/>
        </w:rPr>
        <w:t>（</w:t>
      </w:r>
      <w:r>
        <w:t>公安部令第6号，1990年4月10日</w:t>
      </w:r>
      <w:r>
        <w:rPr>
          <w:rFonts w:hint="eastAsia"/>
        </w:rPr>
        <w:t>）</w:t>
      </w:r>
      <w:r>
        <w:t>、《建筑设计防火规范》</w:t>
      </w:r>
      <w:r>
        <w:rPr>
          <w:rFonts w:hint="eastAsia"/>
        </w:rPr>
        <w:t>（</w:t>
      </w:r>
      <w:r>
        <w:t>GB50016-2014</w:t>
      </w:r>
      <w:r>
        <w:rPr>
          <w:rFonts w:hint="eastAsia"/>
        </w:rPr>
        <w:t>）</w:t>
      </w:r>
      <w:r>
        <w:t>、《易燃易爆化学物品消防安全监督管理办法》</w:t>
      </w:r>
      <w:r>
        <w:rPr>
          <w:rFonts w:hint="eastAsia"/>
        </w:rPr>
        <w:t>（</w:t>
      </w:r>
      <w:r>
        <w:t>公安部令第18号，1994年5月1日</w:t>
      </w:r>
      <w:r>
        <w:rPr>
          <w:rFonts w:hint="eastAsia"/>
        </w:rPr>
        <w:t>）</w:t>
      </w:r>
      <w:r>
        <w:t>等。</w:t>
      </w:r>
    </w:p>
    <w:p>
      <w:pPr>
        <w:ind w:firstLine="480"/>
      </w:pPr>
      <w:r>
        <w:rPr>
          <w:rFonts w:hint="eastAsia"/>
        </w:rPr>
        <w:t>（</w:t>
      </w:r>
      <w:r>
        <w:t>11</w:t>
      </w:r>
      <w:r>
        <w:rPr>
          <w:rFonts w:hint="eastAsia"/>
        </w:rPr>
        <w:t>）</w:t>
      </w:r>
      <w:r>
        <w:t>仓库应严格按照《建筑设计防火规范》</w:t>
      </w:r>
      <w:r>
        <w:rPr>
          <w:rFonts w:hint="eastAsia"/>
        </w:rPr>
        <w:t>（</w:t>
      </w:r>
      <w:r>
        <w:t>GB50016-2006</w:t>
      </w:r>
      <w:r>
        <w:rPr>
          <w:rFonts w:hint="eastAsia"/>
        </w:rPr>
        <w:t>）</w:t>
      </w:r>
      <w:r>
        <w:t xml:space="preserve"> 进行设计，在总图的布置上应留有足够的防火距离，仓库与生产车间和交通线路的距离、仓库与其他建筑物之间的距离应符合规范要求。库房各区应安装气体检测装置，并进行定时检测，检测数据输送到控制中心，并设置报警功能。</w:t>
      </w:r>
    </w:p>
    <w:p>
      <w:pPr>
        <w:ind w:firstLine="480"/>
      </w:pPr>
      <w:r>
        <w:rPr>
          <w:rFonts w:hint="eastAsia"/>
        </w:rPr>
        <w:t>7、</w:t>
      </w:r>
      <w:r>
        <w:t>物料运输过程风险防范措施</w:t>
      </w:r>
    </w:p>
    <w:p>
      <w:pPr>
        <w:ind w:firstLine="480"/>
      </w:pPr>
      <w:r>
        <w:rPr>
          <w:rFonts w:hint="eastAsia"/>
        </w:rPr>
        <w:t>（</w:t>
      </w:r>
      <w:r>
        <w:t>1</w:t>
      </w:r>
      <w:r>
        <w:rPr>
          <w:rFonts w:hint="eastAsia"/>
        </w:rPr>
        <w:t>）</w:t>
      </w:r>
      <w:r>
        <w:t>运输风险</w:t>
      </w:r>
    </w:p>
    <w:p>
      <w:pPr>
        <w:ind w:firstLine="480"/>
      </w:pPr>
      <w:r>
        <w:t>危险货物在运输过程中，从装卸、运输到保管、工序长，参与人员多；运输方式和工具多；运输范围广、行程长；气温、压力、干湿变化范围大，这些复杂众多的外界因素是运输中造成风险的诱发条件。</w:t>
      </w:r>
    </w:p>
    <w:p>
      <w:pPr>
        <w:ind w:firstLine="480"/>
      </w:pPr>
      <w:r>
        <w:t>针对危险货物本身的危险特性，运输危险货物首先要进行危险货物包装，以减少外界环境如雨雪、阳光、潮湿空气和杂质等的影响；减少运输过程中受到的碰撞、震动、摩擦和挤压，以保持相对稳定状态；减少货物泄漏、挥发以及性质相悖的货物直接接触造成事故。</w:t>
      </w:r>
    </w:p>
    <w:p>
      <w:pPr>
        <w:ind w:firstLine="480"/>
      </w:pPr>
      <w:r>
        <w:t>危险货物运输的基本程序及其风险分析见下表。危险货物在其运输过程中托运—仓储—装货—运货—卸货—仓储—收货过程中，装卸、运输和仓储三个环节中均存在造成事故、对环境造成风险的概率。</w:t>
      </w:r>
    </w:p>
    <w:p>
      <w:pPr>
        <w:ind w:firstLine="480"/>
      </w:pPr>
      <w:r>
        <w:rPr>
          <w:rFonts w:hint="eastAsia"/>
        </w:rPr>
        <w:t>（</w:t>
      </w:r>
      <w:r>
        <w:t>2</w:t>
      </w:r>
      <w:r>
        <w:rPr>
          <w:rFonts w:hint="eastAsia"/>
        </w:rPr>
        <w:t>）</w:t>
      </w:r>
      <w:r>
        <w:t>防范措施</w:t>
      </w:r>
    </w:p>
    <w:p>
      <w:pPr>
        <w:ind w:firstLine="480"/>
      </w:pPr>
      <w:r>
        <w:t>①危险货物运输中，由于经受多次搬运装卸，因温度、压力的变化；重装重卸，操作不当；容器多次回收利用，强度下降，桶盖垫圈失落没有拧紧，安全阀开启，阀门变形断裂等原因，均易造成气体扩散、液体滴漏、固体散落，出现不同程度的渗漏，甚至可能引起火灾、爆炸或污染环境等事故。对这类事故的应急，按照应急就近的原则，运输操作人员首先采取相应的应急措施，进行渗漏处理，防止危险物质扩散至环境。</w:t>
      </w:r>
    </w:p>
    <w:p>
      <w:pPr>
        <w:ind w:firstLine="480"/>
        <w:rPr>
          <w:u w:val="single"/>
        </w:rPr>
      </w:pPr>
      <w:r>
        <w:rPr>
          <w:u w:val="single"/>
        </w:rPr>
        <w:t>②在运输途中，由于各种意外原因，产生汽车翻车等，危险货物有可能散落、抛出至大气、水体或陆域，造成重大环境灾害，对于这类风险事故，要求采取应急措施，包括工程应急措施和社会救援应急预案。</w:t>
      </w:r>
    </w:p>
    <w:p>
      <w:pPr>
        <w:ind w:firstLine="480"/>
      </w:pPr>
      <w:r>
        <w:t>③包装过程要求包装材料与危险物相适应、包装封口与危险物相适应；包装标志执行《危险货物包装标志》</w:t>
      </w:r>
      <w:r>
        <w:rPr>
          <w:rFonts w:hint="eastAsia"/>
        </w:rPr>
        <w:t>（</w:t>
      </w:r>
      <w:r>
        <w:t>GB190-85</w:t>
      </w:r>
      <w:r>
        <w:rPr>
          <w:rFonts w:hint="eastAsia"/>
        </w:rPr>
        <w:t>）</w:t>
      </w:r>
      <w:r>
        <w:t>和《危险货物运输图示标志》</w:t>
      </w:r>
      <w:r>
        <w:rPr>
          <w:rFonts w:hint="eastAsia"/>
        </w:rPr>
        <w:t>（</w:t>
      </w:r>
      <w:r>
        <w:t>GB191-85</w:t>
      </w:r>
      <w:r>
        <w:rPr>
          <w:rFonts w:hint="eastAsia"/>
        </w:rPr>
        <w:t>）</w:t>
      </w:r>
      <w:r>
        <w:t>。</w:t>
      </w:r>
    </w:p>
    <w:p>
      <w:pPr>
        <w:ind w:firstLine="480"/>
      </w:pPr>
      <w:r>
        <w:t>④运输过程应执行《危险货物运输包装通用技术条件》</w:t>
      </w:r>
      <w:r>
        <w:rPr>
          <w:rFonts w:hint="eastAsia"/>
        </w:rPr>
        <w:t>（</w:t>
      </w:r>
      <w:r>
        <w:t>GB12465-90</w:t>
      </w:r>
      <w:r>
        <w:rPr>
          <w:rFonts w:hint="eastAsia"/>
        </w:rPr>
        <w:t>）</w:t>
      </w:r>
      <w:r>
        <w:t>和《危险货物运输规则》</w:t>
      </w:r>
      <w:r>
        <w:rPr>
          <w:rFonts w:hint="eastAsia"/>
        </w:rPr>
        <w:t>（交通运输部</w:t>
      </w:r>
      <w:r>
        <w:t>，2004年9月18日</w:t>
      </w:r>
      <w:r>
        <w:rPr>
          <w:rFonts w:hint="eastAsia"/>
        </w:rPr>
        <w:t>）</w:t>
      </w:r>
      <w:r>
        <w:t>。</w:t>
      </w:r>
    </w:p>
    <w:p>
      <w:pPr>
        <w:ind w:firstLine="480"/>
      </w:pPr>
      <w:r>
        <w:t>⑤装卸过程要求防震、防撞、防倾斜；断火源、禁火种；通风和降温。</w:t>
      </w:r>
    </w:p>
    <w:p>
      <w:pPr>
        <w:ind w:firstLine="480"/>
      </w:pPr>
      <w:r>
        <w:t>⑥采用危险废物专用运输工具进行运输，运输废物的车辆应采用具有专业资质单位设计制造的专门车辆，确保符合要求后方可投入使用。</w:t>
      </w:r>
    </w:p>
    <w:p>
      <w:pPr>
        <w:ind w:firstLine="480"/>
      </w:pPr>
      <w:r>
        <w:t>⑦危险废物运送车辆必须在车辆前部和后部、车厢两侧设置专用警示标识。</w:t>
      </w:r>
    </w:p>
    <w:p>
      <w:pPr>
        <w:ind w:firstLine="480"/>
      </w:pPr>
      <w:r>
        <w:t>⑧每辆运送车应指定负责人，对危险废物运送过程负责；从事危险废物运输的司机等人员应经过合格的培训并通过考核。</w:t>
      </w:r>
    </w:p>
    <w:p>
      <w:pPr>
        <w:ind w:firstLine="480"/>
      </w:pPr>
      <w:r>
        <w:t>⑨运输车在每次运输前都必须对每辆运送车的车况进行检查，确保车况良好后方可出车，运送车辆负责人应对每辆运送车必须配备的辅助物品进行检查，确保完备；定期对运输车辆进行全面检查，减少和防止危险废物发生泄漏和交通事故的发生。</w:t>
      </w:r>
    </w:p>
    <w:p>
      <w:pPr>
        <w:ind w:firstLine="480"/>
      </w:pPr>
      <w:r>
        <w:t>⑩运输车应该限速行驶，避免交通事故的发生；在路况不好的路段及沿线有敏感水体的区域应小心驾驶，防止发生事故或泄漏性事故而污染水体。</w:t>
      </w:r>
    </w:p>
    <w:p>
      <w:pPr>
        <w:ind w:firstLine="480"/>
      </w:pPr>
      <w:r>
        <w:rPr>
          <w:rFonts w:hint="eastAsia"/>
        </w:rPr>
        <w:t>8、</w:t>
      </w:r>
      <w:r>
        <w:t>生产过程风险防范措施</w:t>
      </w:r>
    </w:p>
    <w:p>
      <w:pPr>
        <w:ind w:firstLine="480"/>
      </w:pPr>
      <w:r>
        <w:t>生产过程事故风险防范是安全生产的核心，本次建设项目中使用了一些易燃易爆和毒害性物质。火灾爆炸风险以及事故性泄漏常与装置设备故障相关联，生产过程中各类装置易发生事故部位需要密切注意，做好运行监督检查与维修保养，防患于未然。</w:t>
      </w:r>
    </w:p>
    <w:p>
      <w:pPr>
        <w:ind w:firstLine="480"/>
      </w:pPr>
      <w:r>
        <w:t>原化学工业部曾经颁发过一系列安全生产禁令，包括</w:t>
      </w:r>
      <w:r>
        <w:rPr>
          <w:rFonts w:hint="eastAsia"/>
          <w:lang w:eastAsia="zh-CN"/>
        </w:rPr>
        <w:t>“</w:t>
      </w:r>
      <w:r>
        <w:t>生产厂区十四个不准</w:t>
      </w:r>
      <w:r>
        <w:rPr>
          <w:rFonts w:hint="eastAsia"/>
          <w:lang w:eastAsia="zh-CN"/>
        </w:rPr>
        <w:t>”</w:t>
      </w:r>
      <w:r>
        <w:t>、</w:t>
      </w:r>
      <w:r>
        <w:rPr>
          <w:rFonts w:hint="eastAsia"/>
          <w:lang w:eastAsia="zh-CN"/>
        </w:rPr>
        <w:t>“</w:t>
      </w:r>
      <w:r>
        <w:t>操作工的六严格</w:t>
      </w:r>
      <w:r>
        <w:rPr>
          <w:rFonts w:hint="eastAsia"/>
          <w:lang w:eastAsia="zh-CN"/>
        </w:rPr>
        <w:t>”</w:t>
      </w:r>
      <w:r>
        <w:t>、</w:t>
      </w:r>
      <w:r>
        <w:rPr>
          <w:rFonts w:hint="eastAsia"/>
          <w:lang w:eastAsia="zh-CN"/>
        </w:rPr>
        <w:t>“</w:t>
      </w:r>
      <w:r>
        <w:t>动火作业六大禁令</w:t>
      </w:r>
      <w:r>
        <w:rPr>
          <w:rFonts w:hint="eastAsia"/>
          <w:lang w:eastAsia="zh-CN"/>
        </w:rPr>
        <w:t>”</w:t>
      </w:r>
      <w:r>
        <w:t>、</w:t>
      </w:r>
      <w:r>
        <w:rPr>
          <w:rFonts w:hint="eastAsia"/>
          <w:lang w:eastAsia="zh-CN"/>
        </w:rPr>
        <w:t>“</w:t>
      </w:r>
      <w:r>
        <w:t>进入容器、设备的八个必须</w:t>
      </w:r>
      <w:r>
        <w:rPr>
          <w:rFonts w:hint="eastAsia"/>
          <w:lang w:eastAsia="zh-CN"/>
        </w:rPr>
        <w:t>”</w:t>
      </w:r>
      <w:r>
        <w:t>、</w:t>
      </w:r>
      <w:r>
        <w:rPr>
          <w:rFonts w:hint="eastAsia"/>
          <w:lang w:eastAsia="zh-CN"/>
        </w:rPr>
        <w:t>“</w:t>
      </w:r>
      <w:r>
        <w:t>机动车辆七大禁令</w:t>
      </w:r>
      <w:r>
        <w:rPr>
          <w:rFonts w:hint="eastAsia"/>
          <w:lang w:eastAsia="zh-CN"/>
        </w:rPr>
        <w:t>”</w:t>
      </w:r>
      <w:r>
        <w:t>、</w:t>
      </w:r>
      <w:r>
        <w:rPr>
          <w:rFonts w:hint="eastAsia"/>
          <w:lang w:eastAsia="zh-CN"/>
        </w:rPr>
        <w:t>“</w:t>
      </w:r>
      <w:r>
        <w:t>加强化工企业安全生产的八条规定</w:t>
      </w:r>
      <w:r>
        <w:rPr>
          <w:rFonts w:hint="eastAsia"/>
          <w:lang w:eastAsia="zh-CN"/>
        </w:rPr>
        <w:t>”</w:t>
      </w:r>
      <w:r>
        <w:t>等，另外还颁布了</w:t>
      </w:r>
      <w:r>
        <w:rPr>
          <w:rFonts w:hint="eastAsia"/>
          <w:lang w:eastAsia="zh-CN"/>
        </w:rPr>
        <w:t>“</w:t>
      </w:r>
      <w:r>
        <w:t>厂区设备检修作业安全规程</w:t>
      </w:r>
      <w:r>
        <w:rPr>
          <w:rFonts w:hint="eastAsia"/>
          <w:lang w:eastAsia="zh-CN"/>
        </w:rPr>
        <w:t>”</w:t>
      </w:r>
      <w:r>
        <w:t>等一系列技术规程，企业应组织员工认真学习贯彻，并将国家要求和安全技术规范转化为各自岗位的安全操作规程，并悬挂在岗位醒目位置，规范岗位操作，降低事故概率。</w:t>
      </w:r>
    </w:p>
    <w:p>
      <w:pPr>
        <w:ind w:firstLine="480"/>
      </w:pPr>
      <w:r>
        <w:t>装置内的物料是防火防爆的重点，要提高装置先进性、密封性，尽可能减少无组织泄漏。工程设计中充分考虑安全因素，生产操作实现DCS自动化控制，关键岗位应通过设备安全控制连锁措施降低风险性。</w:t>
      </w:r>
    </w:p>
    <w:p>
      <w:pPr>
        <w:ind w:firstLine="480"/>
      </w:pPr>
      <w:r>
        <w:t>必须组织专门人员每天每班多次进行周期性巡回检查，有跑冒滴漏或其他异常现象的应及时检修，必要时按照</w:t>
      </w:r>
      <w:r>
        <w:rPr>
          <w:rFonts w:hint="eastAsia"/>
          <w:lang w:eastAsia="zh-CN"/>
        </w:rPr>
        <w:t>“</w:t>
      </w:r>
      <w:r>
        <w:t>生产服从安全</w:t>
      </w:r>
      <w:r>
        <w:rPr>
          <w:rFonts w:hint="eastAsia"/>
          <w:lang w:eastAsia="zh-CN"/>
        </w:rPr>
        <w:t>”</w:t>
      </w:r>
      <w:r>
        <w:t>原则停车检修，严禁带病或不正常运转。</w:t>
      </w:r>
    </w:p>
    <w:p>
      <w:pPr>
        <w:ind w:firstLine="480"/>
      </w:pPr>
      <w:r>
        <w:t>装置内设备发生大泄漏的处理方案：</w:t>
      </w:r>
    </w:p>
    <w:p>
      <w:pPr>
        <w:ind w:firstLine="480"/>
      </w:pPr>
      <w:r>
        <w:t>①即启动紧急应急方案。</w:t>
      </w:r>
    </w:p>
    <w:p>
      <w:pPr>
        <w:ind w:firstLine="480"/>
      </w:pPr>
      <w:r>
        <w:t>②启动紧急停车程序。</w:t>
      </w:r>
    </w:p>
    <w:p>
      <w:pPr>
        <w:ind w:firstLine="480"/>
      </w:pPr>
      <w:r>
        <w:t>③装置人员撤离到上风口。</w:t>
      </w:r>
    </w:p>
    <w:p>
      <w:pPr>
        <w:ind w:firstLine="480"/>
      </w:pPr>
      <w:r>
        <w:t>④操作人员配备PPE，切断泄漏部位上游的所有阀门。</w:t>
      </w:r>
    </w:p>
    <w:p>
      <w:pPr>
        <w:ind w:firstLine="480"/>
      </w:pPr>
      <w:r>
        <w:t>⑤开启水募，吸收泄露的气体。</w:t>
      </w:r>
    </w:p>
    <w:p>
      <w:pPr>
        <w:ind w:firstLine="480"/>
      </w:pPr>
      <w:r>
        <w:t>⑥情况许可时，操作人员配备PPE，对泄漏部位进行带压堵漏。</w:t>
      </w:r>
    </w:p>
    <w:p>
      <w:pPr>
        <w:ind w:firstLine="480"/>
      </w:pPr>
      <w:r>
        <w:t>⑦采用负压抽吸装置，将泄漏出来的液体抽吸到密闭容器，视情况回用或送到废物处理中心。</w:t>
      </w:r>
    </w:p>
    <w:p>
      <w:pPr>
        <w:ind w:firstLine="480"/>
      </w:pPr>
      <w:r>
        <w:t>⑧然后用水冲洗，冲洗水按废液外送废物处理中心处理。</w:t>
      </w:r>
    </w:p>
    <w:p>
      <w:pPr>
        <w:ind w:firstLine="562"/>
        <w:rPr>
          <w:rFonts w:cs="Times New Roman"/>
          <w:b/>
          <w:bCs/>
          <w:color w:val="000000"/>
          <w:kern w:val="0"/>
          <w:sz w:val="28"/>
          <w:szCs w:val="28"/>
          <w:u w:val="single"/>
          <w:lang w:bidi="ar"/>
        </w:rPr>
      </w:pPr>
      <w:bookmarkStart w:id="181" w:name="_Toc238356298"/>
      <w:bookmarkStart w:id="182" w:name="_Toc381650456"/>
      <w:bookmarkStart w:id="183" w:name="_Toc343699402"/>
      <w:bookmarkStart w:id="184" w:name="_Toc236720818"/>
      <w:bookmarkStart w:id="185" w:name="_Toc224388117"/>
      <w:bookmarkStart w:id="186" w:name="_Toc243824003"/>
      <w:r>
        <w:rPr>
          <w:rFonts w:hint="eastAsia" w:cs="Times New Roman"/>
          <w:b/>
          <w:bCs/>
          <w:color w:val="000000"/>
          <w:kern w:val="0"/>
          <w:sz w:val="28"/>
          <w:szCs w:val="28"/>
          <w:u w:val="single"/>
          <w:lang w:bidi="ar"/>
        </w:rPr>
        <w:t>6.8.2</w:t>
      </w:r>
      <w:r>
        <w:rPr>
          <w:rFonts w:cs="Times New Roman"/>
          <w:b/>
          <w:bCs/>
          <w:color w:val="000000"/>
          <w:kern w:val="0"/>
          <w:sz w:val="28"/>
          <w:szCs w:val="28"/>
          <w:u w:val="single"/>
          <w:lang w:bidi="ar"/>
        </w:rPr>
        <w:t>、应急预案</w:t>
      </w:r>
      <w:r>
        <w:rPr>
          <w:rFonts w:hint="eastAsia" w:cs="Times New Roman"/>
          <w:b/>
          <w:bCs/>
          <w:color w:val="000000"/>
          <w:kern w:val="0"/>
          <w:sz w:val="28"/>
          <w:szCs w:val="28"/>
          <w:u w:val="single"/>
          <w:lang w:bidi="ar"/>
        </w:rPr>
        <w:t>编制要求</w:t>
      </w:r>
    </w:p>
    <w:p>
      <w:pPr>
        <w:ind w:firstLine="480"/>
      </w:pPr>
      <w:r>
        <w:t>事故应急救援预案是企业根据实际情况预计可能发生的事故，为增加对事故的处理能力所预先制定的应急对策。根据本项目的实际情况，本次评价根据初步的重大危险事故分析，给出建议的应急预案。项目运行前必须有经专家论证认可的环境风险应急处置预案。应急预案应在生产过程安全管理中具体化和进一步完善。</w:t>
      </w:r>
    </w:p>
    <w:p>
      <w:pPr>
        <w:ind w:firstLine="480"/>
      </w:pPr>
      <w:r>
        <w:t>（1）根据该项目的特点，企业应共同成立应急救援中心，以及生产、安全环保、设备、保卫、卫生等部门领导组成的</w:t>
      </w:r>
      <w:r>
        <w:rPr>
          <w:rFonts w:hint="eastAsia"/>
          <w:lang w:eastAsia="zh-CN"/>
        </w:rPr>
        <w:t>“</w:t>
      </w:r>
      <w:r>
        <w:t>指挥领导小组</w:t>
      </w:r>
      <w:r>
        <w:rPr>
          <w:rFonts w:hint="eastAsia"/>
          <w:lang w:eastAsia="zh-CN"/>
        </w:rPr>
        <w:t>”</w:t>
      </w:r>
      <w:r>
        <w:t>，下设应急救援办公室，管理部门应明确责任分工。</w:t>
      </w:r>
    </w:p>
    <w:p>
      <w:pPr>
        <w:ind w:firstLine="480"/>
      </w:pPr>
      <w:r>
        <w:t>负责人应负责重大事故应急预案的制定和修订；组建应急救援专业队伍，并组织实施平时的演练；检查督促事故预防措施和应急救援的准备工作。</w:t>
      </w:r>
    </w:p>
    <w:p>
      <w:pPr>
        <w:ind w:firstLine="480"/>
      </w:pPr>
      <w:r>
        <w:t>指挥领导小组负责事故时的救援命令的发布、解除；组织应急救援专业队伍实施救援行动；向上级汇报和向社会救援组织通报事故情况，必要时发出救援请求；对事故应及时总结。</w:t>
      </w:r>
    </w:p>
    <w:p>
      <w:pPr>
        <w:ind w:firstLine="480"/>
      </w:pPr>
      <w:r>
        <w:t>安全环保部门的主要职责为协助指挥领导小组</w:t>
      </w:r>
      <w:r>
        <w:rPr>
          <w:rFonts w:hint="eastAsia"/>
        </w:rPr>
        <w:t>做好</w:t>
      </w:r>
      <w:r>
        <w:t>事故报警、情况通报、监测及事故处置工作。</w:t>
      </w:r>
    </w:p>
    <w:p>
      <w:pPr>
        <w:ind w:firstLine="480"/>
      </w:pPr>
      <w:r>
        <w:t>保卫部门负责警戒、治安保卫、人员疏散、道路管制等工作。</w:t>
      </w:r>
    </w:p>
    <w:p>
      <w:pPr>
        <w:ind w:firstLine="480"/>
      </w:pPr>
      <w:r>
        <w:t>设备、生产部门负责事故时的开停车调度、事故现场的联络等工作。</w:t>
      </w:r>
    </w:p>
    <w:p>
      <w:pPr>
        <w:ind w:firstLine="480"/>
      </w:pPr>
      <w:r>
        <w:t>（2）救援队伍的组成及分工</w:t>
      </w:r>
    </w:p>
    <w:p>
      <w:pPr>
        <w:ind w:firstLine="480"/>
      </w:pPr>
      <w:r>
        <w:t>建议企业根据实际情况组织救援队伍。救援队伍应包括通信联络、治安保卫、消防、抢修、医疗</w:t>
      </w:r>
      <w:r>
        <w:rPr>
          <w:rFonts w:hint="eastAsia"/>
        </w:rPr>
        <w:t>等</w:t>
      </w:r>
      <w:r>
        <w:t>相关人员。</w:t>
      </w:r>
    </w:p>
    <w:p>
      <w:pPr>
        <w:ind w:firstLine="480"/>
      </w:pPr>
      <w:r>
        <w:t>（3）现场事故处置</w:t>
      </w:r>
    </w:p>
    <w:p>
      <w:pPr>
        <w:ind w:firstLine="480"/>
      </w:pPr>
      <w:r>
        <w:t>在发生事故时应根据拟定疏散方案及时疏散事故区人员，禁止无关人员进入事故区。应急人员处理事故时应戴自给式呼吸器，穿消防防护服。</w:t>
      </w:r>
    </w:p>
    <w:p>
      <w:pPr>
        <w:ind w:firstLine="480"/>
      </w:pPr>
      <w:r>
        <w:t>（4）社会救援</w:t>
      </w:r>
    </w:p>
    <w:p>
      <w:pPr>
        <w:ind w:firstLine="480"/>
      </w:pPr>
      <w:r>
        <w:t>根据事故预测，发生事故后，如果不采取措施，将对环境将造成危害，并且可能发生火灾事故。</w:t>
      </w:r>
    </w:p>
    <w:p>
      <w:pPr>
        <w:ind w:firstLine="480"/>
      </w:pPr>
      <w:r>
        <w:t>在制定事故应急救援预案时，应包括社会救援组织的机构、联系方式、报警系统等信息，以保证应急救援指挥能随时与社会救援力量保持联络，请求支援。</w:t>
      </w:r>
    </w:p>
    <w:p>
      <w:pPr>
        <w:ind w:firstLine="480"/>
      </w:pPr>
      <w:r>
        <w:t>（5）应急状态的终止和善后计划措施</w:t>
      </w:r>
    </w:p>
    <w:p>
      <w:pPr>
        <w:ind w:firstLine="480"/>
      </w:pPr>
      <w:r>
        <w:t>应急状态终止由公司应急指挥中心根据现场情况和专家意见决策并发布。</w:t>
      </w:r>
    </w:p>
    <w:p>
      <w:pPr>
        <w:ind w:firstLine="480"/>
      </w:pPr>
      <w:r>
        <w:t>事故现场及受影响区域，根据实际情况采取有效善后措施，包括确认事故状态彻底解除、清理现场、清除污染、恢复生产等现场工作；对处理事故人员的污染检查、医学处理和受伤人员的及时治疗；对事故现场做进一步的安全检查，尤其是由于事故或抢救过程中留下的隐患，是否可能进一步引起新的事故；估算事故损失；分析事故原因和制定防止事故再发生的防范措施，总结教训，写出事故报告，报有关主管部门。</w:t>
      </w:r>
    </w:p>
    <w:p>
      <w:pPr>
        <w:ind w:firstLine="480"/>
      </w:pPr>
      <w:r>
        <w:t>（6）事故风险应急预案的编写内容要求</w:t>
      </w:r>
    </w:p>
    <w:p>
      <w:pPr>
        <w:ind w:firstLine="480"/>
      </w:pPr>
      <w:r>
        <w:t>应急预案主要编写要求内容见表</w:t>
      </w:r>
      <w:r>
        <w:rPr>
          <w:rFonts w:hint="eastAsia"/>
        </w:rPr>
        <w:t>6.8</w:t>
      </w:r>
      <w:r>
        <w:t>-</w:t>
      </w:r>
      <w:r>
        <w:rPr>
          <w:rFonts w:hint="eastAsia"/>
          <w:lang w:val="en-US" w:eastAsia="zh-CN"/>
        </w:rPr>
        <w:t>25</w:t>
      </w:r>
      <w:r>
        <w:t>。</w:t>
      </w:r>
    </w:p>
    <w:p>
      <w:pPr>
        <w:pStyle w:val="45"/>
        <w:spacing w:line="240" w:lineRule="auto"/>
        <w:ind w:firstLine="482"/>
        <w:rPr>
          <w:rFonts w:eastAsia="宋体"/>
          <w:b/>
          <w:szCs w:val="21"/>
        </w:rPr>
      </w:pPr>
      <w:r>
        <w:rPr>
          <w:rFonts w:eastAsia="宋体"/>
          <w:b/>
          <w:szCs w:val="21"/>
        </w:rPr>
        <w:t>表</w:t>
      </w:r>
      <w:r>
        <w:rPr>
          <w:rFonts w:hint="eastAsia" w:eastAsia="宋体"/>
          <w:b/>
          <w:szCs w:val="21"/>
        </w:rPr>
        <w:t>6.8-</w:t>
      </w:r>
      <w:r>
        <w:rPr>
          <w:rFonts w:hint="eastAsia" w:eastAsia="宋体"/>
          <w:b/>
          <w:szCs w:val="21"/>
          <w:lang w:val="en-US" w:eastAsia="zh-CN"/>
        </w:rPr>
        <w:t>25</w:t>
      </w:r>
      <w:r>
        <w:rPr>
          <w:rFonts w:hint="eastAsia" w:eastAsia="宋体"/>
          <w:b/>
          <w:szCs w:val="21"/>
        </w:rPr>
        <w:t xml:space="preserve">  </w:t>
      </w:r>
      <w:r>
        <w:rPr>
          <w:rFonts w:eastAsia="宋体"/>
          <w:b/>
          <w:szCs w:val="21"/>
        </w:rPr>
        <w:t>事故风险应急预案编写内容要求</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2626"/>
        <w:gridCol w:w="5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序号</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项目</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内容及要求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1</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应急计划区</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危险目标：环境保护目标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2</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应急组织机构、人员</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工厂、地区应急组织机构、人员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3</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预案分级响应条件</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规定预案的级别及分级响应程序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4</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应急救援保障</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应急设施，设备与器材等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5</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报警、通讯方式</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规定应急状态下的</w:t>
            </w:r>
            <w:r>
              <w:rPr>
                <w:rFonts w:hint="eastAsia" w:ascii="Times New Roman" w:hAnsi="Times New Roman"/>
                <w:sz w:val="21"/>
                <w:szCs w:val="21"/>
                <w:lang w:eastAsia="zh-CN"/>
              </w:rPr>
              <w:t>报警通信</w:t>
            </w:r>
            <w:r>
              <w:rPr>
                <w:rFonts w:ascii="Times New Roman" w:hAnsi="Times New Roman"/>
                <w:sz w:val="21"/>
                <w:szCs w:val="21"/>
              </w:rPr>
              <w:t>方式、通知方式和交通保障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6</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应急环境监测、抢险、救援及控制措施</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由专业队伍负责对事故现场进行侦察监测，对事故性质、参数与后果进行评估，为指挥部门提供决策依据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7</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应急检测、防护措施、清除泄漏措施和器材</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事故现场、邻近区域、控制防火区域，控制和清除污染措施及相应设备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8</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人员紧急撤离、疏散，应急剂量控制、撤离组织计划</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事故现场、邻近区、受事故影响的区域人员及公众撤离组织计划及救护，医疗救护与公众健康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9</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事故应急救援关闭程序与恢复措施</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规定应急状态终止程序；事故现场善后处理，恢复措施；邻近区域解除事故警戒及善后恢复措施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10</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应急培训计划</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应急计划制定后，平时安排人员培训与演练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890" w:type="dxa"/>
            <w:vAlign w:val="center"/>
          </w:tcPr>
          <w:p>
            <w:pPr>
              <w:spacing w:line="240" w:lineRule="auto"/>
              <w:ind w:firstLine="0" w:firstLineChars="0"/>
              <w:jc w:val="center"/>
              <w:rPr>
                <w:sz w:val="21"/>
                <w:szCs w:val="21"/>
              </w:rPr>
            </w:pPr>
            <w:r>
              <w:rPr>
                <w:sz w:val="21"/>
                <w:szCs w:val="21"/>
              </w:rPr>
              <w:t>11</w:t>
            </w:r>
          </w:p>
        </w:tc>
        <w:tc>
          <w:tcPr>
            <w:tcW w:w="2626"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公众教育和信息</w:t>
            </w:r>
          </w:p>
        </w:tc>
        <w:tc>
          <w:tcPr>
            <w:tcW w:w="5770" w:type="dxa"/>
            <w:vAlign w:val="center"/>
          </w:tcPr>
          <w:p>
            <w:pPr>
              <w:spacing w:line="240" w:lineRule="auto"/>
              <w:ind w:firstLine="0" w:firstLineChars="0"/>
              <w:jc w:val="center"/>
              <w:rPr>
                <w:rFonts w:ascii="Times New Roman" w:hAnsi="Times New Roman"/>
                <w:sz w:val="21"/>
                <w:szCs w:val="21"/>
              </w:rPr>
            </w:pPr>
            <w:r>
              <w:rPr>
                <w:rFonts w:ascii="Times New Roman" w:hAnsi="Times New Roman"/>
                <w:sz w:val="21"/>
                <w:szCs w:val="21"/>
              </w:rPr>
              <w:t>对工厂邻近地区开展公众教育、培训和发布有关信息</w:t>
            </w:r>
          </w:p>
        </w:tc>
      </w:tr>
    </w:tbl>
    <w:p>
      <w:pPr>
        <w:pStyle w:val="7"/>
        <w:ind w:firstLine="562"/>
        <w:rPr>
          <w:sz w:val="24"/>
        </w:rPr>
      </w:pPr>
      <w:bookmarkStart w:id="187" w:name="_Toc5888501"/>
      <w:bookmarkStart w:id="188" w:name="_Toc27162"/>
      <w:r>
        <w:rPr>
          <w:rFonts w:hint="eastAsia"/>
        </w:rPr>
        <w:t xml:space="preserve">6.8.6 </w:t>
      </w:r>
      <w:r>
        <w:t>风险评价结论</w:t>
      </w:r>
      <w:bookmarkEnd w:id="187"/>
      <w:bookmarkEnd w:id="188"/>
    </w:p>
    <w:p>
      <w:pPr>
        <w:ind w:firstLine="480"/>
      </w:pPr>
      <w:r>
        <w:t>建设项目的环境风险类型为火灾</w:t>
      </w:r>
      <w:r>
        <w:rPr>
          <w:rFonts w:hint="eastAsia"/>
        </w:rPr>
        <w:t>、泄漏</w:t>
      </w:r>
      <w:r>
        <w:t>。建设单位应做到思想上高度重视、认识上见微知著，防范上时刻不忘，</w:t>
      </w:r>
      <w:r>
        <w:rPr>
          <w:spacing w:val="10"/>
        </w:rPr>
        <w:t>按国家有关技术规范和本报告书落实相关环境风险防范措施</w:t>
      </w:r>
      <w:r>
        <w:t>，切实加强组织领导，扎实加强应急能力建设，努力规范和完善应急预案，认真组织应急预案演练，不断提高应急处置能力。当事故发生时，建设方应立即启动应急程序，力争在风险发生的最初时间就确保风险源能够得到及时</w:t>
      </w:r>
      <w:r>
        <w:rPr>
          <w:rFonts w:hint="eastAsia"/>
        </w:rPr>
        <w:t>有效</w:t>
      </w:r>
      <w:r>
        <w:rPr>
          <w:rFonts w:hint="eastAsia"/>
          <w:lang w:eastAsia="zh-CN"/>
        </w:rPr>
        <w:t>的</w:t>
      </w:r>
      <w:r>
        <w:rPr>
          <w:rFonts w:hint="eastAsia"/>
        </w:rPr>
        <w:t>控制</w:t>
      </w:r>
      <w:r>
        <w:t>，尽可能避免重大人员伤亡和财产损失事故的发生，同时尽可能减轻对周围环境造成影响。</w:t>
      </w:r>
    </w:p>
    <w:p>
      <w:pPr>
        <w:ind w:firstLine="480"/>
        <w:rPr>
          <w:kern w:val="28"/>
        </w:rPr>
      </w:pPr>
      <w:r>
        <w:t>综上所述，本项目环境风险在确保防范措施落实的情况下，是可以接受的。</w:t>
      </w:r>
      <w:bookmarkEnd w:id="181"/>
      <w:bookmarkEnd w:id="182"/>
      <w:bookmarkEnd w:id="183"/>
      <w:bookmarkEnd w:id="184"/>
      <w:bookmarkEnd w:id="185"/>
      <w:bookmarkEnd w:id="186"/>
    </w:p>
    <w:p>
      <w:pPr>
        <w:pStyle w:val="27"/>
        <w:ind w:left="480" w:firstLine="480"/>
        <w:sectPr>
          <w:pgSz w:w="11906" w:h="16838"/>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pPr>
    </w:p>
    <w:p>
      <w:pPr>
        <w:pStyle w:val="5"/>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bookmarkStart w:id="189" w:name="_Toc13684"/>
      <w:bookmarkStart w:id="190" w:name="_Toc17057"/>
      <w:bookmarkStart w:id="191" w:name="_Toc8841"/>
      <w:bookmarkStart w:id="192" w:name="_Toc32293"/>
      <w:r>
        <w:t>第七章  污染防治措施及可行性分析</w:t>
      </w:r>
      <w:bookmarkEnd w:id="189"/>
      <w:bookmarkEnd w:id="190"/>
      <w:bookmarkEnd w:id="191"/>
      <w:bookmarkEnd w:id="192"/>
    </w:p>
    <w:p>
      <w:pPr>
        <w:pStyle w:val="6"/>
        <w:ind w:firstLine="0" w:firstLineChars="0"/>
      </w:pPr>
      <w:bookmarkStart w:id="193" w:name="_Toc28438"/>
      <w:bookmarkStart w:id="194" w:name="_Toc27953"/>
      <w:bookmarkStart w:id="195" w:name="_Toc24734"/>
      <w:bookmarkStart w:id="196" w:name="_Toc29126"/>
      <w:r>
        <w:rPr>
          <w:lang w:val="en-US"/>
        </w:rPr>
        <w:t>7.1 施工期污染防治措施</w:t>
      </w:r>
      <w:bookmarkEnd w:id="193"/>
      <w:bookmarkEnd w:id="194"/>
      <w:bookmarkEnd w:id="195"/>
      <w:bookmarkEnd w:id="196"/>
    </w:p>
    <w:p>
      <w:pPr>
        <w:pStyle w:val="7"/>
        <w:ind w:firstLine="562"/>
      </w:pPr>
      <w:bookmarkStart w:id="197" w:name="_Toc22273"/>
      <w:r>
        <w:t xml:space="preserve">7.1.1 </w:t>
      </w:r>
      <w:r>
        <w:rPr>
          <w:rFonts w:hint="eastAsia"/>
        </w:rPr>
        <w:t>施工废气防治措施</w:t>
      </w:r>
      <w:bookmarkEnd w:id="197"/>
    </w:p>
    <w:p>
      <w:pPr>
        <w:widowControl/>
        <w:ind w:firstLine="480"/>
        <w:rPr>
          <w:color w:val="000000"/>
          <w:lang w:bidi="ar"/>
        </w:rPr>
      </w:pPr>
      <w:r>
        <w:rPr>
          <w:rFonts w:hint="eastAsia"/>
          <w:color w:val="000000"/>
          <w:lang w:bidi="ar"/>
        </w:rPr>
        <w:t>本项目施工期3个月，施工活动对外环境影响较大，因此应采取合理的污染防治措施，减小施工期对周围环境及生态环境的影响程度。</w:t>
      </w:r>
    </w:p>
    <w:p>
      <w:pPr>
        <w:widowControl/>
        <w:ind w:firstLine="482"/>
        <w:rPr>
          <w:b/>
          <w:bCs/>
          <w:color w:val="000000"/>
          <w:lang w:bidi="ar"/>
        </w:rPr>
      </w:pPr>
      <w:r>
        <w:rPr>
          <w:rFonts w:hint="eastAsia"/>
          <w:b/>
          <w:bCs/>
          <w:color w:val="000000"/>
          <w:lang w:bidi="ar"/>
        </w:rPr>
        <w:t>7.1.1.1 施工扬尘污染防治措施分析</w:t>
      </w:r>
    </w:p>
    <w:p>
      <w:pPr>
        <w:widowControl/>
        <w:ind w:firstLine="480"/>
        <w:rPr>
          <w:color w:val="000000"/>
          <w:lang w:bidi="ar"/>
        </w:rPr>
      </w:pPr>
      <w:r>
        <w:rPr>
          <w:rFonts w:hint="eastAsia"/>
          <w:color w:val="000000"/>
          <w:lang w:bidi="ar"/>
        </w:rPr>
        <w:t>扬尘污染是施工期间重要的污染因素，扬尘环节主要来源于土地开挖、打桩、回填、车辆运输、物料和土石方露天堆放、装卸等过程，如遇干旱无雨季节，加上大风，施工扬尘则更为严重。本项目位于</w:t>
      </w:r>
      <w:r>
        <w:rPr>
          <w:rFonts w:hint="eastAsia"/>
          <w:lang w:eastAsia="zh-CN"/>
        </w:rPr>
        <w:t>平顶山市尼龙新材料产业集聚区</w:t>
      </w:r>
      <w:r>
        <w:rPr>
          <w:rFonts w:hint="eastAsia"/>
          <w:color w:val="000000"/>
          <w:lang w:bidi="ar"/>
        </w:rPr>
        <w:t>，距离本项目施工区域最近的敏感目标为东</w:t>
      </w:r>
      <w:r>
        <w:rPr>
          <w:rFonts w:hint="eastAsia"/>
          <w:color w:val="000000"/>
          <w:lang w:eastAsia="zh-CN" w:bidi="ar"/>
        </w:rPr>
        <w:t>南</w:t>
      </w:r>
      <w:r>
        <w:rPr>
          <w:rFonts w:hint="eastAsia"/>
          <w:color w:val="000000"/>
          <w:lang w:bidi="ar"/>
        </w:rPr>
        <w:t>侧</w:t>
      </w:r>
      <w:r>
        <w:rPr>
          <w:rFonts w:hint="eastAsia"/>
          <w:color w:val="000000"/>
          <w:lang w:eastAsia="zh-CN" w:bidi="ar"/>
        </w:rPr>
        <w:t>泥河张村</w:t>
      </w:r>
      <w:r>
        <w:rPr>
          <w:rFonts w:hint="eastAsia"/>
          <w:color w:val="000000"/>
          <w:lang w:val="en-US" w:eastAsia="zh-CN" w:bidi="ar"/>
        </w:rPr>
        <w:t>478</w:t>
      </w:r>
      <w:r>
        <w:rPr>
          <w:rFonts w:hint="eastAsia"/>
          <w:color w:val="000000"/>
          <w:lang w:bidi="ar"/>
        </w:rPr>
        <w:t>m，所以在施工期间，应采取积极的措施来尽量减少扬尘的产生。</w:t>
      </w:r>
    </w:p>
    <w:p>
      <w:pPr>
        <w:widowControl/>
        <w:ind w:firstLine="480"/>
        <w:rPr>
          <w:color w:val="000000"/>
          <w:lang w:bidi="ar"/>
        </w:rPr>
      </w:pPr>
      <w:r>
        <w:rPr>
          <w:rFonts w:hint="eastAsia"/>
          <w:color w:val="000000"/>
          <w:lang w:bidi="ar"/>
        </w:rPr>
        <w:t>为有效防治施工扬尘，建设单位在施工期应当做到以下几点：</w:t>
      </w:r>
    </w:p>
    <w:p>
      <w:pPr>
        <w:widowControl/>
        <w:ind w:firstLine="480"/>
        <w:rPr>
          <w:color w:val="000000"/>
          <w:lang w:bidi="ar"/>
        </w:rPr>
      </w:pPr>
      <w:r>
        <w:rPr>
          <w:rFonts w:hint="eastAsia"/>
          <w:color w:val="000000"/>
          <w:lang w:bidi="ar"/>
        </w:rPr>
        <w:t>1、场内扬尘污染防治措施</w:t>
      </w:r>
    </w:p>
    <w:p>
      <w:pPr>
        <w:widowControl/>
        <w:ind w:firstLine="480"/>
        <w:rPr>
          <w:color w:val="000000"/>
          <w:lang w:bidi="ar"/>
        </w:rPr>
      </w:pPr>
      <w:r>
        <w:rPr>
          <w:rFonts w:hint="eastAsia"/>
          <w:color w:val="000000"/>
          <w:lang w:bidi="ar"/>
        </w:rPr>
        <w:t>（1）施工期间做到文明施工，在天气干燥、有风等易产生扬尘的情况下，应对沙石临时堆存、土石方、建筑垃圾等处采取清扫、洒水措施，有关试验表明，如果只洒水，可使扬尘量减少70%～80%，如果清扫后洒水，抑尘效率能达90%以上；扬尘造成的TSP污染距离可缩小到50m范围。</w:t>
      </w:r>
    </w:p>
    <w:p>
      <w:pPr>
        <w:widowControl/>
        <w:ind w:firstLine="480"/>
        <w:rPr>
          <w:color w:val="000000"/>
          <w:lang w:bidi="ar"/>
        </w:rPr>
      </w:pPr>
      <w:r>
        <w:rPr>
          <w:rFonts w:hint="eastAsia"/>
          <w:color w:val="000000"/>
          <w:lang w:bidi="ar"/>
        </w:rPr>
        <w:t>（2）建筑工地实行围挡全封闭施工，施工现场四周边界设置不低于2.5米的围挡，围挡由金属、混凝土、塑料等硬质材料制作，围挡下方设置不低于20cm高的防溢座以防止粉尘流失；任意两块围挡以及围挡与防溢座的拼接处都不能有大于0.5cm的缝隙，围挡不得有明显破损的漏洞。</w:t>
      </w:r>
    </w:p>
    <w:p>
      <w:pPr>
        <w:widowControl/>
        <w:ind w:firstLine="480"/>
        <w:rPr>
          <w:color w:val="000000"/>
          <w:lang w:bidi="ar"/>
        </w:rPr>
      </w:pPr>
      <w:r>
        <w:rPr>
          <w:rFonts w:hint="eastAsia"/>
          <w:color w:val="000000"/>
          <w:lang w:bidi="ar"/>
        </w:rPr>
        <w:t>（3）建筑施工现场出入口必须设置车辆冲洗池和定型化车辆自动冲洗装置，对进出施工场地的车辆进行清理或清洗以保证车辆清洁上路；洗车喷嘴静水压不低于0.5Mpa；洗车污水经沉淀后回用于抑尘，回用率100%；施工场所车辆入口和出口30m以内的路面上不应有明显泥印，以及砂石、灰土等易扬尘物料。</w:t>
      </w:r>
    </w:p>
    <w:p>
      <w:pPr>
        <w:widowControl/>
        <w:ind w:firstLine="480"/>
        <w:rPr>
          <w:color w:val="000000"/>
          <w:lang w:bidi="ar"/>
        </w:rPr>
      </w:pPr>
      <w:r>
        <w:rPr>
          <w:rFonts w:hint="eastAsia"/>
          <w:color w:val="000000"/>
          <w:lang w:bidi="ar"/>
        </w:rPr>
        <w:t>（4）道路硬化与管理：施工场地内80%以上车行道面积必须硬化；清扫时必须洒水抑尘，任何时候行车道路上都不能有明显的尘土。</w:t>
      </w:r>
    </w:p>
    <w:p>
      <w:pPr>
        <w:widowControl/>
        <w:ind w:firstLine="480"/>
        <w:rPr>
          <w:color w:val="000000"/>
          <w:lang w:bidi="ar"/>
        </w:rPr>
      </w:pPr>
      <w:r>
        <w:rPr>
          <w:rFonts w:hint="eastAsia"/>
          <w:color w:val="000000"/>
          <w:lang w:bidi="ar"/>
        </w:rPr>
        <w:t>（5）土石方、建筑材料不得露天堆放，应覆盖防风抑尘网等，并加强喷淋洒水等措施，以提高物料堆的含水率，进而起到抑尘的效果。</w:t>
      </w:r>
    </w:p>
    <w:p>
      <w:pPr>
        <w:widowControl/>
        <w:ind w:firstLine="480"/>
        <w:rPr>
          <w:color w:val="000000"/>
          <w:lang w:bidi="ar"/>
        </w:rPr>
      </w:pPr>
      <w:r>
        <w:rPr>
          <w:rFonts w:hint="eastAsia"/>
          <w:color w:val="000000"/>
          <w:lang w:bidi="ar"/>
        </w:rPr>
        <w:t>（6）弃土应及时清运。当出现五级及以上大风天气，必须采取防扬尘应急措施，且不得进行土方开挖、回填、转运作业及工程拆除等作业。</w:t>
      </w:r>
    </w:p>
    <w:p>
      <w:pPr>
        <w:widowControl/>
        <w:ind w:firstLine="480"/>
        <w:rPr>
          <w:color w:val="000000"/>
          <w:lang w:bidi="ar"/>
        </w:rPr>
      </w:pPr>
      <w:r>
        <w:rPr>
          <w:rFonts w:hint="eastAsia"/>
          <w:color w:val="000000"/>
          <w:lang w:bidi="ar"/>
        </w:rPr>
        <w:t>（7）在建工程外脚手架必须采用符合标准要求的密目网进行全面封闭，并保持严密整洁；楼层内清理施工垃圾，应采取先洒水降尘后清扫的作业方法。并使用封闭式管道或装袋（或容器）使用垂直升降机械清运，严禁高处随意</w:t>
      </w:r>
      <w:r>
        <w:rPr>
          <w:rFonts w:hint="eastAsia"/>
          <w:color w:val="000000"/>
          <w:lang w:eastAsia="zh-CN" w:bidi="ar"/>
        </w:rPr>
        <w:t>抛洒</w:t>
      </w:r>
      <w:r>
        <w:rPr>
          <w:rFonts w:hint="eastAsia"/>
          <w:color w:val="000000"/>
          <w:lang w:bidi="ar"/>
        </w:rPr>
        <w:t>。房屋拆除工地必须洒水或喷淋压尘，采取湿法作业。</w:t>
      </w:r>
    </w:p>
    <w:p>
      <w:pPr>
        <w:widowControl/>
        <w:ind w:firstLine="480"/>
        <w:rPr>
          <w:color w:val="000000"/>
          <w:lang w:bidi="ar"/>
        </w:rPr>
      </w:pPr>
      <w:r>
        <w:rPr>
          <w:rFonts w:hint="eastAsia"/>
          <w:color w:val="000000"/>
          <w:lang w:bidi="ar"/>
        </w:rPr>
        <w:t>（8）应按相关规定使用散装水泥。在施工工地主要扬尘产生点安装视频监控装置，实行施工全过程监控。</w:t>
      </w:r>
    </w:p>
    <w:p>
      <w:pPr>
        <w:widowControl/>
        <w:ind w:firstLine="480"/>
        <w:rPr>
          <w:color w:val="000000"/>
          <w:lang w:bidi="ar"/>
        </w:rPr>
      </w:pPr>
      <w:r>
        <w:rPr>
          <w:rFonts w:hint="eastAsia"/>
          <w:color w:val="000000"/>
          <w:lang w:bidi="ar"/>
        </w:rPr>
        <w:t>（11）对施工期大气污染防治管理要做到目标责任制，具体到个人，一旦发现有对周围居民生活造成影响的环境问题，责任人应第一时间进行协调，及时解决问题，保证施工期扬尘等大气污染不会对周围居民生活造成影响。</w:t>
      </w:r>
    </w:p>
    <w:p>
      <w:pPr>
        <w:widowControl/>
        <w:ind w:firstLine="480"/>
        <w:rPr>
          <w:color w:val="000000"/>
          <w:lang w:bidi="ar"/>
        </w:rPr>
      </w:pPr>
      <w:r>
        <w:rPr>
          <w:rFonts w:hint="eastAsia"/>
          <w:color w:val="000000"/>
          <w:lang w:bidi="ar"/>
        </w:rPr>
        <w:t>2、场外材料运输扬尘污染防治措施</w:t>
      </w:r>
    </w:p>
    <w:p>
      <w:pPr>
        <w:widowControl/>
        <w:ind w:firstLine="480"/>
        <w:rPr>
          <w:color w:val="000000"/>
          <w:lang w:bidi="ar"/>
        </w:rPr>
      </w:pPr>
      <w:r>
        <w:rPr>
          <w:rFonts w:hint="eastAsia"/>
          <w:color w:val="000000"/>
          <w:lang w:bidi="ar"/>
        </w:rPr>
        <w:t>（1）建筑施工现场出入口必须设置车辆冲洗池和定型化车辆自动冲洗装置，运输车辆驶出工地前，应对车轮、车身、车槽帮等部位进行清理或清洗以保证车辆清洁上路；施工场所车辆入口和出口30m以内的路面上不应有明显泥印，以及砂石、灰土等易扬尘物料。</w:t>
      </w:r>
    </w:p>
    <w:p>
      <w:pPr>
        <w:widowControl/>
        <w:ind w:firstLine="480"/>
        <w:rPr>
          <w:color w:val="000000"/>
          <w:lang w:bidi="ar"/>
        </w:rPr>
      </w:pPr>
      <w:r>
        <w:rPr>
          <w:rFonts w:hint="eastAsia"/>
          <w:color w:val="000000"/>
          <w:lang w:bidi="ar"/>
        </w:rPr>
        <w:t>（2）运载建筑材料以及建筑垃圾的车辆要加盖篷布减少散落，做到运输密闭化；运输车辆行驶路线应避免穿越城市中心区，尽量避开居民点和环境敏感点。</w:t>
      </w:r>
    </w:p>
    <w:p>
      <w:pPr>
        <w:widowControl/>
        <w:ind w:firstLine="480"/>
        <w:rPr>
          <w:color w:val="000000"/>
          <w:lang w:bidi="ar"/>
        </w:rPr>
      </w:pPr>
      <w:r>
        <w:rPr>
          <w:rFonts w:hint="eastAsia"/>
          <w:color w:val="000000"/>
          <w:lang w:bidi="ar"/>
        </w:rPr>
        <w:t>（3）应选用车况较好的车辆，以避免因车辆本身振动而造成土方或物料散落地面，从而产生扬尘污染。</w:t>
      </w:r>
    </w:p>
    <w:p>
      <w:pPr>
        <w:widowControl/>
        <w:ind w:firstLine="480"/>
        <w:rPr>
          <w:color w:val="000000"/>
          <w:lang w:bidi="ar"/>
        </w:rPr>
      </w:pPr>
      <w:r>
        <w:rPr>
          <w:rFonts w:hint="eastAsia"/>
          <w:color w:val="000000"/>
          <w:lang w:bidi="ar"/>
        </w:rPr>
        <w:t>（4）车辆限速：建议行驶车速不大于5km/h，据资料显示：此时的扬尘量可减少为一般行驶速度（10km/h计）情况下的1/2。</w:t>
      </w:r>
    </w:p>
    <w:p>
      <w:pPr>
        <w:widowControl/>
        <w:ind w:firstLine="480"/>
        <w:rPr>
          <w:color w:val="000000"/>
          <w:lang w:bidi="ar"/>
        </w:rPr>
      </w:pPr>
      <w:r>
        <w:rPr>
          <w:rFonts w:hint="eastAsia"/>
          <w:color w:val="000000"/>
          <w:lang w:bidi="ar"/>
        </w:rPr>
        <w:t>（5）运输时间应选在人流较小的时间段，避开市区交通高峰期。</w:t>
      </w:r>
    </w:p>
    <w:p>
      <w:pPr>
        <w:widowControl/>
        <w:ind w:firstLine="480"/>
        <w:rPr>
          <w:color w:val="000000"/>
          <w:lang w:bidi="ar"/>
        </w:rPr>
      </w:pPr>
      <w:r>
        <w:rPr>
          <w:rFonts w:hint="eastAsia"/>
          <w:color w:val="000000"/>
          <w:lang w:bidi="ar"/>
        </w:rPr>
        <w:t>（6）项目承包者应严格按照渣土管理有关规定，运输车辆不得超载，被运渣土不得含水太多，造成沿途泥浆滴漏，从而影响城市道路整洁，渣土必须及时清运并按照制定的运输路线行驶，运往指定的倾倒地点，以减少由于渣土产生的扬尘对环境空气质量的影响。</w:t>
      </w:r>
    </w:p>
    <w:p>
      <w:pPr>
        <w:widowControl/>
        <w:ind w:firstLine="480"/>
        <w:rPr>
          <w:color w:val="000000"/>
          <w:lang w:bidi="ar"/>
        </w:rPr>
      </w:pPr>
      <w:r>
        <w:rPr>
          <w:rFonts w:hint="eastAsia"/>
          <w:color w:val="000000"/>
          <w:lang w:bidi="ar"/>
        </w:rPr>
        <w:t>项目施工单位需严格落实以上措施，施工过程中做到</w:t>
      </w:r>
      <w:r>
        <w:rPr>
          <w:rFonts w:hint="eastAsia"/>
          <w:color w:val="000000"/>
          <w:lang w:eastAsia="zh-CN" w:bidi="ar"/>
        </w:rPr>
        <w:t>“</w:t>
      </w:r>
      <w:r>
        <w:rPr>
          <w:rFonts w:hint="eastAsia"/>
          <w:color w:val="000000"/>
          <w:lang w:bidi="ar"/>
        </w:rPr>
        <w:t>施工文明化、运输密闭化、进出冲洗化、物料覆盖化、场地</w:t>
      </w:r>
      <w:r>
        <w:rPr>
          <w:rFonts w:hint="eastAsia"/>
          <w:color w:val="000000"/>
          <w:lang w:eastAsia="zh-CN" w:bidi="ar"/>
        </w:rPr>
        <w:t>全部</w:t>
      </w:r>
      <w:r>
        <w:rPr>
          <w:rFonts w:hint="eastAsia"/>
          <w:color w:val="000000"/>
          <w:lang w:bidi="ar"/>
        </w:rPr>
        <w:t>硬化、工地围挡化</w:t>
      </w:r>
      <w:r>
        <w:rPr>
          <w:rFonts w:hint="eastAsia"/>
          <w:color w:val="000000"/>
          <w:lang w:eastAsia="zh-CN" w:bidi="ar"/>
        </w:rPr>
        <w:t>”</w:t>
      </w:r>
      <w:r>
        <w:rPr>
          <w:rFonts w:hint="eastAsia"/>
          <w:color w:val="000000"/>
          <w:lang w:bidi="ar"/>
        </w:rPr>
        <w:t>的要求，建筑施工过程全面达到防扬尘标准，并做好周围居民的安抚工作，一旦出现扰民现象，须立即停止施工，并及时与周围居民进行沟通，尽量将施工扬尘的影响降至最低。</w:t>
      </w:r>
    </w:p>
    <w:p>
      <w:pPr>
        <w:widowControl/>
        <w:ind w:firstLine="482"/>
        <w:rPr>
          <w:b/>
          <w:bCs/>
          <w:color w:val="000000"/>
          <w:lang w:bidi="ar"/>
        </w:rPr>
      </w:pPr>
      <w:r>
        <w:rPr>
          <w:rFonts w:hint="eastAsia"/>
          <w:b/>
          <w:bCs/>
          <w:color w:val="000000"/>
          <w:lang w:bidi="ar"/>
        </w:rPr>
        <w:t>7.1.1.2 机械及运输车辆燃油废气污染防治措施分析</w:t>
      </w:r>
    </w:p>
    <w:p>
      <w:pPr>
        <w:widowControl/>
        <w:ind w:firstLine="480"/>
        <w:rPr>
          <w:color w:val="000000"/>
          <w:lang w:bidi="ar"/>
        </w:rPr>
      </w:pPr>
      <w:r>
        <w:rPr>
          <w:rFonts w:hint="eastAsia"/>
          <w:color w:val="000000"/>
          <w:lang w:bidi="ar"/>
        </w:rPr>
        <w:t>施工阶段运输车辆会产生一定量的燃油尾气，废气污染物为CO、NOx、THC等，由于车辆为非连续行驶状态，污染物排放时间及排放量相对较少，汽车尾气通过当地风力扩散后对周围环境影响不大。</w:t>
      </w:r>
    </w:p>
    <w:p>
      <w:pPr>
        <w:widowControl/>
        <w:ind w:firstLine="480"/>
        <w:rPr>
          <w:color w:val="000000"/>
          <w:lang w:bidi="ar"/>
        </w:rPr>
      </w:pPr>
      <w:r>
        <w:rPr>
          <w:rFonts w:hint="eastAsia"/>
          <w:color w:val="000000"/>
          <w:lang w:bidi="ar"/>
        </w:rPr>
        <w:t>建设方施工场地内的运输车辆应禁止超载，不得使用劣质燃料；对车辆的尾气排放应进行监督管理。严格执行汽车监管办法的相关规定，避免排放黑烟，同时要注意车辆的维修与维护，使其保证在良好的状态下工作，以减小汽车尾气的排放量。</w:t>
      </w:r>
    </w:p>
    <w:p>
      <w:pPr>
        <w:widowControl/>
        <w:ind w:firstLine="482"/>
        <w:rPr>
          <w:b/>
          <w:bCs/>
          <w:color w:val="000000"/>
          <w:lang w:bidi="ar"/>
        </w:rPr>
      </w:pPr>
      <w:r>
        <w:rPr>
          <w:rFonts w:hint="eastAsia"/>
          <w:b/>
          <w:bCs/>
          <w:color w:val="000000"/>
          <w:lang w:bidi="ar"/>
        </w:rPr>
        <w:t>7.1.1.3 食堂废气污染防治措施分析</w:t>
      </w:r>
    </w:p>
    <w:p>
      <w:pPr>
        <w:widowControl/>
        <w:ind w:firstLine="480"/>
        <w:rPr>
          <w:color w:val="000000"/>
          <w:lang w:bidi="ar"/>
        </w:rPr>
      </w:pPr>
      <w:r>
        <w:rPr>
          <w:rFonts w:hint="eastAsia"/>
          <w:color w:val="000000"/>
          <w:lang w:bidi="ar"/>
        </w:rPr>
        <w:t>施工期因在驻地内设简易食堂供建筑工人就餐，因此会有少量饮食油烟及燃料废气产生。食堂燃料使用石油液化气，为清洁能源，污染物产生量较少。在简易食堂内安装抽油烟机，燃料废气与油烟废气一起经抽油烟机引至室外房顶排放，对周围环境空气质量影响很小。</w:t>
      </w:r>
    </w:p>
    <w:p>
      <w:pPr>
        <w:widowControl/>
        <w:ind w:firstLine="480"/>
        <w:rPr>
          <w:color w:val="000000"/>
          <w:lang w:bidi="ar"/>
        </w:rPr>
      </w:pPr>
      <w:r>
        <w:rPr>
          <w:rFonts w:hint="eastAsia"/>
          <w:color w:val="000000"/>
          <w:lang w:bidi="ar"/>
        </w:rPr>
        <w:t>综上所述，本评价认为上述施工期大气污染防治措施有效可行，采取上述防治措施后，可以有效地减小施工期废气的污染影响。</w:t>
      </w:r>
    </w:p>
    <w:p>
      <w:pPr>
        <w:pStyle w:val="7"/>
        <w:ind w:firstLine="562"/>
      </w:pPr>
      <w:bookmarkStart w:id="198" w:name="_Toc28325"/>
      <w:r>
        <w:rPr>
          <w:rFonts w:hint="eastAsia"/>
        </w:rPr>
        <w:t>7.1.2 水污染防治措施</w:t>
      </w:r>
      <w:bookmarkEnd w:id="198"/>
    </w:p>
    <w:p>
      <w:pPr>
        <w:widowControl/>
        <w:ind w:firstLine="480"/>
        <w:rPr>
          <w:color w:val="000000"/>
          <w:lang w:bidi="ar"/>
        </w:rPr>
      </w:pPr>
      <w:r>
        <w:rPr>
          <w:rFonts w:hint="eastAsia"/>
          <w:color w:val="000000"/>
          <w:lang w:bidi="ar"/>
        </w:rPr>
        <w:t>施工期废水主要为施工生产废水和施工人员的生活污水，施工单位应采取合理的减缓措施，使施工活动对水环境的影响减少到最小限度。</w:t>
      </w:r>
    </w:p>
    <w:p>
      <w:pPr>
        <w:widowControl/>
        <w:ind w:firstLine="482"/>
        <w:rPr>
          <w:b/>
          <w:bCs/>
          <w:color w:val="000000"/>
          <w:lang w:bidi="ar"/>
        </w:rPr>
      </w:pPr>
      <w:r>
        <w:rPr>
          <w:rFonts w:hint="eastAsia"/>
          <w:b/>
          <w:bCs/>
          <w:color w:val="000000"/>
          <w:lang w:bidi="ar"/>
        </w:rPr>
        <w:t>7.1.2.1 生活污水污染防治措施分析</w:t>
      </w:r>
    </w:p>
    <w:p>
      <w:pPr>
        <w:widowControl/>
        <w:ind w:firstLine="480"/>
        <w:rPr>
          <w:color w:val="000000"/>
          <w:lang w:bidi="ar"/>
        </w:rPr>
      </w:pPr>
      <w:r>
        <w:rPr>
          <w:rFonts w:hint="eastAsia"/>
          <w:color w:val="000000"/>
          <w:lang w:bidi="ar"/>
        </w:rPr>
        <w:t>施工人员生活污水经化粪池处理后定期清掏肥田。</w:t>
      </w:r>
    </w:p>
    <w:p>
      <w:pPr>
        <w:widowControl/>
        <w:ind w:firstLine="482"/>
        <w:rPr>
          <w:b/>
          <w:bCs/>
          <w:color w:val="000000"/>
          <w:lang w:bidi="ar"/>
        </w:rPr>
      </w:pPr>
      <w:r>
        <w:rPr>
          <w:rFonts w:hint="eastAsia"/>
          <w:b/>
          <w:bCs/>
          <w:color w:val="000000"/>
          <w:lang w:bidi="ar"/>
        </w:rPr>
        <w:t>7.1.2.2 施工废水污染防治措施分析</w:t>
      </w:r>
    </w:p>
    <w:p>
      <w:pPr>
        <w:widowControl/>
        <w:ind w:firstLine="480"/>
        <w:rPr>
          <w:color w:val="000000"/>
          <w:lang w:bidi="ar"/>
        </w:rPr>
      </w:pPr>
      <w:r>
        <w:rPr>
          <w:rFonts w:hint="eastAsia"/>
          <w:color w:val="000000"/>
          <w:lang w:bidi="ar"/>
        </w:rPr>
        <w:t>施工期生产废水主要是施工过程中混凝土养护、墙面冲洗等过程产生的冲洗水，施工单位应做好以下防治措施：</w:t>
      </w:r>
    </w:p>
    <w:p>
      <w:pPr>
        <w:widowControl/>
        <w:ind w:firstLine="480"/>
        <w:rPr>
          <w:color w:val="000000"/>
          <w:lang w:bidi="ar"/>
        </w:rPr>
      </w:pPr>
      <w:r>
        <w:rPr>
          <w:rFonts w:hint="eastAsia"/>
          <w:color w:val="000000"/>
          <w:lang w:bidi="ar"/>
        </w:rPr>
        <w:t>1、严禁施工废水乱排、乱流，不得随意排放，对周围其他地表水质造成影响。</w:t>
      </w:r>
    </w:p>
    <w:p>
      <w:pPr>
        <w:widowControl/>
        <w:ind w:firstLine="480"/>
        <w:rPr>
          <w:color w:val="000000"/>
          <w:lang w:bidi="ar"/>
        </w:rPr>
      </w:pPr>
      <w:r>
        <w:rPr>
          <w:rFonts w:hint="eastAsia"/>
          <w:color w:val="000000"/>
          <w:lang w:bidi="ar"/>
        </w:rPr>
        <w:t>2、施工场地应及时清理，施工废水由于SS含量较高，不能直接排放，经临时沉淀池处理后回用于施工现场。</w:t>
      </w:r>
    </w:p>
    <w:p>
      <w:pPr>
        <w:widowControl/>
        <w:ind w:firstLine="480"/>
        <w:rPr>
          <w:color w:val="000000"/>
          <w:lang w:bidi="ar"/>
        </w:rPr>
      </w:pPr>
      <w:r>
        <w:rPr>
          <w:rFonts w:hint="eastAsia"/>
          <w:color w:val="000000"/>
          <w:lang w:bidi="ar"/>
        </w:rPr>
        <w:t>3、加强管理，节约用水，提高施工人员的环保意识，不得随意排放废水，对周围环境造成影响。</w:t>
      </w:r>
    </w:p>
    <w:p>
      <w:pPr>
        <w:widowControl/>
        <w:ind w:firstLine="480"/>
        <w:rPr>
          <w:color w:val="000000"/>
          <w:lang w:bidi="ar"/>
        </w:rPr>
      </w:pPr>
      <w:r>
        <w:rPr>
          <w:rFonts w:hint="eastAsia"/>
          <w:color w:val="000000"/>
          <w:lang w:bidi="ar"/>
        </w:rPr>
        <w:t>4、加强对机械设备的检修，以防止设备漏油现象的发生；施工机械设备的维修应在专业厂家进行，防止施工现场地表油类污染，以减小初期雨水的油类污染物负荷。</w:t>
      </w:r>
    </w:p>
    <w:p>
      <w:pPr>
        <w:widowControl/>
        <w:ind w:firstLine="480"/>
        <w:rPr>
          <w:color w:val="000000"/>
          <w:lang w:bidi="ar"/>
        </w:rPr>
      </w:pPr>
      <w:r>
        <w:rPr>
          <w:rFonts w:hint="eastAsia"/>
          <w:color w:val="000000"/>
          <w:lang w:bidi="ar"/>
        </w:rPr>
        <w:t>5、施工场地内设沉淀池，施工废水经沉淀后可用于场地内洒水抑尘，不外排；沉淀池淤泥定期清理，运往渣场堆放。</w:t>
      </w:r>
    </w:p>
    <w:p>
      <w:pPr>
        <w:widowControl/>
        <w:ind w:firstLine="480"/>
        <w:rPr>
          <w:color w:val="000000"/>
          <w:lang w:bidi="ar"/>
        </w:rPr>
      </w:pPr>
      <w:r>
        <w:rPr>
          <w:rFonts w:hint="eastAsia"/>
          <w:color w:val="000000"/>
          <w:lang w:bidi="ar"/>
        </w:rPr>
        <w:t>6、施工场地内要设置一定的集水沟渠，收集施工现场的混凝土养护水、渗漏水等施工废水，经沉淀后回用于施工现场。</w:t>
      </w:r>
    </w:p>
    <w:p>
      <w:pPr>
        <w:widowControl/>
        <w:ind w:firstLine="482"/>
        <w:rPr>
          <w:b/>
          <w:bCs/>
          <w:color w:val="000000"/>
          <w:lang w:bidi="ar"/>
        </w:rPr>
      </w:pPr>
      <w:r>
        <w:rPr>
          <w:rFonts w:hint="eastAsia"/>
          <w:b/>
          <w:bCs/>
          <w:color w:val="000000"/>
          <w:lang w:bidi="ar"/>
        </w:rPr>
        <w:t>7.1.2.3 雨水污染防治措施分析</w:t>
      </w:r>
    </w:p>
    <w:p>
      <w:pPr>
        <w:widowControl/>
        <w:ind w:firstLine="480"/>
        <w:rPr>
          <w:color w:val="000000"/>
          <w:lang w:bidi="ar"/>
        </w:rPr>
      </w:pPr>
      <w:r>
        <w:rPr>
          <w:rFonts w:hint="eastAsia"/>
          <w:color w:val="000000"/>
          <w:lang w:bidi="ar"/>
        </w:rPr>
        <w:t>建设单位应在施工场地四周设置导流渠，场区设置简易沉淀池，雨水经沉淀池处理后排入雨水管网，防止因雨水对施工进度及施工质量造成影响。</w:t>
      </w:r>
    </w:p>
    <w:p>
      <w:pPr>
        <w:widowControl/>
        <w:ind w:firstLine="480"/>
        <w:rPr>
          <w:color w:val="000000"/>
          <w:lang w:bidi="ar"/>
        </w:rPr>
      </w:pPr>
      <w:r>
        <w:rPr>
          <w:rFonts w:hint="eastAsia"/>
          <w:color w:val="000000"/>
          <w:lang w:bidi="ar"/>
        </w:rPr>
        <w:t>综上所述，本评价认为上述施工期废水污染防治措施有效可行，采取上述防治措施后，可以有效地减小施工期废水的污染影响。</w:t>
      </w:r>
    </w:p>
    <w:p>
      <w:pPr>
        <w:pStyle w:val="7"/>
        <w:ind w:firstLine="562"/>
      </w:pPr>
      <w:bookmarkStart w:id="199" w:name="_Toc20785"/>
      <w:r>
        <w:rPr>
          <w:rFonts w:hint="eastAsia"/>
        </w:rPr>
        <w:t>7.1.3 噪声污染防治措施</w:t>
      </w:r>
      <w:bookmarkEnd w:id="199"/>
    </w:p>
    <w:p>
      <w:pPr>
        <w:widowControl/>
        <w:ind w:firstLine="480"/>
        <w:rPr>
          <w:color w:val="000000"/>
          <w:lang w:bidi="ar"/>
        </w:rPr>
      </w:pPr>
      <w:r>
        <w:rPr>
          <w:rFonts w:hint="eastAsia"/>
          <w:color w:val="000000"/>
          <w:lang w:bidi="ar"/>
        </w:rPr>
        <w:t>在施工过程中，施工单位应尽量采用低噪声的施工机械，减少同时作业的高噪施工机械数量，尽可能减轻声源叠加影响；同时应严格执行《建筑施工场界环境噪声排放标准》（GB12523-2011）的规定，避免和减少施工扰民事件的发生。</w:t>
      </w:r>
    </w:p>
    <w:p>
      <w:pPr>
        <w:widowControl/>
        <w:ind w:firstLine="480"/>
        <w:rPr>
          <w:color w:val="000000"/>
          <w:lang w:bidi="ar"/>
        </w:rPr>
      </w:pPr>
      <w:r>
        <w:rPr>
          <w:rFonts w:hint="eastAsia"/>
          <w:color w:val="000000"/>
          <w:lang w:bidi="ar"/>
        </w:rPr>
        <w:t>本项目位于</w:t>
      </w:r>
      <w:r>
        <w:rPr>
          <w:rFonts w:hint="eastAsia"/>
          <w:lang w:eastAsia="zh-CN"/>
        </w:rPr>
        <w:t>平顶山市尼龙新材料产业集聚区</w:t>
      </w:r>
      <w:r>
        <w:rPr>
          <w:rFonts w:hint="eastAsia"/>
          <w:color w:val="000000"/>
          <w:lang w:bidi="ar"/>
        </w:rPr>
        <w:t>，周边环境存在村庄。针对本项目施工期噪声影响及周边的环境特性，拟采取的污染防治措施如下：</w:t>
      </w:r>
    </w:p>
    <w:p>
      <w:pPr>
        <w:widowControl/>
        <w:ind w:firstLine="480"/>
        <w:rPr>
          <w:color w:val="000000"/>
          <w:lang w:bidi="ar"/>
        </w:rPr>
      </w:pPr>
      <w:r>
        <w:rPr>
          <w:rFonts w:hint="eastAsia"/>
          <w:color w:val="000000"/>
          <w:lang w:bidi="ar"/>
        </w:rPr>
        <w:t>1、设备噪声污染防治措施</w:t>
      </w:r>
    </w:p>
    <w:p>
      <w:pPr>
        <w:widowControl/>
        <w:ind w:firstLine="480"/>
        <w:rPr>
          <w:color w:val="000000"/>
          <w:lang w:bidi="ar"/>
        </w:rPr>
      </w:pPr>
      <w:r>
        <w:rPr>
          <w:rFonts w:hint="eastAsia"/>
          <w:color w:val="000000"/>
          <w:lang w:bidi="ar"/>
        </w:rPr>
        <w:t>①首先从噪声源强进行控制：建设单位在与施工单位签订合同时，应要求其使用的主要机械设备为低噪声设备作为合同内容的一部分。尽量选用低噪声液压施工机械</w:t>
      </w:r>
      <w:r>
        <w:rPr>
          <w:rFonts w:hint="eastAsia"/>
          <w:color w:val="000000"/>
          <w:lang w:eastAsia="zh-CN" w:bidi="ar"/>
        </w:rPr>
        <w:t>代替</w:t>
      </w:r>
      <w:r>
        <w:rPr>
          <w:rFonts w:hint="eastAsia"/>
          <w:color w:val="000000"/>
          <w:lang w:bidi="ar"/>
        </w:rPr>
        <w:t>气压机械，如采用液压挖掘机；不使用汽锤打桩机，采用长螺旋钻机；使用商品混凝土，不使用混凝土搅拌机。</w:t>
      </w:r>
    </w:p>
    <w:p>
      <w:pPr>
        <w:widowControl/>
        <w:ind w:firstLine="480"/>
        <w:rPr>
          <w:color w:val="000000"/>
          <w:lang w:bidi="ar"/>
        </w:rPr>
      </w:pPr>
      <w:r>
        <w:rPr>
          <w:rFonts w:hint="eastAsia"/>
          <w:color w:val="000000"/>
          <w:lang w:bidi="ar"/>
        </w:rPr>
        <w:t>②降低设备声级，采用较先进、噪声较低的施工设备；流动机械设备与挖土、运土设备如挖土机、推土机等，可通过排气管</w:t>
      </w:r>
      <w:r>
        <w:rPr>
          <w:rFonts w:hint="eastAsia"/>
          <w:color w:val="000000"/>
          <w:lang w:eastAsia="zh-CN" w:bidi="ar"/>
        </w:rPr>
        <w:t>消声器</w:t>
      </w:r>
      <w:r>
        <w:rPr>
          <w:rFonts w:hint="eastAsia"/>
          <w:color w:val="000000"/>
          <w:lang w:bidi="ar"/>
        </w:rPr>
        <w:t>和隔离发动机振动部件的方法降低噪声；可通过在打桩机、搅拌机，锯木机等高噪声施工机械附近设置吸声屏，能降低噪声15dB（A）。</w:t>
      </w:r>
    </w:p>
    <w:p>
      <w:pPr>
        <w:widowControl/>
        <w:ind w:firstLine="480"/>
        <w:rPr>
          <w:color w:val="000000"/>
          <w:lang w:bidi="ar"/>
        </w:rPr>
      </w:pPr>
      <w:r>
        <w:rPr>
          <w:rFonts w:hint="eastAsia"/>
          <w:color w:val="000000"/>
          <w:lang w:bidi="ar"/>
        </w:rPr>
        <w:t>③在施工过程中施工单位应设专人对设备进行定期保养和维护，并负责对现场工作人员进行培训，严格按操作规范使用各类机械对动力机械设备定期进行维修和养护，避免因松动部件振动或消声器损坏而加大设备工作时的声级。</w:t>
      </w:r>
    </w:p>
    <w:p>
      <w:pPr>
        <w:widowControl/>
        <w:ind w:firstLine="480"/>
        <w:rPr>
          <w:color w:val="000000"/>
          <w:lang w:bidi="ar"/>
        </w:rPr>
      </w:pPr>
      <w:r>
        <w:rPr>
          <w:rFonts w:hint="eastAsia"/>
          <w:color w:val="000000"/>
          <w:lang w:bidi="ar"/>
        </w:rPr>
        <w:t>④隔声降噪：用隔声性能好的隔声构件将形体较小施工机械噪声源与周围环境隔离，使施工噪声控制在隔声构件内，以减小环境噪声污染范围与污染程度。如在钢板外表用阻尼层、内表用吸声层处理，隔声量会提高10dB（A）。</w:t>
      </w:r>
    </w:p>
    <w:p>
      <w:pPr>
        <w:widowControl/>
        <w:ind w:firstLine="480"/>
        <w:rPr>
          <w:color w:val="000000"/>
          <w:lang w:bidi="ar"/>
        </w:rPr>
      </w:pPr>
      <w:r>
        <w:rPr>
          <w:rFonts w:hint="eastAsia"/>
          <w:color w:val="000000"/>
          <w:lang w:bidi="ar"/>
        </w:rPr>
        <w:t>⑤在临近</w:t>
      </w:r>
      <w:r>
        <w:rPr>
          <w:rFonts w:hint="eastAsia"/>
          <w:color w:val="000000"/>
          <w:lang w:eastAsia="zh-CN" w:bidi="ar"/>
        </w:rPr>
        <w:t>泥河张</w:t>
      </w:r>
      <w:r>
        <w:rPr>
          <w:rFonts w:hint="eastAsia"/>
          <w:color w:val="000000"/>
          <w:lang w:bidi="ar"/>
        </w:rPr>
        <w:t>村的一侧采取围挡，在建筑物外施工时设置移动式声屏障，长度不小于15m，宽度不低于3m，以减轻施工噪声对外环境及环境敏感点的影响。</w:t>
      </w:r>
    </w:p>
    <w:p>
      <w:pPr>
        <w:widowControl/>
        <w:ind w:firstLine="480"/>
        <w:rPr>
          <w:color w:val="000000"/>
          <w:lang w:bidi="ar"/>
        </w:rPr>
      </w:pPr>
      <w:r>
        <w:rPr>
          <w:rFonts w:hint="eastAsia"/>
          <w:color w:val="000000"/>
          <w:lang w:bidi="ar"/>
        </w:rPr>
        <w:t>⑥采用距离防护措施，在不影响施工情况下将强噪声设备尽量置于西北侧，远离环境敏感点；同时对相对固定的机械设备尽量入棚操作，以减缓对环境的影响。</w:t>
      </w:r>
    </w:p>
    <w:p>
      <w:pPr>
        <w:widowControl/>
        <w:ind w:firstLine="480"/>
        <w:rPr>
          <w:color w:val="000000"/>
          <w:lang w:bidi="ar"/>
        </w:rPr>
      </w:pPr>
      <w:r>
        <w:rPr>
          <w:rFonts w:hint="eastAsia"/>
          <w:color w:val="000000"/>
          <w:lang w:bidi="ar"/>
        </w:rPr>
        <w:t>⑦闲置不用的设备应立即关闭，运输车辆进入现场应减速慢行，并禁止各种车辆在施工场地鸣笛。</w:t>
      </w:r>
    </w:p>
    <w:p>
      <w:pPr>
        <w:widowControl/>
        <w:ind w:firstLine="480"/>
        <w:rPr>
          <w:color w:val="000000"/>
          <w:lang w:bidi="ar"/>
        </w:rPr>
      </w:pPr>
      <w:r>
        <w:rPr>
          <w:rFonts w:hint="eastAsia"/>
          <w:color w:val="000000"/>
          <w:lang w:bidi="ar"/>
        </w:rPr>
        <w:t>2、合理安排施工时间</w:t>
      </w:r>
    </w:p>
    <w:p>
      <w:pPr>
        <w:widowControl/>
        <w:ind w:firstLine="480"/>
        <w:rPr>
          <w:color w:val="000000"/>
          <w:lang w:bidi="ar"/>
        </w:rPr>
      </w:pPr>
      <w:r>
        <w:rPr>
          <w:rFonts w:hint="eastAsia"/>
          <w:color w:val="000000"/>
          <w:lang w:bidi="ar"/>
        </w:rPr>
        <w:t>①合理安排施工时间，将噪声级大的工作尽量安排在白天，禁止夜间施工，禁止在午间12：00～14：00，若必须夜间施工，须先向环保部门申报并征得许可，同时事先取得周围居民的同意，以取得谅解。</w:t>
      </w:r>
    </w:p>
    <w:p>
      <w:pPr>
        <w:widowControl/>
        <w:ind w:firstLine="480"/>
        <w:rPr>
          <w:color w:val="000000"/>
          <w:lang w:bidi="ar"/>
        </w:rPr>
      </w:pPr>
      <w:r>
        <w:rPr>
          <w:rFonts w:hint="eastAsia"/>
          <w:color w:val="000000"/>
          <w:lang w:bidi="ar"/>
        </w:rPr>
        <w:t>②禁止在高考、中考等考试期间施工。</w:t>
      </w:r>
    </w:p>
    <w:p>
      <w:pPr>
        <w:widowControl/>
        <w:ind w:firstLine="480"/>
        <w:rPr>
          <w:color w:val="000000"/>
          <w:lang w:bidi="ar"/>
        </w:rPr>
      </w:pPr>
      <w:r>
        <w:rPr>
          <w:rFonts w:hint="eastAsia"/>
          <w:color w:val="000000"/>
          <w:lang w:bidi="ar"/>
        </w:rPr>
        <w:t>3、合理布局施工场地</w:t>
      </w:r>
    </w:p>
    <w:p>
      <w:pPr>
        <w:widowControl/>
        <w:ind w:firstLine="480"/>
        <w:rPr>
          <w:color w:val="000000"/>
          <w:lang w:bidi="ar"/>
        </w:rPr>
      </w:pPr>
      <w:r>
        <w:rPr>
          <w:rFonts w:hint="eastAsia"/>
          <w:color w:val="000000"/>
          <w:lang w:bidi="ar"/>
        </w:rPr>
        <w:t>合理布置施工现场，应尽量避免在施工现场的同一地点安排大量的高噪声设备，造成局部声级过高。将有固定工作地点的施工机械尽量设置在距居民区较远的位置，并采取适当的封闭和隔声措施。</w:t>
      </w:r>
    </w:p>
    <w:p>
      <w:pPr>
        <w:widowControl/>
        <w:ind w:firstLine="480"/>
        <w:rPr>
          <w:color w:val="000000"/>
          <w:lang w:bidi="ar"/>
        </w:rPr>
      </w:pPr>
      <w:r>
        <w:rPr>
          <w:rFonts w:hint="eastAsia"/>
          <w:color w:val="000000"/>
          <w:lang w:bidi="ar"/>
        </w:rPr>
        <w:t>4、降低人为噪声</w:t>
      </w:r>
    </w:p>
    <w:p>
      <w:pPr>
        <w:widowControl/>
        <w:ind w:firstLine="480"/>
        <w:rPr>
          <w:color w:val="000000"/>
          <w:lang w:bidi="ar"/>
        </w:rPr>
      </w:pPr>
      <w:r>
        <w:rPr>
          <w:rFonts w:hint="eastAsia"/>
          <w:color w:val="000000"/>
          <w:lang w:bidi="ar"/>
        </w:rPr>
        <w:t>减少模板、支架拆卸过程中产生的噪声，应遵守作业规定，减少建材装卸时偶发和频发噪音；禁止用哨子、高音喇叭等指挥作业，减少人为噪声。</w:t>
      </w:r>
    </w:p>
    <w:p>
      <w:pPr>
        <w:widowControl/>
        <w:ind w:firstLine="480"/>
        <w:rPr>
          <w:color w:val="000000"/>
          <w:lang w:bidi="ar"/>
        </w:rPr>
      </w:pPr>
      <w:r>
        <w:rPr>
          <w:rFonts w:hint="eastAsia"/>
          <w:color w:val="000000"/>
          <w:lang w:bidi="ar"/>
        </w:rPr>
        <w:t>5、建立声屏障</w:t>
      </w:r>
    </w:p>
    <w:p>
      <w:pPr>
        <w:widowControl/>
        <w:ind w:firstLine="480"/>
        <w:rPr>
          <w:color w:val="000000"/>
          <w:lang w:bidi="ar"/>
        </w:rPr>
      </w:pPr>
      <w:r>
        <w:rPr>
          <w:rFonts w:hint="eastAsia"/>
          <w:color w:val="000000"/>
          <w:lang w:bidi="ar"/>
        </w:rPr>
        <w:t>对位置相对固定的设备，能于室内操作的尽量进入操作间，不能入操作间的，可适当建立声障；施工场地四周建2.5m高的围栏。</w:t>
      </w:r>
    </w:p>
    <w:p>
      <w:pPr>
        <w:widowControl/>
        <w:ind w:firstLine="480"/>
        <w:rPr>
          <w:color w:val="000000"/>
          <w:lang w:bidi="ar"/>
        </w:rPr>
      </w:pPr>
      <w:r>
        <w:rPr>
          <w:rFonts w:hint="eastAsia"/>
          <w:color w:val="000000"/>
          <w:lang w:bidi="ar"/>
        </w:rPr>
        <w:t>6、减少交通噪声</w:t>
      </w:r>
    </w:p>
    <w:p>
      <w:pPr>
        <w:widowControl/>
        <w:ind w:firstLine="480"/>
        <w:rPr>
          <w:color w:val="000000"/>
          <w:lang w:bidi="ar"/>
        </w:rPr>
      </w:pPr>
      <w:r>
        <w:rPr>
          <w:rFonts w:hint="eastAsia"/>
          <w:color w:val="000000"/>
          <w:lang w:bidi="ar"/>
        </w:rPr>
        <w:t>进出车辆和经过敏感点的车辆应限速、禁鸣，禁止超载。</w:t>
      </w:r>
    </w:p>
    <w:p>
      <w:pPr>
        <w:widowControl/>
        <w:ind w:firstLine="480"/>
        <w:rPr>
          <w:color w:val="000000"/>
          <w:lang w:bidi="ar"/>
        </w:rPr>
      </w:pPr>
      <w:r>
        <w:rPr>
          <w:rFonts w:hint="eastAsia"/>
          <w:color w:val="000000"/>
          <w:lang w:bidi="ar"/>
        </w:rPr>
        <w:t>7、制定施工噪声控制备用应急方案，重视噪声源头的治理工作。当常规噪声控制措施不能满足要求，出现噪声扰民情况，应及时对产生噪声的设备和施工工艺停止施工，并检查噪声防治措施的可靠性。</w:t>
      </w:r>
    </w:p>
    <w:p>
      <w:pPr>
        <w:widowControl/>
        <w:ind w:firstLine="480"/>
        <w:rPr>
          <w:color w:val="000000"/>
          <w:lang w:bidi="ar"/>
        </w:rPr>
      </w:pPr>
      <w:r>
        <w:rPr>
          <w:rFonts w:hint="eastAsia"/>
          <w:color w:val="000000"/>
          <w:lang w:bidi="ar"/>
        </w:rPr>
        <w:t>综上所述，本评价认为上述施工期噪声污染防治措施有效可行，采取上述防治措施后，可以有效地减小施工期噪声的污染影响。</w:t>
      </w:r>
    </w:p>
    <w:p>
      <w:pPr>
        <w:pStyle w:val="7"/>
        <w:ind w:firstLine="562"/>
      </w:pPr>
      <w:bookmarkStart w:id="200" w:name="_Toc29458"/>
      <w:r>
        <w:rPr>
          <w:rFonts w:hint="eastAsia"/>
        </w:rPr>
        <w:t>7.1.4 固体废物污染防治措施</w:t>
      </w:r>
      <w:bookmarkEnd w:id="200"/>
    </w:p>
    <w:p>
      <w:pPr>
        <w:widowControl/>
        <w:ind w:firstLine="480"/>
        <w:rPr>
          <w:color w:val="000000"/>
          <w:lang w:bidi="ar"/>
        </w:rPr>
      </w:pPr>
      <w:r>
        <w:rPr>
          <w:rFonts w:hint="eastAsia"/>
          <w:color w:val="000000"/>
          <w:lang w:bidi="ar"/>
        </w:rPr>
        <w:t>施工期固体废物主要为土石方及生活垃圾等。</w:t>
      </w:r>
    </w:p>
    <w:p>
      <w:pPr>
        <w:widowControl/>
        <w:ind w:firstLine="482"/>
        <w:rPr>
          <w:b/>
          <w:bCs/>
          <w:color w:val="000000"/>
          <w:lang w:bidi="ar"/>
        </w:rPr>
      </w:pPr>
      <w:r>
        <w:rPr>
          <w:rFonts w:hint="eastAsia"/>
          <w:b/>
          <w:bCs/>
          <w:color w:val="000000"/>
          <w:lang w:bidi="ar"/>
        </w:rPr>
        <w:t>7.1.4.1 土石方污染防治措施分析</w:t>
      </w:r>
    </w:p>
    <w:p>
      <w:pPr>
        <w:widowControl/>
        <w:ind w:firstLine="480"/>
        <w:rPr>
          <w:color w:val="000000"/>
          <w:lang w:bidi="ar"/>
        </w:rPr>
      </w:pPr>
      <w:r>
        <w:rPr>
          <w:rFonts w:hint="eastAsia"/>
          <w:color w:val="000000"/>
          <w:lang w:bidi="ar"/>
        </w:rPr>
        <w:t>施工期土方石必须及时清运并按照制定的运输路线行驶，运往指定的倾倒地点。施工期生活垃圾产生量较小，垃圾箱集中收集后，由专人定时清理，进入城市垃圾中转站，最终由环卫部门运送至叶县生活垃圾填埋场处理。</w:t>
      </w:r>
    </w:p>
    <w:p>
      <w:pPr>
        <w:widowControl/>
        <w:ind w:firstLine="480"/>
        <w:rPr>
          <w:color w:val="000000"/>
          <w:lang w:bidi="ar"/>
        </w:rPr>
      </w:pPr>
      <w:r>
        <w:rPr>
          <w:rFonts w:hint="eastAsia"/>
          <w:color w:val="000000"/>
          <w:lang w:bidi="ar"/>
        </w:rPr>
        <w:t>综上所述，评价认为施工期的土石方、生活垃圾均有合适的处置方式，按照要求进行运输处理，对周围环境影响不大。</w:t>
      </w:r>
    </w:p>
    <w:p>
      <w:pPr>
        <w:pStyle w:val="7"/>
        <w:ind w:firstLine="562"/>
      </w:pPr>
      <w:bookmarkStart w:id="201" w:name="_Toc7949"/>
      <w:r>
        <w:rPr>
          <w:rFonts w:hint="eastAsia"/>
        </w:rPr>
        <w:t>7.1.5 生态环境影响污染防治措施</w:t>
      </w:r>
      <w:bookmarkEnd w:id="201"/>
    </w:p>
    <w:p>
      <w:pPr>
        <w:widowControl/>
        <w:ind w:firstLine="480"/>
        <w:rPr>
          <w:color w:val="000000"/>
          <w:lang w:bidi="ar"/>
        </w:rPr>
      </w:pPr>
      <w:r>
        <w:rPr>
          <w:rFonts w:hint="eastAsia"/>
          <w:color w:val="000000"/>
          <w:lang w:bidi="ar"/>
        </w:rPr>
        <w:t>本项目施工过程中应尽量减少植被破坏量，最大程度降低生态影响，同时做好水保工作。可采取以下措施进一步降低生态影响：</w:t>
      </w:r>
    </w:p>
    <w:p>
      <w:pPr>
        <w:widowControl/>
        <w:ind w:firstLine="480"/>
        <w:rPr>
          <w:color w:val="000000"/>
          <w:lang w:bidi="ar"/>
        </w:rPr>
      </w:pPr>
      <w:r>
        <w:rPr>
          <w:rFonts w:hint="eastAsia"/>
          <w:color w:val="000000"/>
          <w:lang w:bidi="ar"/>
        </w:rPr>
        <w:t>1、施工单位应采取降低水土流失的措施</w:t>
      </w:r>
    </w:p>
    <w:p>
      <w:pPr>
        <w:widowControl/>
        <w:ind w:firstLine="480"/>
        <w:rPr>
          <w:color w:val="000000"/>
          <w:lang w:bidi="ar"/>
        </w:rPr>
      </w:pPr>
      <w:r>
        <w:rPr>
          <w:rFonts w:hint="eastAsia"/>
          <w:color w:val="000000"/>
          <w:lang w:bidi="ar"/>
        </w:rPr>
        <w:t>（1）及时做好现场场地平整，即使在雨季，也能控制现场不积水，有积水的地方及时沙土回填。</w:t>
      </w:r>
    </w:p>
    <w:p>
      <w:pPr>
        <w:widowControl/>
        <w:ind w:firstLine="480"/>
        <w:rPr>
          <w:color w:val="000000"/>
          <w:lang w:bidi="ar"/>
        </w:rPr>
      </w:pPr>
      <w:r>
        <w:rPr>
          <w:rFonts w:hint="eastAsia"/>
          <w:color w:val="000000"/>
          <w:lang w:bidi="ar"/>
        </w:rPr>
        <w:t>（2）现场做好排水措施，保证现场的雨水顺利排放。雨季雨水可疏导至施工场地沉淀池内储存，可用于施工场地。</w:t>
      </w:r>
    </w:p>
    <w:p>
      <w:pPr>
        <w:widowControl/>
        <w:ind w:firstLine="480"/>
        <w:rPr>
          <w:color w:val="000000"/>
          <w:lang w:bidi="ar"/>
        </w:rPr>
      </w:pPr>
      <w:r>
        <w:rPr>
          <w:rFonts w:hint="eastAsia"/>
          <w:color w:val="000000"/>
          <w:lang w:bidi="ar"/>
        </w:rPr>
        <w:t>（3）做好路面硬化措施，防止车辆碾压造成土质疏松。天气干燥时，派专人洒水，防止扬尘。</w:t>
      </w:r>
    </w:p>
    <w:p>
      <w:pPr>
        <w:widowControl/>
        <w:ind w:firstLine="480"/>
        <w:rPr>
          <w:color w:val="000000"/>
          <w:lang w:bidi="ar"/>
        </w:rPr>
      </w:pPr>
      <w:r>
        <w:rPr>
          <w:rFonts w:hint="eastAsia"/>
          <w:color w:val="000000"/>
          <w:lang w:bidi="ar"/>
        </w:rPr>
        <w:t>（4）对基坑标高不一的地方，堆放沙袋，做好水土保持工作。</w:t>
      </w:r>
    </w:p>
    <w:p>
      <w:pPr>
        <w:widowControl/>
        <w:ind w:firstLine="480"/>
        <w:rPr>
          <w:color w:val="000000"/>
          <w:lang w:bidi="ar"/>
        </w:rPr>
      </w:pPr>
      <w:r>
        <w:rPr>
          <w:rFonts w:hint="eastAsia"/>
          <w:color w:val="000000"/>
          <w:lang w:bidi="ar"/>
        </w:rPr>
        <w:t>（5）基坑开挖施工时，挖出的土方及时运往土方堆积场，不在现场堆放，施工现场车辆行驶的过程中也应当进行酒水压尘。每天收车后，派专人清扫马路，并适量洒水压尘，达到环卫要求。</w:t>
      </w:r>
    </w:p>
    <w:p>
      <w:pPr>
        <w:widowControl/>
        <w:ind w:firstLine="480"/>
        <w:rPr>
          <w:color w:val="000000"/>
          <w:lang w:bidi="ar"/>
        </w:rPr>
      </w:pPr>
      <w:r>
        <w:rPr>
          <w:rFonts w:hint="eastAsia"/>
          <w:color w:val="000000"/>
          <w:lang w:bidi="ar"/>
        </w:rPr>
        <w:t>（6）钢筋加工棚、木工棚、露天仓库或封闭仓库地面做好地面硬化措施，并做到每天清扫，经常洒水降尘。</w:t>
      </w:r>
    </w:p>
    <w:p>
      <w:pPr>
        <w:widowControl/>
        <w:ind w:firstLine="480"/>
        <w:rPr>
          <w:color w:val="000000"/>
          <w:lang w:bidi="ar"/>
        </w:rPr>
      </w:pPr>
      <w:r>
        <w:rPr>
          <w:rFonts w:hint="eastAsia"/>
          <w:color w:val="000000"/>
          <w:lang w:bidi="ar"/>
        </w:rPr>
        <w:t>（7）施工现场主要施工道路每天设专人用洒水车随时进行洒水压尘。</w:t>
      </w:r>
    </w:p>
    <w:p>
      <w:pPr>
        <w:widowControl/>
        <w:ind w:firstLine="480"/>
        <w:rPr>
          <w:color w:val="000000"/>
          <w:lang w:bidi="ar"/>
        </w:rPr>
      </w:pPr>
      <w:r>
        <w:rPr>
          <w:rFonts w:hint="eastAsia"/>
          <w:color w:val="000000"/>
          <w:lang w:bidi="ar"/>
        </w:rPr>
        <w:t>（8）施工现场进行分区管理，责任到人。</w:t>
      </w:r>
    </w:p>
    <w:p>
      <w:pPr>
        <w:widowControl/>
        <w:ind w:firstLine="480"/>
        <w:rPr>
          <w:color w:val="000000"/>
          <w:lang w:bidi="ar"/>
        </w:rPr>
      </w:pPr>
      <w:r>
        <w:rPr>
          <w:rFonts w:hint="eastAsia"/>
          <w:color w:val="000000"/>
          <w:lang w:bidi="ar"/>
        </w:rPr>
        <w:t>2、施工单位应加强的水土保持措施</w:t>
      </w:r>
    </w:p>
    <w:p>
      <w:pPr>
        <w:widowControl/>
        <w:ind w:firstLine="480"/>
        <w:rPr>
          <w:color w:val="000000"/>
          <w:lang w:bidi="ar"/>
        </w:rPr>
      </w:pPr>
      <w:r>
        <w:rPr>
          <w:rFonts w:hint="eastAsia"/>
          <w:color w:val="000000"/>
          <w:lang w:bidi="ar"/>
        </w:rPr>
        <w:t>（1）在签订施工承包合同时，明确有关环境保护的条款，并在施工监理过程中予以全过程监督。施工期的环境管理措施由施工部门组织实施。</w:t>
      </w:r>
    </w:p>
    <w:p>
      <w:pPr>
        <w:widowControl/>
        <w:ind w:firstLine="480"/>
        <w:rPr>
          <w:color w:val="000000"/>
          <w:lang w:bidi="ar"/>
        </w:rPr>
      </w:pPr>
      <w:r>
        <w:rPr>
          <w:rFonts w:hint="eastAsia"/>
          <w:color w:val="000000"/>
          <w:lang w:bidi="ar"/>
        </w:rPr>
        <w:t>（2）对施工中产生的废弃渣，包括剥离覆盖层产生的废弃渣专门堆放，并设拦挡工程，不得随意倾倒；修建拦渣坝、挡渣墙等临时工程，防止水土流失影响周边地区；在场区四周修建排水沟，防止雨季的冲刷造成严重的水土流失现象。</w:t>
      </w:r>
    </w:p>
    <w:p>
      <w:pPr>
        <w:widowControl/>
        <w:ind w:firstLine="480"/>
        <w:rPr>
          <w:color w:val="000000"/>
          <w:lang w:bidi="ar"/>
        </w:rPr>
      </w:pPr>
      <w:r>
        <w:rPr>
          <w:rFonts w:hint="eastAsia"/>
          <w:color w:val="000000"/>
          <w:lang w:bidi="ar"/>
        </w:rPr>
        <w:t>（3）优化单项工程的施工时序，避免暴雨天气进行场地、</w:t>
      </w:r>
      <w:r>
        <w:rPr>
          <w:rFonts w:hint="eastAsia"/>
          <w:color w:val="000000"/>
          <w:lang w:eastAsia="zh-CN" w:bidi="ar"/>
        </w:rPr>
        <w:t>道路得平整</w:t>
      </w:r>
      <w:r>
        <w:rPr>
          <w:rFonts w:hint="eastAsia"/>
          <w:color w:val="000000"/>
          <w:lang w:bidi="ar"/>
        </w:rPr>
        <w:t>、地基开挖。</w:t>
      </w:r>
    </w:p>
    <w:p>
      <w:pPr>
        <w:widowControl/>
        <w:ind w:firstLine="480"/>
        <w:rPr>
          <w:color w:val="000000"/>
          <w:lang w:bidi="ar"/>
        </w:rPr>
      </w:pPr>
      <w:r>
        <w:rPr>
          <w:rFonts w:hint="eastAsia"/>
          <w:color w:val="000000"/>
          <w:lang w:bidi="ar"/>
        </w:rPr>
        <w:t>（4）主体工程要选择合适的季节施工。应避开风季大风及夏季暴雨季进行作业，减少水土流失。</w:t>
      </w:r>
    </w:p>
    <w:p>
      <w:pPr>
        <w:widowControl/>
        <w:ind w:firstLine="480"/>
        <w:rPr>
          <w:color w:val="000000"/>
          <w:lang w:bidi="ar"/>
        </w:rPr>
      </w:pPr>
      <w:r>
        <w:rPr>
          <w:rFonts w:hint="eastAsia"/>
          <w:color w:val="000000"/>
          <w:lang w:bidi="ar"/>
        </w:rPr>
        <w:t>（5）施工结束后应拆除施工区临时设施、清理场地、种植植被，以提高土地利用功能。</w:t>
      </w:r>
    </w:p>
    <w:p>
      <w:pPr>
        <w:widowControl/>
        <w:ind w:firstLine="480"/>
        <w:rPr>
          <w:color w:val="000000"/>
          <w:lang w:bidi="ar"/>
        </w:rPr>
      </w:pPr>
      <w:r>
        <w:rPr>
          <w:rFonts w:hint="eastAsia"/>
          <w:color w:val="000000"/>
          <w:lang w:bidi="ar"/>
        </w:rPr>
        <w:t>（6）加强施工管理，对施工人员进行保护生态教育，最大程度降低施工活动对矿区生态的破坏。</w:t>
      </w:r>
    </w:p>
    <w:p>
      <w:pPr>
        <w:widowControl/>
        <w:ind w:firstLine="480"/>
        <w:rPr>
          <w:color w:val="000000"/>
          <w:lang w:bidi="ar"/>
        </w:rPr>
      </w:pPr>
      <w:r>
        <w:rPr>
          <w:rFonts w:hint="eastAsia"/>
          <w:color w:val="000000"/>
          <w:lang w:bidi="ar"/>
        </w:rPr>
        <w:t>采取上述措施后，施工期对生态的影响很小，施工结束后及时恢复植被，恢复项目区域生态植被，降低生态影响。</w:t>
      </w:r>
    </w:p>
    <w:p>
      <w:pPr>
        <w:pStyle w:val="6"/>
        <w:ind w:firstLine="0" w:firstLineChars="0"/>
      </w:pPr>
      <w:bookmarkStart w:id="202" w:name="_Toc28052"/>
      <w:bookmarkStart w:id="203" w:name="_Toc13590"/>
      <w:bookmarkStart w:id="204" w:name="_Toc21173"/>
      <w:bookmarkStart w:id="205" w:name="_Toc1640"/>
      <w:r>
        <w:rPr>
          <w:lang w:val="en-US"/>
        </w:rPr>
        <w:t>7.2 营运期污染防治措施</w:t>
      </w:r>
      <w:bookmarkEnd w:id="202"/>
      <w:bookmarkEnd w:id="203"/>
      <w:bookmarkEnd w:id="204"/>
      <w:bookmarkEnd w:id="205"/>
    </w:p>
    <w:p>
      <w:pPr>
        <w:pStyle w:val="7"/>
        <w:ind w:firstLine="562"/>
      </w:pPr>
      <w:bookmarkStart w:id="206" w:name="_Toc11699"/>
      <w:r>
        <w:t xml:space="preserve">7.2.1 </w:t>
      </w:r>
      <w:r>
        <w:rPr>
          <w:rFonts w:hint="eastAsia"/>
        </w:rPr>
        <w:t>大气环境保护措施</w:t>
      </w:r>
      <w:bookmarkEnd w:id="206"/>
    </w:p>
    <w:p>
      <w:pPr>
        <w:widowControl/>
        <w:ind w:firstLine="480"/>
        <w:rPr>
          <w:color w:val="000000"/>
          <w:lang w:bidi="ar"/>
        </w:rPr>
      </w:pPr>
      <w:r>
        <w:rPr>
          <w:rFonts w:hint="eastAsia"/>
          <w:color w:val="000000"/>
          <w:lang w:bidi="ar"/>
        </w:rPr>
        <w:t>本</w:t>
      </w:r>
      <w:r>
        <w:rPr>
          <w:color w:val="000000"/>
          <w:lang w:bidi="ar"/>
        </w:rPr>
        <w:t>项目营运后废气主要为</w:t>
      </w:r>
      <w:r>
        <w:rPr>
          <w:rFonts w:hint="eastAsia"/>
          <w:color w:val="000000"/>
          <w:lang w:bidi="ar"/>
        </w:rPr>
        <w:t>生产工艺废气；污水处理站产生的氨、硫化氢</w:t>
      </w:r>
      <w:r>
        <w:rPr>
          <w:color w:val="000000"/>
          <w:lang w:bidi="ar"/>
        </w:rPr>
        <w:t>和职工食堂油烟</w:t>
      </w:r>
      <w:r>
        <w:rPr>
          <w:rFonts w:hint="eastAsia"/>
          <w:color w:val="000000"/>
          <w:lang w:bidi="ar"/>
        </w:rPr>
        <w:t>，项目污染防治设施汇总见表7.2-1</w:t>
      </w:r>
      <w:r>
        <w:rPr>
          <w:color w:val="000000"/>
          <w:lang w:bidi="ar"/>
        </w:rPr>
        <w:t>。</w:t>
      </w:r>
    </w:p>
    <w:p>
      <w:pPr>
        <w:pStyle w:val="39"/>
        <w:ind w:firstLine="482"/>
        <w:rPr>
          <w:rFonts w:ascii="Times New Roman" w:hAnsi="Times New Roman" w:cs="Times New Roman"/>
          <w:b/>
          <w:bCs/>
          <w:lang w:val="en-US"/>
        </w:rPr>
      </w:pPr>
      <w:r>
        <w:rPr>
          <w:rFonts w:hint="eastAsia" w:ascii="Times New Roman" w:hAnsi="Times New Roman" w:cs="Times New Roman"/>
          <w:b/>
          <w:bCs/>
          <w:lang w:val="en-US"/>
        </w:rPr>
        <w:t xml:space="preserve">表7.2-1 </w:t>
      </w:r>
      <w:r>
        <w:rPr>
          <w:rFonts w:ascii="Times New Roman" w:hAnsi="Times New Roman" w:cs="Times New Roman"/>
          <w:b/>
          <w:bCs/>
          <w:lang w:val="en-US"/>
        </w:rPr>
        <w:t xml:space="preserve"> </w:t>
      </w:r>
      <w:r>
        <w:rPr>
          <w:rFonts w:hint="eastAsia" w:ascii="Times New Roman" w:hAnsi="Times New Roman" w:cs="Times New Roman"/>
          <w:b/>
          <w:bCs/>
          <w:lang w:val="en-US"/>
        </w:rPr>
        <w:t>本项目污染防治设施汇总表</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12"/>
        <w:gridCol w:w="2173"/>
        <w:gridCol w:w="2072"/>
        <w:gridCol w:w="34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868"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产污环节</w:t>
            </w:r>
          </w:p>
        </w:tc>
        <w:tc>
          <w:tcPr>
            <w:tcW w:w="1170"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污染物名称</w:t>
            </w:r>
          </w:p>
        </w:tc>
        <w:tc>
          <w:tcPr>
            <w:tcW w:w="1116"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配套风机m</w:t>
            </w:r>
            <w:r>
              <w:rPr>
                <w:rFonts w:hint="default"/>
                <w:sz w:val="21"/>
                <w:szCs w:val="21"/>
                <w:vertAlign w:val="superscript"/>
              </w:rPr>
              <w:t>3</w:t>
            </w:r>
            <w:r>
              <w:rPr>
                <w:rFonts w:hint="default"/>
                <w:sz w:val="21"/>
                <w:szCs w:val="21"/>
              </w:rPr>
              <w:t>/h</w:t>
            </w:r>
          </w:p>
        </w:tc>
        <w:tc>
          <w:tcPr>
            <w:tcW w:w="1844"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污染防治设施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868"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17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116"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844"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8"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DA001</w:t>
            </w:r>
          </w:p>
        </w:tc>
        <w:tc>
          <w:tcPr>
            <w:tcW w:w="1170" w:type="pc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颗粒物</w:t>
            </w:r>
          </w:p>
        </w:tc>
        <w:tc>
          <w:tcPr>
            <w:tcW w:w="1116"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10000</w:t>
            </w:r>
          </w:p>
        </w:tc>
        <w:tc>
          <w:tcPr>
            <w:tcW w:w="1844"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袋式除尘器+</w:t>
            </w:r>
            <w:r>
              <w:rPr>
                <w:rFonts w:hint="eastAsia"/>
                <w:sz w:val="21"/>
                <w:szCs w:val="21"/>
                <w:lang w:eastAsia="zh-CN"/>
              </w:rPr>
              <w:t>活性炭吸附箱+RCO废气处理工艺</w:t>
            </w:r>
            <w:r>
              <w:rPr>
                <w:sz w:val="21"/>
                <w:szCs w:val="21"/>
              </w:rPr>
              <w:t>+15m高排气筒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8"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170" w:type="pc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非甲烷总烃</w:t>
            </w:r>
          </w:p>
        </w:tc>
        <w:tc>
          <w:tcPr>
            <w:tcW w:w="1116"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844"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8"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170" w:type="pc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硫化氢</w:t>
            </w:r>
          </w:p>
        </w:tc>
        <w:tc>
          <w:tcPr>
            <w:tcW w:w="1116"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844"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8"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DA002</w:t>
            </w:r>
          </w:p>
        </w:tc>
        <w:tc>
          <w:tcPr>
            <w:tcW w:w="1170"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cs="Times New Roman"/>
                <w:snapToGrid w:val="0"/>
                <w:kern w:val="18"/>
                <w:sz w:val="21"/>
                <w:szCs w:val="21"/>
              </w:rPr>
              <w:t>颗粒物</w:t>
            </w:r>
          </w:p>
        </w:tc>
        <w:tc>
          <w:tcPr>
            <w:tcW w:w="1116"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20000</w:t>
            </w:r>
          </w:p>
        </w:tc>
        <w:tc>
          <w:tcPr>
            <w:tcW w:w="1844"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rFonts w:hint="default"/>
                <w:sz w:val="21"/>
                <w:szCs w:val="21"/>
              </w:rPr>
              <w:t>水喷淋洗涤塔+干式分离器+活性炭吸附箱+RCO废气处理工艺+</w:t>
            </w:r>
            <w:r>
              <w:rPr>
                <w:rFonts w:hint="eastAsia"/>
                <w:sz w:val="21"/>
                <w:szCs w:val="21"/>
                <w:lang w:val="en-US" w:eastAsia="zh-CN"/>
              </w:rPr>
              <w:t>1</w:t>
            </w:r>
            <w:r>
              <w:rPr>
                <w:rFonts w:hint="default"/>
                <w:sz w:val="21"/>
                <w:szCs w:val="21"/>
              </w:rPr>
              <w:t>5m排气筒高空排放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8"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170"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hint="eastAsia" w:cs="Times New Roman"/>
                <w:snapToGrid w:val="0"/>
                <w:kern w:val="18"/>
                <w:sz w:val="21"/>
                <w:szCs w:val="21"/>
              </w:rPr>
              <w:t>非甲烷总烃</w:t>
            </w:r>
          </w:p>
        </w:tc>
        <w:tc>
          <w:tcPr>
            <w:tcW w:w="1116"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844"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8"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eastAsia="宋体"/>
                <w:sz w:val="21"/>
                <w:szCs w:val="21"/>
                <w:lang w:val="en-US" w:eastAsia="zh-CN"/>
              </w:rPr>
            </w:pPr>
            <w:r>
              <w:rPr>
                <w:rFonts w:hint="eastAsia"/>
                <w:sz w:val="21"/>
                <w:szCs w:val="21"/>
                <w:lang w:val="en-US" w:eastAsia="zh-CN"/>
              </w:rPr>
              <w:t>专用烟道</w:t>
            </w:r>
          </w:p>
        </w:tc>
        <w:tc>
          <w:tcPr>
            <w:tcW w:w="1170" w:type="pc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油烟</w:t>
            </w:r>
          </w:p>
        </w:tc>
        <w:tc>
          <w:tcPr>
            <w:tcW w:w="1116"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rFonts w:hint="eastAsia"/>
                <w:sz w:val="21"/>
                <w:szCs w:val="21"/>
                <w:lang w:val="en-US" w:eastAsia="zh-CN"/>
              </w:rPr>
              <w:t>5</w:t>
            </w:r>
            <w:r>
              <w:rPr>
                <w:sz w:val="21"/>
                <w:szCs w:val="21"/>
              </w:rPr>
              <w:t>000</w:t>
            </w:r>
          </w:p>
        </w:tc>
        <w:tc>
          <w:tcPr>
            <w:tcW w:w="1844"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油烟净化器+高空排放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8"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170" w:type="pc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非甲烷总烃</w:t>
            </w:r>
          </w:p>
        </w:tc>
        <w:tc>
          <w:tcPr>
            <w:tcW w:w="1116"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844"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8"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eastAsia" w:eastAsia="宋体"/>
                <w:sz w:val="21"/>
                <w:szCs w:val="21"/>
                <w:lang w:eastAsia="zh-CN"/>
              </w:rPr>
            </w:pPr>
            <w:r>
              <w:rPr>
                <w:sz w:val="21"/>
                <w:szCs w:val="21"/>
              </w:rPr>
              <w:t>DA00</w:t>
            </w:r>
            <w:r>
              <w:rPr>
                <w:rFonts w:hint="eastAsia"/>
                <w:sz w:val="21"/>
                <w:szCs w:val="21"/>
                <w:lang w:val="en-US" w:eastAsia="zh-CN"/>
              </w:rPr>
              <w:t>3</w:t>
            </w:r>
          </w:p>
        </w:tc>
        <w:tc>
          <w:tcPr>
            <w:tcW w:w="1170"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cs="Times New Roman"/>
                <w:snapToGrid w:val="0"/>
                <w:kern w:val="18"/>
                <w:sz w:val="21"/>
                <w:szCs w:val="21"/>
              </w:rPr>
              <w:t>氨</w:t>
            </w:r>
          </w:p>
        </w:tc>
        <w:tc>
          <w:tcPr>
            <w:tcW w:w="1116"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3000</w:t>
            </w:r>
          </w:p>
        </w:tc>
        <w:tc>
          <w:tcPr>
            <w:tcW w:w="1844"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r>
              <w:rPr>
                <w:sz w:val="21"/>
                <w:szCs w:val="21"/>
              </w:rPr>
              <w:t>厂区污水处理站整体密闭+二级吸附装置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68"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170"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textAlignment w:val="auto"/>
              <w:rPr>
                <w:sz w:val="21"/>
                <w:szCs w:val="21"/>
              </w:rPr>
            </w:pPr>
            <w:r>
              <w:rPr>
                <w:rFonts w:cs="Times New Roman"/>
                <w:snapToGrid w:val="0"/>
                <w:kern w:val="18"/>
                <w:sz w:val="21"/>
                <w:szCs w:val="21"/>
              </w:rPr>
              <w:t>硫化氢</w:t>
            </w:r>
          </w:p>
        </w:tc>
        <w:tc>
          <w:tcPr>
            <w:tcW w:w="1116"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c>
          <w:tcPr>
            <w:tcW w:w="1844"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textAlignment w:val="auto"/>
              <w:rPr>
                <w:rFonts w:hint="default"/>
                <w:sz w:val="21"/>
                <w:szCs w:val="21"/>
              </w:rPr>
            </w:pPr>
          </w:p>
        </w:tc>
      </w:tr>
    </w:tbl>
    <w:p>
      <w:pPr>
        <w:widowControl/>
        <w:numPr>
          <w:ilvl w:val="0"/>
          <w:numId w:val="8"/>
        </w:numPr>
        <w:ind w:firstLine="482"/>
        <w:rPr>
          <w:b/>
          <w:bCs/>
          <w:color w:val="000000"/>
          <w:lang w:bidi="ar"/>
        </w:rPr>
      </w:pPr>
      <w:r>
        <w:rPr>
          <w:rFonts w:hint="eastAsia"/>
          <w:b/>
          <w:bCs/>
          <w:color w:val="000000"/>
          <w:lang w:bidi="ar"/>
        </w:rPr>
        <w:t>粉尘</w:t>
      </w:r>
    </w:p>
    <w:p>
      <w:pPr>
        <w:widowControl/>
        <w:ind w:firstLine="480"/>
        <w:rPr>
          <w:color w:val="000000"/>
          <w:lang w:bidi="ar"/>
        </w:rPr>
      </w:pPr>
      <w:r>
        <w:rPr>
          <w:rFonts w:hint="eastAsia"/>
          <w:color w:val="000000"/>
          <w:lang w:bidi="ar"/>
        </w:rPr>
        <w:t>本</w:t>
      </w:r>
      <w:r>
        <w:rPr>
          <w:color w:val="000000"/>
          <w:lang w:bidi="ar"/>
        </w:rPr>
        <w:t>项目含尘废气主要为</w:t>
      </w:r>
      <w:r>
        <w:rPr>
          <w:rFonts w:hint="eastAsia"/>
          <w:color w:val="000000"/>
          <w:lang w:bidi="ar"/>
        </w:rPr>
        <w:t>破碎产生的颗粒物</w:t>
      </w:r>
      <w:r>
        <w:rPr>
          <w:color w:val="000000"/>
          <w:lang w:bidi="ar"/>
        </w:rPr>
        <w:t>。粉尘处理方式有很多，如喷淋法、静电除尘法、旋风除尘法、布袋除尘法等。喷淋法适用于烟尘的处理和有机废气的处理，其产物可溶于喷淋介质，并形成沉淀以便清除</w:t>
      </w:r>
      <w:r>
        <w:rPr>
          <w:rFonts w:hint="eastAsia"/>
          <w:color w:val="000000"/>
          <w:lang w:bidi="ar"/>
        </w:rPr>
        <w:t>；</w:t>
      </w:r>
      <w:r>
        <w:rPr>
          <w:color w:val="000000"/>
          <w:lang w:bidi="ar"/>
        </w:rPr>
        <w:t>静电除尘效果好，运行稳定，但一次性投资较高，适用于大型粉尘污染的处理。袋式除尘器及旋风除尘器能够回收粉尘，同时处理效果好，运行操作简单方便，比较适合中小型粉尘污染的治理。本次评价仅将袋式除尘及旋风除尘进行对比分析。</w:t>
      </w:r>
    </w:p>
    <w:p>
      <w:pPr>
        <w:widowControl/>
        <w:numPr>
          <w:ilvl w:val="0"/>
          <w:numId w:val="9"/>
        </w:numPr>
        <w:ind w:firstLine="480"/>
        <w:rPr>
          <w:color w:val="000000"/>
          <w:lang w:bidi="ar"/>
        </w:rPr>
      </w:pPr>
      <w:r>
        <w:rPr>
          <w:color w:val="000000"/>
          <w:lang w:bidi="ar"/>
        </w:rPr>
        <w:t>袋式除尘器袋式除尘是一种干式除尘装置。它适用于捕集细小、干燥、非纤维性粉尘。滤袋采用纺织的滤布或非纺织的毡制成，利用纤维织物的过滤作用对含尘气体进行过滤，当含尘气体进入布袋除尘器，颗粒大、比重大的粉尘，由于重力的作用沉降下来，落入灰斗，含有较细小粉尘的气体在通过滤料时，粉尘被阻留，使气体得到净化。</w:t>
      </w:r>
    </w:p>
    <w:p>
      <w:pPr>
        <w:widowControl/>
        <w:numPr>
          <w:ilvl w:val="0"/>
          <w:numId w:val="9"/>
        </w:numPr>
        <w:ind w:firstLine="480"/>
        <w:rPr>
          <w:color w:val="000000"/>
          <w:lang w:bidi="ar"/>
        </w:rPr>
      </w:pPr>
      <w:r>
        <w:rPr>
          <w:rFonts w:hint="eastAsia"/>
          <w:color w:val="000000"/>
          <w:lang w:bidi="ar"/>
        </w:rPr>
        <w:t>旋风除尘器</w:t>
      </w:r>
      <w:r>
        <w:rPr>
          <w:color w:val="000000"/>
          <w:lang w:bidi="ar"/>
        </w:rPr>
        <w:t>也属于干式除尘器，除尘机理是使含尘气流作旋转运动，借助于离心力将尘粒从气流中分离并捕集于器壁，再借助重力作用使尘粒落入灰斗。主要用于处理粒径相对较大的粉尘。</w:t>
      </w:r>
    </w:p>
    <w:p>
      <w:pPr>
        <w:widowControl/>
        <w:ind w:firstLine="480"/>
        <w:rPr>
          <w:color w:val="000000"/>
          <w:u w:val="single"/>
          <w:lang w:bidi="ar"/>
        </w:rPr>
      </w:pPr>
      <w:r>
        <w:rPr>
          <w:color w:val="000000"/>
          <w:u w:val="single"/>
          <w:lang w:bidi="ar"/>
        </w:rPr>
        <w:t>本项目除尘工艺选择：本项目进料废气粉尘主要为</w:t>
      </w:r>
      <w:r>
        <w:rPr>
          <w:rFonts w:hint="eastAsia"/>
          <w:color w:val="000000"/>
          <w:u w:val="single"/>
          <w:lang w:bidi="ar"/>
        </w:rPr>
        <w:t>粉尘</w:t>
      </w:r>
      <w:r>
        <w:rPr>
          <w:color w:val="000000"/>
          <w:u w:val="single"/>
          <w:lang w:bidi="ar"/>
        </w:rPr>
        <w:t>，粉尘粒径较小，因此评价建议直接采用脉冲袋式除尘器进行处理。</w:t>
      </w:r>
    </w:p>
    <w:p>
      <w:pPr>
        <w:pStyle w:val="27"/>
        <w:numPr>
          <w:ilvl w:val="0"/>
          <w:numId w:val="8"/>
        </w:numPr>
        <w:spacing w:after="0"/>
        <w:ind w:left="0" w:leftChars="0" w:firstLine="482"/>
        <w:rPr>
          <w:b/>
          <w:bCs/>
          <w:color w:val="000000"/>
          <w:lang w:bidi="ar"/>
        </w:rPr>
      </w:pPr>
      <w:r>
        <w:rPr>
          <w:rFonts w:hint="eastAsia"/>
          <w:b/>
          <w:bCs/>
          <w:color w:val="000000"/>
          <w:lang w:bidi="ar"/>
        </w:rPr>
        <w:t>有机废气</w:t>
      </w:r>
    </w:p>
    <w:p>
      <w:pPr>
        <w:ind w:firstLine="480"/>
      </w:pPr>
      <w:r>
        <w:rPr>
          <w:rFonts w:hint="eastAsia"/>
        </w:rPr>
        <w:t>（1）污染防治设施比选：项目生产过程中产生工艺有机废气。</w:t>
      </w:r>
    </w:p>
    <w:p>
      <w:pPr>
        <w:ind w:firstLine="480"/>
      </w:pPr>
      <w:r>
        <w:rPr>
          <w:rFonts w:hint="eastAsia"/>
        </w:rPr>
        <w:t>有机废气处理方法有以下几种：</w:t>
      </w:r>
    </w:p>
    <w:p>
      <w:pPr>
        <w:ind w:firstLine="482"/>
        <w:jc w:val="center"/>
        <w:rPr>
          <w:b/>
          <w:bCs/>
        </w:rPr>
      </w:pPr>
      <w:r>
        <w:rPr>
          <w:b/>
          <w:bCs/>
        </w:rPr>
        <w:t>表</w:t>
      </w:r>
      <w:r>
        <w:rPr>
          <w:rFonts w:hint="eastAsia"/>
          <w:b/>
          <w:bCs/>
        </w:rPr>
        <w:t>7.2</w:t>
      </w:r>
      <w:r>
        <w:rPr>
          <w:b/>
          <w:bCs/>
        </w:rPr>
        <w:t>-</w:t>
      </w:r>
      <w:r>
        <w:rPr>
          <w:rFonts w:hint="eastAsia"/>
          <w:b/>
          <w:bCs/>
        </w:rPr>
        <w:t xml:space="preserve">2  </w:t>
      </w:r>
      <w:r>
        <w:rPr>
          <w:b/>
          <w:bCs/>
        </w:rPr>
        <w:t>有机废气净化方法一览表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1154"/>
        <w:gridCol w:w="3168"/>
        <w:gridCol w:w="657"/>
        <w:gridCol w:w="2587"/>
        <w:gridCol w:w="1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pStyle w:val="38"/>
              <w:rPr>
                <w:rFonts w:hint="default"/>
              </w:rPr>
            </w:pPr>
            <w:r>
              <w:t>序</w:t>
            </w:r>
            <w:r>
              <w:rPr>
                <w:rFonts w:hint="default"/>
              </w:rPr>
              <w:t>号</w:t>
            </w:r>
          </w:p>
        </w:tc>
        <w:tc>
          <w:tcPr>
            <w:tcW w:w="1154" w:type="dxa"/>
            <w:vAlign w:val="center"/>
          </w:tcPr>
          <w:p>
            <w:pPr>
              <w:pStyle w:val="38"/>
              <w:rPr>
                <w:rFonts w:hint="default"/>
              </w:rPr>
            </w:pPr>
            <w:r>
              <w:t>净</w:t>
            </w:r>
            <w:r>
              <w:rPr>
                <w:rFonts w:hint="default"/>
              </w:rPr>
              <w:t>化方法</w:t>
            </w:r>
          </w:p>
        </w:tc>
        <w:tc>
          <w:tcPr>
            <w:tcW w:w="3168" w:type="dxa"/>
            <w:vAlign w:val="center"/>
          </w:tcPr>
          <w:p>
            <w:pPr>
              <w:pStyle w:val="38"/>
              <w:rPr>
                <w:rFonts w:hint="default"/>
              </w:rPr>
            </w:pPr>
            <w:r>
              <w:t>方法要点</w:t>
            </w:r>
          </w:p>
        </w:tc>
        <w:tc>
          <w:tcPr>
            <w:tcW w:w="657" w:type="dxa"/>
            <w:vAlign w:val="center"/>
          </w:tcPr>
          <w:p>
            <w:pPr>
              <w:pStyle w:val="38"/>
              <w:rPr>
                <w:rFonts w:hint="default"/>
              </w:rPr>
            </w:pPr>
            <w:r>
              <w:t>投资</w:t>
            </w:r>
          </w:p>
        </w:tc>
        <w:tc>
          <w:tcPr>
            <w:tcW w:w="2587" w:type="dxa"/>
            <w:vAlign w:val="center"/>
          </w:tcPr>
          <w:p>
            <w:pPr>
              <w:pStyle w:val="38"/>
              <w:rPr>
                <w:rFonts w:hint="default"/>
              </w:rPr>
            </w:pPr>
            <w:r>
              <w:t>适用范围</w:t>
            </w:r>
          </w:p>
        </w:tc>
        <w:tc>
          <w:tcPr>
            <w:tcW w:w="1086" w:type="dxa"/>
            <w:vAlign w:val="center"/>
          </w:tcPr>
          <w:p>
            <w:pPr>
              <w:pStyle w:val="38"/>
              <w:rPr>
                <w:rFonts w:hint="default"/>
              </w:rPr>
            </w:pPr>
            <w:r>
              <w:t>处理效率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pStyle w:val="38"/>
              <w:rPr>
                <w:rFonts w:hint="default"/>
              </w:rPr>
            </w:pPr>
            <w:r>
              <w:t>1</w:t>
            </w:r>
          </w:p>
        </w:tc>
        <w:tc>
          <w:tcPr>
            <w:tcW w:w="1154" w:type="dxa"/>
            <w:vAlign w:val="center"/>
          </w:tcPr>
          <w:p>
            <w:pPr>
              <w:pStyle w:val="38"/>
              <w:rPr>
                <w:rFonts w:hint="default"/>
              </w:rPr>
            </w:pPr>
            <w:r>
              <w:rPr>
                <w:rFonts w:hint="default"/>
              </w:rPr>
              <w:t>冷凝法</w:t>
            </w:r>
          </w:p>
        </w:tc>
        <w:tc>
          <w:tcPr>
            <w:tcW w:w="3168" w:type="dxa"/>
            <w:vAlign w:val="center"/>
          </w:tcPr>
          <w:p>
            <w:pPr>
              <w:pStyle w:val="38"/>
              <w:rPr>
                <w:rFonts w:hint="default"/>
              </w:rPr>
            </w:pPr>
            <w:r>
              <w:t>采</w:t>
            </w:r>
            <w:r>
              <w:rPr>
                <w:rFonts w:hint="default"/>
              </w:rPr>
              <w:t>用低温，使有机物组分冷却至露点以下回收</w:t>
            </w:r>
          </w:p>
        </w:tc>
        <w:tc>
          <w:tcPr>
            <w:tcW w:w="657" w:type="dxa"/>
            <w:vAlign w:val="center"/>
          </w:tcPr>
          <w:p>
            <w:pPr>
              <w:pStyle w:val="38"/>
              <w:rPr>
                <w:rFonts w:hint="default"/>
              </w:rPr>
            </w:pPr>
            <w:r>
              <w:t>中</w:t>
            </w:r>
          </w:p>
        </w:tc>
        <w:tc>
          <w:tcPr>
            <w:tcW w:w="2587" w:type="dxa"/>
            <w:vAlign w:val="center"/>
          </w:tcPr>
          <w:p>
            <w:pPr>
              <w:pStyle w:val="38"/>
              <w:rPr>
                <w:rFonts w:hint="default"/>
              </w:rPr>
            </w:pPr>
            <w:r>
              <w:t>适</w:t>
            </w:r>
            <w:r>
              <w:rPr>
                <w:rFonts w:hint="default"/>
              </w:rPr>
              <w:t>用于有回收利用价值的高浓度废气净化</w:t>
            </w:r>
          </w:p>
        </w:tc>
        <w:tc>
          <w:tcPr>
            <w:tcW w:w="1086" w:type="dxa"/>
            <w:vAlign w:val="center"/>
          </w:tcPr>
          <w:p>
            <w:pPr>
              <w:pStyle w:val="38"/>
              <w:rPr>
                <w:rFonts w:hint="default"/>
              </w:rPr>
            </w:pPr>
            <w:r>
              <w:t>较</w:t>
            </w:r>
            <w:r>
              <w:rPr>
                <w:rFonts w:hint="default"/>
              </w:rPr>
              <w:t>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pStyle w:val="38"/>
              <w:rPr>
                <w:rFonts w:hint="default"/>
              </w:rPr>
            </w:pPr>
            <w:r>
              <w:t>2</w:t>
            </w:r>
          </w:p>
        </w:tc>
        <w:tc>
          <w:tcPr>
            <w:tcW w:w="1154" w:type="dxa"/>
            <w:vAlign w:val="center"/>
          </w:tcPr>
          <w:p>
            <w:pPr>
              <w:pStyle w:val="38"/>
              <w:rPr>
                <w:rFonts w:hint="default"/>
              </w:rPr>
            </w:pPr>
            <w:r>
              <w:t>吸收法</w:t>
            </w:r>
          </w:p>
        </w:tc>
        <w:tc>
          <w:tcPr>
            <w:tcW w:w="3168" w:type="dxa"/>
            <w:vAlign w:val="center"/>
          </w:tcPr>
          <w:p>
            <w:pPr>
              <w:pStyle w:val="38"/>
              <w:rPr>
                <w:rFonts w:hint="default"/>
              </w:rPr>
            </w:pPr>
            <w:r>
              <w:t>用</w:t>
            </w:r>
            <w:r>
              <w:rPr>
                <w:rFonts w:hint="default"/>
              </w:rPr>
              <w:t>适当的化学吸收剂对废气中有机物组分进行物理吸收，温度为常温</w:t>
            </w:r>
          </w:p>
        </w:tc>
        <w:tc>
          <w:tcPr>
            <w:tcW w:w="657" w:type="dxa"/>
            <w:vAlign w:val="center"/>
          </w:tcPr>
          <w:p>
            <w:pPr>
              <w:pStyle w:val="38"/>
              <w:rPr>
                <w:rFonts w:hint="default"/>
              </w:rPr>
            </w:pPr>
            <w:r>
              <w:t>中</w:t>
            </w:r>
          </w:p>
        </w:tc>
        <w:tc>
          <w:tcPr>
            <w:tcW w:w="2587" w:type="dxa"/>
            <w:vAlign w:val="center"/>
          </w:tcPr>
          <w:p>
            <w:pPr>
              <w:pStyle w:val="38"/>
              <w:rPr>
                <w:rFonts w:hint="default"/>
              </w:rPr>
            </w:pPr>
            <w:r>
              <w:t>大</w:t>
            </w:r>
            <w:r>
              <w:rPr>
                <w:rFonts w:hint="default"/>
              </w:rPr>
              <w:t>气量、中等浓度的含</w:t>
            </w:r>
            <w:r>
              <w:t>V</w:t>
            </w:r>
            <w:r>
              <w:rPr>
                <w:rFonts w:hint="default"/>
              </w:rPr>
              <w:t>OCs废气的处理</w:t>
            </w:r>
          </w:p>
        </w:tc>
        <w:tc>
          <w:tcPr>
            <w:tcW w:w="1086" w:type="dxa"/>
            <w:vAlign w:val="center"/>
          </w:tcPr>
          <w:p>
            <w:pPr>
              <w:pStyle w:val="38"/>
              <w:rPr>
                <w:rFonts w:hint="default"/>
              </w:rPr>
            </w:pPr>
            <w:r>
              <w:t>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pStyle w:val="38"/>
              <w:rPr>
                <w:rFonts w:hint="default"/>
              </w:rPr>
            </w:pPr>
            <w:r>
              <w:t>3</w:t>
            </w:r>
          </w:p>
        </w:tc>
        <w:tc>
          <w:tcPr>
            <w:tcW w:w="1154" w:type="dxa"/>
            <w:vAlign w:val="center"/>
          </w:tcPr>
          <w:p>
            <w:pPr>
              <w:pStyle w:val="38"/>
              <w:rPr>
                <w:rFonts w:hint="default"/>
              </w:rPr>
            </w:pPr>
            <w:r>
              <w:t>吸附法</w:t>
            </w:r>
          </w:p>
        </w:tc>
        <w:tc>
          <w:tcPr>
            <w:tcW w:w="3168" w:type="dxa"/>
            <w:vAlign w:val="center"/>
          </w:tcPr>
          <w:p>
            <w:pPr>
              <w:pStyle w:val="38"/>
              <w:rPr>
                <w:rFonts w:hint="default"/>
              </w:rPr>
            </w:pPr>
            <w:r>
              <w:t>用</w:t>
            </w:r>
            <w:r>
              <w:rPr>
                <w:rFonts w:hint="default"/>
              </w:rPr>
              <w:t>适当的吸附剂对废气中有机物组分进行物理吸附，温度为常温</w:t>
            </w:r>
          </w:p>
        </w:tc>
        <w:tc>
          <w:tcPr>
            <w:tcW w:w="657" w:type="dxa"/>
            <w:vAlign w:val="center"/>
          </w:tcPr>
          <w:p>
            <w:pPr>
              <w:pStyle w:val="38"/>
              <w:rPr>
                <w:rFonts w:hint="default"/>
              </w:rPr>
            </w:pPr>
            <w:r>
              <w:t>中</w:t>
            </w:r>
          </w:p>
        </w:tc>
        <w:tc>
          <w:tcPr>
            <w:tcW w:w="2587" w:type="dxa"/>
            <w:vAlign w:val="center"/>
          </w:tcPr>
          <w:p>
            <w:pPr>
              <w:pStyle w:val="38"/>
              <w:rPr>
                <w:rFonts w:hint="default"/>
              </w:rPr>
            </w:pPr>
            <w:r>
              <w:t>适</w:t>
            </w:r>
            <w:r>
              <w:rPr>
                <w:rFonts w:hint="default"/>
              </w:rPr>
              <w:t>用于低浓度废气的净化</w:t>
            </w:r>
          </w:p>
        </w:tc>
        <w:tc>
          <w:tcPr>
            <w:tcW w:w="1086" w:type="dxa"/>
            <w:vAlign w:val="center"/>
          </w:tcPr>
          <w:p>
            <w:pPr>
              <w:pStyle w:val="38"/>
              <w:rPr>
                <w:rFonts w:hint="default"/>
              </w:rPr>
            </w:pPr>
            <w:r>
              <w:t>较</w:t>
            </w:r>
            <w:r>
              <w:rPr>
                <w:rFonts w:hint="default"/>
              </w:rPr>
              <w:t>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pStyle w:val="38"/>
              <w:rPr>
                <w:rFonts w:hint="default"/>
              </w:rPr>
            </w:pPr>
            <w:r>
              <w:t>4</w:t>
            </w:r>
          </w:p>
        </w:tc>
        <w:tc>
          <w:tcPr>
            <w:tcW w:w="1154" w:type="dxa"/>
            <w:vAlign w:val="center"/>
          </w:tcPr>
          <w:p>
            <w:pPr>
              <w:pStyle w:val="38"/>
              <w:rPr>
                <w:rFonts w:hint="default"/>
              </w:rPr>
            </w:pPr>
            <w:r>
              <w:t>光</w:t>
            </w:r>
            <w:r>
              <w:rPr>
                <w:rFonts w:hint="default"/>
              </w:rPr>
              <w:t>氧催化法</w:t>
            </w:r>
          </w:p>
        </w:tc>
        <w:tc>
          <w:tcPr>
            <w:tcW w:w="3168" w:type="dxa"/>
            <w:vAlign w:val="center"/>
          </w:tcPr>
          <w:p>
            <w:pPr>
              <w:pStyle w:val="38"/>
              <w:rPr>
                <w:rFonts w:hint="default"/>
              </w:rPr>
            </w:pPr>
            <w:r>
              <w:t>利</w:t>
            </w:r>
            <w:r>
              <w:rPr>
                <w:rFonts w:hint="default"/>
              </w:rPr>
              <w:t>用</w:t>
            </w:r>
            <w:r>
              <w:rPr>
                <w:rFonts w:hint="eastAsia"/>
                <w:lang w:eastAsia="zh-CN"/>
              </w:rPr>
              <w:t>紫外线</w:t>
            </w:r>
            <w:r>
              <w:rPr>
                <w:rFonts w:hint="default"/>
              </w:rPr>
              <w:t>产生臭氧、自由基等活性粒子，将有机物氧化分解</w:t>
            </w:r>
          </w:p>
        </w:tc>
        <w:tc>
          <w:tcPr>
            <w:tcW w:w="657" w:type="dxa"/>
            <w:vAlign w:val="center"/>
          </w:tcPr>
          <w:p>
            <w:pPr>
              <w:pStyle w:val="38"/>
              <w:rPr>
                <w:rFonts w:hint="default"/>
              </w:rPr>
            </w:pPr>
            <w:r>
              <w:t>中</w:t>
            </w:r>
          </w:p>
        </w:tc>
        <w:tc>
          <w:tcPr>
            <w:tcW w:w="2587" w:type="dxa"/>
            <w:vAlign w:val="center"/>
          </w:tcPr>
          <w:p>
            <w:pPr>
              <w:pStyle w:val="38"/>
              <w:rPr>
                <w:rFonts w:hint="default"/>
              </w:rPr>
            </w:pPr>
            <w:r>
              <w:t>适</w:t>
            </w:r>
            <w:r>
              <w:rPr>
                <w:rFonts w:hint="default"/>
              </w:rPr>
              <w:t>用于大气量中、低浓度废气的净化</w:t>
            </w:r>
          </w:p>
        </w:tc>
        <w:tc>
          <w:tcPr>
            <w:tcW w:w="1086" w:type="dxa"/>
            <w:vAlign w:val="center"/>
          </w:tcPr>
          <w:p>
            <w:pPr>
              <w:pStyle w:val="38"/>
              <w:rPr>
                <w:rFonts w:hint="default"/>
              </w:rPr>
            </w:pPr>
            <w:r>
              <w:t>较</w:t>
            </w:r>
            <w:r>
              <w:rPr>
                <w:rFonts w:hint="default"/>
              </w:rPr>
              <w:t>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pStyle w:val="38"/>
              <w:rPr>
                <w:rFonts w:hint="default"/>
              </w:rPr>
            </w:pPr>
            <w:r>
              <w:t>5</w:t>
            </w:r>
          </w:p>
        </w:tc>
        <w:tc>
          <w:tcPr>
            <w:tcW w:w="1154" w:type="dxa"/>
            <w:vAlign w:val="center"/>
          </w:tcPr>
          <w:p>
            <w:pPr>
              <w:pStyle w:val="38"/>
              <w:rPr>
                <w:rFonts w:hint="default"/>
              </w:rPr>
            </w:pPr>
            <w:r>
              <w:t>低</w:t>
            </w:r>
            <w:r>
              <w:rPr>
                <w:rFonts w:hint="default"/>
              </w:rPr>
              <w:t>温等离子法</w:t>
            </w:r>
          </w:p>
        </w:tc>
        <w:tc>
          <w:tcPr>
            <w:tcW w:w="3168" w:type="dxa"/>
            <w:vAlign w:val="center"/>
          </w:tcPr>
          <w:p>
            <w:pPr>
              <w:pStyle w:val="38"/>
              <w:rPr>
                <w:rFonts w:hint="default"/>
              </w:rPr>
            </w:pPr>
            <w:r>
              <w:t>利</w:t>
            </w:r>
            <w:r>
              <w:rPr>
                <w:rFonts w:hint="default"/>
              </w:rPr>
              <w:t>用电场产生高能电子、自由基等活性粒子，将有机物氧化分解</w:t>
            </w:r>
          </w:p>
        </w:tc>
        <w:tc>
          <w:tcPr>
            <w:tcW w:w="657" w:type="dxa"/>
            <w:vAlign w:val="center"/>
          </w:tcPr>
          <w:p>
            <w:pPr>
              <w:pStyle w:val="38"/>
              <w:rPr>
                <w:rFonts w:hint="default"/>
              </w:rPr>
            </w:pPr>
            <w:r>
              <w:t>中</w:t>
            </w:r>
          </w:p>
        </w:tc>
        <w:tc>
          <w:tcPr>
            <w:tcW w:w="2587" w:type="dxa"/>
            <w:vAlign w:val="center"/>
          </w:tcPr>
          <w:p>
            <w:pPr>
              <w:pStyle w:val="38"/>
              <w:rPr>
                <w:rFonts w:hint="default"/>
              </w:rPr>
            </w:pPr>
            <w:r>
              <w:t>适</w:t>
            </w:r>
            <w:r>
              <w:rPr>
                <w:rFonts w:hint="default"/>
              </w:rPr>
              <w:t>用于大气量中、低浓度废气的净化</w:t>
            </w:r>
          </w:p>
        </w:tc>
        <w:tc>
          <w:tcPr>
            <w:tcW w:w="1086" w:type="dxa"/>
            <w:vAlign w:val="center"/>
          </w:tcPr>
          <w:p>
            <w:pPr>
              <w:pStyle w:val="38"/>
              <w:rPr>
                <w:rFonts w:hint="default"/>
              </w:rPr>
            </w:pPr>
            <w:r>
              <w:t>较</w:t>
            </w:r>
            <w:r>
              <w:rPr>
                <w:rFonts w:hint="default"/>
              </w:rPr>
              <w:t>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pStyle w:val="38"/>
              <w:rPr>
                <w:rFonts w:hint="default"/>
              </w:rPr>
            </w:pPr>
            <w:r>
              <w:t>6</w:t>
            </w:r>
          </w:p>
        </w:tc>
        <w:tc>
          <w:tcPr>
            <w:tcW w:w="1154" w:type="dxa"/>
            <w:vAlign w:val="center"/>
          </w:tcPr>
          <w:p>
            <w:pPr>
              <w:pStyle w:val="38"/>
              <w:rPr>
                <w:rFonts w:hint="default"/>
              </w:rPr>
            </w:pPr>
            <w:r>
              <w:t>直</w:t>
            </w:r>
            <w:r>
              <w:rPr>
                <w:rFonts w:hint="default"/>
              </w:rPr>
              <w:t>接燃烧法</w:t>
            </w:r>
          </w:p>
        </w:tc>
        <w:tc>
          <w:tcPr>
            <w:tcW w:w="3168" w:type="dxa"/>
            <w:vAlign w:val="center"/>
          </w:tcPr>
          <w:p>
            <w:pPr>
              <w:pStyle w:val="38"/>
              <w:rPr>
                <w:rFonts w:hint="default"/>
              </w:rPr>
            </w:pPr>
            <w:r>
              <w:t>将</w:t>
            </w:r>
            <w:r>
              <w:rPr>
                <w:rFonts w:hint="default"/>
              </w:rPr>
              <w:t>废气中的有机物作为燃料烧掉或将其在高温下进行氧化，分解温度范围为</w:t>
            </w:r>
            <w:r>
              <w:t>6</w:t>
            </w:r>
            <w:r>
              <w:rPr>
                <w:rFonts w:hint="default"/>
              </w:rPr>
              <w:t>00～1100°C</w:t>
            </w:r>
          </w:p>
        </w:tc>
        <w:tc>
          <w:tcPr>
            <w:tcW w:w="657" w:type="dxa"/>
            <w:vAlign w:val="center"/>
          </w:tcPr>
          <w:p>
            <w:pPr>
              <w:pStyle w:val="38"/>
              <w:rPr>
                <w:rFonts w:hint="default"/>
              </w:rPr>
            </w:pPr>
            <w:r>
              <w:t>高</w:t>
            </w:r>
          </w:p>
        </w:tc>
        <w:tc>
          <w:tcPr>
            <w:tcW w:w="2587" w:type="dxa"/>
            <w:vAlign w:val="center"/>
          </w:tcPr>
          <w:p>
            <w:pPr>
              <w:pStyle w:val="38"/>
              <w:rPr>
                <w:rFonts w:hint="default"/>
              </w:rPr>
            </w:pPr>
            <w:r>
              <w:t>适</w:t>
            </w:r>
            <w:r>
              <w:rPr>
                <w:rFonts w:hint="default"/>
              </w:rPr>
              <w:t>用于风量相对较小，回收价值不大，浓度适中的有机废气</w:t>
            </w:r>
          </w:p>
        </w:tc>
        <w:tc>
          <w:tcPr>
            <w:tcW w:w="1086" w:type="dxa"/>
            <w:vAlign w:val="center"/>
          </w:tcPr>
          <w:p>
            <w:pPr>
              <w:pStyle w:val="38"/>
              <w:rPr>
                <w:rFonts w:hint="default"/>
              </w:rPr>
            </w:pPr>
            <w:r>
              <w:t>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vAlign w:val="center"/>
          </w:tcPr>
          <w:p>
            <w:pPr>
              <w:pStyle w:val="38"/>
              <w:rPr>
                <w:rFonts w:hint="default"/>
              </w:rPr>
            </w:pPr>
            <w:r>
              <w:t>7</w:t>
            </w:r>
          </w:p>
        </w:tc>
        <w:tc>
          <w:tcPr>
            <w:tcW w:w="1154" w:type="dxa"/>
            <w:vAlign w:val="center"/>
          </w:tcPr>
          <w:p>
            <w:pPr>
              <w:pStyle w:val="38"/>
              <w:rPr>
                <w:rFonts w:hint="default"/>
              </w:rPr>
            </w:pPr>
            <w:r>
              <w:t>催</w:t>
            </w:r>
            <w:r>
              <w:rPr>
                <w:rFonts w:hint="default"/>
              </w:rPr>
              <w:t>化燃烧法</w:t>
            </w:r>
          </w:p>
        </w:tc>
        <w:tc>
          <w:tcPr>
            <w:tcW w:w="3168" w:type="dxa"/>
            <w:vAlign w:val="center"/>
          </w:tcPr>
          <w:p>
            <w:pPr>
              <w:pStyle w:val="38"/>
              <w:rPr>
                <w:rFonts w:hint="default"/>
              </w:rPr>
            </w:pPr>
            <w:r>
              <w:t>在</w:t>
            </w:r>
            <w:r>
              <w:rPr>
                <w:rFonts w:hint="default"/>
              </w:rPr>
              <w:t>氧化催化剂作用下将碳氢化合物氧化为</w:t>
            </w:r>
            <w:r>
              <w:t>C</w:t>
            </w:r>
            <w:r>
              <w:rPr>
                <w:rFonts w:hint="default"/>
              </w:rPr>
              <w:t>O</w:t>
            </w:r>
            <w:r>
              <w:rPr>
                <w:rFonts w:hint="default"/>
                <w:vertAlign w:val="subscript"/>
              </w:rPr>
              <w:t>2</w:t>
            </w:r>
            <w:r>
              <w:rPr>
                <w:rFonts w:hint="default"/>
              </w:rPr>
              <w:t>和H</w:t>
            </w:r>
            <w:r>
              <w:rPr>
                <w:rFonts w:hint="default"/>
                <w:vertAlign w:val="subscript"/>
              </w:rPr>
              <w:t>2</w:t>
            </w:r>
            <w:r>
              <w:rPr>
                <w:rFonts w:hint="default"/>
              </w:rPr>
              <w:t>O，温度范围为200～400°C</w:t>
            </w:r>
          </w:p>
        </w:tc>
        <w:tc>
          <w:tcPr>
            <w:tcW w:w="657" w:type="dxa"/>
            <w:vAlign w:val="center"/>
          </w:tcPr>
          <w:p>
            <w:pPr>
              <w:pStyle w:val="38"/>
              <w:rPr>
                <w:rFonts w:hint="default"/>
              </w:rPr>
            </w:pPr>
            <w:r>
              <w:t>较高</w:t>
            </w:r>
          </w:p>
        </w:tc>
        <w:tc>
          <w:tcPr>
            <w:tcW w:w="2587" w:type="dxa"/>
            <w:vAlign w:val="center"/>
          </w:tcPr>
          <w:p>
            <w:pPr>
              <w:pStyle w:val="38"/>
              <w:rPr>
                <w:rFonts w:hint="default"/>
              </w:rPr>
            </w:pPr>
            <w:r>
              <w:t>适</w:t>
            </w:r>
            <w:r>
              <w:rPr>
                <w:rFonts w:hint="default"/>
              </w:rPr>
              <w:t>用于各种浓度的废气净化，适用于连续排气的场合</w:t>
            </w:r>
          </w:p>
        </w:tc>
        <w:tc>
          <w:tcPr>
            <w:tcW w:w="1086" w:type="dxa"/>
            <w:vAlign w:val="center"/>
          </w:tcPr>
          <w:p>
            <w:pPr>
              <w:pStyle w:val="38"/>
              <w:rPr>
                <w:rFonts w:hint="default"/>
              </w:rPr>
            </w:pPr>
            <w:r>
              <w:t>较</w:t>
            </w:r>
            <w:r>
              <w:rPr>
                <w:rFonts w:hint="default"/>
              </w:rPr>
              <w:t>高</w:t>
            </w:r>
          </w:p>
        </w:tc>
      </w:tr>
    </w:tbl>
    <w:p>
      <w:pPr>
        <w:ind w:firstLine="480"/>
        <w:rPr>
          <w:u w:val="single"/>
        </w:rPr>
      </w:pPr>
      <w:r>
        <w:rPr>
          <w:rFonts w:hint="eastAsia"/>
          <w:u w:val="single"/>
        </w:rPr>
        <w:t>经比选本项目反应废气</w:t>
      </w:r>
      <w:r>
        <w:rPr>
          <w:u w:val="single"/>
        </w:rPr>
        <w:t>处理工艺选择：</w:t>
      </w:r>
      <w:r>
        <w:rPr>
          <w:rFonts w:hint="eastAsia"/>
          <w:u w:val="single"/>
        </w:rPr>
        <w:t>项目工艺废气成分比较复杂。</w:t>
      </w:r>
      <w:r>
        <w:rPr>
          <w:u w:val="single"/>
        </w:rPr>
        <w:t>由于</w:t>
      </w:r>
      <w:r>
        <w:rPr>
          <w:rFonts w:hint="eastAsia"/>
          <w:u w:val="single"/>
        </w:rPr>
        <w:t>非甲烷总烃源强较大</w:t>
      </w:r>
      <w:r>
        <w:rPr>
          <w:u w:val="single"/>
        </w:rPr>
        <w:t>，因此</w:t>
      </w:r>
      <w:r>
        <w:rPr>
          <w:rFonts w:hint="eastAsia"/>
          <w:u w:val="single"/>
        </w:rPr>
        <w:t>需选择处理效率较高的工艺</w:t>
      </w:r>
      <w:r>
        <w:rPr>
          <w:u w:val="single"/>
        </w:rPr>
        <w:t>，因此采用吸附</w:t>
      </w:r>
      <w:r>
        <w:rPr>
          <w:rFonts w:hint="eastAsia"/>
          <w:u w:val="single"/>
        </w:rPr>
        <w:t>浓缩</w:t>
      </w:r>
      <w:r>
        <w:rPr>
          <w:u w:val="single"/>
        </w:rPr>
        <w:t>法+催化燃烧法进行处理</w:t>
      </w:r>
      <w:r>
        <w:rPr>
          <w:rFonts w:hint="eastAsia"/>
          <w:u w:val="single"/>
        </w:rPr>
        <w:t>。</w:t>
      </w:r>
    </w:p>
    <w:p>
      <w:pPr>
        <w:widowControl/>
        <w:ind w:firstLine="480"/>
        <w:rPr>
          <w:color w:val="000000"/>
          <w:lang w:bidi="ar"/>
        </w:rPr>
      </w:pPr>
      <w:r>
        <w:rPr>
          <w:rFonts w:hint="eastAsia"/>
        </w:rPr>
        <w:t>（2）</w:t>
      </w:r>
      <w:r>
        <w:t>催化燃烧法</w:t>
      </w:r>
      <w:r>
        <w:rPr>
          <w:rFonts w:hint="eastAsia"/>
        </w:rPr>
        <w:t>原理</w:t>
      </w:r>
      <w:r>
        <w:rPr>
          <w:rFonts w:hint="eastAsia"/>
          <w:color w:val="000000"/>
          <w:lang w:bidi="ar"/>
        </w:rPr>
        <w:t>：催化燃烧设备是典型的气-固相催化燃烧反应，它借助催化剂降低了反应的活化能，使其在较低的起燃温度200～300℃下进行无焰燃烧，有机物质氧化发生在固体催化剂表面，同时产生CO</w:t>
      </w:r>
      <w:r>
        <w:rPr>
          <w:rFonts w:hint="eastAsia"/>
          <w:color w:val="000000"/>
          <w:vertAlign w:val="subscript"/>
          <w:lang w:bidi="ar"/>
        </w:rPr>
        <w:t>2</w:t>
      </w:r>
      <w:r>
        <w:rPr>
          <w:rFonts w:hint="eastAsia"/>
          <w:color w:val="000000"/>
          <w:lang w:bidi="ar"/>
        </w:rPr>
        <w:t>和H</w:t>
      </w:r>
      <w:r>
        <w:rPr>
          <w:rFonts w:hint="eastAsia"/>
          <w:color w:val="000000"/>
          <w:vertAlign w:val="subscript"/>
          <w:lang w:bidi="ar"/>
        </w:rPr>
        <w:t>2</w:t>
      </w:r>
      <w:r>
        <w:rPr>
          <w:rFonts w:hint="eastAsia"/>
          <w:color w:val="000000"/>
          <w:lang w:bidi="ar"/>
        </w:rPr>
        <w:t>O，并放出大量的热量，因其氧化反应温度低，所以大大地抑制了空气中的N</w:t>
      </w:r>
      <w:r>
        <w:rPr>
          <w:rFonts w:hint="eastAsia"/>
          <w:color w:val="000000"/>
          <w:vertAlign w:val="subscript"/>
          <w:lang w:bidi="ar"/>
        </w:rPr>
        <w:t>2</w:t>
      </w:r>
      <w:r>
        <w:rPr>
          <w:rFonts w:hint="eastAsia"/>
          <w:color w:val="000000"/>
          <w:lang w:bidi="ar"/>
        </w:rPr>
        <w:t>形成高温NOx。而且由于催化剂有选择性催化作用，有可能限制燃料中含氮化合物（RNH）的氧化过程，使其多数形成分子氮（N</w:t>
      </w:r>
      <w:r>
        <w:rPr>
          <w:rFonts w:hint="eastAsia"/>
          <w:color w:val="000000"/>
          <w:vertAlign w:val="subscript"/>
          <w:lang w:bidi="ar"/>
        </w:rPr>
        <w:t>2</w:t>
      </w:r>
      <w:r>
        <w:rPr>
          <w:rFonts w:hint="eastAsia"/>
          <w:color w:val="000000"/>
          <w:lang w:bidi="ar"/>
        </w:rPr>
        <w:t>）。</w:t>
      </w:r>
    </w:p>
    <w:p>
      <w:pPr>
        <w:pStyle w:val="27"/>
        <w:numPr>
          <w:ilvl w:val="0"/>
          <w:numId w:val="8"/>
        </w:numPr>
        <w:ind w:left="0" w:leftChars="0" w:firstLine="482"/>
        <w:rPr>
          <w:b/>
          <w:bCs/>
        </w:rPr>
      </w:pPr>
      <w:r>
        <w:rPr>
          <w:rFonts w:hint="eastAsia"/>
          <w:b/>
          <w:bCs/>
        </w:rPr>
        <w:t>反应废气</w:t>
      </w:r>
    </w:p>
    <w:p>
      <w:pPr>
        <w:ind w:firstLine="480"/>
        <w:rPr>
          <w:bCs/>
          <w:color w:val="000000"/>
          <w:u w:val="single"/>
        </w:rPr>
      </w:pPr>
      <w:r>
        <w:rPr>
          <w:bCs/>
          <w:color w:val="000000"/>
          <w:u w:val="single"/>
        </w:rPr>
        <w:t>喷淋洗涤塔工作原理：本项目生产线在车间内配置一套水喷淋装置。洗涤塔内洗涤液通过喷嘴雾化成细小液滴均匀地向下喷淋，含尘气体和由喷淋塔下部进入，自下向上流动，两者逆流接触，利用尘粒与水滴的接触碰撞而相互凝聚或尘粒间团聚，使其重量大大增加，靠重力作用而沉降下来。被捕集的粉尘及油粒（有机废气的冷凝液，以非甲烷总烃考虑）被截留在喷淋塔内，定期清理的油污作为危废</w:t>
      </w:r>
      <w:r>
        <w:rPr>
          <w:rFonts w:hint="eastAsia"/>
          <w:bCs/>
          <w:color w:val="000000"/>
          <w:u w:val="single"/>
          <w:lang w:eastAsia="zh-CN"/>
        </w:rPr>
        <w:t>交由</w:t>
      </w:r>
      <w:r>
        <w:rPr>
          <w:bCs/>
          <w:color w:val="000000"/>
          <w:u w:val="single"/>
        </w:rPr>
        <w:t>资质单位处理。部分澄清液可循环使用，与少量的补充清液一起经循环泵从塔顶喷嘴进入喷淋塔进行喷淋洗涤。从而减少了液体的耗量以及二次污水的处理量，喷淋水定期排放。</w:t>
      </w:r>
    </w:p>
    <w:p>
      <w:pPr>
        <w:ind w:firstLine="480"/>
        <w:rPr>
          <w:bCs/>
          <w:color w:val="000000"/>
        </w:rPr>
      </w:pPr>
      <w:r>
        <w:rPr>
          <w:bCs/>
          <w:color w:val="000000"/>
        </w:rPr>
        <w:t>喷淋塔内设置填料层作为气液两相间接触构件的传质设备。</w:t>
      </w:r>
      <w:r>
        <w:fldChar w:fldCharType="begin"/>
      </w:r>
      <w:r>
        <w:instrText xml:space="preserve"> HYPERLINK "http://baike.sogou.com/lemma/ShowInnerLink.htm?lemmaId=512881&amp;ss_c=ssc.citiao.link" \t "_blank" </w:instrText>
      </w:r>
      <w:r>
        <w:fldChar w:fldCharType="separate"/>
      </w:r>
      <w:r>
        <w:rPr>
          <w:bCs/>
          <w:color w:val="000000"/>
        </w:rPr>
        <w:t>填料塔</w:t>
      </w:r>
      <w:r>
        <w:rPr>
          <w:bCs/>
          <w:color w:val="000000"/>
        </w:rPr>
        <w:fldChar w:fldCharType="end"/>
      </w:r>
      <w:r>
        <w:rPr>
          <w:bCs/>
          <w:color w:val="000000"/>
        </w:rPr>
        <w:t>底部装有填料支承板，填料以乱堆方式放置在支承板上。填料的上方安装填料压板，以防被</w:t>
      </w:r>
      <w:r>
        <w:fldChar w:fldCharType="begin"/>
      </w:r>
      <w:r>
        <w:instrText xml:space="preserve"> HYPERLINK "http://baike.sogou.com/lemma/ShowInnerLink.htm?lemmaId=41674223&amp;ss_c=ssc.citiao.link" \t "_blank" </w:instrText>
      </w:r>
      <w:r>
        <w:fldChar w:fldCharType="separate"/>
      </w:r>
      <w:r>
        <w:rPr>
          <w:bCs/>
          <w:color w:val="000000"/>
        </w:rPr>
        <w:t>上升气流</w:t>
      </w:r>
      <w:r>
        <w:rPr>
          <w:bCs/>
          <w:color w:val="000000"/>
        </w:rPr>
        <w:fldChar w:fldCharType="end"/>
      </w:r>
      <w:r>
        <w:rPr>
          <w:bCs/>
          <w:color w:val="000000"/>
        </w:rPr>
        <w:t>吹动。喷淋塔喷淋液从塔顶经</w:t>
      </w:r>
      <w:r>
        <w:fldChar w:fldCharType="begin"/>
      </w:r>
      <w:r>
        <w:instrText xml:space="preserve"> HYPERLINK "http://baike.sogou.com/lemma/ShowInnerLink.htm?lemmaId=59488309&amp;ss_c=ssc.citiao.link" \t "_blank" </w:instrText>
      </w:r>
      <w:r>
        <w:fldChar w:fldCharType="separate"/>
      </w:r>
      <w:r>
        <w:rPr>
          <w:bCs/>
          <w:color w:val="000000"/>
        </w:rPr>
        <w:t>液体分布器</w:t>
      </w:r>
      <w:r>
        <w:rPr>
          <w:bCs/>
          <w:color w:val="000000"/>
        </w:rPr>
        <w:fldChar w:fldCharType="end"/>
      </w:r>
      <w:r>
        <w:rPr>
          <w:bCs/>
          <w:color w:val="000000"/>
        </w:rPr>
        <w:t>喷淋到填料上，并沿填料表面流下。气体从塔底送入，经气体分布装置分布后，与液体呈逆流连续通过填料层的空隙，在填料表面上，气液两相密切接触进行传质。当液体沿填料层向下流动时，有时会出现壁流现象，壁流效应造成气液两相在填料层中分布不均，从而使传质效率下降。喷淋系统能使浆液在吸收塔内均匀分布，流经每个喷淋层的流量相等，具有流量大，喷淋均匀，喷淋面积大，不堵塞等特点，去除烟尘效果好。</w:t>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bookmarkStart w:id="207" w:name="_Toc19508"/>
      <w:r>
        <w:drawing>
          <wp:inline distT="0" distB="0" distL="114300" distR="114300">
            <wp:extent cx="5757545" cy="3779520"/>
            <wp:effectExtent l="0" t="0" r="14605" b="11430"/>
            <wp:docPr id="4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6"/>
                    <pic:cNvPicPr>
                      <a:picLocks noChangeAspect="1"/>
                    </pic:cNvPicPr>
                  </pic:nvPicPr>
                  <pic:blipFill>
                    <a:blip r:embed="rId106"/>
                    <a:stretch>
                      <a:fillRect/>
                    </a:stretch>
                  </pic:blipFill>
                  <pic:spPr>
                    <a:xfrm>
                      <a:off x="0" y="0"/>
                      <a:ext cx="5757545" cy="3779520"/>
                    </a:xfrm>
                    <a:prstGeom prst="rect">
                      <a:avLst/>
                    </a:prstGeom>
                    <a:noFill/>
                    <a:ln>
                      <a:noFill/>
                    </a:ln>
                  </pic:spPr>
                </pic:pic>
              </a:graphicData>
            </a:graphic>
          </wp:inline>
        </w:drawing>
      </w:r>
      <w:bookmarkEnd w:id="207"/>
    </w:p>
    <w:p>
      <w:pPr>
        <w:widowControl/>
        <w:ind w:firstLine="482"/>
        <w:jc w:val="center"/>
        <w:rPr>
          <w:b/>
          <w:bCs/>
          <w:color w:val="000000"/>
          <w:lang w:bidi="ar"/>
        </w:rPr>
      </w:pPr>
      <w:r>
        <w:rPr>
          <w:b/>
          <w:bCs/>
          <w:color w:val="000000"/>
          <w:lang w:bidi="ar"/>
        </w:rPr>
        <w:t>图7</w:t>
      </w:r>
      <w:r>
        <w:rPr>
          <w:rFonts w:hint="eastAsia"/>
          <w:b/>
          <w:bCs/>
          <w:color w:val="000000"/>
          <w:lang w:bidi="ar"/>
        </w:rPr>
        <w:t>.2</w:t>
      </w:r>
      <w:r>
        <w:rPr>
          <w:b/>
          <w:bCs/>
          <w:color w:val="000000"/>
          <w:lang w:bidi="ar"/>
        </w:rPr>
        <w:t>-1  反应废气处理流程图</w:t>
      </w:r>
    </w:p>
    <w:p>
      <w:pPr>
        <w:pStyle w:val="27"/>
        <w:numPr>
          <w:ilvl w:val="0"/>
          <w:numId w:val="8"/>
        </w:numPr>
        <w:ind w:left="0" w:leftChars="0" w:firstLine="482"/>
        <w:rPr>
          <w:b/>
          <w:bCs/>
        </w:rPr>
      </w:pPr>
      <w:r>
        <w:rPr>
          <w:rFonts w:hint="eastAsia"/>
          <w:b/>
          <w:bCs/>
        </w:rPr>
        <w:t>食堂油烟</w:t>
      </w:r>
    </w:p>
    <w:p>
      <w:pPr>
        <w:widowControl/>
        <w:ind w:firstLine="480"/>
        <w:rPr>
          <w:color w:val="000000"/>
          <w:lang w:bidi="ar"/>
        </w:rPr>
      </w:pPr>
      <w:r>
        <w:rPr>
          <w:rFonts w:hint="eastAsia"/>
          <w:color w:val="000000"/>
          <w:lang w:bidi="ar"/>
        </w:rPr>
        <w:t>项目营运后，食堂采用天然气为燃料，属于小型食堂。天然气为清洁能源，燃烧产生的一氧化碳、二氧化碳、烟尘、氮氧化物等污染物，通过食堂油烟净化器同净化后的油烟废气一起外排，对外环境影响不大。其主要污染为厨房烹饪产生的油烟。</w:t>
      </w:r>
    </w:p>
    <w:p>
      <w:pPr>
        <w:widowControl/>
        <w:ind w:firstLine="480"/>
        <w:rPr>
          <w:color w:val="000000"/>
          <w:lang w:bidi="ar"/>
        </w:rPr>
      </w:pPr>
      <w:r>
        <w:rPr>
          <w:rFonts w:hint="eastAsia"/>
          <w:color w:val="000000"/>
          <w:lang w:bidi="ar"/>
        </w:rPr>
        <w:t>食堂产生的油烟经油烟净化器处理后通过内置式烟管道引至楼顶排放。油烟净化器内部安装独特的油类碰吸单元，油烟经过净化器，在高压等离子电场的作用下，将微小的油颗粒与气体进行电离荷电，带电的微小离子（油颗粒）被吸附单元所收集，并流入和沉积到净化器的储油箱内，烟尘内有害气体被电场内所产生的臭氧所杀菌并去除异味，有害气体被除掉。</w:t>
      </w:r>
    </w:p>
    <w:p>
      <w:pPr>
        <w:widowControl/>
        <w:ind w:firstLine="480"/>
        <w:rPr>
          <w:color w:val="000000"/>
          <w:lang w:bidi="ar"/>
        </w:rPr>
      </w:pPr>
      <w:r>
        <w:rPr>
          <w:rFonts w:hint="eastAsia"/>
          <w:color w:val="000000"/>
          <w:lang w:bidi="ar"/>
        </w:rPr>
        <w:t>为解决该项目厨房废气污染，改善操作人员工作环境，本项目采取如下措施：</w:t>
      </w:r>
    </w:p>
    <w:p>
      <w:pPr>
        <w:widowControl/>
        <w:ind w:firstLine="480"/>
        <w:rPr>
          <w:color w:val="000000"/>
          <w:lang w:bidi="ar"/>
        </w:rPr>
      </w:pPr>
      <w:r>
        <w:rPr>
          <w:rFonts w:hint="eastAsia"/>
          <w:color w:val="000000"/>
          <w:lang w:bidi="ar"/>
        </w:rPr>
        <w:t>①采用油烟去除率不低于90%，风量为2000m³/h的油烟净化装置，食堂油烟经净化处理后，满足《餐饮业油烟污染物排放标准》（D</w:t>
      </w:r>
      <w:r>
        <w:rPr>
          <w:color w:val="000000"/>
          <w:lang w:bidi="ar"/>
        </w:rPr>
        <w:t>B</w:t>
      </w:r>
      <w:r>
        <w:rPr>
          <w:rFonts w:hint="eastAsia"/>
          <w:color w:val="000000"/>
          <w:lang w:bidi="ar"/>
        </w:rPr>
        <w:t>41/1604</w:t>
      </w:r>
      <w:r>
        <w:rPr>
          <w:color w:val="000000"/>
          <w:lang w:bidi="ar"/>
        </w:rPr>
        <w:t>-20</w:t>
      </w:r>
      <w:r>
        <w:rPr>
          <w:rFonts w:hint="eastAsia"/>
          <w:color w:val="000000"/>
          <w:lang w:bidi="ar"/>
        </w:rPr>
        <w:t>18）要求，达标排放，对周围环境影响不大。</w:t>
      </w:r>
    </w:p>
    <w:p>
      <w:pPr>
        <w:widowControl/>
        <w:ind w:firstLine="480"/>
        <w:rPr>
          <w:color w:val="000000"/>
          <w:lang w:bidi="ar"/>
        </w:rPr>
      </w:pPr>
      <w:r>
        <w:rPr>
          <w:rFonts w:hint="eastAsia"/>
          <w:color w:val="000000"/>
          <w:lang w:bidi="ar"/>
        </w:rPr>
        <w:t>②加大厨房通风量，保证厨房内的适当负压，防止污染物</w:t>
      </w:r>
      <w:r>
        <w:rPr>
          <w:rFonts w:hint="eastAsia"/>
          <w:color w:val="000000"/>
          <w:lang w:eastAsia="zh-CN" w:bidi="ar"/>
        </w:rPr>
        <w:t>外溢</w:t>
      </w:r>
      <w:r>
        <w:rPr>
          <w:rFonts w:hint="eastAsia"/>
          <w:color w:val="000000"/>
          <w:lang w:bidi="ar"/>
        </w:rPr>
        <w:t>。</w:t>
      </w:r>
    </w:p>
    <w:p>
      <w:pPr>
        <w:ind w:firstLine="480"/>
      </w:pPr>
      <w:r>
        <w:rPr>
          <w:rFonts w:hint="eastAsia"/>
        </w:rPr>
        <w:t>③为改善厨师等操作人员的工作环境，采用局部空调送风方式：在夏季利用空调向工作点送凉风，冬季则直接向工作点送室外风。</w:t>
      </w:r>
    </w:p>
    <w:p>
      <w:pPr>
        <w:ind w:firstLine="480"/>
      </w:pPr>
      <w:r>
        <w:rPr>
          <w:rFonts w:hint="eastAsia"/>
        </w:rPr>
        <w:t>④定期对油烟净化器进行维护，使之在最佳工况下运行。</w:t>
      </w:r>
    </w:p>
    <w:p>
      <w:pPr>
        <w:ind w:firstLine="480"/>
      </w:pPr>
      <w:r>
        <w:rPr>
          <w:rFonts w:hint="eastAsia"/>
        </w:rPr>
        <w:t>技术可行性分析：现阶段油烟净化装置为成套成熟去除工艺。本项目设置1个灶头，选用的油烟净化装置排气罩灶面投影面积＜3.3m²；排气筒出口段的长度至少有4.5倍直径的平直管段，要求引至室外楼顶排放，保证油烟去除率不低于90%，油烟经净化后，符合《餐饮业油烟污染物排放标准》（D</w:t>
      </w:r>
      <w:r>
        <w:t>B</w:t>
      </w:r>
      <w:r>
        <w:rPr>
          <w:rFonts w:hint="eastAsia"/>
        </w:rPr>
        <w:t>41/1604</w:t>
      </w:r>
      <w:r>
        <w:t>-20</w:t>
      </w:r>
      <w:r>
        <w:rPr>
          <w:rFonts w:hint="eastAsia"/>
        </w:rPr>
        <w:t>18），技术可行。</w:t>
      </w:r>
    </w:p>
    <w:p>
      <w:pPr>
        <w:widowControl/>
        <w:ind w:firstLine="480"/>
        <w:rPr>
          <w:color w:val="000000"/>
          <w:lang w:bidi="ar"/>
        </w:rPr>
      </w:pPr>
      <w:r>
        <w:rPr>
          <w:rFonts w:hint="eastAsia"/>
          <w:color w:val="000000"/>
          <w:lang w:bidi="ar"/>
        </w:rPr>
        <w:t>处理效果：按照《餐饮业油烟污染物排放标准》（D</w:t>
      </w:r>
      <w:r>
        <w:rPr>
          <w:color w:val="000000"/>
          <w:lang w:bidi="ar"/>
        </w:rPr>
        <w:t>B</w:t>
      </w:r>
      <w:r>
        <w:rPr>
          <w:rFonts w:hint="eastAsia"/>
          <w:color w:val="000000"/>
          <w:lang w:bidi="ar"/>
        </w:rPr>
        <w:t>41/1604</w:t>
      </w:r>
      <w:r>
        <w:rPr>
          <w:color w:val="000000"/>
          <w:lang w:bidi="ar"/>
        </w:rPr>
        <w:t>-20</w:t>
      </w:r>
      <w:r>
        <w:rPr>
          <w:rFonts w:hint="eastAsia"/>
          <w:color w:val="000000"/>
          <w:lang w:bidi="ar"/>
        </w:rPr>
        <w:t>18），油烟去除率不低于90%，出口油烟浓度≤1.5mg/m³。</w:t>
      </w:r>
    </w:p>
    <w:p>
      <w:pPr>
        <w:pStyle w:val="27"/>
        <w:numPr>
          <w:ilvl w:val="0"/>
          <w:numId w:val="8"/>
        </w:numPr>
        <w:ind w:left="0" w:leftChars="0" w:firstLine="482"/>
        <w:rPr>
          <w:b/>
          <w:bCs/>
        </w:rPr>
      </w:pPr>
      <w:r>
        <w:rPr>
          <w:rFonts w:hint="eastAsia"/>
          <w:b/>
          <w:bCs/>
        </w:rPr>
        <w:t>污水站废气</w:t>
      </w:r>
    </w:p>
    <w:p>
      <w:pPr>
        <w:widowControl/>
        <w:ind w:firstLine="480"/>
        <w:rPr>
          <w:color w:val="000000"/>
          <w:u w:val="single"/>
          <w:lang w:bidi="ar"/>
        </w:rPr>
      </w:pPr>
      <w:r>
        <w:rPr>
          <w:rFonts w:hint="eastAsia"/>
          <w:color w:val="000000"/>
          <w:u w:val="single"/>
          <w:lang w:bidi="ar"/>
        </w:rPr>
        <w:t>本环节废气采用</w:t>
      </w:r>
      <w:r>
        <w:rPr>
          <w:rFonts w:hint="eastAsia"/>
          <w:color w:val="000000"/>
          <w:u w:val="single"/>
          <w:lang w:eastAsia="zh-CN" w:bidi="ar"/>
        </w:rPr>
        <w:t>“</w:t>
      </w:r>
      <w:r>
        <w:rPr>
          <w:rFonts w:hint="eastAsia"/>
          <w:color w:val="000000"/>
          <w:u w:val="single"/>
          <w:lang w:bidi="ar"/>
        </w:rPr>
        <w:t>二级活性炭吸附装置</w:t>
      </w:r>
      <w:r>
        <w:rPr>
          <w:rFonts w:hint="eastAsia"/>
          <w:color w:val="000000"/>
          <w:u w:val="single"/>
          <w:lang w:eastAsia="zh-CN" w:bidi="ar"/>
        </w:rPr>
        <w:t>”</w:t>
      </w:r>
      <w:r>
        <w:rPr>
          <w:rFonts w:hint="eastAsia"/>
          <w:color w:val="000000"/>
          <w:u w:val="single"/>
          <w:lang w:bidi="ar"/>
        </w:rPr>
        <w:t>进行处理后无组织排放。</w:t>
      </w:r>
    </w:p>
    <w:p>
      <w:pPr>
        <w:widowControl/>
        <w:ind w:firstLine="480"/>
        <w:rPr>
          <w:rFonts w:hint="eastAsia"/>
          <w:u w:val="single"/>
        </w:rPr>
      </w:pPr>
      <w:r>
        <w:rPr>
          <w:rFonts w:hint="eastAsia"/>
          <w:u w:val="single"/>
        </w:rPr>
        <w:t>活性炭是一种很细小的炭粒有很大的表面积，而且炭粒中还有更细小的孔——毛细管。这种毛细管具有很强的吸附能力，由于炭粒的表面积很大，所以能与气体（杂质）充分接触。当这些气体（杂质）碰到毛细管被吸附，起到净化作用。此外，活性炭表面上存在着未平衡和未饱和的分子引力或化学键力，因此，活性炭表面与气体接触时，就能吸引气体分子，使其浓聚并保持在活性炭表面，此现象称为吸附；利用活性炭表面的吸附能力，使废气与大表面的多孔性活性炭相接触，废气中的污染物被吸附在活性炭表面上，使其与气体混合物分离，达到净化目的。</w:t>
      </w:r>
    </w:p>
    <w:p>
      <w:pPr>
        <w:widowControl/>
        <w:ind w:firstLine="480"/>
        <w:rPr>
          <w:u w:val="single"/>
        </w:rPr>
      </w:pPr>
      <w:r>
        <w:rPr>
          <w:rFonts w:hint="eastAsia"/>
          <w:u w:val="single"/>
        </w:rPr>
        <w:t>本环节废气采用</w:t>
      </w:r>
      <w:r>
        <w:rPr>
          <w:rFonts w:hint="eastAsia"/>
          <w:u w:val="single"/>
          <w:lang w:eastAsia="zh-CN"/>
        </w:rPr>
        <w:t>“</w:t>
      </w:r>
      <w:r>
        <w:rPr>
          <w:rFonts w:hint="eastAsia"/>
          <w:u w:val="single"/>
        </w:rPr>
        <w:t>二级活性炭吸附装置</w:t>
      </w:r>
      <w:r>
        <w:rPr>
          <w:rFonts w:hint="eastAsia"/>
          <w:u w:val="single"/>
          <w:lang w:eastAsia="zh-CN"/>
        </w:rPr>
        <w:t>”</w:t>
      </w:r>
      <w:r>
        <w:rPr>
          <w:rFonts w:hint="eastAsia"/>
          <w:u w:val="single"/>
        </w:rPr>
        <w:t>，该装置对酸性气体（</w:t>
      </w:r>
      <w:r>
        <w:rPr>
          <w:u w:val="single"/>
        </w:rPr>
        <w:t>NH</w:t>
      </w:r>
      <w:r>
        <w:rPr>
          <w:u w:val="single"/>
          <w:vertAlign w:val="subscript"/>
        </w:rPr>
        <w:t>3</w:t>
      </w:r>
      <w:r>
        <w:rPr>
          <w:rFonts w:hint="eastAsia"/>
          <w:u w:val="single"/>
        </w:rPr>
        <w:t>、</w:t>
      </w:r>
      <w:r>
        <w:rPr>
          <w:u w:val="single"/>
        </w:rPr>
        <w:t>H</w:t>
      </w:r>
      <w:r>
        <w:rPr>
          <w:u w:val="single"/>
          <w:vertAlign w:val="subscript"/>
        </w:rPr>
        <w:t>2</w:t>
      </w:r>
      <w:r>
        <w:rPr>
          <w:u w:val="single"/>
        </w:rPr>
        <w:t>S</w:t>
      </w:r>
      <w:r>
        <w:rPr>
          <w:rFonts w:hint="eastAsia"/>
          <w:u w:val="single"/>
        </w:rPr>
        <w:t>）去除效率达60</w:t>
      </w:r>
      <w:r>
        <w:rPr>
          <w:u w:val="single"/>
        </w:rPr>
        <w:t>%</w:t>
      </w:r>
      <w:r>
        <w:rPr>
          <w:rFonts w:hint="eastAsia"/>
          <w:u w:val="single"/>
        </w:rPr>
        <w:t>以上，经预测能达标排放。</w:t>
      </w:r>
    </w:p>
    <w:p>
      <w:pPr>
        <w:pStyle w:val="7"/>
        <w:ind w:firstLine="562"/>
      </w:pPr>
      <w:bookmarkStart w:id="208" w:name="_Toc5888504"/>
      <w:bookmarkStart w:id="209" w:name="_Toc9421"/>
      <w:r>
        <w:rPr>
          <w:rFonts w:hint="eastAsia"/>
        </w:rPr>
        <w:t xml:space="preserve">7.2.2 </w:t>
      </w:r>
      <w:r>
        <w:t>运营期地表水污染防治措施</w:t>
      </w:r>
      <w:bookmarkEnd w:id="208"/>
      <w:bookmarkEnd w:id="209"/>
    </w:p>
    <w:p>
      <w:pPr>
        <w:ind w:firstLine="480"/>
        <w:rPr>
          <w:b/>
          <w:bCs/>
        </w:rPr>
      </w:pPr>
      <w:r>
        <w:rPr>
          <w:b/>
          <w:bCs/>
        </w:rPr>
        <w:t>1、废水治理对象</w:t>
      </w:r>
    </w:p>
    <w:p>
      <w:pPr>
        <w:ind w:firstLine="480"/>
      </w:pPr>
      <w:r>
        <w:t>治理对象为</w:t>
      </w:r>
      <w:r>
        <w:rPr>
          <w:rFonts w:hint="eastAsia"/>
        </w:rPr>
        <w:t>生产废水和生活污水，</w:t>
      </w:r>
      <w:r>
        <w:t>其主要废水污染物主要为SS、COD、NH</w:t>
      </w:r>
      <w:r>
        <w:rPr>
          <w:vertAlign w:val="subscript"/>
        </w:rPr>
        <w:t>3</w:t>
      </w:r>
      <w:r>
        <w:t>-N、</w:t>
      </w:r>
      <w:r>
        <w:rPr>
          <w:rFonts w:hint="eastAsia"/>
        </w:rPr>
        <w:t>BOD</w:t>
      </w:r>
      <w:r>
        <w:rPr>
          <w:rFonts w:hint="eastAsia"/>
          <w:vertAlign w:val="subscript"/>
        </w:rPr>
        <w:t>5</w:t>
      </w:r>
      <w:r>
        <w:rPr>
          <w:rFonts w:hint="eastAsia"/>
        </w:rPr>
        <w:t>等</w:t>
      </w:r>
      <w:r>
        <w:t>。</w:t>
      </w:r>
    </w:p>
    <w:p>
      <w:pPr>
        <w:ind w:firstLine="480"/>
        <w:rPr>
          <w:b/>
          <w:bCs/>
        </w:rPr>
      </w:pPr>
      <w:r>
        <w:rPr>
          <w:b/>
          <w:bCs/>
        </w:rPr>
        <w:t>2、废水治理目标</w:t>
      </w:r>
    </w:p>
    <w:p>
      <w:pPr>
        <w:ind w:firstLine="480"/>
        <w:rPr>
          <w:rFonts w:hint="eastAsia" w:eastAsia="宋体"/>
          <w:lang w:eastAsia="zh-CN"/>
        </w:rPr>
      </w:pPr>
      <w:r>
        <w:t>根据现场调查，项目所在地的市政污水管网</w:t>
      </w:r>
      <w:r>
        <w:rPr>
          <w:rFonts w:hint="eastAsia"/>
        </w:rPr>
        <w:t>已</w:t>
      </w:r>
      <w:r>
        <w:t>铺设。</w:t>
      </w:r>
      <w:r>
        <w:rPr>
          <w:rFonts w:hint="eastAsia"/>
        </w:rPr>
        <w:t>根据设计方案，本项目废水处理站包括预处理系统和生化处理系统，其中生活污水系统采用</w:t>
      </w:r>
      <w:r>
        <w:rPr>
          <w:rFonts w:hint="eastAsia"/>
          <w:lang w:eastAsia="zh-CN"/>
        </w:rPr>
        <w:t>“</w:t>
      </w:r>
      <w:r>
        <w:rPr>
          <w:rFonts w:hint="eastAsia"/>
        </w:rPr>
        <w:t>化粪池+隔油池</w:t>
      </w:r>
      <w:r>
        <w:rPr>
          <w:rFonts w:hint="eastAsia"/>
          <w:lang w:eastAsia="zh-CN"/>
        </w:rPr>
        <w:t>”</w:t>
      </w:r>
      <w:r>
        <w:rPr>
          <w:rFonts w:hint="eastAsia"/>
        </w:rPr>
        <w:t>预处理工艺，生化处理系统采用</w:t>
      </w:r>
      <w:r>
        <w:rPr>
          <w:rFonts w:hint="eastAsia"/>
          <w:lang w:eastAsia="zh-CN"/>
        </w:rPr>
        <w:t>“预曝气调节池+厌氧反应器+水解酸化池+沉淀池”</w:t>
      </w:r>
      <w:r>
        <w:rPr>
          <w:rFonts w:hint="eastAsia"/>
        </w:rPr>
        <w:t>处理工艺，保证出水可以实现达标排放</w:t>
      </w:r>
      <w:r>
        <w:rPr>
          <w:rFonts w:hint="eastAsia"/>
          <w:lang w:eastAsia="zh-CN"/>
        </w:rPr>
        <w:t>。</w:t>
      </w:r>
    </w:p>
    <w:p>
      <w:pPr>
        <w:pStyle w:val="27"/>
        <w:spacing w:after="0"/>
        <w:ind w:left="0" w:leftChars="0" w:firstLine="480"/>
        <w:rPr>
          <w:b/>
          <w:bCs/>
        </w:rPr>
      </w:pPr>
      <w:r>
        <w:rPr>
          <w:b/>
          <w:bCs/>
        </w:rPr>
        <w:t>3、废水治理工艺</w:t>
      </w:r>
    </w:p>
    <w:p>
      <w:pPr>
        <w:pStyle w:val="27"/>
        <w:spacing w:after="0"/>
        <w:ind w:left="0" w:leftChars="0" w:firstLine="480"/>
      </w:pPr>
      <w:r>
        <w:t>根据项目运营期废水产生特点，废水处理系统拟选用</w:t>
      </w:r>
      <w:r>
        <w:rPr>
          <w:rFonts w:hint="eastAsia"/>
          <w:lang w:eastAsia="zh-CN"/>
        </w:rPr>
        <w:t>“预曝气调节池+厌氧反应器+水解酸化池+沉淀池”</w:t>
      </w:r>
      <w:r>
        <w:t>工艺对其中的SS、COD、NH</w:t>
      </w:r>
      <w:r>
        <w:rPr>
          <w:vertAlign w:val="subscript"/>
        </w:rPr>
        <w:t>3</w:t>
      </w:r>
      <w:r>
        <w:t>-N、</w:t>
      </w:r>
      <w:r>
        <w:rPr>
          <w:rFonts w:hint="eastAsia"/>
        </w:rPr>
        <w:t>BOD</w:t>
      </w:r>
      <w:r>
        <w:rPr>
          <w:rFonts w:hint="eastAsia"/>
          <w:vertAlign w:val="subscript"/>
        </w:rPr>
        <w:t>5</w:t>
      </w:r>
      <w:r>
        <w:t>等污染物进行去除，具体工艺路线见图</w:t>
      </w:r>
      <w:r>
        <w:rPr>
          <w:rFonts w:hint="eastAsia"/>
        </w:rPr>
        <w:t>7.</w:t>
      </w:r>
      <w:r>
        <w:t>2-1。</w:t>
      </w:r>
    </w:p>
    <w:p>
      <w:pPr>
        <w:ind w:firstLine="0" w:firstLineChars="0"/>
        <w:jc w:val="center"/>
        <w:rPr>
          <w:rFonts w:hint="eastAsia" w:eastAsia="宋体"/>
          <w:lang w:eastAsia="zh-CN"/>
        </w:rPr>
      </w:pPr>
      <w:r>
        <w:rPr>
          <w:rFonts w:hint="eastAsia" w:eastAsia="宋体"/>
          <w:lang w:eastAsia="zh-CN"/>
        </w:rPr>
        <w:drawing>
          <wp:inline distT="0" distB="0" distL="114300" distR="114300">
            <wp:extent cx="4585335" cy="4259580"/>
            <wp:effectExtent l="0" t="0" r="5715" b="7620"/>
            <wp:docPr id="37" name="图片 37" descr="1655986258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1655986258292"/>
                    <pic:cNvPicPr>
                      <a:picLocks noChangeAspect="1"/>
                    </pic:cNvPicPr>
                  </pic:nvPicPr>
                  <pic:blipFill>
                    <a:blip r:embed="rId107"/>
                    <a:stretch>
                      <a:fillRect/>
                    </a:stretch>
                  </pic:blipFill>
                  <pic:spPr>
                    <a:xfrm>
                      <a:off x="0" y="0"/>
                      <a:ext cx="4585335" cy="4259580"/>
                    </a:xfrm>
                    <a:prstGeom prst="rect">
                      <a:avLst/>
                    </a:prstGeom>
                  </pic:spPr>
                </pic:pic>
              </a:graphicData>
            </a:graphic>
          </wp:inline>
        </w:drawing>
      </w:r>
    </w:p>
    <w:p>
      <w:pPr>
        <w:pStyle w:val="27"/>
        <w:spacing w:after="0"/>
        <w:ind w:left="0" w:leftChars="0" w:firstLine="482"/>
        <w:jc w:val="center"/>
        <w:rPr>
          <w:b/>
          <w:bCs/>
        </w:rPr>
      </w:pPr>
      <w:r>
        <w:rPr>
          <w:b/>
          <w:bCs/>
        </w:rPr>
        <w:t>图</w:t>
      </w:r>
      <w:r>
        <w:rPr>
          <w:rFonts w:hint="eastAsia"/>
          <w:b/>
          <w:bCs/>
        </w:rPr>
        <w:t>7.2</w:t>
      </w:r>
      <w:r>
        <w:rPr>
          <w:b/>
          <w:bCs/>
        </w:rPr>
        <w:t>-</w:t>
      </w:r>
      <w:r>
        <w:rPr>
          <w:rFonts w:hint="eastAsia"/>
          <w:b/>
          <w:bCs/>
          <w:lang w:val="en-US" w:eastAsia="zh-CN"/>
        </w:rPr>
        <w:t>2</w:t>
      </w:r>
      <w:r>
        <w:rPr>
          <w:b/>
          <w:bCs/>
        </w:rPr>
        <w:t xml:space="preserve">  污水处理设施工艺流程图</w:t>
      </w:r>
    </w:p>
    <w:p>
      <w:pPr>
        <w:ind w:firstLine="480"/>
      </w:pPr>
      <w:r>
        <w:t>（1）</w:t>
      </w:r>
      <w:r>
        <w:rPr>
          <w:rFonts w:hint="eastAsia"/>
        </w:rPr>
        <w:t>预曝气调节池</w:t>
      </w:r>
    </w:p>
    <w:p>
      <w:pPr>
        <w:pStyle w:val="27"/>
        <w:spacing w:after="0"/>
        <w:ind w:left="0" w:leftChars="0" w:firstLine="480"/>
      </w:pPr>
      <w:r>
        <w:rPr>
          <w:rFonts w:hint="eastAsia"/>
        </w:rPr>
        <w:t>工艺废水经过预处理破清除氨氮后进入预曝气调节池，与锅炉排污水、设备和地面冲洗废水、废液焚烧装置洗涤废水一起在预曝气调节池内进行混合。各类废水进入调节池，经弯端道送入直廊道，其中内侧池中的污水在推进器的推动下，以顺时针方向向前推进，进入曝气区中。同时，鼓风机中的有氧空气经供风管送入曝气区，废水在曝气区中与有氧空气接触，污水中的溶氧量明显增加，随污水带入的微生物在有氧条件下，充分分解部分污染物，并达到降低污水毒性的作用，完成曝气预处理后，送入调节池另一端的弯端道处，若废水的处理</w:t>
      </w:r>
      <w:r>
        <w:rPr>
          <w:rFonts w:hint="eastAsia"/>
          <w:lang w:eastAsia="zh-CN"/>
        </w:rPr>
        <w:t>未</w:t>
      </w:r>
      <w:r>
        <w:rPr>
          <w:rFonts w:hint="eastAsia"/>
        </w:rPr>
        <w:t>达到要求，并在该处推进器的作用下，在直廊道中做与之前方向相反的流动，推进器的设置配合跑道型调节池确保了废水在该调节池中始终呈顺时针方向流动，使废水得到有效的混合，降低了废水水质的波动性，保证后续工艺运行正常稳定。</w:t>
      </w:r>
    </w:p>
    <w:p>
      <w:pPr>
        <w:ind w:firstLine="480"/>
      </w:pPr>
      <w:r>
        <w:t>（2）</w:t>
      </w:r>
      <w:r>
        <w:rPr>
          <w:rFonts w:hint="eastAsia"/>
        </w:rPr>
        <w:t>厌氧反应器</w:t>
      </w:r>
    </w:p>
    <w:p>
      <w:pPr>
        <w:ind w:firstLine="480"/>
      </w:pPr>
      <w:r>
        <w:rPr>
          <w:rFonts w:hint="eastAsia"/>
        </w:rPr>
        <w:t>利用厌氧菌的作用，使有机物发生水解、酸化和甲烷化，去除废水中的有机物和总磷，并提高污水的可生化性，有利于后续的耗氧处理。厌氧条件下，兼性菌将溶解性有机物转化成挥发性脂肪酸；聚磷菌把细胞内聚磷水解为正酸盐，并从中获得能量，吸收污水中的易降解的</w:t>
      </w:r>
      <w:r>
        <w:t>COD</w:t>
      </w:r>
      <w:r>
        <w:rPr>
          <w:rFonts w:hint="eastAsia"/>
        </w:rPr>
        <w:t>，同化成细胞内碳能源存贮物聚</w:t>
      </w:r>
      <w:r>
        <w:t>β-</w:t>
      </w:r>
      <w:r>
        <w:rPr>
          <w:rFonts w:hint="eastAsia"/>
        </w:rPr>
        <w:t>羟基丁酸或</w:t>
      </w:r>
      <w:r>
        <w:t>β-</w:t>
      </w:r>
      <w:r>
        <w:rPr>
          <w:rFonts w:hint="eastAsia"/>
        </w:rPr>
        <w:t>羟基戊酸等。在好氧条件下，聚磷菌以分子氧或化合态氧作为电子受体，氧化代谢内贮物质</w:t>
      </w:r>
      <w:r>
        <w:t>PHB</w:t>
      </w:r>
      <w:r>
        <w:rPr>
          <w:rFonts w:hint="eastAsia"/>
        </w:rPr>
        <w:t>或</w:t>
      </w:r>
      <w:r>
        <w:t>PHV</w:t>
      </w:r>
      <w:r>
        <w:rPr>
          <w:rFonts w:hint="eastAsia"/>
        </w:rPr>
        <w:t>等，并产生能量，过量地从污水中摄取磷酸盐，能量以高能物质</w:t>
      </w:r>
      <w:r>
        <w:t>ATP</w:t>
      </w:r>
      <w:r>
        <w:rPr>
          <w:rFonts w:hint="eastAsia"/>
        </w:rPr>
        <w:t>的形式存贮，其中一部分有转化为聚磷，作为能量贮于细胞内，通过剩余污泥的排放实现高效生物除磷目的。</w:t>
      </w:r>
    </w:p>
    <w:p>
      <w:pPr>
        <w:ind w:firstLine="480"/>
      </w:pPr>
      <w:r>
        <w:t>（3）</w:t>
      </w:r>
      <w:r>
        <w:rPr>
          <w:rFonts w:hint="eastAsia"/>
        </w:rPr>
        <w:t>水解酸化池</w:t>
      </w:r>
    </w:p>
    <w:p>
      <w:pPr>
        <w:ind w:firstLine="480"/>
      </w:pPr>
      <w:r>
        <w:rPr>
          <w:rFonts w:hint="eastAsia"/>
        </w:rPr>
        <w:t>水解酸化过程能将废水中的非溶解态有机物截留并逐步转变为溶解态有机物，一些难于生物降解大分子物质被转化为易于降解的小分子物质如有机酸等，从而使废水的可生化性和降解速度大幅度提高，以利于后续好氧生物处理</w:t>
      </w:r>
      <w:r>
        <w:t>。</w:t>
      </w:r>
    </w:p>
    <w:p>
      <w:pPr>
        <w:ind w:firstLine="480"/>
      </w:pPr>
      <w:r>
        <w:t>（</w:t>
      </w:r>
      <w:r>
        <w:rPr>
          <w:rFonts w:hint="eastAsia"/>
          <w:lang w:val="en-US" w:eastAsia="zh-CN"/>
        </w:rPr>
        <w:t>4</w:t>
      </w:r>
      <w:r>
        <w:t>）板框压滤</w:t>
      </w:r>
    </w:p>
    <w:p>
      <w:pPr>
        <w:ind w:firstLine="480"/>
      </w:pPr>
      <w:r>
        <w:t>沉淀池泥浆、旋转过滤的碎片以及气浮刮渣统一运输至板框压滤机进行压滤脱水、风干至含水率低于60%后运至当地垃圾填埋场填埋处置。</w:t>
      </w:r>
    </w:p>
    <w:p>
      <w:pPr>
        <w:ind w:firstLine="480"/>
        <w:rPr>
          <w:rFonts w:cs="Times New Roman"/>
          <w:szCs w:val="28"/>
        </w:rPr>
      </w:pPr>
      <w:r>
        <w:rPr>
          <w:rFonts w:cs="Times New Roman"/>
          <w:szCs w:val="28"/>
        </w:rPr>
        <w:t>各污水处理单元效果见表</w:t>
      </w:r>
      <w:r>
        <w:rPr>
          <w:rFonts w:hint="eastAsia" w:cs="Times New Roman"/>
          <w:szCs w:val="28"/>
        </w:rPr>
        <w:t>7.2</w:t>
      </w:r>
      <w:r>
        <w:rPr>
          <w:rFonts w:cs="Times New Roman"/>
          <w:szCs w:val="28"/>
        </w:rPr>
        <w:t>-</w:t>
      </w:r>
      <w:r>
        <w:rPr>
          <w:rFonts w:hint="eastAsia" w:cs="Times New Roman"/>
          <w:szCs w:val="28"/>
        </w:rPr>
        <w:t>3</w:t>
      </w:r>
      <w:r>
        <w:rPr>
          <w:rFonts w:cs="Times New Roman"/>
          <w:szCs w:val="28"/>
        </w:rPr>
        <w:t>。</w:t>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cs="Times New Roman"/>
          <w:b/>
          <w:bCs/>
        </w:rPr>
      </w:pPr>
      <w:r>
        <w:rPr>
          <w:rFonts w:cs="Times New Roman"/>
          <w:b/>
          <w:bCs/>
        </w:rPr>
        <w:t>表</w:t>
      </w:r>
      <w:r>
        <w:rPr>
          <w:rFonts w:hint="eastAsia" w:cs="Times New Roman"/>
          <w:b/>
          <w:bCs/>
        </w:rPr>
        <w:t>7.2</w:t>
      </w:r>
      <w:r>
        <w:rPr>
          <w:rFonts w:cs="Times New Roman"/>
          <w:b/>
          <w:bCs/>
        </w:rPr>
        <w:t>-</w:t>
      </w:r>
      <w:r>
        <w:rPr>
          <w:rFonts w:hint="eastAsia" w:cs="Times New Roman"/>
          <w:b/>
          <w:bCs/>
        </w:rPr>
        <w:t xml:space="preserve">3  </w:t>
      </w:r>
      <w:r>
        <w:rPr>
          <w:rFonts w:cs="Times New Roman"/>
          <w:b/>
          <w:bCs/>
        </w:rPr>
        <w:t>各污水处理单元去除效果</w:t>
      </w:r>
    </w:p>
    <w:tbl>
      <w:tblPr>
        <w:tblStyle w:val="51"/>
        <w:tblW w:w="5013"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059"/>
        <w:gridCol w:w="1208"/>
        <w:gridCol w:w="998"/>
        <w:gridCol w:w="807"/>
        <w:gridCol w:w="1058"/>
        <w:gridCol w:w="938"/>
        <w:gridCol w:w="743"/>
        <w:gridCol w:w="763"/>
        <w:gridCol w:w="752"/>
        <w:gridCol w:w="77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46" w:type="pct"/>
            <w:gridSpan w:val="2"/>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项目</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水量</w:t>
            </w:r>
          </w:p>
        </w:tc>
        <w:tc>
          <w:tcPr>
            <w:tcW w:w="44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COD</w:t>
            </w:r>
          </w:p>
        </w:tc>
        <w:tc>
          <w:tcPr>
            <w:tcW w:w="58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BOD</w:t>
            </w:r>
            <w:r>
              <w:rPr>
                <w:rFonts w:eastAsia="Times New Roman" w:cs="Times New Roman"/>
                <w:sz w:val="21"/>
                <w:szCs w:val="21"/>
                <w:vertAlign w:val="subscript"/>
              </w:rPr>
              <w:t>5</w:t>
            </w:r>
          </w:p>
        </w:tc>
        <w:tc>
          <w:tcPr>
            <w:tcW w:w="51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SS</w:t>
            </w:r>
          </w:p>
        </w:tc>
        <w:tc>
          <w:tcPr>
            <w:tcW w:w="40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氨氮</w:t>
            </w:r>
          </w:p>
        </w:tc>
        <w:tc>
          <w:tcPr>
            <w:tcW w:w="41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动植物油</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Times New Roman" w:cs="Times New Roman"/>
                <w:sz w:val="21"/>
                <w:szCs w:val="21"/>
                <w:lang w:val="en-US" w:eastAsia="zh-CN"/>
              </w:rPr>
            </w:pPr>
            <w:r>
              <w:rPr>
                <w:rFonts w:hint="eastAsia" w:eastAsia="Times New Roman" w:cs="Times New Roman"/>
                <w:sz w:val="21"/>
                <w:szCs w:val="21"/>
                <w:lang w:val="en-US" w:eastAsia="zh-CN"/>
              </w:rPr>
              <w:t>TN</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Times New Roman" w:cs="Times New Roman"/>
                <w:sz w:val="21"/>
                <w:szCs w:val="21"/>
                <w:lang w:val="en-US" w:eastAsia="zh-CN"/>
              </w:rPr>
            </w:pPr>
            <w:r>
              <w:rPr>
                <w:rFonts w:hint="eastAsia" w:eastAsia="Times New Roman" w:cs="Times New Roman"/>
                <w:sz w:val="21"/>
                <w:szCs w:val="21"/>
                <w:lang w:val="en-US" w:eastAsia="zh-CN"/>
              </w:rPr>
              <w:t>TP</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46" w:type="pct"/>
            <w:gridSpan w:val="2"/>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cs="Times New Roman"/>
                <w:sz w:val="21"/>
                <w:szCs w:val="21"/>
              </w:rPr>
              <w:t>m</w:t>
            </w:r>
            <w:r>
              <w:rPr>
                <w:rFonts w:hint="eastAsia" w:cs="Times New Roman"/>
                <w:sz w:val="21"/>
                <w:szCs w:val="21"/>
                <w:vertAlign w:val="superscript"/>
              </w:rPr>
              <w:t>3</w:t>
            </w:r>
            <w:r>
              <w:rPr>
                <w:rFonts w:eastAsia="Times New Roman" w:cs="Times New Roman"/>
                <w:sz w:val="21"/>
                <w:szCs w:val="21"/>
              </w:rPr>
              <w:t>/a</w:t>
            </w:r>
          </w:p>
        </w:tc>
        <w:tc>
          <w:tcPr>
            <w:tcW w:w="44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58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51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40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41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mg/L</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生活污水（</w:t>
            </w:r>
            <w:r>
              <w:rPr>
                <w:rFonts w:hint="eastAsia" w:ascii="宋体" w:hAnsi="宋体" w:cs="宋体"/>
                <w:sz w:val="21"/>
                <w:szCs w:val="21"/>
              </w:rPr>
              <w:t>隔油化粪池预处理</w:t>
            </w:r>
            <w:r>
              <w:rPr>
                <w:rFonts w:ascii="宋体" w:hAnsi="宋体" w:cs="宋体"/>
                <w:sz w:val="21"/>
                <w:szCs w:val="21"/>
              </w:rPr>
              <w:t>）</w:t>
            </w:r>
          </w:p>
        </w:tc>
        <w:tc>
          <w:tcPr>
            <w:tcW w:w="664"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1"/>
                <w:szCs w:val="21"/>
                <w:lang w:eastAsia="zh-CN"/>
              </w:rPr>
            </w:pPr>
            <w:r>
              <w:rPr>
                <w:rFonts w:hint="eastAsia" w:ascii="宋体" w:hAnsi="宋体" w:cs="宋体"/>
                <w:sz w:val="21"/>
                <w:szCs w:val="21"/>
                <w:lang w:eastAsia="zh-CN"/>
              </w:rPr>
              <w:t>预处理进口</w:t>
            </w:r>
          </w:p>
        </w:tc>
        <w:tc>
          <w:tcPr>
            <w:tcW w:w="548"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cs="Times New Roman"/>
                <w:sz w:val="21"/>
                <w:szCs w:val="21"/>
              </w:rPr>
              <w:t>2400</w:t>
            </w:r>
          </w:p>
        </w:tc>
        <w:tc>
          <w:tcPr>
            <w:tcW w:w="443"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sz w:val="21"/>
                <w:szCs w:val="21"/>
                <w:lang w:val="en-US" w:eastAsia="zh-CN"/>
              </w:rPr>
              <w:t>300</w:t>
            </w:r>
          </w:p>
        </w:tc>
        <w:tc>
          <w:tcPr>
            <w:tcW w:w="581"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sz w:val="21"/>
                <w:szCs w:val="21"/>
                <w:lang w:val="en-US" w:eastAsia="zh-CN"/>
              </w:rPr>
              <w:t>80</w:t>
            </w:r>
          </w:p>
        </w:tc>
        <w:tc>
          <w:tcPr>
            <w:tcW w:w="515"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sz w:val="21"/>
                <w:szCs w:val="21"/>
                <w:lang w:val="en-US" w:eastAsia="zh-CN"/>
              </w:rPr>
              <w:t>200</w:t>
            </w:r>
          </w:p>
        </w:tc>
        <w:tc>
          <w:tcPr>
            <w:tcW w:w="408"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sz w:val="21"/>
                <w:szCs w:val="21"/>
                <w:lang w:val="en-US" w:eastAsia="zh-CN"/>
              </w:rPr>
              <w:t>30</w:t>
            </w:r>
          </w:p>
        </w:tc>
        <w:tc>
          <w:tcPr>
            <w:tcW w:w="419"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sz w:val="21"/>
                <w:szCs w:val="21"/>
                <w:lang w:val="en-US" w:eastAsia="zh-CN"/>
              </w:rPr>
              <w:t>100</w:t>
            </w:r>
          </w:p>
        </w:tc>
        <w:tc>
          <w:tcPr>
            <w:tcW w:w="413"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Times New Roman" w:cs="Times New Roman"/>
                <w:sz w:val="21"/>
                <w:szCs w:val="21"/>
              </w:rPr>
            </w:pPr>
            <w:r>
              <w:rPr>
                <w:rFonts w:hint="eastAsia"/>
                <w:sz w:val="21"/>
                <w:szCs w:val="21"/>
                <w:lang w:val="en-US" w:eastAsia="zh-CN"/>
              </w:rPr>
              <w:t>/</w:t>
            </w:r>
          </w:p>
        </w:tc>
        <w:tc>
          <w:tcPr>
            <w:tcW w:w="424"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Times New Roman" w:cs="Times New Roman"/>
                <w:sz w:val="21"/>
                <w:szCs w:val="21"/>
              </w:rPr>
            </w:pPr>
            <w:r>
              <w:rPr>
                <w:rFonts w:hint="eastAsia"/>
                <w:sz w:val="21"/>
                <w:szCs w:val="21"/>
                <w:lang w:val="en-US" w:eastAsia="zh-CN"/>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continue"/>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p>
        </w:tc>
        <w:tc>
          <w:tcPr>
            <w:tcW w:w="664"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eastAsia="宋体" w:cs="宋体"/>
                <w:sz w:val="21"/>
                <w:szCs w:val="21"/>
                <w:lang w:eastAsia="zh-CN"/>
              </w:rPr>
            </w:pPr>
            <w:r>
              <w:rPr>
                <w:rFonts w:hint="eastAsia" w:ascii="宋体" w:hAnsi="宋体" w:cs="宋体"/>
                <w:sz w:val="21"/>
                <w:szCs w:val="21"/>
                <w:lang w:eastAsia="zh-CN"/>
              </w:rPr>
              <w:t>预处理出口</w:t>
            </w:r>
          </w:p>
        </w:tc>
        <w:tc>
          <w:tcPr>
            <w:tcW w:w="54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cs="Times New Roman"/>
                <w:sz w:val="21"/>
                <w:szCs w:val="21"/>
                <w:lang w:val="en-US" w:eastAsia="zh-CN"/>
              </w:rPr>
              <w:t>2400</w:t>
            </w:r>
          </w:p>
        </w:tc>
        <w:tc>
          <w:tcPr>
            <w:tcW w:w="443"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240</w:t>
            </w:r>
          </w:p>
        </w:tc>
        <w:tc>
          <w:tcPr>
            <w:tcW w:w="581"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72</w:t>
            </w:r>
          </w:p>
        </w:tc>
        <w:tc>
          <w:tcPr>
            <w:tcW w:w="515"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140</w:t>
            </w:r>
          </w:p>
        </w:tc>
        <w:tc>
          <w:tcPr>
            <w:tcW w:w="40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28</w:t>
            </w:r>
          </w:p>
        </w:tc>
        <w:tc>
          <w:tcPr>
            <w:tcW w:w="419"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cs="Times New Roman"/>
                <w:sz w:val="21"/>
                <w:szCs w:val="21"/>
                <w:lang w:val="en-US" w:eastAsia="zh-CN"/>
              </w:rPr>
              <w:t>40</w:t>
            </w:r>
          </w:p>
        </w:tc>
        <w:tc>
          <w:tcPr>
            <w:tcW w:w="413"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val="en-US" w:eastAsia="zh-CN"/>
              </w:rPr>
            </w:pPr>
            <w:r>
              <w:rPr>
                <w:rFonts w:hint="eastAsia" w:eastAsia="宋体" w:cs="Times New Roman"/>
                <w:sz w:val="21"/>
                <w:szCs w:val="21"/>
                <w:lang w:val="en-US" w:eastAsia="zh-CN"/>
              </w:rPr>
              <w:t>/</w:t>
            </w:r>
          </w:p>
        </w:tc>
        <w:tc>
          <w:tcPr>
            <w:tcW w:w="424"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Times New Roman" w:cs="Times New Roman"/>
                <w:sz w:val="21"/>
                <w:szCs w:val="21"/>
              </w:rPr>
            </w:pPr>
            <w:r>
              <w:rPr>
                <w:rFonts w:hint="eastAsia"/>
                <w:sz w:val="21"/>
                <w:szCs w:val="21"/>
                <w:lang w:val="en-US" w:eastAsia="zh-CN"/>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生产废水</w:t>
            </w:r>
          </w:p>
        </w:tc>
        <w:tc>
          <w:tcPr>
            <w:tcW w:w="664"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hAnsi="宋体" w:cs="宋体"/>
                <w:sz w:val="21"/>
                <w:szCs w:val="21"/>
                <w:lang w:eastAsia="zh-CN"/>
              </w:rPr>
            </w:pPr>
            <w:r>
              <w:rPr>
                <w:rFonts w:ascii="宋体" w:hAnsi="宋体" w:cs="宋体"/>
                <w:sz w:val="21"/>
                <w:szCs w:val="21"/>
              </w:rPr>
              <w:t>产生情况</w:t>
            </w:r>
          </w:p>
        </w:tc>
        <w:tc>
          <w:tcPr>
            <w:tcW w:w="548"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cs="Times New Roman"/>
                <w:sz w:val="21"/>
                <w:szCs w:val="21"/>
              </w:rPr>
            </w:pPr>
            <w:r>
              <w:rPr>
                <w:rFonts w:hint="eastAsia" w:cs="Times New Roman"/>
                <w:sz w:val="21"/>
                <w:szCs w:val="21"/>
              </w:rPr>
              <w:t>9510.0508</w:t>
            </w:r>
          </w:p>
        </w:tc>
        <w:tc>
          <w:tcPr>
            <w:tcW w:w="443"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277.51</w:t>
            </w:r>
          </w:p>
        </w:tc>
        <w:tc>
          <w:tcPr>
            <w:tcW w:w="581"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121.74</w:t>
            </w:r>
          </w:p>
        </w:tc>
        <w:tc>
          <w:tcPr>
            <w:tcW w:w="515"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rPr>
            </w:pPr>
            <w:r>
              <w:rPr>
                <w:rFonts w:hint="eastAsia"/>
                <w:sz w:val="21"/>
                <w:szCs w:val="21"/>
                <w:lang w:val="en-US" w:eastAsia="zh-CN"/>
              </w:rPr>
              <w:t>215.48</w:t>
            </w:r>
          </w:p>
        </w:tc>
        <w:tc>
          <w:tcPr>
            <w:tcW w:w="408"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sz w:val="21"/>
                <w:szCs w:val="21"/>
                <w:lang w:val="en-US" w:eastAsia="zh-CN"/>
              </w:rPr>
            </w:pPr>
            <w:r>
              <w:rPr>
                <w:rFonts w:hint="eastAsia"/>
                <w:sz w:val="21"/>
                <w:szCs w:val="21"/>
                <w:lang w:val="en-US" w:eastAsia="zh-CN"/>
              </w:rPr>
              <w:t>28.05</w:t>
            </w:r>
          </w:p>
        </w:tc>
        <w:tc>
          <w:tcPr>
            <w:tcW w:w="419"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val="en-US" w:eastAsia="zh-CN"/>
              </w:rPr>
            </w:pPr>
            <w:r>
              <w:rPr>
                <w:rFonts w:hint="eastAsia" w:cs="Times New Roman"/>
                <w:sz w:val="21"/>
                <w:szCs w:val="21"/>
                <w:lang w:val="en-US" w:eastAsia="zh-CN"/>
              </w:rPr>
              <w:t>/</w:t>
            </w:r>
          </w:p>
        </w:tc>
        <w:tc>
          <w:tcPr>
            <w:tcW w:w="413"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24.05</w:t>
            </w:r>
          </w:p>
        </w:tc>
        <w:tc>
          <w:tcPr>
            <w:tcW w:w="424"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val="en-US" w:eastAsia="zh-CN"/>
              </w:rPr>
            </w:pPr>
            <w:r>
              <w:rPr>
                <w:rFonts w:hint="eastAsia" w:eastAsia="宋体" w:cs="Times New Roman"/>
                <w:sz w:val="21"/>
                <w:szCs w:val="21"/>
                <w:lang w:val="en-US" w:eastAsia="zh-CN"/>
              </w:rPr>
              <w:t>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46"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进入污水站混合废水</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cs="Times New Roman"/>
                <w:sz w:val="21"/>
                <w:szCs w:val="21"/>
                <w:lang w:val="en-US" w:eastAsia="zh-CN"/>
              </w:rPr>
              <w:t>11910.0508</w:t>
            </w:r>
          </w:p>
        </w:tc>
        <w:tc>
          <w:tcPr>
            <w:tcW w:w="44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264.21</w:t>
            </w:r>
          </w:p>
        </w:tc>
        <w:tc>
          <w:tcPr>
            <w:tcW w:w="581"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104.11</w:t>
            </w:r>
          </w:p>
        </w:tc>
        <w:tc>
          <w:tcPr>
            <w:tcW w:w="515"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188.72</w:t>
            </w:r>
          </w:p>
        </w:tc>
        <w:tc>
          <w:tcPr>
            <w:tcW w:w="408"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28.03</w:t>
            </w:r>
          </w:p>
        </w:tc>
        <w:tc>
          <w:tcPr>
            <w:tcW w:w="419"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14.18</w:t>
            </w:r>
          </w:p>
        </w:tc>
        <w:tc>
          <w:tcPr>
            <w:tcW w:w="41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15.53</w:t>
            </w:r>
          </w:p>
        </w:tc>
        <w:tc>
          <w:tcPr>
            <w:tcW w:w="424"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10.63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ascii="宋体" w:hAnsi="宋体" w:cs="宋体"/>
                <w:sz w:val="21"/>
                <w:szCs w:val="21"/>
              </w:rPr>
              <w:t>曝气</w:t>
            </w:r>
            <w:r>
              <w:rPr>
                <w:rFonts w:ascii="宋体" w:hAnsi="宋体" w:cs="宋体"/>
                <w:sz w:val="21"/>
                <w:szCs w:val="21"/>
              </w:rPr>
              <w:t>调节</w:t>
            </w:r>
            <w:r>
              <w:rPr>
                <w:rFonts w:eastAsia="Times New Roman" w:cs="Times New Roman"/>
                <w:sz w:val="21"/>
                <w:szCs w:val="21"/>
              </w:rPr>
              <w:t>+</w:t>
            </w:r>
            <w:r>
              <w:rPr>
                <w:rFonts w:ascii="宋体" w:hAnsi="宋体" w:cs="宋体"/>
                <w:sz w:val="21"/>
                <w:szCs w:val="21"/>
              </w:rPr>
              <w:t>沉淀</w:t>
            </w:r>
          </w:p>
        </w:tc>
        <w:tc>
          <w:tcPr>
            <w:tcW w:w="66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处理效率</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4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eastAsia="宋体" w:cs="Times New Roman"/>
                <w:sz w:val="21"/>
                <w:szCs w:val="21"/>
                <w:lang w:val="en-US" w:eastAsia="zh-CN"/>
              </w:rPr>
              <w:t>30</w:t>
            </w:r>
            <w:r>
              <w:rPr>
                <w:rFonts w:eastAsia="Times New Roman" w:cs="Times New Roman"/>
                <w:sz w:val="21"/>
                <w:szCs w:val="21"/>
              </w:rPr>
              <w:t>%</w:t>
            </w:r>
          </w:p>
        </w:tc>
        <w:tc>
          <w:tcPr>
            <w:tcW w:w="58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eastAsia="宋体" w:cs="Times New Roman"/>
                <w:sz w:val="21"/>
                <w:szCs w:val="21"/>
                <w:lang w:val="en-US" w:eastAsia="zh-CN"/>
              </w:rPr>
              <w:t>10</w:t>
            </w:r>
            <w:r>
              <w:rPr>
                <w:rFonts w:eastAsia="Times New Roman" w:cs="Times New Roman"/>
                <w:sz w:val="21"/>
                <w:szCs w:val="21"/>
              </w:rPr>
              <w:t>%</w:t>
            </w:r>
          </w:p>
        </w:tc>
        <w:tc>
          <w:tcPr>
            <w:tcW w:w="51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eastAsia" w:eastAsia="宋体" w:cs="Times New Roman"/>
                <w:sz w:val="21"/>
                <w:szCs w:val="21"/>
                <w:lang w:val="en-US" w:eastAsia="zh-CN"/>
              </w:rPr>
              <w:t>7</w:t>
            </w:r>
            <w:r>
              <w:rPr>
                <w:rFonts w:eastAsia="Times New Roman" w:cs="Times New Roman"/>
                <w:sz w:val="21"/>
                <w:szCs w:val="21"/>
              </w:rPr>
              <w:t>0%</w:t>
            </w:r>
          </w:p>
        </w:tc>
        <w:tc>
          <w:tcPr>
            <w:tcW w:w="40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1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66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出水</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11910.0508</w:t>
            </w:r>
          </w:p>
        </w:tc>
        <w:tc>
          <w:tcPr>
            <w:tcW w:w="44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184.95</w:t>
            </w:r>
          </w:p>
        </w:tc>
        <w:tc>
          <w:tcPr>
            <w:tcW w:w="581"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93.70</w:t>
            </w:r>
          </w:p>
        </w:tc>
        <w:tc>
          <w:tcPr>
            <w:tcW w:w="515"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56.62</w:t>
            </w:r>
          </w:p>
        </w:tc>
        <w:tc>
          <w:tcPr>
            <w:tcW w:w="408"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28.03</w:t>
            </w:r>
          </w:p>
        </w:tc>
        <w:tc>
          <w:tcPr>
            <w:tcW w:w="419"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14.18</w:t>
            </w:r>
          </w:p>
        </w:tc>
        <w:tc>
          <w:tcPr>
            <w:tcW w:w="41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15.53</w:t>
            </w:r>
          </w:p>
        </w:tc>
        <w:tc>
          <w:tcPr>
            <w:tcW w:w="424"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10.63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cs="Times New Roman"/>
                <w:sz w:val="21"/>
                <w:szCs w:val="21"/>
              </w:rPr>
            </w:pPr>
            <w:r>
              <w:rPr>
                <w:rFonts w:hint="eastAsia" w:cs="Times New Roman"/>
                <w:sz w:val="21"/>
                <w:szCs w:val="21"/>
              </w:rPr>
              <w:t>厌氧反应器</w:t>
            </w:r>
          </w:p>
        </w:tc>
        <w:tc>
          <w:tcPr>
            <w:tcW w:w="66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处理效率</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4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70%</w:t>
            </w:r>
          </w:p>
        </w:tc>
        <w:tc>
          <w:tcPr>
            <w:tcW w:w="58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85%</w:t>
            </w:r>
          </w:p>
        </w:tc>
        <w:tc>
          <w:tcPr>
            <w:tcW w:w="51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50%</w:t>
            </w:r>
          </w:p>
        </w:tc>
        <w:tc>
          <w:tcPr>
            <w:tcW w:w="40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1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30%</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10%</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30%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66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出水</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11910.0508</w:t>
            </w:r>
          </w:p>
        </w:tc>
        <w:tc>
          <w:tcPr>
            <w:tcW w:w="44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55.48</w:t>
            </w:r>
          </w:p>
        </w:tc>
        <w:tc>
          <w:tcPr>
            <w:tcW w:w="581"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14.05</w:t>
            </w:r>
          </w:p>
        </w:tc>
        <w:tc>
          <w:tcPr>
            <w:tcW w:w="515"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28.31</w:t>
            </w:r>
          </w:p>
        </w:tc>
        <w:tc>
          <w:tcPr>
            <w:tcW w:w="408"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28.03</w:t>
            </w:r>
          </w:p>
        </w:tc>
        <w:tc>
          <w:tcPr>
            <w:tcW w:w="419"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9.93</w:t>
            </w:r>
          </w:p>
        </w:tc>
        <w:tc>
          <w:tcPr>
            <w:tcW w:w="41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13.97</w:t>
            </w:r>
          </w:p>
        </w:tc>
        <w:tc>
          <w:tcPr>
            <w:tcW w:w="424"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7.44</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restart"/>
            <w:tcBorders>
              <w:bottom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hint="eastAsia" w:cs="Times New Roman"/>
                <w:sz w:val="21"/>
                <w:szCs w:val="21"/>
              </w:rPr>
              <w:t>水解酸化</w:t>
            </w:r>
          </w:p>
        </w:tc>
        <w:tc>
          <w:tcPr>
            <w:tcW w:w="66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处理效率</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4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w:t>
            </w:r>
          </w:p>
        </w:tc>
        <w:tc>
          <w:tcPr>
            <w:tcW w:w="58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w:t>
            </w:r>
          </w:p>
        </w:tc>
        <w:tc>
          <w:tcPr>
            <w:tcW w:w="51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10%</w:t>
            </w:r>
          </w:p>
        </w:tc>
        <w:tc>
          <w:tcPr>
            <w:tcW w:w="40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70%</w:t>
            </w:r>
          </w:p>
        </w:tc>
        <w:tc>
          <w:tcPr>
            <w:tcW w:w="41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50%</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60%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continue"/>
            <w:tcBorders>
              <w:top w:val="nil"/>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664"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出水</w:t>
            </w:r>
          </w:p>
        </w:tc>
        <w:tc>
          <w:tcPr>
            <w:tcW w:w="548" w:type="pct"/>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11910.0508</w:t>
            </w:r>
          </w:p>
        </w:tc>
        <w:tc>
          <w:tcPr>
            <w:tcW w:w="443"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49.94</w:t>
            </w:r>
          </w:p>
        </w:tc>
        <w:tc>
          <w:tcPr>
            <w:tcW w:w="581"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12.65</w:t>
            </w:r>
          </w:p>
        </w:tc>
        <w:tc>
          <w:tcPr>
            <w:tcW w:w="515"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25.48</w:t>
            </w:r>
          </w:p>
        </w:tc>
        <w:tc>
          <w:tcPr>
            <w:tcW w:w="408"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8.41</w:t>
            </w:r>
          </w:p>
        </w:tc>
        <w:tc>
          <w:tcPr>
            <w:tcW w:w="419"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9.93</w:t>
            </w:r>
          </w:p>
        </w:tc>
        <w:tc>
          <w:tcPr>
            <w:tcW w:w="413"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6.99</w:t>
            </w:r>
          </w:p>
        </w:tc>
        <w:tc>
          <w:tcPr>
            <w:tcW w:w="424" w:type="pct"/>
            <w:tcBorders>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2.98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restar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宋体" w:eastAsia="宋体"/>
                <w:sz w:val="21"/>
                <w:szCs w:val="21"/>
                <w:lang w:eastAsia="zh-CN"/>
              </w:rPr>
            </w:pPr>
            <w:r>
              <w:rPr>
                <w:rFonts w:hint="eastAsia" w:ascii="宋体"/>
                <w:sz w:val="21"/>
                <w:szCs w:val="21"/>
                <w:lang w:eastAsia="zh-CN"/>
              </w:rPr>
              <w:t>沉淀池</w:t>
            </w:r>
          </w:p>
        </w:tc>
        <w:tc>
          <w:tcPr>
            <w:tcW w:w="664"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处理效率</w:t>
            </w:r>
          </w:p>
        </w:tc>
        <w:tc>
          <w:tcPr>
            <w:tcW w:w="54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43"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581"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515"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10%</w:t>
            </w:r>
          </w:p>
        </w:tc>
        <w:tc>
          <w:tcPr>
            <w:tcW w:w="40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19"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w:t>
            </w:r>
          </w:p>
        </w:tc>
        <w:tc>
          <w:tcPr>
            <w:tcW w:w="413"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w:t>
            </w:r>
          </w:p>
        </w:tc>
        <w:tc>
          <w:tcPr>
            <w:tcW w:w="424"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continue"/>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664"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出水</w:t>
            </w:r>
          </w:p>
        </w:tc>
        <w:tc>
          <w:tcPr>
            <w:tcW w:w="548" w:type="pct"/>
            <w:tcBorders>
              <w:top w:val="single" w:color="auto" w:sz="4" w:space="0"/>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11910.0508</w:t>
            </w:r>
          </w:p>
        </w:tc>
        <w:tc>
          <w:tcPr>
            <w:tcW w:w="443"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49.94</w:t>
            </w:r>
          </w:p>
        </w:tc>
        <w:tc>
          <w:tcPr>
            <w:tcW w:w="581"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12.65</w:t>
            </w:r>
          </w:p>
        </w:tc>
        <w:tc>
          <w:tcPr>
            <w:tcW w:w="515"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22.93</w:t>
            </w:r>
          </w:p>
        </w:tc>
        <w:tc>
          <w:tcPr>
            <w:tcW w:w="408"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8.41</w:t>
            </w:r>
          </w:p>
        </w:tc>
        <w:tc>
          <w:tcPr>
            <w:tcW w:w="419"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9.93</w:t>
            </w:r>
          </w:p>
        </w:tc>
        <w:tc>
          <w:tcPr>
            <w:tcW w:w="413"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6.99</w:t>
            </w:r>
          </w:p>
        </w:tc>
        <w:tc>
          <w:tcPr>
            <w:tcW w:w="424" w:type="pct"/>
            <w:tcBorders>
              <w:top w:val="single" w:color="auto" w:sz="4" w:space="0"/>
              <w:bottom w:val="single" w:color="auto" w:sz="4" w:space="0"/>
            </w:tcBorders>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2.98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restar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总排口混合废水</w:t>
            </w:r>
          </w:p>
        </w:tc>
        <w:tc>
          <w:tcPr>
            <w:tcW w:w="664"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浓度</w:t>
            </w:r>
          </w:p>
        </w:tc>
        <w:tc>
          <w:tcPr>
            <w:tcW w:w="548"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eastAsia="zh-CN"/>
              </w:rPr>
            </w:pPr>
            <w:r>
              <w:rPr>
                <w:rFonts w:hint="eastAsia" w:cs="Times New Roman"/>
                <w:sz w:val="21"/>
                <w:szCs w:val="21"/>
                <w:lang w:val="en-US" w:eastAsia="zh-CN"/>
              </w:rPr>
              <w:t>/</w:t>
            </w:r>
          </w:p>
        </w:tc>
        <w:tc>
          <w:tcPr>
            <w:tcW w:w="443"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53.48</w:t>
            </w:r>
          </w:p>
        </w:tc>
        <w:tc>
          <w:tcPr>
            <w:tcW w:w="581"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7.56</w:t>
            </w:r>
          </w:p>
        </w:tc>
        <w:tc>
          <w:tcPr>
            <w:tcW w:w="515"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38.37</w:t>
            </w:r>
          </w:p>
        </w:tc>
        <w:tc>
          <w:tcPr>
            <w:tcW w:w="408"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5.04</w:t>
            </w:r>
          </w:p>
        </w:tc>
        <w:tc>
          <w:tcPr>
            <w:tcW w:w="419"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5.88</w:t>
            </w:r>
          </w:p>
        </w:tc>
        <w:tc>
          <w:tcPr>
            <w:tcW w:w="413"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4.20</w:t>
            </w:r>
          </w:p>
        </w:tc>
        <w:tc>
          <w:tcPr>
            <w:tcW w:w="424" w:type="pct"/>
            <w:tcBorders>
              <w:top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1.68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582" w:type="pct"/>
            <w:vMerge w:val="continue"/>
            <w:tcBorders>
              <w:top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sz w:val="21"/>
                <w:szCs w:val="21"/>
              </w:rPr>
            </w:pPr>
          </w:p>
        </w:tc>
        <w:tc>
          <w:tcPr>
            <w:tcW w:w="66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排放量（</w:t>
            </w:r>
            <w:r>
              <w:rPr>
                <w:rFonts w:eastAsia="Times New Roman" w:cs="Times New Roman"/>
                <w:sz w:val="21"/>
                <w:szCs w:val="21"/>
              </w:rPr>
              <w:t>t/a</w:t>
            </w:r>
            <w:r>
              <w:rPr>
                <w:rFonts w:ascii="宋体" w:hAnsi="宋体" w:cs="宋体"/>
                <w:sz w:val="21"/>
                <w:szCs w:val="21"/>
              </w:rPr>
              <w:t>）</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hint="default" w:eastAsia="Times New Roman" w:cs="Times New Roman"/>
                <w:sz w:val="21"/>
                <w:szCs w:val="21"/>
              </w:rPr>
              <w:t>11910.0508</w:t>
            </w:r>
          </w:p>
        </w:tc>
        <w:tc>
          <w:tcPr>
            <w:tcW w:w="44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0.637</w:t>
            </w:r>
          </w:p>
        </w:tc>
        <w:tc>
          <w:tcPr>
            <w:tcW w:w="581"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0.09</w:t>
            </w:r>
          </w:p>
        </w:tc>
        <w:tc>
          <w:tcPr>
            <w:tcW w:w="515"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sz w:val="21"/>
                <w:szCs w:val="21"/>
                <w:lang w:val="en-US" w:eastAsia="zh-CN"/>
              </w:rPr>
            </w:pPr>
            <w:r>
              <w:rPr>
                <w:rFonts w:hint="eastAsia"/>
                <w:sz w:val="21"/>
                <w:szCs w:val="21"/>
                <w:lang w:val="en-US" w:eastAsia="zh-CN"/>
              </w:rPr>
              <w:t>0.457</w:t>
            </w:r>
          </w:p>
        </w:tc>
        <w:tc>
          <w:tcPr>
            <w:tcW w:w="408"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0.06</w:t>
            </w:r>
          </w:p>
        </w:tc>
        <w:tc>
          <w:tcPr>
            <w:tcW w:w="419"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0.07</w:t>
            </w:r>
          </w:p>
        </w:tc>
        <w:tc>
          <w:tcPr>
            <w:tcW w:w="413"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0.05</w:t>
            </w:r>
          </w:p>
        </w:tc>
        <w:tc>
          <w:tcPr>
            <w:tcW w:w="424" w:type="pct"/>
            <w:vAlign w:val="bottom"/>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sz w:val="21"/>
                <w:szCs w:val="21"/>
                <w:lang w:val="en-US" w:eastAsia="zh-CN"/>
              </w:rPr>
            </w:pPr>
            <w:r>
              <w:rPr>
                <w:rFonts w:hint="eastAsia"/>
                <w:sz w:val="21"/>
                <w:szCs w:val="21"/>
                <w:lang w:val="en-US" w:eastAsia="zh-CN"/>
              </w:rPr>
              <w:t>0.02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246"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《化工行业水污染物间接排放标准》</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w:t>
            </w:r>
            <w:r>
              <w:rPr>
                <w:rFonts w:eastAsia="Times New Roman" w:cs="Times New Roman"/>
                <w:sz w:val="21"/>
                <w:szCs w:val="21"/>
              </w:rPr>
              <w:t>DB41/1135-2016</w:t>
            </w:r>
            <w:r>
              <w:rPr>
                <w:rFonts w:ascii="宋体" w:hAnsi="宋体" w:cs="宋体"/>
                <w:sz w:val="21"/>
                <w:szCs w:val="21"/>
              </w:rPr>
              <w:t>）</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4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300</w:t>
            </w:r>
          </w:p>
        </w:tc>
        <w:tc>
          <w:tcPr>
            <w:tcW w:w="58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150</w:t>
            </w:r>
          </w:p>
        </w:tc>
        <w:tc>
          <w:tcPr>
            <w:tcW w:w="51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150</w:t>
            </w:r>
          </w:p>
        </w:tc>
        <w:tc>
          <w:tcPr>
            <w:tcW w:w="40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30</w:t>
            </w:r>
          </w:p>
        </w:tc>
        <w:tc>
          <w:tcPr>
            <w:tcW w:w="41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100</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50</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eastAsia="宋体" w:cs="Times New Roman"/>
                <w:sz w:val="21"/>
                <w:szCs w:val="21"/>
                <w:lang w:val="en-US" w:eastAsia="zh-CN"/>
              </w:rPr>
            </w:pPr>
            <w:r>
              <w:rPr>
                <w:rFonts w:hint="eastAsia" w:eastAsia="宋体" w:cs="Times New Roman"/>
                <w:sz w:val="21"/>
                <w:szCs w:val="21"/>
                <w:lang w:val="en-US" w:eastAsia="zh-CN"/>
              </w:rPr>
              <w:t>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246"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《合成树脂工业污染物排放标准》（</w:t>
            </w:r>
            <w:r>
              <w:rPr>
                <w:rFonts w:eastAsia="Times New Roman" w:cs="Times New Roman"/>
                <w:sz w:val="21"/>
                <w:szCs w:val="21"/>
              </w:rPr>
              <w:t>GB31572-2015</w:t>
            </w:r>
            <w:r>
              <w:rPr>
                <w:rFonts w:ascii="宋体" w:hAnsi="宋体" w:cs="宋体"/>
                <w:sz w:val="21"/>
                <w:szCs w:val="21"/>
              </w:rPr>
              <w:t>）</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eastAsia="Times New Roman" w:cs="Times New Roman"/>
                <w:sz w:val="21"/>
                <w:szCs w:val="21"/>
              </w:rPr>
              <w:t>4.0m</w:t>
            </w:r>
            <w:r>
              <w:rPr>
                <w:rFonts w:eastAsia="Times New Roman" w:cs="Times New Roman"/>
                <w:sz w:val="21"/>
                <w:szCs w:val="21"/>
                <w:vertAlign w:val="superscript"/>
              </w:rPr>
              <w:t>3</w:t>
            </w:r>
            <w:r>
              <w:rPr>
                <w:rFonts w:eastAsia="Times New Roman" w:cs="Times New Roman"/>
                <w:sz w:val="21"/>
                <w:szCs w:val="21"/>
              </w:rPr>
              <w:t>/t</w:t>
            </w:r>
            <w:r>
              <w:rPr>
                <w:rFonts w:ascii="宋体" w:hAnsi="宋体" w:cs="宋体"/>
                <w:sz w:val="21"/>
                <w:szCs w:val="21"/>
              </w:rPr>
              <w:t>产品</w:t>
            </w:r>
          </w:p>
        </w:tc>
        <w:tc>
          <w:tcPr>
            <w:tcW w:w="3205" w:type="pct"/>
            <w:gridSpan w:val="7"/>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ascii="宋体" w:hAnsi="宋体" w:cs="宋体"/>
                <w:sz w:val="21"/>
                <w:szCs w:val="21"/>
              </w:rPr>
              <w:t>间接排放无要求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jc w:val="center"/>
        </w:trPr>
        <w:tc>
          <w:tcPr>
            <w:tcW w:w="1246" w:type="pct"/>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1"/>
                <w:szCs w:val="21"/>
              </w:rPr>
            </w:pPr>
            <w:r>
              <w:rPr>
                <w:rFonts w:ascii="宋体" w:hAnsi="宋体" w:cs="宋体"/>
                <w:sz w:val="21"/>
                <w:szCs w:val="21"/>
              </w:rPr>
              <w:t>平顶山第三污水处理厂收水标准</w:t>
            </w:r>
          </w:p>
        </w:tc>
        <w:tc>
          <w:tcPr>
            <w:tcW w:w="54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w:t>
            </w:r>
          </w:p>
        </w:tc>
        <w:tc>
          <w:tcPr>
            <w:tcW w:w="44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400</w:t>
            </w:r>
          </w:p>
        </w:tc>
        <w:tc>
          <w:tcPr>
            <w:tcW w:w="581"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150</w:t>
            </w:r>
          </w:p>
        </w:tc>
        <w:tc>
          <w:tcPr>
            <w:tcW w:w="515"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300</w:t>
            </w:r>
          </w:p>
        </w:tc>
        <w:tc>
          <w:tcPr>
            <w:tcW w:w="408"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eastAsia="Times New Roman" w:cs="Times New Roman"/>
                <w:sz w:val="21"/>
                <w:szCs w:val="21"/>
              </w:rPr>
            </w:pPr>
            <w:r>
              <w:rPr>
                <w:rFonts w:eastAsia="Times New Roman" w:cs="Times New Roman"/>
                <w:sz w:val="21"/>
                <w:szCs w:val="21"/>
              </w:rPr>
              <w:t>35</w:t>
            </w:r>
          </w:p>
        </w:tc>
        <w:tc>
          <w:tcPr>
            <w:tcW w:w="419"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100</w:t>
            </w:r>
          </w:p>
        </w:tc>
        <w:tc>
          <w:tcPr>
            <w:tcW w:w="413"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50</w:t>
            </w:r>
          </w:p>
        </w:tc>
        <w:tc>
          <w:tcPr>
            <w:tcW w:w="424" w:type="pc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eastAsia="宋体" w:cs="Times New Roman"/>
                <w:sz w:val="21"/>
                <w:szCs w:val="21"/>
                <w:lang w:val="en-US" w:eastAsia="zh-CN"/>
              </w:rPr>
            </w:pPr>
            <w:r>
              <w:rPr>
                <w:rFonts w:hint="eastAsia" w:eastAsia="宋体" w:cs="Times New Roman"/>
                <w:sz w:val="21"/>
                <w:szCs w:val="21"/>
                <w:lang w:val="en-US" w:eastAsia="zh-CN"/>
              </w:rPr>
              <w:t>7</w:t>
            </w:r>
          </w:p>
        </w:tc>
      </w:tr>
    </w:tbl>
    <w:p>
      <w:pPr>
        <w:ind w:firstLine="480"/>
      </w:pPr>
      <w:r>
        <w:rPr>
          <w:rFonts w:hint="eastAsia"/>
        </w:rPr>
        <w:t>本次工程建成后厂区总排口水质COD</w:t>
      </w:r>
      <w:r>
        <w:rPr>
          <w:rFonts w:hint="eastAsia"/>
          <w:lang w:val="en-US" w:eastAsia="zh-CN"/>
        </w:rPr>
        <w:t>53.48</w:t>
      </w:r>
      <w:r>
        <w:rPr>
          <w:rFonts w:hint="eastAsia"/>
        </w:rPr>
        <w:t>mg/L、BOD</w:t>
      </w:r>
      <w:r>
        <w:rPr>
          <w:rFonts w:hint="eastAsia"/>
          <w:vertAlign w:val="subscript"/>
        </w:rPr>
        <w:t>5</w:t>
      </w:r>
      <w:r>
        <w:rPr>
          <w:rFonts w:hint="eastAsia"/>
          <w:vertAlign w:val="baseline"/>
          <w:lang w:val="en-US" w:eastAsia="zh-CN"/>
        </w:rPr>
        <w:t>7.56</w:t>
      </w:r>
      <w:r>
        <w:rPr>
          <w:rFonts w:hint="eastAsia"/>
        </w:rPr>
        <w:t>mg/L、SS</w:t>
      </w:r>
      <w:r>
        <w:rPr>
          <w:rFonts w:hint="eastAsia"/>
          <w:lang w:val="en-US" w:eastAsia="zh-CN"/>
        </w:rPr>
        <w:t>38.37</w:t>
      </w:r>
      <w:r>
        <w:rPr>
          <w:rFonts w:hint="eastAsia"/>
        </w:rPr>
        <w:t>mg/L、NH</w:t>
      </w:r>
      <w:r>
        <w:rPr>
          <w:rFonts w:hint="eastAsia"/>
          <w:vertAlign w:val="subscript"/>
        </w:rPr>
        <w:t>3</w:t>
      </w:r>
      <w:r>
        <w:rPr>
          <w:rFonts w:hint="eastAsia"/>
        </w:rPr>
        <w:t>-N</w:t>
      </w:r>
      <w:r>
        <w:rPr>
          <w:rFonts w:hint="eastAsia"/>
          <w:lang w:val="en-US" w:eastAsia="zh-CN"/>
        </w:rPr>
        <w:t>5.04</w:t>
      </w:r>
      <w:r>
        <w:rPr>
          <w:rFonts w:hint="eastAsia"/>
        </w:rPr>
        <w:t>mg/L、动植物油</w:t>
      </w:r>
      <w:r>
        <w:rPr>
          <w:rFonts w:hint="eastAsia"/>
          <w:lang w:val="en-US" w:eastAsia="zh-CN"/>
        </w:rPr>
        <w:t>5.88</w:t>
      </w:r>
      <w:r>
        <w:rPr>
          <w:rFonts w:hint="eastAsia"/>
        </w:rPr>
        <w:t>mg/L</w:t>
      </w:r>
      <w:r>
        <w:rPr>
          <w:rFonts w:hint="eastAsia"/>
          <w:lang w:eastAsia="zh-CN"/>
        </w:rPr>
        <w:t>、</w:t>
      </w:r>
      <w:r>
        <w:rPr>
          <w:rFonts w:hint="eastAsia"/>
          <w:lang w:val="en-US" w:eastAsia="zh-CN"/>
        </w:rPr>
        <w:t>TN4.20</w:t>
      </w:r>
      <w:r>
        <w:rPr>
          <w:rFonts w:hint="eastAsia"/>
        </w:rPr>
        <w:t>mg/L</w:t>
      </w:r>
      <w:r>
        <w:rPr>
          <w:rFonts w:hint="eastAsia"/>
          <w:lang w:val="en-US" w:eastAsia="zh-CN"/>
        </w:rPr>
        <w:t>、TP1.68</w:t>
      </w:r>
      <w:r>
        <w:rPr>
          <w:rFonts w:hint="eastAsia"/>
        </w:rPr>
        <w:t>mg/L，污水排放满足《化工行业水污染物间接排放标准》（DB41/1135-2016）、《合成树脂工业污染物排放标准》（GB31572-2015）以及平顶山第三污水处理厂收水标准。</w:t>
      </w:r>
    </w:p>
    <w:p>
      <w:pPr>
        <w:ind w:firstLine="480"/>
      </w:pPr>
      <w:r>
        <w:t>根据拟定废水处理方案可知，主要构（建）筑物为沉淀池、气浮池和清水池，需外购的设备为水泵、旋转过滤机、板框压滤机以及常见絮凝混凝药剂。</w:t>
      </w:r>
      <w:r>
        <w:rPr>
          <w:rFonts w:hint="eastAsia"/>
        </w:rPr>
        <w:t>拟订方案</w:t>
      </w:r>
      <w:r>
        <w:t>的安装和运行费用合理，经济可行。</w:t>
      </w:r>
    </w:p>
    <w:p>
      <w:pPr>
        <w:ind w:firstLine="480"/>
      </w:pPr>
      <w:r>
        <w:t>根据沉淀池和气浮池的水力停留时间，并考虑1.2的不确定系数，沉淀池和气浮池的设计池容满足要求。因此，废水处理系统可稳定运行。</w:t>
      </w:r>
    </w:p>
    <w:p>
      <w:pPr>
        <w:pStyle w:val="27"/>
        <w:spacing w:after="0"/>
        <w:ind w:left="0" w:leftChars="0" w:firstLine="480"/>
        <w:rPr>
          <w:b/>
          <w:bCs/>
        </w:rPr>
      </w:pPr>
      <w:r>
        <w:rPr>
          <w:rFonts w:hint="eastAsia"/>
          <w:b/>
          <w:bCs/>
          <w:lang w:val="en-US" w:eastAsia="zh-CN"/>
        </w:rPr>
        <w:t>4</w:t>
      </w:r>
      <w:r>
        <w:rPr>
          <w:b/>
          <w:bCs/>
        </w:rPr>
        <w:t>、</w:t>
      </w:r>
      <w:r>
        <w:rPr>
          <w:rFonts w:hint="eastAsia"/>
          <w:b/>
          <w:bCs/>
        </w:rPr>
        <w:t>生活污水处理方案</w:t>
      </w:r>
    </w:p>
    <w:p>
      <w:pPr>
        <w:ind w:firstLine="480"/>
        <w:rPr>
          <w:rFonts w:hint="default" w:eastAsia="宋体"/>
          <w:u w:val="single"/>
          <w:lang w:val="en-US" w:eastAsia="zh-CN"/>
        </w:rPr>
      </w:pPr>
      <w:r>
        <w:rPr>
          <w:rFonts w:hint="eastAsia"/>
          <w:u w:val="single"/>
          <w:lang w:val="en-US" w:eastAsia="zh-CN"/>
        </w:rPr>
        <w:t>生活污水经隔油池+化粪池处理后排入厂区污水处理站处理。</w:t>
      </w:r>
    </w:p>
    <w:p>
      <w:pPr>
        <w:ind w:firstLine="480"/>
        <w:rPr>
          <w:rFonts w:hint="default"/>
          <w:u w:val="single"/>
          <w:lang w:val="en-US" w:eastAsia="zh-CN"/>
        </w:rPr>
      </w:pPr>
      <w:r>
        <w:rPr>
          <w:rFonts w:hint="eastAsia"/>
          <w:u w:val="single"/>
          <w:lang w:eastAsia="zh-CN"/>
        </w:rPr>
        <w:t>隔油池的基本原理是采用油跟水的比重率油水分离，滤除较大的固态污染物，再通过收附分离装置对油污废水进行吸附、分离、沉积、氧化，同时配套生物技术、充分有效地降低出水FOD含量，及SS悬浮杂物实现污水净化隔油池。其净化过程∶污水从进水口进入，通过网篮将较大的固态物隔滤，稍小的油污物再通过前档滤板，吸附分离材料，渐扩板进行油污水分离，再通过后挡板进入生物净化区，经过生物净化后，从出水口出水。本项目设置</w:t>
      </w:r>
      <w:r>
        <w:rPr>
          <w:rFonts w:hint="eastAsia"/>
          <w:u w:val="single"/>
          <w:lang w:val="en-US" w:eastAsia="zh-CN"/>
        </w:rPr>
        <w:t>5m</w:t>
      </w:r>
      <w:r>
        <w:rPr>
          <w:rFonts w:hint="eastAsia"/>
          <w:u w:val="single"/>
          <w:vertAlign w:val="superscript"/>
          <w:lang w:val="en-US" w:eastAsia="zh-CN"/>
        </w:rPr>
        <w:t>3</w:t>
      </w:r>
      <w:r>
        <w:rPr>
          <w:rFonts w:hint="eastAsia"/>
          <w:u w:val="single"/>
          <w:lang w:val="en-US" w:eastAsia="zh-CN"/>
        </w:rPr>
        <w:t>隔油池处理食堂废水能够满足本项目需要。</w:t>
      </w:r>
    </w:p>
    <w:p>
      <w:pPr>
        <w:ind w:firstLine="480"/>
        <w:rPr>
          <w:rFonts w:hint="default" w:eastAsia="宋体"/>
          <w:u w:val="single"/>
          <w:lang w:val="en-US" w:eastAsia="zh-CN"/>
        </w:rPr>
      </w:pPr>
      <w:r>
        <w:rPr>
          <w:rFonts w:hint="eastAsia"/>
          <w:u w:val="single"/>
        </w:rPr>
        <w:t>化粪池为标准三级化粪池，其中</w:t>
      </w:r>
      <w:r>
        <w:rPr>
          <w:u w:val="single"/>
        </w:rPr>
        <w:t>第一池和第二池的容积不同，对寄生虫卵沉淀的效果有一定影响。如果第一池的容积过小，粪便贮留的时间短，达不到粪便分解和沉淀的目的，粪便和虫卵可能进入第二池，</w:t>
      </w:r>
      <w:r>
        <w:rPr>
          <w:rFonts w:hint="eastAsia"/>
          <w:u w:val="single"/>
        </w:rPr>
        <w:t>不仅</w:t>
      </w:r>
      <w:r>
        <w:rPr>
          <w:u w:val="single"/>
        </w:rPr>
        <w:t>增加了第二池的负担，而且容易造成过粪管堵塞。如果第二池容积相对较小，粪便在第二池停留的时间短，则粪便无害化处理效果就差。</w:t>
      </w:r>
      <w:r>
        <w:rPr>
          <w:rFonts w:hint="eastAsia"/>
          <w:u w:val="single"/>
          <w:lang w:eastAsia="zh-CN"/>
        </w:rPr>
        <w:t>本项目三级沉淀池设计池容为</w:t>
      </w:r>
      <w:r>
        <w:rPr>
          <w:rFonts w:hint="eastAsia"/>
          <w:u w:val="single"/>
          <w:lang w:val="en-US" w:eastAsia="zh-CN"/>
        </w:rPr>
        <w:t>10m</w:t>
      </w:r>
      <w:r>
        <w:rPr>
          <w:rFonts w:hint="eastAsia"/>
          <w:u w:val="single"/>
          <w:vertAlign w:val="superscript"/>
          <w:lang w:val="en-US" w:eastAsia="zh-CN"/>
        </w:rPr>
        <w:t>3</w:t>
      </w:r>
      <w:r>
        <w:rPr>
          <w:rFonts w:hint="eastAsia"/>
          <w:u w:val="single"/>
          <w:lang w:val="en-US" w:eastAsia="zh-CN"/>
        </w:rPr>
        <w:t>，企业生活污水排放量为2400m</w:t>
      </w:r>
      <w:r>
        <w:rPr>
          <w:rFonts w:hint="eastAsia"/>
          <w:u w:val="single"/>
          <w:vertAlign w:val="superscript"/>
          <w:lang w:val="en-US" w:eastAsia="zh-CN"/>
        </w:rPr>
        <w:t>3</w:t>
      </w:r>
      <w:r>
        <w:rPr>
          <w:rFonts w:hint="eastAsia"/>
          <w:u w:val="single"/>
          <w:lang w:val="en-US" w:eastAsia="zh-CN"/>
        </w:rPr>
        <w:t>/a，8m</w:t>
      </w:r>
      <w:r>
        <w:rPr>
          <w:rFonts w:hint="eastAsia"/>
          <w:u w:val="single"/>
          <w:vertAlign w:val="superscript"/>
          <w:lang w:val="en-US" w:eastAsia="zh-CN"/>
        </w:rPr>
        <w:t>3</w:t>
      </w:r>
      <w:r>
        <w:rPr>
          <w:rFonts w:hint="eastAsia"/>
          <w:u w:val="single"/>
          <w:lang w:val="en-US" w:eastAsia="zh-CN"/>
        </w:rPr>
        <w:t>/d，生活污水经化粪池处理后进入厂区污水处理站，因此不考虑停留时间，容量能满足本项目需求。</w:t>
      </w:r>
    </w:p>
    <w:p>
      <w:pPr>
        <w:ind w:firstLine="480"/>
        <w:rPr>
          <w:u w:val="single"/>
        </w:rPr>
      </w:pPr>
      <w:r>
        <w:rPr>
          <w:rFonts w:hint="eastAsia"/>
          <w:u w:val="single"/>
        </w:rPr>
        <w:t>综上所述，本项目废水处理设施合理可行，废水处理后不外排，对周边环境地表水影响较小。</w:t>
      </w:r>
    </w:p>
    <w:p>
      <w:pPr>
        <w:pStyle w:val="7"/>
        <w:ind w:firstLine="562"/>
      </w:pPr>
      <w:bookmarkStart w:id="210" w:name="_Toc5888505"/>
      <w:bookmarkStart w:id="211" w:name="_Toc28421"/>
      <w:r>
        <w:rPr>
          <w:rFonts w:hint="eastAsia"/>
        </w:rPr>
        <w:t xml:space="preserve">7.2.3 </w:t>
      </w:r>
      <w:r>
        <w:t>运营期地下水污染防治措施</w:t>
      </w:r>
      <w:bookmarkEnd w:id="210"/>
      <w:bookmarkEnd w:id="211"/>
    </w:p>
    <w:p>
      <w:pPr>
        <w:ind w:firstLine="480"/>
      </w:pPr>
      <w:r>
        <w:t>地下水环境保护措施与对策依据《中华人民共和国水污染防治法》和《中华人民共和国环境影响评价法》的相关规定，按照</w:t>
      </w:r>
      <w:r>
        <w:rPr>
          <w:rFonts w:hint="eastAsia"/>
          <w:lang w:eastAsia="zh-CN"/>
        </w:rPr>
        <w:t>“</w:t>
      </w:r>
      <w:r>
        <w:t>源头控制、分区防控、污染监控、应急响应</w:t>
      </w:r>
      <w:r>
        <w:rPr>
          <w:rFonts w:hint="eastAsia"/>
          <w:lang w:eastAsia="zh-CN"/>
        </w:rPr>
        <w:t>”</w:t>
      </w:r>
      <w:r>
        <w:t>且重点突出饮用水水质安全的原则确定。根据建设项目特点、调查评价区和场地环境水文地质条件，在建设项目可行性研究提出的污染防控对策的基础上，根据环境影响预测与评价结果，提出需要增加或完善的地下水环境保护措施和对策。</w:t>
      </w:r>
    </w:p>
    <w:p>
      <w:pPr>
        <w:ind w:firstLine="480"/>
      </w:pPr>
      <w:bookmarkStart w:id="212" w:name="_Toc4765"/>
      <w:bookmarkStart w:id="213" w:name="_Toc5888506"/>
      <w:bookmarkStart w:id="214" w:name="_Toc435631704"/>
      <w:bookmarkStart w:id="215" w:name="_Toc430697980"/>
      <w:bookmarkStart w:id="216" w:name="_Toc428360795"/>
      <w:bookmarkStart w:id="217" w:name="_Toc428361101"/>
      <w:bookmarkStart w:id="218" w:name="_Toc430698203"/>
      <w:bookmarkStart w:id="219" w:name="_Toc435626186"/>
      <w:r>
        <w:rPr>
          <w:rFonts w:hint="eastAsia"/>
        </w:rPr>
        <w:t>1、</w:t>
      </w:r>
      <w:r>
        <w:t>源头控制措施</w:t>
      </w:r>
      <w:bookmarkEnd w:id="212"/>
      <w:bookmarkEnd w:id="213"/>
    </w:p>
    <w:bookmarkEnd w:id="214"/>
    <w:bookmarkEnd w:id="215"/>
    <w:bookmarkEnd w:id="216"/>
    <w:bookmarkEnd w:id="217"/>
    <w:bookmarkEnd w:id="218"/>
    <w:bookmarkEnd w:id="219"/>
    <w:p>
      <w:pPr>
        <w:ind w:firstLine="480"/>
      </w:pPr>
      <w:r>
        <w:t>源头控制主要包括在工艺、管道、设备、污水储存及处理构筑物采取相应措施，防止和降低污染物跑、冒、滴、漏，将污染物泄漏的环境风险事故降到最低程度。</w:t>
      </w:r>
    </w:p>
    <w:p>
      <w:pPr>
        <w:ind w:firstLine="480"/>
      </w:pPr>
      <w:r>
        <w:t>对产生的废水进行合理的处理和综合利用，以先进工艺、管道、设备、污水储存，尽可能从源头上减少可能污染物的产生；严格按照国家相关规范要求，对工艺、管道、设备、污水储存及处理构筑物采取相应的措施，以防止和降低可能污</w:t>
      </w:r>
      <w:r>
        <w:rPr>
          <w:rFonts w:hint="eastAsia"/>
        </w:rPr>
        <w:t>染物</w:t>
      </w:r>
      <w:r>
        <w:rPr>
          <w:rFonts w:hint="eastAsia"/>
          <w:lang w:eastAsia="zh-CN"/>
        </w:rPr>
        <w:t>的</w:t>
      </w:r>
      <w:r>
        <w:rPr>
          <w:rFonts w:hint="eastAsia"/>
        </w:rPr>
        <w:t>跑</w:t>
      </w:r>
      <w:r>
        <w:t>、冒、滴、漏，将废水泄漏的环境风险事故降低到最低程度；优化排水系统设计，工艺废水、地面冲洗废水等在厂区内收集及预处理后通过管线送污水处理站处理；管线铺设尽量采用</w:t>
      </w:r>
      <w:r>
        <w:rPr>
          <w:rFonts w:hint="eastAsia"/>
          <w:lang w:eastAsia="zh-CN"/>
        </w:rPr>
        <w:t>“</w:t>
      </w:r>
      <w:r>
        <w:t>可视化</w:t>
      </w:r>
      <w:r>
        <w:rPr>
          <w:rFonts w:hint="eastAsia"/>
          <w:lang w:eastAsia="zh-CN"/>
        </w:rPr>
        <w:t>”</w:t>
      </w:r>
      <w:r>
        <w:t>原则，即管道尽可能地上铺设，做到污染物</w:t>
      </w:r>
      <w:r>
        <w:rPr>
          <w:rFonts w:hint="eastAsia"/>
          <w:lang w:eastAsia="zh-CN"/>
        </w:rPr>
        <w:t>“</w:t>
      </w:r>
      <w:r>
        <w:t>早发现、早处理</w:t>
      </w:r>
      <w:r>
        <w:rPr>
          <w:rFonts w:hint="eastAsia"/>
          <w:lang w:eastAsia="zh-CN"/>
        </w:rPr>
        <w:t>”</w:t>
      </w:r>
      <w:r>
        <w:t>，以减少由于埋地管道泄漏而可能造成的地下水污染，主装置生产废水管道沿地上的管廊铺设，只有生活污水、雨水等走地下管道。</w:t>
      </w:r>
    </w:p>
    <w:p>
      <w:pPr>
        <w:ind w:firstLine="480"/>
      </w:pPr>
      <w:bookmarkStart w:id="220" w:name="_Toc15964"/>
      <w:bookmarkStart w:id="221" w:name="_Toc5888507"/>
      <w:r>
        <w:rPr>
          <w:rFonts w:hint="eastAsia"/>
        </w:rPr>
        <w:t>2、分区防渗措施</w:t>
      </w:r>
      <w:bookmarkEnd w:id="220"/>
      <w:bookmarkEnd w:id="221"/>
    </w:p>
    <w:p>
      <w:pPr>
        <w:ind w:firstLine="480"/>
      </w:pPr>
      <w:r>
        <w:rPr>
          <w:rFonts w:hint="eastAsia"/>
        </w:rPr>
        <w:t>根据建设项目场地天然包气带防污性能、污染控制难易程度和污染物特性确定防渗级别。</w:t>
      </w:r>
    </w:p>
    <w:p>
      <w:pPr>
        <w:ind w:firstLine="480"/>
      </w:pPr>
      <w:r>
        <w:rPr>
          <w:rFonts w:hint="eastAsia"/>
        </w:rPr>
        <w:t>①制定全厂分区防控措施，根据全厂功能单元分区情况，制定合理、科学的分区防控措施，做好功能分区的基础防渗，从严要求分区防渗等级；</w:t>
      </w:r>
    </w:p>
    <w:p>
      <w:pPr>
        <w:ind w:firstLine="480"/>
      </w:pPr>
      <w:r>
        <w:rPr>
          <w:rFonts w:hint="eastAsia"/>
        </w:rPr>
        <w:t>②将生产装置区域内易产生泄漏的设备按其物料的物性分类集中布置，对于不同物料性质的区域，分别设置围堰。</w:t>
      </w:r>
    </w:p>
    <w:p>
      <w:pPr>
        <w:ind w:firstLine="480"/>
      </w:pPr>
      <w:r>
        <w:rPr>
          <w:rFonts w:hint="eastAsia"/>
        </w:rPr>
        <w:t>③对于储存物料、输送酸、碱等强腐蚀性化学物料的区域设置围堰或围堤，围堰或围堤的容积应能够容纳最大储罐的全部容积。</w:t>
      </w:r>
    </w:p>
    <w:p>
      <w:pPr>
        <w:ind w:firstLine="480"/>
      </w:pPr>
      <w:r>
        <w:rPr>
          <w:rFonts w:hint="eastAsia"/>
        </w:rPr>
        <w:t>④除与阀门、仪表、设备等连接采用法兰外，其余工艺管线尽可能采用焊接，对于输送有毒介质的管线做明显标记。</w:t>
      </w:r>
    </w:p>
    <w:p>
      <w:pPr>
        <w:ind w:firstLine="480"/>
      </w:pPr>
      <w:r>
        <w:rPr>
          <w:rFonts w:hint="eastAsia"/>
        </w:rPr>
        <w:t>⑤检修、拆卸、试车、施工安装时含有有毒、有腐蚀和可燃物物料时，均采取措施，集中收集。管道中残留的物料，不随意排放。</w:t>
      </w:r>
    </w:p>
    <w:p>
      <w:pPr>
        <w:ind w:firstLine="480"/>
      </w:pPr>
      <w:r>
        <w:rPr>
          <w:rFonts w:hint="eastAsia"/>
        </w:rPr>
        <w:t>⑥重点防渗区应严格按照《石油化工工程防渗技术规范》（GB/T50534），《危险废物填埋污染控制标准》（</w:t>
      </w:r>
      <w:r>
        <w:t>GB18598</w:t>
      </w:r>
      <w:r>
        <w:rPr>
          <w:rFonts w:hint="eastAsia"/>
        </w:rPr>
        <w:t>）中要求进行防渗处置，防渗层渗透性能不应低于</w:t>
      </w:r>
      <w:r>
        <w:t>6m</w:t>
      </w:r>
      <w:r>
        <w:rPr>
          <w:rFonts w:hint="eastAsia"/>
        </w:rPr>
        <w:t>厚，渗透系数为</w:t>
      </w:r>
      <w:r>
        <w:t>1.0</w:t>
      </w:r>
      <w:r>
        <w:rPr>
          <w:rFonts w:hint="eastAsia"/>
        </w:rPr>
        <w:t>×</w:t>
      </w:r>
      <w:r>
        <w:t>10</w:t>
      </w:r>
      <w:r>
        <w:rPr>
          <w:vertAlign w:val="superscript"/>
        </w:rPr>
        <w:t>-7</w:t>
      </w:r>
      <w:r>
        <w:t>cm/s</w:t>
      </w:r>
      <w:r>
        <w:rPr>
          <w:rFonts w:hint="eastAsia"/>
        </w:rPr>
        <w:t>的黏土层防渗性能。</w:t>
      </w:r>
    </w:p>
    <w:p>
      <w:pPr>
        <w:ind w:firstLine="480"/>
      </w:pPr>
      <w:r>
        <w:rPr>
          <w:rFonts w:hint="eastAsia"/>
        </w:rPr>
        <w:t>⑦一般防渗区应严格按照《生活垃圾填埋污染控制标准》（</w:t>
      </w:r>
      <w:r>
        <w:t>GB16889</w:t>
      </w:r>
      <w:r>
        <w:rPr>
          <w:rFonts w:hint="eastAsia"/>
        </w:rPr>
        <w:t>）中要求进行防渗处置，防渗层渗透性能不应低于</w:t>
      </w:r>
      <w:r>
        <w:t>1.5m</w:t>
      </w:r>
      <w:r>
        <w:rPr>
          <w:rFonts w:hint="eastAsia"/>
        </w:rPr>
        <w:t>厚，渗透系数为</w:t>
      </w:r>
      <w:r>
        <w:t>1.0</w:t>
      </w:r>
      <w:r>
        <w:rPr>
          <w:rFonts w:hint="eastAsia"/>
        </w:rPr>
        <w:t>×</w:t>
      </w:r>
      <w:r>
        <w:t>10</w:t>
      </w:r>
      <w:r>
        <w:rPr>
          <w:vertAlign w:val="superscript"/>
        </w:rPr>
        <w:t>-7</w:t>
      </w:r>
      <w:r>
        <w:t>cm/s</w:t>
      </w:r>
      <w:r>
        <w:rPr>
          <w:rFonts w:hint="eastAsia"/>
        </w:rPr>
        <w:t>的黏土层渗性能。</w:t>
      </w:r>
    </w:p>
    <w:p>
      <w:pPr>
        <w:ind w:firstLine="480"/>
      </w:pPr>
      <w:r>
        <w:rPr>
          <w:rFonts w:hint="eastAsia"/>
        </w:rPr>
        <w:t>⑧地上管道、阀门的防渗措施：对于地上管道、阀门严格质量管理，如发现问题，应及时更换，所在的区域必须做好地面硬化，以防发生泄漏时，废液渗漏至土壤，继而污染地下水。</w:t>
      </w:r>
    </w:p>
    <w:p>
      <w:pPr>
        <w:ind w:firstLine="480"/>
      </w:pPr>
      <w:r>
        <w:rPr>
          <w:rFonts w:hint="eastAsia"/>
        </w:rPr>
        <w:t>⑨做好废水从产生-总排口环节的输送沟渠设计，从严把控全厂污水管网的设计与施工。管网应采取雨污分流措施，初期雨水经初期雨水收集池收集后，分批至废水处理站调节池。</w:t>
      </w:r>
    </w:p>
    <w:p>
      <w:pPr>
        <w:ind w:firstLine="480"/>
      </w:pPr>
      <w:r>
        <w:rPr>
          <w:rFonts w:hint="eastAsia"/>
        </w:rPr>
        <w:t>本环评要求建设单位严格做好防渗、防泄漏措施，对于偶然泄漏的危险化学品等进行收集和处理，防止泄漏污染地下水的事件发生。</w:t>
      </w:r>
    </w:p>
    <w:p>
      <w:pPr>
        <w:ind w:firstLine="480"/>
      </w:pPr>
      <w:r>
        <w:t>污染控制难易程度分级和天然包气带防污性能分级参照表</w:t>
      </w:r>
      <w:r>
        <w:rPr>
          <w:rFonts w:hint="eastAsia"/>
        </w:rPr>
        <w:t>7.2-4</w:t>
      </w:r>
      <w:r>
        <w:t>和表</w:t>
      </w:r>
      <w:r>
        <w:rPr>
          <w:rFonts w:hint="eastAsia"/>
        </w:rPr>
        <w:t>7.2-5</w:t>
      </w:r>
      <w:r>
        <w:t>进行相关等级的确定。参照表</w:t>
      </w:r>
      <w:r>
        <w:rPr>
          <w:rFonts w:hint="eastAsia"/>
        </w:rPr>
        <w:t>7.2</w:t>
      </w:r>
      <w:r>
        <w:t>-</w:t>
      </w:r>
      <w:r>
        <w:rPr>
          <w:rFonts w:hint="eastAsia"/>
        </w:rPr>
        <w:t>6</w:t>
      </w:r>
      <w:r>
        <w:t>提出防渗技术要求。</w:t>
      </w:r>
    </w:p>
    <w:p>
      <w:pPr>
        <w:ind w:firstLine="482"/>
        <w:jc w:val="center"/>
        <w:rPr>
          <w:b/>
          <w:bCs/>
        </w:rPr>
      </w:pPr>
      <w:r>
        <w:rPr>
          <w:b/>
          <w:bCs/>
        </w:rPr>
        <w:t>表</w:t>
      </w:r>
      <w:r>
        <w:rPr>
          <w:rFonts w:hint="eastAsia"/>
          <w:b/>
          <w:bCs/>
        </w:rPr>
        <w:t xml:space="preserve">7.2-4  </w:t>
      </w:r>
      <w:r>
        <w:rPr>
          <w:b/>
          <w:bCs/>
        </w:rPr>
        <w:t>污染控制难易程度分级参照表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36"/>
        <w:gridCol w:w="6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2435" w:type="dxa"/>
            <w:vAlign w:val="center"/>
          </w:tcPr>
          <w:p>
            <w:pPr>
              <w:pStyle w:val="38"/>
              <w:rPr>
                <w:rFonts w:hint="default"/>
              </w:rPr>
            </w:pPr>
            <w:r>
              <w:t>污染控制难易程度</w:t>
            </w:r>
          </w:p>
        </w:tc>
        <w:tc>
          <w:tcPr>
            <w:tcW w:w="6851" w:type="dxa"/>
            <w:vAlign w:val="center"/>
          </w:tcPr>
          <w:p>
            <w:pPr>
              <w:pStyle w:val="38"/>
              <w:rPr>
                <w:rFonts w:hint="default"/>
              </w:rPr>
            </w:pPr>
            <w:r>
              <w:t>主要特征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2435" w:type="dxa"/>
            <w:vAlign w:val="center"/>
          </w:tcPr>
          <w:p>
            <w:pPr>
              <w:pStyle w:val="38"/>
              <w:rPr>
                <w:rFonts w:hint="default"/>
              </w:rPr>
            </w:pPr>
            <w:r>
              <w:t>难</w:t>
            </w:r>
          </w:p>
        </w:tc>
        <w:tc>
          <w:tcPr>
            <w:tcW w:w="6851" w:type="dxa"/>
            <w:vAlign w:val="center"/>
          </w:tcPr>
          <w:p>
            <w:pPr>
              <w:pStyle w:val="38"/>
              <w:rPr>
                <w:rFonts w:hint="default"/>
              </w:rPr>
            </w:pPr>
            <w:r>
              <w:t>对地下水环境有污染的物料或污染物泄漏后，不能及时发现和处理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2435" w:type="dxa"/>
            <w:vAlign w:val="center"/>
          </w:tcPr>
          <w:p>
            <w:pPr>
              <w:pStyle w:val="38"/>
              <w:rPr>
                <w:rFonts w:hint="default"/>
              </w:rPr>
            </w:pPr>
            <w:r>
              <w:t>易</w:t>
            </w:r>
          </w:p>
        </w:tc>
        <w:tc>
          <w:tcPr>
            <w:tcW w:w="6851" w:type="dxa"/>
            <w:vAlign w:val="center"/>
          </w:tcPr>
          <w:p>
            <w:pPr>
              <w:pStyle w:val="38"/>
              <w:rPr>
                <w:rFonts w:hint="default"/>
              </w:rPr>
            </w:pPr>
            <w:r>
              <w:t>对地下水环境有污染的物料或污染物泄漏后，可及时发现和处理</w:t>
            </w:r>
          </w:p>
        </w:tc>
      </w:tr>
    </w:tbl>
    <w:p>
      <w:pPr>
        <w:ind w:firstLine="482"/>
        <w:jc w:val="center"/>
        <w:rPr>
          <w:b/>
          <w:bCs/>
        </w:rPr>
      </w:pPr>
      <w:r>
        <w:rPr>
          <w:b/>
          <w:bCs/>
        </w:rPr>
        <w:t>表</w:t>
      </w:r>
      <w:r>
        <w:rPr>
          <w:rFonts w:hint="eastAsia"/>
          <w:b/>
          <w:bCs/>
        </w:rPr>
        <w:t>7.2-5</w:t>
      </w:r>
      <w:r>
        <w:rPr>
          <w:b/>
          <w:bCs/>
        </w:rPr>
        <w:t xml:space="preserve">  天然包气带防污性能分级参照表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
        <w:gridCol w:w="8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42" w:type="dxa"/>
            <w:vAlign w:val="center"/>
          </w:tcPr>
          <w:p>
            <w:pPr>
              <w:pStyle w:val="38"/>
              <w:rPr>
                <w:rFonts w:hint="default"/>
              </w:rPr>
            </w:pPr>
            <w:r>
              <w:t>分级</w:t>
            </w:r>
          </w:p>
        </w:tc>
        <w:tc>
          <w:tcPr>
            <w:tcW w:w="8344" w:type="dxa"/>
            <w:vAlign w:val="center"/>
          </w:tcPr>
          <w:p>
            <w:pPr>
              <w:pStyle w:val="38"/>
              <w:rPr>
                <w:rFonts w:hint="default"/>
              </w:rPr>
            </w:pPr>
            <w:r>
              <w:t>包气带岩土的渗透性能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42" w:type="dxa"/>
            <w:vAlign w:val="center"/>
          </w:tcPr>
          <w:p>
            <w:pPr>
              <w:pStyle w:val="38"/>
              <w:rPr>
                <w:rFonts w:hint="default"/>
              </w:rPr>
            </w:pPr>
            <w:r>
              <w:t>强</w:t>
            </w:r>
          </w:p>
        </w:tc>
        <w:tc>
          <w:tcPr>
            <w:tcW w:w="8344" w:type="dxa"/>
            <w:vAlign w:val="center"/>
          </w:tcPr>
          <w:p>
            <w:pPr>
              <w:pStyle w:val="38"/>
              <w:rPr>
                <w:rFonts w:hint="default"/>
              </w:rPr>
            </w:pPr>
            <w:r>
              <w:t>Mb≥1.0m，K≤1.0×10</w:t>
            </w:r>
            <w:r>
              <w:rPr>
                <w:vertAlign w:val="superscript"/>
              </w:rPr>
              <w:t>-6</w:t>
            </w:r>
            <w:r>
              <w:t>cm/s，且分布连续、稳定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exact"/>
          <w:jc w:val="center"/>
        </w:trPr>
        <w:tc>
          <w:tcPr>
            <w:tcW w:w="942" w:type="dxa"/>
            <w:vAlign w:val="center"/>
          </w:tcPr>
          <w:p>
            <w:pPr>
              <w:pStyle w:val="38"/>
              <w:rPr>
                <w:rFonts w:hint="default"/>
              </w:rPr>
            </w:pPr>
            <w:r>
              <w:t>中</w:t>
            </w:r>
          </w:p>
        </w:tc>
        <w:tc>
          <w:tcPr>
            <w:tcW w:w="8344" w:type="dxa"/>
            <w:vAlign w:val="center"/>
          </w:tcPr>
          <w:p>
            <w:pPr>
              <w:pStyle w:val="38"/>
              <w:rPr>
                <w:rFonts w:hint="default"/>
              </w:rPr>
            </w:pPr>
            <w:r>
              <w:t>0.5m≤Mb&lt;1.0m，K≤1.0×10</w:t>
            </w:r>
            <w:r>
              <w:rPr>
                <w:vertAlign w:val="superscript"/>
              </w:rPr>
              <w:t>-6</w:t>
            </w:r>
            <w:r>
              <w:t>cm/s，且分布连续、稳定</w:t>
            </w:r>
          </w:p>
          <w:p>
            <w:pPr>
              <w:pStyle w:val="38"/>
              <w:rPr>
                <w:rFonts w:hint="default"/>
              </w:rPr>
            </w:pPr>
            <w:r>
              <w:t>Mb≥1.0m，1.0×10</w:t>
            </w:r>
            <w:r>
              <w:rPr>
                <w:vertAlign w:val="superscript"/>
              </w:rPr>
              <w:t>-6</w:t>
            </w:r>
            <w:r>
              <w:t>cm/s&lt;K≤1.0×10</w:t>
            </w:r>
            <w:r>
              <w:rPr>
                <w:vertAlign w:val="superscript"/>
              </w:rPr>
              <w:t>-4</w:t>
            </w:r>
            <w:r>
              <w:t>cm/s，且分布连续、稳定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42" w:type="dxa"/>
            <w:vAlign w:val="center"/>
          </w:tcPr>
          <w:p>
            <w:pPr>
              <w:pStyle w:val="38"/>
              <w:rPr>
                <w:rFonts w:hint="default"/>
              </w:rPr>
            </w:pPr>
            <w:r>
              <w:t>弱</w:t>
            </w:r>
          </w:p>
        </w:tc>
        <w:tc>
          <w:tcPr>
            <w:tcW w:w="8344" w:type="dxa"/>
            <w:vAlign w:val="center"/>
          </w:tcPr>
          <w:p>
            <w:pPr>
              <w:pStyle w:val="38"/>
              <w:rPr>
                <w:rFonts w:hint="default"/>
              </w:rPr>
            </w:pPr>
            <w:r>
              <w:t>岩（土）层不满足上述</w:t>
            </w:r>
            <w:r>
              <w:rPr>
                <w:rFonts w:hint="eastAsia"/>
                <w:lang w:eastAsia="zh-CN"/>
              </w:rPr>
              <w:t>“</w:t>
            </w:r>
            <w:r>
              <w:t>强</w:t>
            </w:r>
            <w:r>
              <w:rPr>
                <w:rFonts w:hint="eastAsia"/>
                <w:lang w:eastAsia="zh-CN"/>
              </w:rPr>
              <w:t>”</w:t>
            </w:r>
            <w:r>
              <w:t>和</w:t>
            </w:r>
            <w:r>
              <w:rPr>
                <w:rFonts w:hint="eastAsia"/>
                <w:lang w:eastAsia="zh-CN"/>
              </w:rPr>
              <w:t>“</w:t>
            </w:r>
            <w:r>
              <w:t>中</w:t>
            </w:r>
            <w:r>
              <w:rPr>
                <w:rFonts w:hint="eastAsia"/>
                <w:lang w:eastAsia="zh-CN"/>
              </w:rPr>
              <w:t>”</w:t>
            </w:r>
            <w:r>
              <w:t>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286" w:type="dxa"/>
            <w:gridSpan w:val="2"/>
            <w:vAlign w:val="center"/>
          </w:tcPr>
          <w:p>
            <w:pPr>
              <w:pStyle w:val="38"/>
              <w:rPr>
                <w:rFonts w:hint="default"/>
              </w:rPr>
            </w:pPr>
            <w:r>
              <w:t>注：Mb：岩土层单层厚度。K：渗透系数。</w:t>
            </w:r>
          </w:p>
        </w:tc>
      </w:tr>
    </w:tbl>
    <w:p>
      <w:pPr>
        <w:ind w:firstLine="482"/>
        <w:jc w:val="center"/>
        <w:rPr>
          <w:b/>
          <w:bCs/>
        </w:rPr>
      </w:pPr>
      <w:r>
        <w:rPr>
          <w:b/>
          <w:bCs/>
        </w:rPr>
        <w:t>表</w:t>
      </w:r>
      <w:r>
        <w:rPr>
          <w:rFonts w:hint="eastAsia"/>
          <w:b/>
          <w:bCs/>
        </w:rPr>
        <w:t xml:space="preserve">7.2-6 </w:t>
      </w:r>
      <w:r>
        <w:rPr>
          <w:b/>
          <w:bCs/>
        </w:rPr>
        <w:t xml:space="preserve"> 地下水污染防渗分区参照表</w:t>
      </w:r>
    </w:p>
    <w:tbl>
      <w:tblPr>
        <w:tblStyle w:val="2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5"/>
        <w:gridCol w:w="1832"/>
        <w:gridCol w:w="1544"/>
        <w:gridCol w:w="1852"/>
        <w:gridCol w:w="25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1" w:type="pct"/>
            <w:vAlign w:val="center"/>
          </w:tcPr>
          <w:p>
            <w:pPr>
              <w:pStyle w:val="38"/>
              <w:rPr>
                <w:rFonts w:hint="default"/>
              </w:rPr>
            </w:pPr>
            <w:r>
              <w:t>防渗分区</w:t>
            </w:r>
          </w:p>
        </w:tc>
        <w:tc>
          <w:tcPr>
            <w:tcW w:w="986" w:type="pct"/>
            <w:vAlign w:val="center"/>
          </w:tcPr>
          <w:p>
            <w:pPr>
              <w:pStyle w:val="38"/>
              <w:rPr>
                <w:rFonts w:hint="default"/>
              </w:rPr>
            </w:pPr>
            <w:r>
              <w:t>天然包气带防污性能</w:t>
            </w:r>
          </w:p>
        </w:tc>
        <w:tc>
          <w:tcPr>
            <w:tcW w:w="831" w:type="pct"/>
            <w:vAlign w:val="center"/>
          </w:tcPr>
          <w:p>
            <w:pPr>
              <w:pStyle w:val="38"/>
              <w:rPr>
                <w:rFonts w:hint="default"/>
              </w:rPr>
            </w:pPr>
            <w:r>
              <w:t>污染控制难易程度</w:t>
            </w:r>
          </w:p>
        </w:tc>
        <w:tc>
          <w:tcPr>
            <w:tcW w:w="997" w:type="pct"/>
            <w:vAlign w:val="center"/>
          </w:tcPr>
          <w:p>
            <w:pPr>
              <w:pStyle w:val="38"/>
              <w:rPr>
                <w:rFonts w:hint="default"/>
              </w:rPr>
            </w:pPr>
            <w:r>
              <w:t>污染物类型</w:t>
            </w:r>
          </w:p>
        </w:tc>
        <w:tc>
          <w:tcPr>
            <w:tcW w:w="1362" w:type="pct"/>
            <w:vAlign w:val="center"/>
          </w:tcPr>
          <w:p>
            <w:pPr>
              <w:pStyle w:val="38"/>
              <w:rPr>
                <w:rFonts w:hint="default"/>
              </w:rPr>
            </w:pPr>
            <w:r>
              <w:t>防渗技术要求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1" w:type="pct"/>
            <w:vMerge w:val="restart"/>
            <w:vAlign w:val="center"/>
          </w:tcPr>
          <w:p>
            <w:pPr>
              <w:pStyle w:val="38"/>
              <w:rPr>
                <w:rFonts w:hint="default"/>
              </w:rPr>
            </w:pPr>
            <w:r>
              <w:t>重点防渗区</w:t>
            </w:r>
          </w:p>
        </w:tc>
        <w:tc>
          <w:tcPr>
            <w:tcW w:w="986" w:type="pct"/>
            <w:vAlign w:val="center"/>
          </w:tcPr>
          <w:p>
            <w:pPr>
              <w:pStyle w:val="38"/>
              <w:rPr>
                <w:rFonts w:hint="default"/>
              </w:rPr>
            </w:pPr>
            <w:r>
              <w:t>弱</w:t>
            </w:r>
          </w:p>
        </w:tc>
        <w:tc>
          <w:tcPr>
            <w:tcW w:w="831" w:type="pct"/>
            <w:vAlign w:val="center"/>
          </w:tcPr>
          <w:p>
            <w:pPr>
              <w:pStyle w:val="38"/>
              <w:rPr>
                <w:rFonts w:hint="default"/>
              </w:rPr>
            </w:pPr>
            <w:r>
              <w:t>难</w:t>
            </w:r>
          </w:p>
        </w:tc>
        <w:tc>
          <w:tcPr>
            <w:tcW w:w="997" w:type="pct"/>
            <w:vMerge w:val="restart"/>
            <w:vAlign w:val="center"/>
          </w:tcPr>
          <w:p>
            <w:pPr>
              <w:pStyle w:val="38"/>
              <w:rPr>
                <w:rFonts w:hint="default"/>
              </w:rPr>
            </w:pPr>
            <w:r>
              <w:t>重金属、持久性有机物污染物</w:t>
            </w:r>
          </w:p>
        </w:tc>
        <w:tc>
          <w:tcPr>
            <w:tcW w:w="1362" w:type="pct"/>
            <w:vMerge w:val="restart"/>
            <w:vAlign w:val="center"/>
          </w:tcPr>
          <w:p>
            <w:pPr>
              <w:pStyle w:val="38"/>
              <w:rPr>
                <w:rFonts w:hint="default"/>
              </w:rPr>
            </w:pPr>
            <w:r>
              <w:t>等效粘土防渗层Mb≥6.0m，K≤1×10</w:t>
            </w:r>
            <w:r>
              <w:rPr>
                <w:vertAlign w:val="superscript"/>
              </w:rPr>
              <w:t>-7</w:t>
            </w:r>
            <w:r>
              <w:t>cm/s；或参照GB18598执行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1" w:type="pct"/>
            <w:vMerge w:val="continue"/>
            <w:vAlign w:val="center"/>
          </w:tcPr>
          <w:p>
            <w:pPr>
              <w:pStyle w:val="38"/>
              <w:rPr>
                <w:rFonts w:hint="default"/>
              </w:rPr>
            </w:pPr>
          </w:p>
        </w:tc>
        <w:tc>
          <w:tcPr>
            <w:tcW w:w="986" w:type="pct"/>
            <w:vAlign w:val="center"/>
          </w:tcPr>
          <w:p>
            <w:pPr>
              <w:pStyle w:val="38"/>
              <w:rPr>
                <w:rFonts w:hint="default"/>
              </w:rPr>
            </w:pPr>
            <w:r>
              <w:t>中-强</w:t>
            </w:r>
          </w:p>
        </w:tc>
        <w:tc>
          <w:tcPr>
            <w:tcW w:w="831" w:type="pct"/>
            <w:vAlign w:val="center"/>
          </w:tcPr>
          <w:p>
            <w:pPr>
              <w:pStyle w:val="38"/>
              <w:rPr>
                <w:rFonts w:hint="default"/>
              </w:rPr>
            </w:pPr>
            <w:r>
              <w:t>难</w:t>
            </w:r>
          </w:p>
        </w:tc>
        <w:tc>
          <w:tcPr>
            <w:tcW w:w="997" w:type="pct"/>
            <w:vMerge w:val="continue"/>
            <w:vAlign w:val="center"/>
          </w:tcPr>
          <w:p>
            <w:pPr>
              <w:pStyle w:val="38"/>
              <w:rPr>
                <w:rFonts w:hint="default"/>
              </w:rPr>
            </w:pPr>
          </w:p>
        </w:tc>
        <w:tc>
          <w:tcPr>
            <w:tcW w:w="1362"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1" w:type="pct"/>
            <w:vMerge w:val="continue"/>
            <w:vAlign w:val="center"/>
          </w:tcPr>
          <w:p>
            <w:pPr>
              <w:pStyle w:val="38"/>
              <w:rPr>
                <w:rFonts w:hint="default"/>
              </w:rPr>
            </w:pPr>
          </w:p>
        </w:tc>
        <w:tc>
          <w:tcPr>
            <w:tcW w:w="986" w:type="pct"/>
            <w:vAlign w:val="center"/>
          </w:tcPr>
          <w:p>
            <w:pPr>
              <w:pStyle w:val="38"/>
              <w:rPr>
                <w:rFonts w:hint="default"/>
              </w:rPr>
            </w:pPr>
            <w:r>
              <w:t>弱</w:t>
            </w:r>
          </w:p>
        </w:tc>
        <w:tc>
          <w:tcPr>
            <w:tcW w:w="831" w:type="pct"/>
            <w:vAlign w:val="center"/>
          </w:tcPr>
          <w:p>
            <w:pPr>
              <w:pStyle w:val="38"/>
              <w:rPr>
                <w:rFonts w:hint="default"/>
              </w:rPr>
            </w:pPr>
            <w:r>
              <w:t>易</w:t>
            </w:r>
          </w:p>
        </w:tc>
        <w:tc>
          <w:tcPr>
            <w:tcW w:w="997" w:type="pct"/>
            <w:vMerge w:val="continue"/>
            <w:vAlign w:val="center"/>
          </w:tcPr>
          <w:p>
            <w:pPr>
              <w:pStyle w:val="38"/>
              <w:rPr>
                <w:rFonts w:hint="default"/>
              </w:rPr>
            </w:pPr>
          </w:p>
        </w:tc>
        <w:tc>
          <w:tcPr>
            <w:tcW w:w="1362"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1" w:type="pct"/>
            <w:vMerge w:val="restart"/>
            <w:vAlign w:val="center"/>
          </w:tcPr>
          <w:p>
            <w:pPr>
              <w:pStyle w:val="38"/>
              <w:rPr>
                <w:rFonts w:hint="default"/>
              </w:rPr>
            </w:pPr>
            <w:r>
              <w:t>一般防渗区</w:t>
            </w:r>
          </w:p>
        </w:tc>
        <w:tc>
          <w:tcPr>
            <w:tcW w:w="986" w:type="pct"/>
            <w:vAlign w:val="center"/>
          </w:tcPr>
          <w:p>
            <w:pPr>
              <w:pStyle w:val="38"/>
              <w:rPr>
                <w:rFonts w:hint="default"/>
              </w:rPr>
            </w:pPr>
            <w:r>
              <w:t>弱</w:t>
            </w:r>
          </w:p>
        </w:tc>
        <w:tc>
          <w:tcPr>
            <w:tcW w:w="831" w:type="pct"/>
            <w:vAlign w:val="center"/>
          </w:tcPr>
          <w:p>
            <w:pPr>
              <w:pStyle w:val="38"/>
              <w:rPr>
                <w:rFonts w:hint="default"/>
              </w:rPr>
            </w:pPr>
            <w:r>
              <w:t>易-难</w:t>
            </w:r>
          </w:p>
        </w:tc>
        <w:tc>
          <w:tcPr>
            <w:tcW w:w="997" w:type="pct"/>
            <w:vMerge w:val="restart"/>
            <w:vAlign w:val="center"/>
          </w:tcPr>
          <w:p>
            <w:pPr>
              <w:pStyle w:val="38"/>
              <w:rPr>
                <w:rFonts w:hint="default"/>
              </w:rPr>
            </w:pPr>
            <w:r>
              <w:t>其他类型</w:t>
            </w:r>
          </w:p>
        </w:tc>
        <w:tc>
          <w:tcPr>
            <w:tcW w:w="1362" w:type="pct"/>
            <w:vMerge w:val="restart"/>
            <w:vAlign w:val="center"/>
          </w:tcPr>
          <w:p>
            <w:pPr>
              <w:pStyle w:val="38"/>
              <w:rPr>
                <w:rFonts w:hint="default"/>
              </w:rPr>
            </w:pPr>
            <w:r>
              <w:t>等效粘土防渗层Mb≥1.5m，K≤1×10</w:t>
            </w:r>
            <w:r>
              <w:rPr>
                <w:vertAlign w:val="superscript"/>
              </w:rPr>
              <w:t>-7</w:t>
            </w:r>
            <w:r>
              <w:t>cm/s；或参照GB16889执行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1" w:type="pct"/>
            <w:vMerge w:val="continue"/>
            <w:vAlign w:val="center"/>
          </w:tcPr>
          <w:p>
            <w:pPr>
              <w:pStyle w:val="38"/>
              <w:rPr>
                <w:rFonts w:hint="default"/>
              </w:rPr>
            </w:pPr>
          </w:p>
        </w:tc>
        <w:tc>
          <w:tcPr>
            <w:tcW w:w="986" w:type="pct"/>
            <w:vAlign w:val="center"/>
          </w:tcPr>
          <w:p>
            <w:pPr>
              <w:pStyle w:val="38"/>
              <w:rPr>
                <w:rFonts w:hint="default"/>
              </w:rPr>
            </w:pPr>
            <w:r>
              <w:t>中-强</w:t>
            </w:r>
          </w:p>
        </w:tc>
        <w:tc>
          <w:tcPr>
            <w:tcW w:w="831" w:type="pct"/>
            <w:vAlign w:val="center"/>
          </w:tcPr>
          <w:p>
            <w:pPr>
              <w:pStyle w:val="38"/>
              <w:rPr>
                <w:rFonts w:hint="default"/>
              </w:rPr>
            </w:pPr>
            <w:r>
              <w:t>难</w:t>
            </w:r>
          </w:p>
        </w:tc>
        <w:tc>
          <w:tcPr>
            <w:tcW w:w="997" w:type="pct"/>
            <w:vMerge w:val="continue"/>
            <w:vAlign w:val="center"/>
          </w:tcPr>
          <w:p>
            <w:pPr>
              <w:pStyle w:val="38"/>
              <w:rPr>
                <w:rFonts w:hint="default"/>
              </w:rPr>
            </w:pPr>
          </w:p>
        </w:tc>
        <w:tc>
          <w:tcPr>
            <w:tcW w:w="1362"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1" w:type="pct"/>
            <w:vMerge w:val="continue"/>
            <w:vAlign w:val="center"/>
          </w:tcPr>
          <w:p>
            <w:pPr>
              <w:pStyle w:val="38"/>
              <w:rPr>
                <w:rFonts w:hint="default"/>
              </w:rPr>
            </w:pPr>
          </w:p>
        </w:tc>
        <w:tc>
          <w:tcPr>
            <w:tcW w:w="986" w:type="pct"/>
            <w:vAlign w:val="center"/>
          </w:tcPr>
          <w:p>
            <w:pPr>
              <w:pStyle w:val="38"/>
              <w:rPr>
                <w:rFonts w:hint="default"/>
              </w:rPr>
            </w:pPr>
            <w:r>
              <w:t>中</w:t>
            </w:r>
          </w:p>
        </w:tc>
        <w:tc>
          <w:tcPr>
            <w:tcW w:w="831" w:type="pct"/>
            <w:vAlign w:val="center"/>
          </w:tcPr>
          <w:p>
            <w:pPr>
              <w:pStyle w:val="38"/>
              <w:rPr>
                <w:rFonts w:hint="default"/>
              </w:rPr>
            </w:pPr>
            <w:r>
              <w:t>易</w:t>
            </w:r>
          </w:p>
        </w:tc>
        <w:tc>
          <w:tcPr>
            <w:tcW w:w="997" w:type="pct"/>
            <w:vMerge w:val="restart"/>
            <w:vAlign w:val="center"/>
          </w:tcPr>
          <w:p>
            <w:pPr>
              <w:pStyle w:val="38"/>
              <w:rPr>
                <w:rFonts w:hint="default"/>
              </w:rPr>
            </w:pPr>
            <w:r>
              <w:t>重金属、持久性有机物污染物</w:t>
            </w:r>
          </w:p>
        </w:tc>
        <w:tc>
          <w:tcPr>
            <w:tcW w:w="1362"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1" w:type="pct"/>
            <w:vMerge w:val="continue"/>
            <w:vAlign w:val="center"/>
          </w:tcPr>
          <w:p>
            <w:pPr>
              <w:pStyle w:val="38"/>
              <w:rPr>
                <w:rFonts w:hint="default"/>
              </w:rPr>
            </w:pPr>
          </w:p>
        </w:tc>
        <w:tc>
          <w:tcPr>
            <w:tcW w:w="986" w:type="pct"/>
            <w:vAlign w:val="center"/>
          </w:tcPr>
          <w:p>
            <w:pPr>
              <w:pStyle w:val="38"/>
              <w:rPr>
                <w:rFonts w:hint="default"/>
              </w:rPr>
            </w:pPr>
            <w:r>
              <w:t>强</w:t>
            </w:r>
          </w:p>
        </w:tc>
        <w:tc>
          <w:tcPr>
            <w:tcW w:w="831" w:type="pct"/>
            <w:vAlign w:val="center"/>
          </w:tcPr>
          <w:p>
            <w:pPr>
              <w:pStyle w:val="38"/>
              <w:rPr>
                <w:rFonts w:hint="default"/>
              </w:rPr>
            </w:pPr>
            <w:r>
              <w:t>易</w:t>
            </w:r>
          </w:p>
        </w:tc>
        <w:tc>
          <w:tcPr>
            <w:tcW w:w="997" w:type="pct"/>
            <w:vMerge w:val="continue"/>
            <w:vAlign w:val="center"/>
          </w:tcPr>
          <w:p>
            <w:pPr>
              <w:pStyle w:val="38"/>
              <w:rPr>
                <w:rFonts w:hint="default"/>
              </w:rPr>
            </w:pPr>
          </w:p>
        </w:tc>
        <w:tc>
          <w:tcPr>
            <w:tcW w:w="1362" w:type="pct"/>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1" w:type="pct"/>
            <w:vAlign w:val="center"/>
          </w:tcPr>
          <w:p>
            <w:pPr>
              <w:pStyle w:val="38"/>
              <w:rPr>
                <w:rFonts w:hint="default"/>
              </w:rPr>
            </w:pPr>
            <w:r>
              <w:t>简单防渗区</w:t>
            </w:r>
          </w:p>
        </w:tc>
        <w:tc>
          <w:tcPr>
            <w:tcW w:w="986" w:type="pct"/>
            <w:vAlign w:val="center"/>
          </w:tcPr>
          <w:p>
            <w:pPr>
              <w:pStyle w:val="38"/>
              <w:rPr>
                <w:rFonts w:hint="default"/>
              </w:rPr>
            </w:pPr>
            <w:r>
              <w:t>中-强</w:t>
            </w:r>
          </w:p>
        </w:tc>
        <w:tc>
          <w:tcPr>
            <w:tcW w:w="831" w:type="pct"/>
            <w:vAlign w:val="center"/>
          </w:tcPr>
          <w:p>
            <w:pPr>
              <w:pStyle w:val="38"/>
              <w:rPr>
                <w:rFonts w:hint="default"/>
              </w:rPr>
            </w:pPr>
            <w:r>
              <w:t>易</w:t>
            </w:r>
          </w:p>
        </w:tc>
        <w:tc>
          <w:tcPr>
            <w:tcW w:w="997" w:type="pct"/>
            <w:vAlign w:val="center"/>
          </w:tcPr>
          <w:p>
            <w:pPr>
              <w:pStyle w:val="38"/>
              <w:rPr>
                <w:rFonts w:hint="default"/>
              </w:rPr>
            </w:pPr>
            <w:r>
              <w:t>其他类型</w:t>
            </w:r>
          </w:p>
        </w:tc>
        <w:tc>
          <w:tcPr>
            <w:tcW w:w="1362" w:type="pct"/>
            <w:vAlign w:val="center"/>
          </w:tcPr>
          <w:p>
            <w:pPr>
              <w:pStyle w:val="38"/>
              <w:rPr>
                <w:rFonts w:hint="default"/>
              </w:rPr>
            </w:pPr>
            <w:r>
              <w:t>一般地面硬化</w:t>
            </w:r>
          </w:p>
        </w:tc>
      </w:tr>
    </w:tbl>
    <w:p>
      <w:pPr>
        <w:ind w:firstLine="480"/>
      </w:pPr>
      <w:r>
        <w:t>综合上述防渗内容，本项目各场地分区防渗要求见表</w:t>
      </w:r>
      <w:r>
        <w:rPr>
          <w:rFonts w:hint="eastAsia"/>
        </w:rPr>
        <w:t>7.2-7</w:t>
      </w:r>
      <w:r>
        <w:t>及图</w:t>
      </w:r>
      <w:r>
        <w:rPr>
          <w:rFonts w:hint="eastAsia"/>
        </w:rPr>
        <w:t>7.2-3</w:t>
      </w:r>
      <w:r>
        <w:t>。</w:t>
      </w:r>
    </w:p>
    <w:p>
      <w:pPr>
        <w:spacing w:line="240" w:lineRule="auto"/>
        <w:ind w:firstLine="482"/>
        <w:jc w:val="center"/>
        <w:rPr>
          <w:b/>
        </w:rPr>
      </w:pPr>
      <w:r>
        <w:rPr>
          <w:b/>
          <w:bCs/>
        </w:rPr>
        <w:t>表</w:t>
      </w:r>
      <w:r>
        <w:rPr>
          <w:rFonts w:hint="eastAsia"/>
          <w:b/>
          <w:bCs/>
        </w:rPr>
        <w:t>7.2-7</w:t>
      </w:r>
      <w:r>
        <w:rPr>
          <w:b/>
          <w:bCs/>
        </w:rPr>
        <w:t xml:space="preserve">  场地防渗等级一览表</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9"/>
        <w:gridCol w:w="2634"/>
        <w:gridCol w:w="2794"/>
        <w:gridCol w:w="21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26" w:type="pct"/>
            <w:tcMar>
              <w:left w:w="0" w:type="dxa"/>
              <w:right w:w="0" w:type="dxa"/>
            </w:tcMar>
            <w:vAlign w:val="center"/>
          </w:tcPr>
          <w:p>
            <w:pPr>
              <w:pStyle w:val="38"/>
              <w:rPr>
                <w:rFonts w:hint="default"/>
              </w:rPr>
            </w:pPr>
            <w:r>
              <w:t>防渗分区</w:t>
            </w:r>
          </w:p>
        </w:tc>
        <w:tc>
          <w:tcPr>
            <w:tcW w:w="1450" w:type="pct"/>
            <w:tcMar>
              <w:left w:w="0" w:type="dxa"/>
              <w:right w:w="0" w:type="dxa"/>
            </w:tcMar>
            <w:vAlign w:val="center"/>
          </w:tcPr>
          <w:p>
            <w:pPr>
              <w:pStyle w:val="38"/>
              <w:rPr>
                <w:rFonts w:hint="default"/>
              </w:rPr>
            </w:pPr>
            <w:r>
              <w:t>设施名称</w:t>
            </w:r>
          </w:p>
        </w:tc>
        <w:tc>
          <w:tcPr>
            <w:tcW w:w="1538" w:type="pct"/>
            <w:tcMar>
              <w:left w:w="0" w:type="dxa"/>
              <w:right w:w="0" w:type="dxa"/>
            </w:tcMar>
            <w:vAlign w:val="center"/>
          </w:tcPr>
          <w:p>
            <w:pPr>
              <w:pStyle w:val="38"/>
              <w:rPr>
                <w:rFonts w:hint="default"/>
              </w:rPr>
            </w:pPr>
            <w:r>
              <w:t>防渗区域及部位</w:t>
            </w:r>
          </w:p>
        </w:tc>
        <w:tc>
          <w:tcPr>
            <w:tcW w:w="1184" w:type="pct"/>
            <w:tcMar>
              <w:left w:w="0" w:type="dxa"/>
              <w:right w:w="0" w:type="dxa"/>
            </w:tcMar>
            <w:vAlign w:val="center"/>
          </w:tcPr>
          <w:p>
            <w:pPr>
              <w:pStyle w:val="38"/>
              <w:rPr>
                <w:rFonts w:hint="default"/>
              </w:rPr>
            </w:pPr>
            <w:r>
              <w:t>防渗要求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826" w:type="pct"/>
            <w:tcMar>
              <w:left w:w="0" w:type="dxa"/>
              <w:right w:w="0" w:type="dxa"/>
            </w:tcMar>
            <w:vAlign w:val="center"/>
          </w:tcPr>
          <w:p>
            <w:pPr>
              <w:pStyle w:val="38"/>
              <w:rPr>
                <w:rFonts w:hint="default"/>
              </w:rPr>
            </w:pPr>
            <w:r>
              <w:t>重点防渗区</w:t>
            </w:r>
          </w:p>
        </w:tc>
        <w:tc>
          <w:tcPr>
            <w:tcW w:w="1450" w:type="pct"/>
            <w:tcMar>
              <w:left w:w="0" w:type="dxa"/>
              <w:right w:w="0" w:type="dxa"/>
            </w:tcMar>
            <w:vAlign w:val="center"/>
          </w:tcPr>
          <w:p>
            <w:pPr>
              <w:pStyle w:val="38"/>
              <w:rPr>
                <w:rFonts w:hint="default"/>
              </w:rPr>
            </w:pPr>
            <w:r>
              <w:t>生产装置区、罐区、化学品仓库、废水处理站、危废暂存间，事故池、初期雨水收集池</w:t>
            </w:r>
          </w:p>
        </w:tc>
        <w:tc>
          <w:tcPr>
            <w:tcW w:w="1538" w:type="pct"/>
            <w:tcMar>
              <w:left w:w="0" w:type="dxa"/>
              <w:right w:w="0" w:type="dxa"/>
            </w:tcMar>
            <w:vAlign w:val="center"/>
          </w:tcPr>
          <w:p>
            <w:pPr>
              <w:pStyle w:val="38"/>
              <w:rPr>
                <w:rFonts w:hint="default"/>
              </w:rPr>
            </w:pPr>
            <w:r>
              <w:t>罐区地面、生产装置区地面、危废暂存间、危险化学品仓库地面和裙角，废水处理站构筑物池底和池壁</w:t>
            </w:r>
          </w:p>
        </w:tc>
        <w:tc>
          <w:tcPr>
            <w:tcW w:w="1184" w:type="pct"/>
            <w:tcMar>
              <w:left w:w="0" w:type="dxa"/>
              <w:right w:w="0" w:type="dxa"/>
            </w:tcMar>
            <w:vAlign w:val="center"/>
          </w:tcPr>
          <w:p>
            <w:pPr>
              <w:pStyle w:val="38"/>
              <w:rPr>
                <w:rFonts w:hint="default"/>
              </w:rPr>
            </w:pPr>
            <w:r>
              <w:t>等效粘土防渗层Mb≥6.0m，K≤1×10</w:t>
            </w:r>
            <w:r>
              <w:rPr>
                <w:vertAlign w:val="superscript"/>
              </w:rPr>
              <w:t>-7</w:t>
            </w:r>
            <w:r>
              <w:t>cm/s；或参照GB18598执行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826" w:type="pct"/>
            <w:tcMar>
              <w:left w:w="0" w:type="dxa"/>
              <w:right w:w="0" w:type="dxa"/>
            </w:tcMar>
            <w:vAlign w:val="center"/>
          </w:tcPr>
          <w:p>
            <w:pPr>
              <w:pStyle w:val="38"/>
              <w:rPr>
                <w:rFonts w:hint="default"/>
              </w:rPr>
            </w:pPr>
            <w:r>
              <w:t>一般防渗区</w:t>
            </w:r>
          </w:p>
        </w:tc>
        <w:tc>
          <w:tcPr>
            <w:tcW w:w="1450" w:type="pct"/>
            <w:tcMar>
              <w:left w:w="0" w:type="dxa"/>
              <w:right w:w="0" w:type="dxa"/>
            </w:tcMar>
            <w:vAlign w:val="center"/>
          </w:tcPr>
          <w:p>
            <w:pPr>
              <w:pStyle w:val="38"/>
              <w:rPr>
                <w:rFonts w:hint="default"/>
              </w:rPr>
            </w:pPr>
            <w:r>
              <w:t>循环水站、循环水池，一般固废暂存间</w:t>
            </w:r>
          </w:p>
        </w:tc>
        <w:tc>
          <w:tcPr>
            <w:tcW w:w="1538" w:type="pct"/>
            <w:tcMar>
              <w:left w:w="0" w:type="dxa"/>
              <w:right w:w="0" w:type="dxa"/>
            </w:tcMar>
            <w:vAlign w:val="center"/>
          </w:tcPr>
          <w:p>
            <w:pPr>
              <w:pStyle w:val="38"/>
              <w:rPr>
                <w:rFonts w:hint="default"/>
              </w:rPr>
            </w:pPr>
            <w:r>
              <w:t>站区地面及埋地构筑物池底和池壁</w:t>
            </w:r>
          </w:p>
        </w:tc>
        <w:tc>
          <w:tcPr>
            <w:tcW w:w="1184" w:type="pct"/>
            <w:tcMar>
              <w:left w:w="0" w:type="dxa"/>
              <w:right w:w="0" w:type="dxa"/>
            </w:tcMar>
            <w:vAlign w:val="center"/>
          </w:tcPr>
          <w:p>
            <w:pPr>
              <w:pStyle w:val="38"/>
              <w:rPr>
                <w:rFonts w:hint="default"/>
              </w:rPr>
            </w:pPr>
            <w:r>
              <w:t>等效粘土防渗层Mb≥1.5m，K≤1×10</w:t>
            </w:r>
            <w:r>
              <w:rPr>
                <w:vertAlign w:val="superscript"/>
              </w:rPr>
              <w:t>-7</w:t>
            </w:r>
            <w:r>
              <w:t>cm/s；或参照GB16889执行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jc w:val="center"/>
        </w:trPr>
        <w:tc>
          <w:tcPr>
            <w:tcW w:w="826" w:type="pct"/>
            <w:tcMar>
              <w:left w:w="0" w:type="dxa"/>
              <w:right w:w="0" w:type="dxa"/>
            </w:tcMar>
            <w:vAlign w:val="center"/>
          </w:tcPr>
          <w:p>
            <w:pPr>
              <w:pStyle w:val="38"/>
              <w:rPr>
                <w:rFonts w:hint="default"/>
              </w:rPr>
            </w:pPr>
            <w:r>
              <w:t>简单防渗区</w:t>
            </w:r>
          </w:p>
        </w:tc>
        <w:tc>
          <w:tcPr>
            <w:tcW w:w="1450" w:type="pct"/>
            <w:tcMar>
              <w:left w:w="0" w:type="dxa"/>
              <w:right w:w="0" w:type="dxa"/>
            </w:tcMar>
            <w:vAlign w:val="center"/>
          </w:tcPr>
          <w:p>
            <w:pPr>
              <w:pStyle w:val="38"/>
              <w:rPr>
                <w:rFonts w:hint="default"/>
              </w:rPr>
            </w:pPr>
            <w:r>
              <w:t>生活办公区</w:t>
            </w:r>
          </w:p>
        </w:tc>
        <w:tc>
          <w:tcPr>
            <w:tcW w:w="1538" w:type="pct"/>
            <w:tcMar>
              <w:left w:w="0" w:type="dxa"/>
              <w:right w:w="0" w:type="dxa"/>
            </w:tcMar>
            <w:vAlign w:val="center"/>
          </w:tcPr>
          <w:p>
            <w:pPr>
              <w:pStyle w:val="38"/>
              <w:rPr>
                <w:rFonts w:hint="default"/>
              </w:rPr>
            </w:pPr>
            <w:r>
              <w:t>地面</w:t>
            </w:r>
          </w:p>
        </w:tc>
        <w:tc>
          <w:tcPr>
            <w:tcW w:w="1184" w:type="pct"/>
            <w:tcMar>
              <w:left w:w="0" w:type="dxa"/>
              <w:right w:w="0" w:type="dxa"/>
            </w:tcMar>
            <w:vAlign w:val="center"/>
          </w:tcPr>
          <w:p>
            <w:pPr>
              <w:pStyle w:val="38"/>
              <w:rPr>
                <w:rFonts w:hint="default"/>
              </w:rPr>
            </w:pPr>
            <w:r>
              <w:t>一般地面硬化</w:t>
            </w:r>
          </w:p>
        </w:tc>
      </w:tr>
    </w:tbl>
    <w:p>
      <w:pPr>
        <w:ind w:firstLine="480"/>
      </w:pPr>
      <w:bookmarkStart w:id="222" w:name="_Toc5888508"/>
      <w:bookmarkStart w:id="223" w:name="_Toc18684"/>
      <w:r>
        <w:rPr>
          <w:rFonts w:hint="eastAsia"/>
        </w:rPr>
        <w:t>建设项目分区域防渗见图7.2-2。</w:t>
      </w:r>
    </w:p>
    <w:p>
      <w:pPr>
        <w:ind w:firstLine="0" w:firstLineChars="0"/>
        <w:jc w:val="center"/>
      </w:pPr>
      <w:r>
        <w:drawing>
          <wp:inline distT="0" distB="0" distL="114300" distR="114300">
            <wp:extent cx="5124450" cy="4382770"/>
            <wp:effectExtent l="0" t="0" r="0" b="17780"/>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108"/>
                    <a:stretch>
                      <a:fillRect/>
                    </a:stretch>
                  </pic:blipFill>
                  <pic:spPr>
                    <a:xfrm>
                      <a:off x="0" y="0"/>
                      <a:ext cx="5124450" cy="4382770"/>
                    </a:xfrm>
                    <a:prstGeom prst="rect">
                      <a:avLst/>
                    </a:prstGeom>
                    <a:noFill/>
                    <a:ln>
                      <a:noFill/>
                    </a:ln>
                  </pic:spPr>
                </pic:pic>
              </a:graphicData>
            </a:graphic>
          </wp:inline>
        </w:drawing>
      </w:r>
    </w:p>
    <w:p>
      <w:pPr>
        <w:ind w:firstLine="0" w:firstLineChars="0"/>
        <w:jc w:val="center"/>
        <w:rPr>
          <w:b/>
          <w:bCs/>
        </w:rPr>
      </w:pPr>
      <w:r>
        <w:rPr>
          <w:rFonts w:hint="eastAsia"/>
          <w:b/>
          <w:bCs/>
        </w:rPr>
        <w:t>图7.2-</w:t>
      </w:r>
      <w:r>
        <w:rPr>
          <w:rFonts w:hint="eastAsia"/>
          <w:b/>
          <w:bCs/>
          <w:lang w:val="en-US" w:eastAsia="zh-CN"/>
        </w:rPr>
        <w:t>2</w:t>
      </w:r>
      <w:r>
        <w:rPr>
          <w:rFonts w:hint="eastAsia"/>
          <w:b/>
          <w:bCs/>
        </w:rPr>
        <w:t xml:space="preserve">  建设项目分区防渗图</w:t>
      </w:r>
    </w:p>
    <w:p>
      <w:pPr>
        <w:ind w:firstLine="480"/>
      </w:pPr>
      <w:r>
        <w:rPr>
          <w:rFonts w:hint="eastAsia"/>
        </w:rPr>
        <w:t>3、</w:t>
      </w:r>
      <w:r>
        <w:t>地下水环境监测与管理</w:t>
      </w:r>
      <w:bookmarkEnd w:id="222"/>
      <w:bookmarkEnd w:id="223"/>
    </w:p>
    <w:p>
      <w:pPr>
        <w:ind w:firstLine="480"/>
        <w:rPr>
          <w:color w:val="C00000"/>
        </w:rPr>
      </w:pPr>
      <w:r>
        <w:t>为了及时准确掌握厂区及下游地下水环境质量状况和地下水体中污染物的动态变化，本项目拟建立覆盖全区的地下水长期监控系统，包括科学、合理地设置地下水污染</w:t>
      </w:r>
      <w:r>
        <w:rPr>
          <w:color w:val="000000" w:themeColor="text1"/>
          <w14:textFill>
            <w14:solidFill>
              <w14:schemeClr w14:val="tx1"/>
            </w14:solidFill>
          </w14:textFill>
        </w:rPr>
        <w:t>监控井（本项目在厂区下游循环水池北侧设监控井，以便及时发现及时控制），建立完善的监测制度，配备先进的检测仪器和设备，以便及时发现并及时控制。地下水环境监测计划详见第</w:t>
      </w:r>
      <w:r>
        <w:rPr>
          <w:rFonts w:hint="eastAsia"/>
          <w:color w:val="000000" w:themeColor="text1"/>
          <w14:textFill>
            <w14:solidFill>
              <w14:schemeClr w14:val="tx1"/>
            </w14:solidFill>
          </w14:textFill>
        </w:rPr>
        <w:t>9</w:t>
      </w:r>
      <w:r>
        <w:rPr>
          <w:color w:val="000000" w:themeColor="text1"/>
          <w14:textFill>
            <w14:solidFill>
              <w14:schemeClr w14:val="tx1"/>
            </w14:solidFill>
          </w14:textFill>
        </w:rPr>
        <w:t>章-环境管理与监测计划。</w:t>
      </w:r>
    </w:p>
    <w:p>
      <w:pPr>
        <w:ind w:firstLine="480"/>
      </w:pPr>
      <w:bookmarkStart w:id="224" w:name="_Toc5888509"/>
      <w:bookmarkStart w:id="225" w:name="_Toc19247"/>
      <w:r>
        <w:rPr>
          <w:rFonts w:hint="eastAsia"/>
        </w:rPr>
        <w:t>4、</w:t>
      </w:r>
      <w:r>
        <w:t>应急响应</w:t>
      </w:r>
      <w:bookmarkEnd w:id="224"/>
      <w:bookmarkEnd w:id="225"/>
    </w:p>
    <w:p>
      <w:pPr>
        <w:ind w:firstLine="480"/>
      </w:pPr>
      <w:r>
        <w:t>环评要求一旦发生废液渗漏事故，立刻启动应急预案。在地下水流向的下游设置地下水监测设施和抽排水设施。检测井应安置报警系统，当检测出地下水</w:t>
      </w:r>
      <w:r>
        <w:rPr>
          <w:rFonts w:hint="eastAsia"/>
        </w:rPr>
        <w:t>水质</w:t>
      </w:r>
      <w:r>
        <w:t>出现异常时，报警系统及时报警，同时相关人员应及时采取应急措施。一旦掌握地下水环境污染征兆或发生地下水环境污染时，知情单位和个人要立即向当地政府或其地下水环境污染主管部门、责任单位报告有关情况。应急指挥部要根据预案要求，组织和指挥参与现场应急工作各部门的行动，组织专家组根据事件原因、性质、危害程度等调查原因，分析发展趋势，并提出下一步预防和防治措施，迅速控制或切断事件灾害链，对污水进行封闭、截流，将损失降到最低限度。应急工作结束时，应协调相关职能部门和单位，做好善后工作，防止出现事件</w:t>
      </w:r>
      <w:r>
        <w:rPr>
          <w:rFonts w:hint="eastAsia"/>
          <w:lang w:eastAsia="zh-CN"/>
        </w:rPr>
        <w:t>“</w:t>
      </w:r>
      <w:r>
        <w:t>放大效应</w:t>
      </w:r>
      <w:r>
        <w:rPr>
          <w:rFonts w:hint="eastAsia"/>
          <w:lang w:eastAsia="zh-CN"/>
        </w:rPr>
        <w:t>”</w:t>
      </w:r>
      <w:r>
        <w:t>和次生、衍生灾害，尽快恢复当地正常秩序。</w:t>
      </w:r>
    </w:p>
    <w:p>
      <w:pPr>
        <w:ind w:firstLine="480"/>
      </w:pPr>
      <w:r>
        <w:t>根据以上分析可知，项目对可能产生地下水影响的各项途径均进行有效预防，在确保各项防渗措施得以落实，并加强维护和厂区环境管理的前提下，可有效控制厂区内的废水污染物下渗现象，避免污染地下水，因此项目不会对区域地下水环境产生明显影响。</w:t>
      </w:r>
    </w:p>
    <w:p>
      <w:pPr>
        <w:pStyle w:val="7"/>
        <w:ind w:firstLine="562"/>
      </w:pPr>
      <w:bookmarkStart w:id="226" w:name="_Toc15184"/>
      <w:bookmarkStart w:id="227" w:name="_Toc5888510"/>
      <w:r>
        <w:rPr>
          <w:rFonts w:hint="eastAsia"/>
        </w:rPr>
        <w:t xml:space="preserve">7.2.4 </w:t>
      </w:r>
      <w:r>
        <w:t>运营期噪声污染防治措施</w:t>
      </w:r>
      <w:bookmarkEnd w:id="226"/>
      <w:bookmarkEnd w:id="227"/>
    </w:p>
    <w:p>
      <w:pPr>
        <w:ind w:firstLine="480"/>
      </w:pPr>
      <w:r>
        <w:t>项目主要噪声源为生产设备、水泵、风机等噪声，噪声源强为</w:t>
      </w:r>
      <w:r>
        <w:rPr>
          <w:rFonts w:hint="eastAsia"/>
        </w:rPr>
        <w:t>80</w:t>
      </w:r>
      <w:r>
        <w:t>～90dB（A）。</w:t>
      </w:r>
    </w:p>
    <w:p>
      <w:pPr>
        <w:ind w:firstLine="480"/>
      </w:pPr>
      <w:bookmarkStart w:id="228" w:name="_Toc12274"/>
      <w:bookmarkStart w:id="229" w:name="_Toc417290534"/>
      <w:bookmarkStart w:id="230" w:name="_Toc5888511"/>
      <w:bookmarkStart w:id="231" w:name="_Toc242003751"/>
      <w:r>
        <w:rPr>
          <w:rFonts w:hint="eastAsia"/>
        </w:rPr>
        <w:t>1、</w:t>
      </w:r>
      <w:r>
        <w:t>防治基本原则</w:t>
      </w:r>
      <w:bookmarkEnd w:id="228"/>
      <w:bookmarkEnd w:id="229"/>
      <w:bookmarkEnd w:id="230"/>
      <w:bookmarkEnd w:id="231"/>
    </w:p>
    <w:p>
      <w:pPr>
        <w:ind w:firstLine="480"/>
      </w:pPr>
      <w:r>
        <w:t>对噪声的防治首先从声源上进行控制，其次从传播途径上进行控制。</w:t>
      </w:r>
    </w:p>
    <w:p>
      <w:pPr>
        <w:ind w:firstLine="480"/>
      </w:pPr>
      <w:bookmarkStart w:id="232" w:name="_Toc242003752"/>
      <w:bookmarkStart w:id="233" w:name="_Toc18281"/>
      <w:bookmarkStart w:id="234" w:name="_Toc417290535"/>
      <w:bookmarkStart w:id="235" w:name="_Toc5888512"/>
      <w:r>
        <w:rPr>
          <w:rFonts w:hint="eastAsia"/>
        </w:rPr>
        <w:t>2、</w:t>
      </w:r>
      <w:r>
        <w:t>噪声污染防治原则性措施</w:t>
      </w:r>
      <w:bookmarkEnd w:id="232"/>
      <w:bookmarkEnd w:id="233"/>
      <w:bookmarkEnd w:id="234"/>
      <w:bookmarkEnd w:id="235"/>
    </w:p>
    <w:p>
      <w:pPr>
        <w:autoSpaceDE w:val="0"/>
        <w:autoSpaceDN w:val="0"/>
        <w:adjustRightInd w:val="0"/>
        <w:ind w:firstLine="480"/>
        <w:jc w:val="left"/>
        <w:rPr>
          <w:bCs/>
          <w:kern w:val="0"/>
          <w:u w:val="single"/>
        </w:rPr>
      </w:pPr>
      <w:r>
        <w:rPr>
          <w:rFonts w:hint="eastAsia"/>
          <w:bCs/>
          <w:kern w:val="0"/>
          <w:u w:val="single"/>
        </w:rPr>
        <w:t>（1）</w:t>
      </w:r>
      <w:r>
        <w:rPr>
          <w:bCs/>
          <w:kern w:val="0"/>
          <w:u w:val="single"/>
        </w:rPr>
        <w:t>选用低噪声设备</w:t>
      </w:r>
    </w:p>
    <w:p>
      <w:pPr>
        <w:ind w:firstLine="464"/>
        <w:rPr>
          <w:bCs/>
          <w:spacing w:val="-4"/>
          <w:u w:val="single"/>
        </w:rPr>
      </w:pPr>
      <w:r>
        <w:rPr>
          <w:bCs/>
          <w:spacing w:val="-4"/>
          <w:u w:val="single"/>
        </w:rPr>
        <w:t>在设备选型上，建设单位在设备订货时向设备制造厂提出噪声限值，应按工程设计中规定的各种设备噪声限值向厂方提出要求，选择低噪声设备。</w:t>
      </w:r>
    </w:p>
    <w:p>
      <w:pPr>
        <w:autoSpaceDE w:val="0"/>
        <w:autoSpaceDN w:val="0"/>
        <w:adjustRightInd w:val="0"/>
        <w:ind w:firstLine="480"/>
        <w:jc w:val="left"/>
        <w:rPr>
          <w:bCs/>
          <w:kern w:val="0"/>
          <w:u w:val="single"/>
        </w:rPr>
      </w:pPr>
      <w:r>
        <w:rPr>
          <w:rFonts w:hint="eastAsia"/>
          <w:bCs/>
          <w:kern w:val="0"/>
          <w:u w:val="single"/>
        </w:rPr>
        <w:t>（2）设备隔声、消声、减振处理</w:t>
      </w:r>
    </w:p>
    <w:p>
      <w:pPr>
        <w:autoSpaceDE w:val="0"/>
        <w:autoSpaceDN w:val="0"/>
        <w:adjustRightInd w:val="0"/>
        <w:ind w:firstLine="480"/>
        <w:jc w:val="left"/>
        <w:rPr>
          <w:bCs/>
          <w:kern w:val="0"/>
          <w:u w:val="single"/>
        </w:rPr>
      </w:pPr>
      <w:bookmarkStart w:id="236" w:name="_Toc242003753"/>
      <w:r>
        <w:rPr>
          <w:rFonts w:hint="eastAsia"/>
          <w:bCs/>
          <w:kern w:val="0"/>
          <w:u w:val="single"/>
        </w:rPr>
        <w:t>①选用低噪声风机，并在风机的进气和出气口管道上安装消声器；</w:t>
      </w:r>
    </w:p>
    <w:p>
      <w:pPr>
        <w:autoSpaceDE w:val="0"/>
        <w:autoSpaceDN w:val="0"/>
        <w:adjustRightInd w:val="0"/>
        <w:ind w:firstLine="480"/>
        <w:jc w:val="left"/>
        <w:rPr>
          <w:bCs/>
          <w:kern w:val="0"/>
          <w:u w:val="single"/>
        </w:rPr>
      </w:pPr>
      <w:r>
        <w:rPr>
          <w:rFonts w:hint="eastAsia"/>
          <w:bCs/>
          <w:kern w:val="0"/>
          <w:u w:val="single"/>
        </w:rPr>
        <w:t>②机座</w:t>
      </w:r>
      <w:r>
        <w:rPr>
          <w:rFonts w:hint="eastAsia"/>
          <w:bCs/>
          <w:kern w:val="0"/>
          <w:u w:val="single"/>
          <w:lang w:eastAsia="zh-CN"/>
        </w:rPr>
        <w:t>安装减震垫，</w:t>
      </w:r>
      <w:r>
        <w:rPr>
          <w:rFonts w:hint="eastAsia"/>
          <w:bCs/>
          <w:kern w:val="0"/>
          <w:u w:val="single"/>
        </w:rPr>
        <w:t>做好减振措施。</w:t>
      </w:r>
    </w:p>
    <w:p>
      <w:pPr>
        <w:autoSpaceDE w:val="0"/>
        <w:autoSpaceDN w:val="0"/>
        <w:adjustRightInd w:val="0"/>
        <w:ind w:firstLine="480"/>
        <w:jc w:val="left"/>
        <w:rPr>
          <w:bCs/>
          <w:kern w:val="0"/>
        </w:rPr>
      </w:pPr>
      <w:r>
        <w:rPr>
          <w:rFonts w:hint="eastAsia"/>
          <w:bCs/>
          <w:kern w:val="0"/>
        </w:rPr>
        <w:t>通过采取以上措施，车间内设备可降噪10~20dB（A）。</w:t>
      </w:r>
    </w:p>
    <w:bookmarkEnd w:id="236"/>
    <w:p>
      <w:pPr>
        <w:ind w:firstLine="480"/>
      </w:pPr>
      <w:r>
        <w:t>3、车间降噪措施</w:t>
      </w:r>
    </w:p>
    <w:p>
      <w:pPr>
        <w:ind w:firstLine="480"/>
        <w:rPr>
          <w:u w:val="single"/>
        </w:rPr>
      </w:pPr>
      <w:r>
        <w:rPr>
          <w:rFonts w:hint="eastAsia" w:ascii="宋体" w:hAnsi="宋体" w:cs="宋体"/>
          <w:u w:val="single"/>
        </w:rPr>
        <w:t>①</w:t>
      </w:r>
      <w:r>
        <w:rPr>
          <w:u w:val="single"/>
        </w:rPr>
        <w:t>将车间门窗采用双层采光玻璃隔声、通风消声百叶窗及隔声门复合配制，靠近厂界方向一侧的门窗尽量少开或不开，车间内应根据噪声源，设置吸声吊顶</w:t>
      </w:r>
      <w:r>
        <w:rPr>
          <w:rFonts w:hint="eastAsia"/>
          <w:u w:val="single"/>
          <w:lang w:eastAsia="zh-CN"/>
        </w:rPr>
        <w:t>，车间内侧安装隔音棉</w:t>
      </w:r>
      <w:r>
        <w:rPr>
          <w:u w:val="single"/>
        </w:rPr>
        <w:t>；</w:t>
      </w:r>
    </w:p>
    <w:p>
      <w:pPr>
        <w:ind w:firstLine="480"/>
        <w:rPr>
          <w:u w:val="single"/>
        </w:rPr>
      </w:pPr>
      <w:r>
        <w:rPr>
          <w:rFonts w:hint="eastAsia" w:ascii="宋体" w:hAnsi="宋体" w:cs="宋体"/>
          <w:bCs/>
          <w:u w:val="single"/>
        </w:rPr>
        <w:t>②</w:t>
      </w:r>
      <w:r>
        <w:rPr>
          <w:u w:val="single"/>
        </w:rPr>
        <w:t>车间内的设备应合理布局，对高噪声的水泵等设备，尽量安装在隔声间内集中</w:t>
      </w:r>
      <w:r>
        <w:rPr>
          <w:rFonts w:hint="eastAsia"/>
          <w:u w:val="single"/>
          <w:lang w:eastAsia="zh-CN"/>
        </w:rPr>
        <w:t>生产</w:t>
      </w:r>
      <w:r>
        <w:rPr>
          <w:u w:val="single"/>
        </w:rPr>
        <w:t>；</w:t>
      </w:r>
    </w:p>
    <w:p>
      <w:pPr>
        <w:ind w:firstLine="480"/>
        <w:rPr>
          <w:u w:val="single"/>
        </w:rPr>
      </w:pPr>
      <w:r>
        <w:rPr>
          <w:rFonts w:hint="eastAsia" w:ascii="宋体" w:hAnsi="宋体" w:cs="宋体"/>
          <w:u w:val="single"/>
        </w:rPr>
        <w:t>③</w:t>
      </w:r>
      <w:r>
        <w:rPr>
          <w:u w:val="single"/>
        </w:rPr>
        <w:t>合理安排生产作业时间，对高噪声设备的运行应尽量安排在昼间，避免高噪声设备的夜间运行对周围声环境产生不利影响；</w:t>
      </w:r>
    </w:p>
    <w:p>
      <w:pPr>
        <w:ind w:firstLine="480"/>
        <w:rPr>
          <w:sz w:val="32"/>
        </w:rPr>
      </w:pPr>
      <w:r>
        <w:t>通过采取以上措施，车间内设备可降噪10~20</w:t>
      </w:r>
      <w:r>
        <w:rPr>
          <w:szCs w:val="21"/>
        </w:rPr>
        <w:t>dB</w:t>
      </w:r>
      <w:r>
        <w:rPr>
          <w:rFonts w:hint="eastAsia"/>
          <w:szCs w:val="21"/>
        </w:rPr>
        <w:t>（</w:t>
      </w:r>
      <w:r>
        <w:rPr>
          <w:szCs w:val="21"/>
        </w:rPr>
        <w:t>A</w:t>
      </w:r>
      <w:r>
        <w:rPr>
          <w:rFonts w:hint="eastAsia"/>
          <w:szCs w:val="21"/>
        </w:rPr>
        <w:t>）</w:t>
      </w:r>
      <w:r>
        <w:rPr>
          <w:szCs w:val="21"/>
        </w:rPr>
        <w:t>。</w:t>
      </w:r>
    </w:p>
    <w:p>
      <w:pPr>
        <w:ind w:firstLine="480"/>
      </w:pPr>
      <w:r>
        <w:t>4、合理布局防治噪声</w:t>
      </w:r>
    </w:p>
    <w:p>
      <w:pPr>
        <w:ind w:firstLine="480"/>
        <w:rPr>
          <w:u w:val="single"/>
        </w:rPr>
      </w:pPr>
      <w:r>
        <w:rPr>
          <w:rFonts w:hint="eastAsia" w:ascii="宋体" w:hAnsi="宋体" w:cs="宋体"/>
          <w:u w:val="single"/>
        </w:rPr>
        <w:t>①</w:t>
      </w:r>
      <w:r>
        <w:rPr>
          <w:u w:val="single"/>
        </w:rPr>
        <w:t>调整布局，尽量将高噪声车间远离边界；</w:t>
      </w:r>
    </w:p>
    <w:p>
      <w:pPr>
        <w:ind w:firstLine="480"/>
        <w:rPr>
          <w:u w:val="single"/>
        </w:rPr>
      </w:pPr>
      <w:r>
        <w:rPr>
          <w:rFonts w:hint="eastAsia"/>
          <w:u w:val="single"/>
        </w:rPr>
        <w:t>②加强厂区绿化，可实施乔木落叶树与低矮的灌木病草坪构成的混合绿化屏障，这对降低厂区噪声水平，有一定的辅助效果。</w:t>
      </w:r>
    </w:p>
    <w:p>
      <w:pPr>
        <w:ind w:firstLine="480"/>
      </w:pPr>
      <w:r>
        <w:rPr>
          <w:rFonts w:hint="eastAsia"/>
        </w:rPr>
        <w:t>各噪声污染源经过以上处理后，可降噪10~20dB（A），根据预测，本项目正常运行时其边界噪声值可符合《工业企业厂界环境噪声排放标准》（GB12348-2008）3类标准，噪声防治措施可行。</w:t>
      </w:r>
      <w:bookmarkStart w:id="425" w:name="_GoBack"/>
      <w:bookmarkEnd w:id="425"/>
    </w:p>
    <w:p>
      <w:pPr>
        <w:pStyle w:val="7"/>
        <w:ind w:firstLine="562"/>
      </w:pPr>
      <w:bookmarkStart w:id="237" w:name="_Toc5021"/>
      <w:bookmarkStart w:id="238" w:name="_Toc5888513"/>
      <w:r>
        <w:rPr>
          <w:rFonts w:hint="eastAsia"/>
        </w:rPr>
        <w:t xml:space="preserve">7.2.5 </w:t>
      </w:r>
      <w:r>
        <w:t>运营期固体废物处置措施</w:t>
      </w:r>
      <w:bookmarkEnd w:id="237"/>
      <w:bookmarkEnd w:id="238"/>
    </w:p>
    <w:p>
      <w:pPr>
        <w:ind w:firstLine="480"/>
        <w:rPr>
          <w:rFonts w:ascii="宋体" w:hAnsi="宋体" w:cs="宋体"/>
        </w:rPr>
      </w:pPr>
      <w:bookmarkStart w:id="239" w:name="_Toc18018"/>
      <w:r>
        <w:rPr>
          <w:rFonts w:hint="eastAsia" w:ascii="宋体" w:hAnsi="宋体" w:cs="宋体"/>
        </w:rPr>
        <w:t>本项目营运期固废主要包括工艺环节产生的废滤渣；</w:t>
      </w:r>
      <w:r>
        <w:rPr>
          <w:rFonts w:hint="eastAsia" w:ascii="宋体" w:hAnsi="宋体" w:cs="宋体"/>
          <w:u w:val="single"/>
        </w:rPr>
        <w:t>其他环节产生的废原料包装物</w:t>
      </w:r>
      <w:r>
        <w:rPr>
          <w:rFonts w:hint="eastAsia" w:ascii="宋体" w:hAnsi="宋体" w:cs="宋体"/>
          <w:u w:val="single"/>
          <w:lang w:eastAsia="zh-CN"/>
        </w:rPr>
        <w:t>、</w:t>
      </w:r>
      <w:r>
        <w:rPr>
          <w:rFonts w:hint="eastAsia" w:ascii="宋体" w:hAnsi="宋体" w:cs="宋体"/>
          <w:u w:val="single"/>
        </w:rPr>
        <w:t>设备维护和检修废机油</w:t>
      </w:r>
      <w:r>
        <w:rPr>
          <w:rFonts w:hint="eastAsia" w:ascii="宋体" w:hAnsi="宋体" w:cs="宋体"/>
          <w:u w:val="single"/>
          <w:lang w:eastAsia="zh-CN"/>
        </w:rPr>
        <w:t>、</w:t>
      </w:r>
      <w:r>
        <w:rPr>
          <w:rFonts w:hint="eastAsia" w:ascii="宋体" w:hAnsi="宋体" w:cs="宋体"/>
          <w:u w:val="single"/>
        </w:rPr>
        <w:t>废水处理站污泥</w:t>
      </w:r>
      <w:r>
        <w:rPr>
          <w:rFonts w:hint="eastAsia" w:ascii="宋体" w:hAnsi="宋体" w:cs="宋体"/>
          <w:u w:val="single"/>
          <w:lang w:eastAsia="zh-CN"/>
        </w:rPr>
        <w:t>、</w:t>
      </w:r>
      <w:r>
        <w:rPr>
          <w:rFonts w:hint="eastAsia" w:ascii="宋体" w:hAnsi="宋体" w:cs="宋体"/>
          <w:u w:val="single"/>
        </w:rPr>
        <w:t>废气治理产生的废活性炭</w:t>
      </w:r>
      <w:r>
        <w:rPr>
          <w:rFonts w:hint="eastAsia" w:ascii="宋体" w:hAnsi="宋体" w:cs="宋体"/>
          <w:u w:val="single"/>
          <w:lang w:eastAsia="zh-CN"/>
        </w:rPr>
        <w:t>、</w:t>
      </w:r>
      <w:r>
        <w:rPr>
          <w:rFonts w:hint="eastAsia" w:ascii="宋体" w:hAnsi="宋体" w:cs="宋体"/>
          <w:u w:val="single"/>
        </w:rPr>
        <w:t>废催化剂</w:t>
      </w:r>
      <w:r>
        <w:rPr>
          <w:rFonts w:hint="eastAsia" w:ascii="宋体" w:hAnsi="宋体" w:cs="宋体"/>
          <w:u w:val="single"/>
          <w:lang w:eastAsia="zh-CN"/>
        </w:rPr>
        <w:t>、</w:t>
      </w:r>
      <w:r>
        <w:rPr>
          <w:rFonts w:hint="eastAsia" w:ascii="宋体" w:hAnsi="宋体" w:cs="宋体"/>
          <w:u w:val="single"/>
        </w:rPr>
        <w:t>除尘器卸灰、废弃边角料、喷淋塔沉渣和职工生活垃圾等，</w:t>
      </w:r>
      <w:r>
        <w:rPr>
          <w:rFonts w:hint="eastAsia" w:ascii="宋体" w:hAnsi="宋体" w:cs="宋体"/>
        </w:rPr>
        <w:t>除空气废弃边角料、除尘器卸灰、职工生活垃圾属于一般固废，其他固废均属于危险废物，对于工艺过程中产生的液态危险废物收集后采用密闭储罐暂存与危废暂存间，并委托资质单位进行安全处置；对于各类固态危险废物收集后采用密闭容器盛装后暂存于危废暂存间，并委托资质单位进行安全处置；对于除尘固废收集后</w:t>
      </w:r>
      <w:r>
        <w:rPr>
          <w:rFonts w:hint="eastAsia" w:ascii="宋体" w:hAnsi="宋体" w:cs="宋体"/>
          <w:lang w:eastAsia="zh-CN"/>
        </w:rPr>
        <w:t>环卫清运；</w:t>
      </w:r>
      <w:r>
        <w:rPr>
          <w:rFonts w:hint="eastAsia" w:ascii="宋体" w:hAnsi="宋体" w:cs="宋体"/>
        </w:rPr>
        <w:t>生活垃圾厂区收集后送集聚区垃圾中转站，由环卫部门集中清运并进行合理处理。</w:t>
      </w:r>
    </w:p>
    <w:p>
      <w:pPr>
        <w:ind w:firstLine="480"/>
        <w:rPr>
          <w:rFonts w:ascii="宋体" w:hAnsi="宋体" w:cs="宋体"/>
        </w:rPr>
      </w:pPr>
      <w:r>
        <w:rPr>
          <w:rFonts w:hint="eastAsia" w:ascii="宋体" w:hAnsi="宋体" w:cs="宋体"/>
        </w:rPr>
        <w:t>本项目营运后产生危险废物种类较多，主要包括废机油，废水处理站污泥，废气治理产生的废活性炭等。企业拟采取严格的防治措施对危险废物在收集、贮存、转运、处置和管理等环节进行控制。</w:t>
      </w:r>
    </w:p>
    <w:p>
      <w:pPr>
        <w:ind w:firstLine="480"/>
        <w:rPr>
          <w:rFonts w:ascii="宋体" w:hAnsi="宋体" w:cs="宋体"/>
        </w:rPr>
      </w:pPr>
      <w:r>
        <w:rPr>
          <w:rFonts w:hint="eastAsia" w:ascii="宋体" w:hAnsi="宋体" w:cs="宋体"/>
        </w:rPr>
        <w:t>（1）危险废物收集措施</w:t>
      </w:r>
    </w:p>
    <w:p>
      <w:pPr>
        <w:ind w:firstLine="480"/>
        <w:rPr>
          <w:rFonts w:cs="Times New Roman"/>
        </w:rPr>
      </w:pPr>
      <w:r>
        <w:rPr>
          <w:rFonts w:cs="Times New Roman"/>
        </w:rPr>
        <w:t>本项目产生的各类危险废物应采取分类收集的方式进行收集储存，其中，液体废液采用专用密闭储罐进行分类收集储存，并在每个储存单元设置围堰，防止废液在转运和暂存过程中抛洒，引起二次污染；固体用耐酸碱、耐腐蚀的密闭容器密封保存，并分区进行储存；另外无法装入常用容器的危险废物用防漏胶袋等盛装。以上各类装载液体、半固体危险废物的容器内须留足够空间，容器顶部与液体表面之间保留100mm以上的空间，防止转运过程中出现遗留和抛洒等现象发生。本项目生产过程产生的各类危险废物收集容器和贮存设施，应有危险废物识别标志、标明具体物质名称，并设置危险废物警示标志。</w:t>
      </w:r>
    </w:p>
    <w:bookmarkEnd w:id="239"/>
    <w:p>
      <w:pPr>
        <w:pStyle w:val="52"/>
        <w:ind w:firstLine="482"/>
        <w:rPr>
          <w:rFonts w:eastAsia="宋体"/>
          <w:b/>
          <w:bCs/>
          <w:color w:val="auto"/>
          <w:szCs w:val="24"/>
        </w:rPr>
      </w:pPr>
      <w:bookmarkStart w:id="240" w:name="_Toc15593"/>
      <w:bookmarkStart w:id="241" w:name="_Toc410382779"/>
      <w:bookmarkStart w:id="242" w:name="_Toc410978117"/>
      <w:r>
        <w:rPr>
          <w:rFonts w:hint="eastAsia" w:eastAsia="宋体"/>
          <w:b/>
          <w:bCs/>
          <w:color w:val="auto"/>
          <w:szCs w:val="24"/>
        </w:rPr>
        <w:t>表7.2-8  各排污口及固废暂存场所环境保护图形标志一览表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1360"/>
        <w:gridCol w:w="1360"/>
        <w:gridCol w:w="1211"/>
        <w:gridCol w:w="1211"/>
        <w:gridCol w:w="2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5"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排放口名称</w:t>
            </w:r>
          </w:p>
        </w:tc>
        <w:tc>
          <w:tcPr>
            <w:tcW w:w="136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图形标志</w:t>
            </w:r>
          </w:p>
        </w:tc>
        <w:tc>
          <w:tcPr>
            <w:tcW w:w="136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形状</w:t>
            </w:r>
          </w:p>
        </w:tc>
        <w:tc>
          <w:tcPr>
            <w:tcW w:w="121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背景颜色</w:t>
            </w:r>
          </w:p>
        </w:tc>
        <w:tc>
          <w:tcPr>
            <w:tcW w:w="121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图形颜色</w:t>
            </w:r>
          </w:p>
        </w:tc>
        <w:tc>
          <w:tcPr>
            <w:tcW w:w="2793"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提示图形符号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jc w:val="center"/>
        </w:trPr>
        <w:tc>
          <w:tcPr>
            <w:tcW w:w="1355"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一般固废暂存场所</w:t>
            </w:r>
          </w:p>
        </w:tc>
        <w:tc>
          <w:tcPr>
            <w:tcW w:w="136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提示标志</w:t>
            </w:r>
          </w:p>
        </w:tc>
        <w:tc>
          <w:tcPr>
            <w:tcW w:w="136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正方形边框</w:t>
            </w:r>
          </w:p>
        </w:tc>
        <w:tc>
          <w:tcPr>
            <w:tcW w:w="121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绿色</w:t>
            </w:r>
          </w:p>
        </w:tc>
        <w:tc>
          <w:tcPr>
            <w:tcW w:w="121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白色</w:t>
            </w:r>
          </w:p>
        </w:tc>
        <w:tc>
          <w:tcPr>
            <w:tcW w:w="2793"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drawing>
                <wp:anchor distT="0" distB="0" distL="114300" distR="114300" simplePos="0" relativeHeight="251661312" behindDoc="0" locked="0" layoutInCell="1" allowOverlap="1">
                  <wp:simplePos x="0" y="0"/>
                  <wp:positionH relativeFrom="column">
                    <wp:posOffset>292100</wp:posOffset>
                  </wp:positionH>
                  <wp:positionV relativeFrom="paragraph">
                    <wp:posOffset>57785</wp:posOffset>
                  </wp:positionV>
                  <wp:extent cx="848995" cy="768985"/>
                  <wp:effectExtent l="0" t="0" r="8255" b="12065"/>
                  <wp:wrapNone/>
                  <wp:docPr id="32" name="图片 282" descr="t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82" descr="timg"/>
                          <pic:cNvPicPr>
                            <a:picLocks noChangeAspect="1"/>
                          </pic:cNvPicPr>
                        </pic:nvPicPr>
                        <pic:blipFill>
                          <a:blip r:embed="rId109"/>
                          <a:srcRect l="26401" t="15720" r="26602" b="41718"/>
                          <a:stretch>
                            <a:fillRect/>
                          </a:stretch>
                        </pic:blipFill>
                        <pic:spPr>
                          <a:xfrm>
                            <a:off x="0" y="0"/>
                            <a:ext cx="848995" cy="768985"/>
                          </a:xfrm>
                          <a:prstGeom prst="rect">
                            <a:avLst/>
                          </a:prstGeom>
                          <a:noFill/>
                          <a:ln>
                            <a:noFill/>
                          </a:ln>
                        </pic:spPr>
                      </pic:pic>
                    </a:graphicData>
                  </a:graphic>
                </wp:anchor>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55"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危险固废暂存场所</w:t>
            </w:r>
          </w:p>
        </w:tc>
        <w:tc>
          <w:tcPr>
            <w:tcW w:w="136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警告标志</w:t>
            </w:r>
          </w:p>
        </w:tc>
        <w:tc>
          <w:tcPr>
            <w:tcW w:w="136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三角形边框</w:t>
            </w:r>
          </w:p>
        </w:tc>
        <w:tc>
          <w:tcPr>
            <w:tcW w:w="121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黄色</w:t>
            </w:r>
          </w:p>
        </w:tc>
        <w:tc>
          <w:tcPr>
            <w:tcW w:w="1211" w:type="dxa"/>
            <w:tcBorders>
              <w:tl2br w:val="nil"/>
              <w:tr2bl w:val="nil"/>
            </w:tcBorders>
            <w:vAlign w:val="center"/>
          </w:tcPr>
          <w:p>
            <w:pPr>
              <w:autoSpaceDE w:val="0"/>
              <w:autoSpaceDN w:val="0"/>
              <w:spacing w:line="240" w:lineRule="auto"/>
              <w:ind w:firstLine="0" w:firstLineChars="0"/>
              <w:jc w:val="center"/>
              <w:rPr>
                <w:sz w:val="21"/>
                <w:szCs w:val="21"/>
              </w:rPr>
            </w:pPr>
            <w:r>
              <w:rPr>
                <w:rFonts w:hint="eastAsia"/>
                <w:sz w:val="21"/>
                <w:szCs w:val="21"/>
              </w:rPr>
              <w:t>黑色</w:t>
            </w:r>
          </w:p>
        </w:tc>
        <w:tc>
          <w:tcPr>
            <w:tcW w:w="2793" w:type="dxa"/>
            <w:tcBorders>
              <w:tl2br w:val="nil"/>
              <w:tr2bl w:val="nil"/>
            </w:tcBorders>
            <w:vAlign w:val="center"/>
          </w:tcPr>
          <w:p>
            <w:pPr>
              <w:autoSpaceDE w:val="0"/>
              <w:autoSpaceDN w:val="0"/>
              <w:spacing w:line="240" w:lineRule="auto"/>
              <w:ind w:firstLine="0" w:firstLineChars="0"/>
              <w:jc w:val="center"/>
              <w:rPr>
                <w:sz w:val="21"/>
                <w:szCs w:val="21"/>
              </w:rPr>
            </w:pPr>
            <w:r>
              <w:rPr>
                <w:sz w:val="21"/>
                <w:szCs w:val="21"/>
              </w:rPr>
              <w:drawing>
                <wp:anchor distT="0" distB="0" distL="114300" distR="114300" simplePos="0" relativeHeight="251662336" behindDoc="0" locked="0" layoutInCell="1" allowOverlap="1">
                  <wp:simplePos x="0" y="0"/>
                  <wp:positionH relativeFrom="column">
                    <wp:posOffset>182245</wp:posOffset>
                  </wp:positionH>
                  <wp:positionV relativeFrom="paragraph">
                    <wp:posOffset>38100</wp:posOffset>
                  </wp:positionV>
                  <wp:extent cx="998855" cy="651510"/>
                  <wp:effectExtent l="0" t="0" r="10795" b="15240"/>
                  <wp:wrapNone/>
                  <wp:docPr id="3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
                          <pic:cNvPicPr>
                            <a:picLocks noChangeAspect="1"/>
                          </pic:cNvPicPr>
                        </pic:nvPicPr>
                        <pic:blipFill>
                          <a:blip r:embed="rId110"/>
                          <a:stretch>
                            <a:fillRect/>
                          </a:stretch>
                        </pic:blipFill>
                        <pic:spPr>
                          <a:xfrm>
                            <a:off x="0" y="0"/>
                            <a:ext cx="998855" cy="651510"/>
                          </a:xfrm>
                          <a:prstGeom prst="rect">
                            <a:avLst/>
                          </a:prstGeom>
                          <a:noFill/>
                          <a:ln>
                            <a:noFill/>
                          </a:ln>
                        </pic:spPr>
                      </pic:pic>
                    </a:graphicData>
                  </a:graphic>
                </wp:anchor>
              </w:drawing>
            </w:r>
          </w:p>
          <w:p>
            <w:pPr>
              <w:autoSpaceDE w:val="0"/>
              <w:autoSpaceDN w:val="0"/>
              <w:spacing w:line="240" w:lineRule="auto"/>
              <w:ind w:firstLine="0" w:firstLineChars="0"/>
              <w:jc w:val="center"/>
              <w:rPr>
                <w:sz w:val="21"/>
                <w:szCs w:val="21"/>
              </w:rPr>
            </w:pPr>
          </w:p>
          <w:p>
            <w:pPr>
              <w:autoSpaceDE w:val="0"/>
              <w:autoSpaceDN w:val="0"/>
              <w:spacing w:line="240" w:lineRule="auto"/>
              <w:ind w:firstLine="0" w:firstLineChars="0"/>
              <w:rPr>
                <w:sz w:val="21"/>
                <w:szCs w:val="21"/>
              </w:rPr>
            </w:pPr>
          </w:p>
          <w:p>
            <w:pPr>
              <w:pStyle w:val="2"/>
              <w:rPr>
                <w:sz w:val="21"/>
                <w:szCs w:val="21"/>
              </w:rPr>
            </w:pPr>
          </w:p>
        </w:tc>
      </w:tr>
    </w:tbl>
    <w:p>
      <w:pPr>
        <w:widowControl/>
        <w:ind w:firstLine="480"/>
        <w:jc w:val="left"/>
        <w:rPr>
          <w:rFonts w:cs="Times New Roman"/>
        </w:rPr>
      </w:pPr>
      <w:r>
        <w:rPr>
          <w:rFonts w:cs="Times New Roman"/>
          <w:color w:val="000000"/>
          <w:kern w:val="0"/>
          <w:lang w:bidi="ar"/>
        </w:rPr>
        <w:t xml:space="preserve">（2）危险废物贮存措施 </w:t>
      </w:r>
    </w:p>
    <w:p>
      <w:pPr>
        <w:widowControl/>
        <w:ind w:firstLine="480"/>
        <w:jc w:val="left"/>
        <w:rPr>
          <w:rFonts w:cs="Times New Roman"/>
        </w:rPr>
      </w:pPr>
      <w:r>
        <w:rPr>
          <w:rFonts w:cs="Times New Roman"/>
          <w:color w:val="000000"/>
          <w:kern w:val="0"/>
          <w:lang w:bidi="ar"/>
        </w:rPr>
        <w:t>建设单位拟在厂区建设单独的危险固废暂存间1座，建筑面积50m</w:t>
      </w:r>
      <w:r>
        <w:rPr>
          <w:rFonts w:cs="Times New Roman"/>
          <w:color w:val="000000"/>
          <w:kern w:val="0"/>
          <w:vertAlign w:val="superscript"/>
          <w:lang w:bidi="ar"/>
        </w:rPr>
        <w:t>2</w:t>
      </w:r>
      <w:r>
        <w:rPr>
          <w:rFonts w:cs="Times New Roman"/>
          <w:color w:val="000000"/>
          <w:kern w:val="0"/>
          <w:lang w:bidi="ar"/>
        </w:rPr>
        <w:t>，暂存各类危险废物，各类危险废物密闭储罐、收集桶和容器在暂存间暂存后，定期送至有资质的单位进行安全处置。</w:t>
      </w:r>
    </w:p>
    <w:p>
      <w:pPr>
        <w:widowControl/>
        <w:ind w:firstLine="480"/>
        <w:jc w:val="left"/>
        <w:rPr>
          <w:rFonts w:cs="Times New Roman"/>
        </w:rPr>
      </w:pPr>
      <w:r>
        <w:rPr>
          <w:rFonts w:cs="Times New Roman"/>
          <w:color w:val="000000"/>
          <w:kern w:val="0"/>
          <w:lang w:bidi="ar"/>
        </w:rPr>
        <w:t>危险废物暂存区应严格按照环境保护部公告2017年第43号《建设项目危险废物环境影响评价指南》、《危险废物贮存污染控制标准》（GB18597-2001）及其修改单中相关规定，做到</w:t>
      </w:r>
      <w:r>
        <w:rPr>
          <w:rFonts w:hint="eastAsia" w:cs="Times New Roman"/>
          <w:color w:val="000000"/>
          <w:kern w:val="0"/>
          <w:lang w:eastAsia="zh-CN" w:bidi="ar"/>
        </w:rPr>
        <w:t>“</w:t>
      </w:r>
      <w:r>
        <w:rPr>
          <w:rFonts w:cs="Times New Roman"/>
          <w:color w:val="000000"/>
          <w:kern w:val="0"/>
          <w:lang w:bidi="ar"/>
        </w:rPr>
        <w:t>防风、防雨、防晒、防渗漏</w:t>
      </w:r>
      <w:r>
        <w:rPr>
          <w:rFonts w:hint="eastAsia" w:cs="Times New Roman"/>
          <w:color w:val="000000"/>
          <w:kern w:val="0"/>
          <w:lang w:eastAsia="zh-CN" w:bidi="ar"/>
        </w:rPr>
        <w:t>”</w:t>
      </w:r>
      <w:r>
        <w:rPr>
          <w:rFonts w:cs="Times New Roman"/>
          <w:color w:val="000000"/>
          <w:kern w:val="0"/>
          <w:lang w:bidi="ar"/>
        </w:rPr>
        <w:t>四防要求；暂存区周围设计截流沟，防止暴雨季节，雨水进入储存间，暂存区内应配备通讯设备、照明设施、安全防护服装及工具，并设有应急防护设施。危险废物暂存区地面与裙脚要用坚固、防渗的材料建造，防渗层为至少1m厚粘土层（渗透系数≤10</w:t>
      </w:r>
      <w:r>
        <w:rPr>
          <w:rFonts w:cs="Times New Roman"/>
          <w:color w:val="000000"/>
          <w:kern w:val="0"/>
          <w:vertAlign w:val="superscript"/>
          <w:lang w:bidi="ar"/>
        </w:rPr>
        <w:t>-7</w:t>
      </w:r>
      <w:r>
        <w:rPr>
          <w:rFonts w:cs="Times New Roman"/>
          <w:color w:val="000000"/>
          <w:kern w:val="0"/>
          <w:lang w:bidi="ar"/>
        </w:rPr>
        <w:t>cm/s），或2mm厚高度聚乙烯，或至少2mm厚</w:t>
      </w:r>
      <w:r>
        <w:rPr>
          <w:rFonts w:hint="eastAsia" w:cs="Times New Roman"/>
          <w:color w:val="000000"/>
          <w:kern w:val="0"/>
          <w:lang w:bidi="ar"/>
        </w:rPr>
        <w:t>的其他</w:t>
      </w:r>
      <w:r>
        <w:rPr>
          <w:rFonts w:cs="Times New Roman"/>
          <w:color w:val="000000"/>
          <w:kern w:val="0"/>
          <w:lang w:bidi="ar"/>
        </w:rPr>
        <w:t>人工材料，渗透系数≤10</w:t>
      </w:r>
      <w:r>
        <w:rPr>
          <w:rFonts w:cs="Times New Roman"/>
          <w:color w:val="000000"/>
          <w:kern w:val="0"/>
          <w:vertAlign w:val="superscript"/>
          <w:lang w:bidi="ar"/>
        </w:rPr>
        <w:t>-10</w:t>
      </w:r>
      <w:r>
        <w:rPr>
          <w:rFonts w:cs="Times New Roman"/>
          <w:color w:val="000000"/>
          <w:kern w:val="0"/>
          <w:lang w:bidi="ar"/>
        </w:rPr>
        <w:t>cm/s；衬里要能够覆盖危险废物或其溶出物可能</w:t>
      </w:r>
      <w:r>
        <w:rPr>
          <w:rFonts w:hint="eastAsia" w:cs="Times New Roman"/>
          <w:color w:val="000000"/>
          <w:kern w:val="0"/>
          <w:lang w:bidi="ar"/>
        </w:rPr>
        <w:t>涉及的</w:t>
      </w:r>
      <w:r>
        <w:rPr>
          <w:rFonts w:cs="Times New Roman"/>
          <w:color w:val="000000"/>
          <w:kern w:val="0"/>
          <w:lang w:bidi="ar"/>
        </w:rPr>
        <w:t>范围，且衬里材料与堆放危险废物相容。各类不相容的危险废物必须分开存放，并设有隔离间隔断。</w:t>
      </w:r>
    </w:p>
    <w:p>
      <w:pPr>
        <w:widowControl/>
        <w:ind w:firstLine="480"/>
        <w:jc w:val="left"/>
        <w:rPr>
          <w:rFonts w:cs="Times New Roman"/>
          <w:u w:val="single"/>
        </w:rPr>
      </w:pPr>
      <w:r>
        <w:rPr>
          <w:rFonts w:cs="Times New Roman"/>
          <w:color w:val="000000"/>
          <w:kern w:val="0"/>
          <w:u w:val="single"/>
          <w:lang w:bidi="ar"/>
        </w:rPr>
        <w:t>（3）危险废物转运措施</w:t>
      </w:r>
    </w:p>
    <w:p>
      <w:pPr>
        <w:widowControl/>
        <w:ind w:firstLine="480"/>
        <w:jc w:val="left"/>
        <w:rPr>
          <w:rFonts w:cs="Times New Roman"/>
          <w:u w:val="single"/>
        </w:rPr>
      </w:pPr>
      <w:r>
        <w:rPr>
          <w:rFonts w:cs="Times New Roman"/>
          <w:color w:val="000000"/>
          <w:kern w:val="0"/>
          <w:u w:val="single"/>
          <w:lang w:bidi="ar"/>
        </w:rPr>
        <w:t>危险废物的转移应严格按照《危险废物转移联单管理办法》，在转移危险废物前，须按照国家有关规定报批危险废物转移计划，经批准后，应当</w:t>
      </w:r>
      <w:r>
        <w:rPr>
          <w:rFonts w:hint="eastAsia" w:cs="Times New Roman"/>
          <w:color w:val="000000"/>
          <w:kern w:val="0"/>
          <w:u w:val="single"/>
          <w:lang w:bidi="ar"/>
        </w:rPr>
        <w:t>危废物联网提交转移申请</w:t>
      </w:r>
      <w:r>
        <w:rPr>
          <w:rFonts w:cs="Times New Roman"/>
          <w:color w:val="000000"/>
          <w:kern w:val="0"/>
          <w:u w:val="single"/>
          <w:lang w:bidi="ar"/>
        </w:rPr>
        <w:t>。并在危险废物转移前三日内报告移出地环境保护行政主管部门，</w:t>
      </w:r>
      <w:r>
        <w:rPr>
          <w:rFonts w:hint="eastAsia" w:cs="Times New Roman"/>
          <w:color w:val="000000"/>
          <w:kern w:val="0"/>
          <w:u w:val="single"/>
          <w:lang w:bidi="ar"/>
        </w:rPr>
        <w:t>并且</w:t>
      </w:r>
      <w:r>
        <w:rPr>
          <w:rFonts w:cs="Times New Roman"/>
          <w:color w:val="000000"/>
          <w:kern w:val="0"/>
          <w:u w:val="single"/>
          <w:lang w:bidi="ar"/>
        </w:rPr>
        <w:t>将预期到达时间报告</w:t>
      </w:r>
      <w:r>
        <w:rPr>
          <w:rFonts w:hint="eastAsia" w:cs="Times New Roman"/>
          <w:color w:val="000000"/>
          <w:kern w:val="0"/>
          <w:u w:val="single"/>
          <w:lang w:bidi="ar"/>
        </w:rPr>
        <w:t>接受的环境</w:t>
      </w:r>
      <w:r>
        <w:rPr>
          <w:rFonts w:cs="Times New Roman"/>
          <w:color w:val="000000"/>
          <w:kern w:val="0"/>
          <w:u w:val="single"/>
          <w:lang w:bidi="ar"/>
        </w:rPr>
        <w:t>保护行政主管部。危险废物在运输过程中还应使用专用运输车辆，并且运输车辆需有特殊标志。同时，本着尽量避免穿过环境敏感区及运距最小原则，对运输路线及时间进行合理设置，尽量减少本项目危废运输对外界环境的影响。</w:t>
      </w:r>
    </w:p>
    <w:p>
      <w:pPr>
        <w:widowControl/>
        <w:ind w:firstLine="480"/>
        <w:jc w:val="left"/>
        <w:rPr>
          <w:rFonts w:cs="Times New Roman"/>
          <w:u w:val="single"/>
        </w:rPr>
      </w:pPr>
      <w:r>
        <w:rPr>
          <w:rFonts w:cs="Times New Roman"/>
          <w:color w:val="000000"/>
          <w:kern w:val="0"/>
          <w:u w:val="single"/>
          <w:lang w:bidi="ar"/>
        </w:rPr>
        <w:t>（4）危险废物管理措施</w:t>
      </w:r>
    </w:p>
    <w:p>
      <w:pPr>
        <w:widowControl/>
        <w:ind w:firstLine="480"/>
        <w:jc w:val="left"/>
        <w:rPr>
          <w:rFonts w:cs="Times New Roman"/>
          <w:u w:val="single"/>
        </w:rPr>
      </w:pPr>
      <w:r>
        <w:rPr>
          <w:rFonts w:cs="Times New Roman"/>
          <w:color w:val="000000"/>
          <w:kern w:val="0"/>
          <w:u w:val="single"/>
          <w:lang w:bidi="ar"/>
        </w:rPr>
        <w:t>危险废物的收集工作和转运工作，应制定详细的操作规程，明确操作程序、方法、专用设备和工具，转移和交接、安全保障和应急防护等，各类危险废物的种类、重量或者数量及去向等应如实记载，且经营情况记录簿应当保存三年。确定收集</w:t>
      </w:r>
      <w:r>
        <w:rPr>
          <w:rFonts w:hint="eastAsia" w:cs="Times New Roman"/>
          <w:color w:val="000000"/>
          <w:kern w:val="0"/>
          <w:u w:val="single"/>
          <w:lang w:eastAsia="zh-CN" w:bidi="ar"/>
        </w:rPr>
        <w:t>设备</w:t>
      </w:r>
      <w:r>
        <w:rPr>
          <w:rFonts w:cs="Times New Roman"/>
          <w:u w:val="single"/>
        </w:rPr>
        <w:t>应设置专门危险固废管理部门，作为</w:t>
      </w:r>
      <w:r>
        <w:rPr>
          <w:rFonts w:hint="eastAsia" w:cs="Times New Roman"/>
          <w:u w:val="single"/>
        </w:rPr>
        <w:t>厂内</w:t>
      </w:r>
      <w:r>
        <w:rPr>
          <w:rFonts w:cs="Times New Roman"/>
          <w:u w:val="single"/>
        </w:rPr>
        <w:t>环境管理、监测的重要组成部分，主要负责危险固废物联网建设与后期管理维护，建立危废管理台账，并定期保存，做到危险废物处置可追溯，实行严格管理。</w:t>
      </w:r>
      <w:r>
        <w:rPr>
          <w:rFonts w:cs="Times New Roman"/>
          <w:color w:val="000000"/>
          <w:kern w:val="0"/>
          <w:u w:val="single"/>
          <w:lang w:bidi="ar"/>
        </w:rPr>
        <w:t>备、转运车辆及现场工作人员等情况并确定相应作业区域，同时要设置作业界线标志和警示牌，设置危险废物收集专用通道和人员避险通道，进入储存间的人员、机动车辆和作业车辆，必须采取防火措施。</w:t>
      </w:r>
    </w:p>
    <w:p>
      <w:pPr>
        <w:widowControl/>
        <w:ind w:firstLine="480"/>
        <w:jc w:val="left"/>
        <w:rPr>
          <w:rFonts w:cs="Times New Roman"/>
        </w:rPr>
      </w:pPr>
      <w:r>
        <w:rPr>
          <w:rFonts w:cs="Times New Roman"/>
          <w:color w:val="000000"/>
          <w:kern w:val="0"/>
          <w:lang w:bidi="ar"/>
        </w:rPr>
        <w:t>（5）危险废物委托处置措施</w:t>
      </w:r>
    </w:p>
    <w:p>
      <w:pPr>
        <w:widowControl/>
        <w:ind w:firstLine="480"/>
        <w:jc w:val="left"/>
        <w:rPr>
          <w:rFonts w:cs="Times New Roman"/>
        </w:rPr>
      </w:pPr>
      <w:r>
        <w:rPr>
          <w:rFonts w:cs="Times New Roman"/>
          <w:color w:val="000000"/>
          <w:kern w:val="0"/>
          <w:lang w:bidi="ar"/>
        </w:rPr>
        <w:t>建设单位产生危险废物存至厂区危废暂存间存放，分类由具有资质的危险废物处理单位进行回收利用或安全处置。项目建成后，建设单位应尽快与资质单位签订危废合同，且在委托运输和处理过程中，必须严格遵守危险废物的管理及处置处理规定。</w:t>
      </w:r>
    </w:p>
    <w:p>
      <w:pPr>
        <w:ind w:firstLine="480"/>
        <w:rPr>
          <w:rFonts w:cs="Times New Roman"/>
        </w:rPr>
      </w:pPr>
      <w:r>
        <w:rPr>
          <w:rFonts w:cs="Times New Roman"/>
        </w:rPr>
        <w:t>综上所述，经上述方式处置后，固体废物均可以得到妥善处置，固废处置措施可行。</w:t>
      </w:r>
    </w:p>
    <w:p>
      <w:pPr>
        <w:pStyle w:val="7"/>
        <w:ind w:firstLine="562"/>
      </w:pPr>
      <w:bookmarkStart w:id="243" w:name="_Toc5888514"/>
      <w:bookmarkStart w:id="244" w:name="_Toc4306"/>
      <w:bookmarkStart w:id="245" w:name="_Toc12701"/>
      <w:bookmarkStart w:id="246" w:name="_Toc24357"/>
      <w:r>
        <w:rPr>
          <w:rFonts w:hint="eastAsia"/>
        </w:rPr>
        <w:t>7.2.6 环境风险防范措施</w:t>
      </w:r>
    </w:p>
    <w:p>
      <w:pPr>
        <w:widowControl/>
        <w:ind w:firstLine="480"/>
        <w:jc w:val="left"/>
        <w:rPr>
          <w:rFonts w:cs="Times New Roman"/>
          <w:color w:val="000000"/>
          <w:kern w:val="0"/>
          <w:lang w:bidi="ar"/>
        </w:rPr>
      </w:pPr>
      <w:r>
        <w:rPr>
          <w:rFonts w:hint="eastAsia" w:cs="Times New Roman"/>
          <w:color w:val="000000"/>
          <w:kern w:val="0"/>
          <w:lang w:bidi="ar"/>
        </w:rPr>
        <w:t>风险事故应通过严格的生产管理和技术手段予以杜绝，制定防范事故发生的工作计划、消除事故隐患的措施等，从源头上制止风险事故的发生；一旦发生事故，应通过应急措施与预案，尽量减轻事故影响程度。</w:t>
      </w:r>
    </w:p>
    <w:p>
      <w:pPr>
        <w:widowControl/>
        <w:ind w:firstLine="482"/>
        <w:jc w:val="left"/>
        <w:rPr>
          <w:rFonts w:cs="Times New Roman"/>
          <w:b/>
          <w:bCs/>
          <w:color w:val="000000"/>
          <w:kern w:val="0"/>
          <w:lang w:bidi="ar"/>
        </w:rPr>
      </w:pPr>
      <w:bookmarkStart w:id="247" w:name="bookmark992"/>
      <w:bookmarkStart w:id="248" w:name="bookmark991"/>
      <w:bookmarkStart w:id="249" w:name="bookmark990"/>
      <w:r>
        <w:rPr>
          <w:rFonts w:hint="eastAsia" w:cs="Times New Roman"/>
          <w:b/>
          <w:bCs/>
          <w:color w:val="000000"/>
          <w:kern w:val="0"/>
          <w:lang w:bidi="ar"/>
        </w:rPr>
        <w:t>7.2.6.1大气环境风险防范措施</w:t>
      </w:r>
      <w:bookmarkEnd w:id="247"/>
      <w:bookmarkEnd w:id="248"/>
      <w:bookmarkEnd w:id="249"/>
    </w:p>
    <w:p>
      <w:pPr>
        <w:widowControl/>
        <w:ind w:firstLine="480"/>
        <w:jc w:val="left"/>
        <w:rPr>
          <w:rFonts w:cs="Times New Roman"/>
          <w:color w:val="000000"/>
          <w:kern w:val="0"/>
          <w:lang w:bidi="ar"/>
        </w:rPr>
      </w:pPr>
      <w:r>
        <w:rPr>
          <w:rFonts w:hint="eastAsia" w:cs="Times New Roman"/>
          <w:color w:val="000000"/>
          <w:kern w:val="0"/>
          <w:lang w:bidi="ar"/>
        </w:rPr>
        <w:t>1、选址、总图布置及风险防范措施</w:t>
      </w:r>
    </w:p>
    <w:p>
      <w:pPr>
        <w:widowControl/>
        <w:ind w:firstLine="480"/>
        <w:jc w:val="left"/>
        <w:rPr>
          <w:rFonts w:cs="Times New Roman"/>
          <w:color w:val="000000"/>
          <w:kern w:val="0"/>
          <w:lang w:bidi="ar"/>
        </w:rPr>
      </w:pPr>
      <w:bookmarkStart w:id="250" w:name="bookmark993"/>
      <w:r>
        <w:rPr>
          <w:rFonts w:hint="eastAsia" w:cs="Times New Roman"/>
          <w:color w:val="000000"/>
          <w:kern w:val="0"/>
          <w:lang w:bidi="ar"/>
        </w:rPr>
        <w:t>（</w:t>
      </w:r>
      <w:bookmarkEnd w:id="250"/>
      <w:r>
        <w:rPr>
          <w:rFonts w:hint="eastAsia" w:cs="Times New Roman"/>
          <w:color w:val="000000"/>
          <w:kern w:val="0"/>
          <w:lang w:bidi="ar"/>
        </w:rPr>
        <w:t>1）本项目位于尼龙新材料产业集聚区内，周边均为工业企业用地，附近500m范围内无居民点、学校、医院、办公楼等环境敏感点，符合环境功能区划的要求。</w:t>
      </w:r>
    </w:p>
    <w:p>
      <w:pPr>
        <w:widowControl/>
        <w:ind w:firstLine="480"/>
        <w:jc w:val="left"/>
        <w:rPr>
          <w:rFonts w:cs="Times New Roman"/>
          <w:color w:val="000000"/>
          <w:kern w:val="0"/>
          <w:lang w:bidi="ar"/>
        </w:rPr>
      </w:pPr>
      <w:bookmarkStart w:id="251" w:name="bookmark994"/>
      <w:r>
        <w:rPr>
          <w:rFonts w:hint="eastAsia" w:cs="Times New Roman"/>
          <w:color w:val="000000"/>
          <w:kern w:val="0"/>
          <w:lang w:bidi="ar"/>
        </w:rPr>
        <w:t>（</w:t>
      </w:r>
      <w:bookmarkEnd w:id="251"/>
      <w:r>
        <w:rPr>
          <w:rFonts w:hint="eastAsia" w:cs="Times New Roman"/>
          <w:color w:val="000000"/>
          <w:kern w:val="0"/>
          <w:lang w:bidi="ar"/>
        </w:rPr>
        <w:t>2）考虑到具有火灾和爆炸危险性的建、构筑物的安全布局，厂区平面布置将按《建筑设计防火规范》（GB50016）、《石油化工企业设计防火规范》（GB50160）、《化工企业总图运输设计规范》（GB50489）等有关防火等级和建筑防火间距的设计要求进行。厂区道路宽度、净空高度应充分考虑消防车通行的要求，保证消防道路的畅通。</w:t>
      </w:r>
    </w:p>
    <w:p>
      <w:pPr>
        <w:widowControl/>
        <w:ind w:firstLine="480"/>
        <w:jc w:val="left"/>
        <w:rPr>
          <w:rFonts w:cs="Times New Roman"/>
          <w:color w:val="000000"/>
          <w:kern w:val="0"/>
          <w:lang w:bidi="ar"/>
        </w:rPr>
      </w:pPr>
      <w:bookmarkStart w:id="252" w:name="bookmark995"/>
      <w:r>
        <w:rPr>
          <w:rFonts w:hint="eastAsia" w:cs="Times New Roman"/>
          <w:color w:val="000000"/>
          <w:kern w:val="0"/>
          <w:lang w:bidi="ar"/>
        </w:rPr>
        <w:t>（</w:t>
      </w:r>
      <w:bookmarkEnd w:id="252"/>
      <w:r>
        <w:rPr>
          <w:rFonts w:hint="eastAsia" w:cs="Times New Roman"/>
          <w:color w:val="000000"/>
          <w:kern w:val="0"/>
          <w:lang w:bidi="ar"/>
        </w:rPr>
        <w:t>3）按物料的闪点对厂房进行火灾危险性分类，并符合相关耐火等级和厂房防火防爆等要求；有火灾爆炸危险场所的建（构）筑物的结构形式以及选用的材料，必须符合防火防爆要求。</w:t>
      </w:r>
    </w:p>
    <w:p>
      <w:pPr>
        <w:widowControl/>
        <w:ind w:firstLine="480"/>
        <w:jc w:val="left"/>
        <w:rPr>
          <w:rFonts w:cs="Times New Roman"/>
          <w:color w:val="000000"/>
          <w:kern w:val="0"/>
          <w:lang w:bidi="ar"/>
        </w:rPr>
      </w:pPr>
      <w:r>
        <w:rPr>
          <w:rFonts w:hint="eastAsia" w:cs="Times New Roman"/>
          <w:color w:val="000000"/>
          <w:kern w:val="0"/>
          <w:lang w:bidi="ar"/>
        </w:rPr>
        <w:t>2、工艺设计安全防范措施</w:t>
      </w:r>
    </w:p>
    <w:p>
      <w:pPr>
        <w:widowControl/>
        <w:ind w:firstLine="480"/>
        <w:jc w:val="left"/>
        <w:rPr>
          <w:rFonts w:cs="Times New Roman"/>
          <w:color w:val="000000"/>
          <w:kern w:val="0"/>
          <w:lang w:bidi="ar"/>
        </w:rPr>
      </w:pPr>
      <w:bookmarkStart w:id="253" w:name="bookmark996"/>
      <w:r>
        <w:rPr>
          <w:rFonts w:hint="eastAsia" w:cs="Times New Roman"/>
          <w:color w:val="000000"/>
          <w:kern w:val="0"/>
          <w:lang w:bidi="ar"/>
        </w:rPr>
        <w:t>（</w:t>
      </w:r>
      <w:bookmarkEnd w:id="253"/>
      <w:r>
        <w:rPr>
          <w:rFonts w:hint="eastAsia" w:cs="Times New Roman"/>
          <w:color w:val="000000"/>
          <w:kern w:val="0"/>
          <w:lang w:bidi="ar"/>
        </w:rPr>
        <w:t>1）工艺控制系统安全设计</w:t>
      </w:r>
    </w:p>
    <w:p>
      <w:pPr>
        <w:widowControl/>
        <w:ind w:firstLine="480"/>
        <w:jc w:val="both"/>
        <w:rPr>
          <w:rFonts w:cs="Times New Roman"/>
          <w:color w:val="000000"/>
          <w:kern w:val="0"/>
          <w:lang w:bidi="ar"/>
        </w:rPr>
      </w:pPr>
      <w:r>
        <w:rPr>
          <w:rFonts w:hint="eastAsia" w:cs="Times New Roman"/>
          <w:color w:val="000000"/>
          <w:kern w:val="0"/>
          <w:lang w:bidi="ar"/>
        </w:rPr>
        <w:t>本项目采用DCS集散控制系统对生产装置、罐区及管线进行控制和管理，同时采用安全联锁、自动泄压、自动报警等安全设施。DCS是过程发生的主要控制系统，对温度、压力、液位等生产过程参数进行全方位控制，并配有不同等级的警告和报警信号。在装置没有实现最优化运行时通过警告信号通知操作员；报警是通知操作员厂区装置的运行情况可能引发潜在的安全、健康、环境或可靠性问题。报警信号要求操作员立即响应，不允许装置在报警状态下继续运行。</w:t>
      </w:r>
    </w:p>
    <w:p>
      <w:pPr>
        <w:widowControl/>
        <w:ind w:firstLine="480"/>
        <w:jc w:val="both"/>
        <w:rPr>
          <w:rFonts w:cs="Times New Roman"/>
          <w:color w:val="000000"/>
          <w:kern w:val="0"/>
          <w:lang w:bidi="ar"/>
        </w:rPr>
      </w:pPr>
      <w:r>
        <w:rPr>
          <w:rFonts w:hint="eastAsia" w:cs="Times New Roman"/>
          <w:color w:val="000000"/>
          <w:kern w:val="0"/>
          <w:lang w:bidi="ar"/>
        </w:rPr>
        <w:t>为保证设备、人员及环境的安全，在生产装置和罐区等涉及间丙烯酸等可能产生可燃/有毒性气体泄漏的地方设置相应气体探测器，对气体泄漏进行检测，气体浓度超限报警信号将立即在DCS上进行显示。一旦探测到泄漏，DCS能自动截断上下游阀门，减少泄漏可能产生的影响。</w:t>
      </w:r>
    </w:p>
    <w:p>
      <w:pPr>
        <w:widowControl/>
        <w:ind w:firstLine="480"/>
        <w:jc w:val="both"/>
        <w:rPr>
          <w:rFonts w:cs="Times New Roman"/>
          <w:color w:val="000000"/>
          <w:kern w:val="0"/>
          <w:lang w:bidi="ar"/>
        </w:rPr>
      </w:pPr>
      <w:r>
        <w:rPr>
          <w:rFonts w:hint="eastAsia" w:cs="Times New Roman"/>
          <w:color w:val="000000"/>
          <w:kern w:val="0"/>
          <w:lang w:bidi="ar"/>
        </w:rPr>
        <w:t>项目采用最先进的SIS系统自动响应非正常工艺条件。SIS系统是独立于DCS系统的安全控制系统，设计有多层冗余，以在过程达到不安全状态之前提供自动响应。SIS系统可以自动隔离设备、操作单元和管道，以防止发生火灾或有毒物质泄漏等事故。同时，本项目在控制室以及生产装置周边的不同位置设置紧急停车开关，用以紧急停止所有进料并隔离相关设备。</w:t>
      </w:r>
    </w:p>
    <w:p>
      <w:pPr>
        <w:widowControl/>
        <w:ind w:firstLine="480"/>
        <w:jc w:val="both"/>
        <w:rPr>
          <w:rFonts w:cs="Times New Roman"/>
          <w:color w:val="000000"/>
          <w:kern w:val="0"/>
          <w:lang w:bidi="ar"/>
        </w:rPr>
      </w:pPr>
      <w:bookmarkStart w:id="254" w:name="bookmark997"/>
      <w:r>
        <w:rPr>
          <w:rFonts w:hint="eastAsia" w:cs="Times New Roman"/>
          <w:color w:val="000000"/>
          <w:kern w:val="0"/>
          <w:lang w:bidi="ar"/>
        </w:rPr>
        <w:t>（</w:t>
      </w:r>
      <w:bookmarkEnd w:id="254"/>
      <w:r>
        <w:rPr>
          <w:rFonts w:hint="eastAsia" w:cs="Times New Roman"/>
          <w:color w:val="000000"/>
          <w:kern w:val="0"/>
          <w:lang w:bidi="ar"/>
        </w:rPr>
        <w:t>2）工艺设备系统安全设计</w:t>
      </w:r>
    </w:p>
    <w:p>
      <w:pPr>
        <w:widowControl/>
        <w:ind w:firstLine="480"/>
        <w:jc w:val="both"/>
        <w:rPr>
          <w:rFonts w:cs="Times New Roman"/>
          <w:color w:val="000000"/>
          <w:kern w:val="0"/>
          <w:lang w:bidi="ar"/>
        </w:rPr>
      </w:pPr>
      <w:r>
        <w:rPr>
          <w:rFonts w:hint="eastAsia" w:cs="Times New Roman"/>
          <w:color w:val="000000"/>
          <w:kern w:val="0"/>
          <w:lang w:bidi="ar"/>
        </w:rPr>
        <w:t>生产过程实现自动化、机械化操作，减少操作人员接触有毒化学物质的机会，减轻劳动强度。</w:t>
      </w:r>
    </w:p>
    <w:p>
      <w:pPr>
        <w:widowControl/>
        <w:ind w:firstLine="480"/>
        <w:jc w:val="both"/>
        <w:rPr>
          <w:rFonts w:cs="Times New Roman"/>
          <w:color w:val="000000"/>
          <w:kern w:val="0"/>
          <w:lang w:bidi="ar"/>
        </w:rPr>
      </w:pPr>
      <w:r>
        <w:rPr>
          <w:rFonts w:hint="eastAsia" w:cs="Times New Roman"/>
          <w:color w:val="000000"/>
          <w:kern w:val="0"/>
          <w:lang w:bidi="ar"/>
        </w:rPr>
        <w:t>本项目的生产装置设有安全泄压阀等泄放保护装置能缓解超压情况，在主要设备故障时可以防止发生大量泄漏事故。泄放装置能够泄放该系统所能达到的最大流量并使系统的压力低于相应的压力限值。厂区的安全泄压阀能将超压物质排放至催化燃烧系统。</w:t>
      </w:r>
    </w:p>
    <w:p>
      <w:pPr>
        <w:widowControl/>
        <w:ind w:firstLine="480"/>
        <w:jc w:val="both"/>
        <w:rPr>
          <w:rFonts w:cs="Times New Roman"/>
          <w:color w:val="000000"/>
          <w:kern w:val="0"/>
          <w:lang w:bidi="ar"/>
        </w:rPr>
      </w:pPr>
      <w:bookmarkStart w:id="255" w:name="bookmark998"/>
      <w:r>
        <w:rPr>
          <w:rFonts w:hint="eastAsia" w:cs="Times New Roman"/>
          <w:color w:val="000000"/>
          <w:kern w:val="0"/>
          <w:lang w:bidi="ar"/>
        </w:rPr>
        <w:t>（</w:t>
      </w:r>
      <w:bookmarkEnd w:id="255"/>
      <w:r>
        <w:rPr>
          <w:rFonts w:hint="eastAsia" w:cs="Times New Roman"/>
          <w:color w:val="000000"/>
          <w:kern w:val="0"/>
          <w:lang w:bidi="ar"/>
        </w:rPr>
        <w:t>3）全厂运输危险品的各类管线尽可能缩短，减少连接点，各类设备和工艺管道从设计、安装，制造严格按照安全规定要求进行，设备、管道动静密封点采取有效的密封措施，防止物料跑冒滴漏；车间加强通风，生产按照《机械设备防护罩安全要求》，对设备外露的运转部件设防护罩，对危险区域设置防护围栏。</w:t>
      </w:r>
    </w:p>
    <w:p>
      <w:pPr>
        <w:widowControl/>
        <w:ind w:firstLine="480"/>
        <w:jc w:val="both"/>
        <w:rPr>
          <w:rFonts w:cs="Times New Roman"/>
          <w:color w:val="000000"/>
          <w:kern w:val="0"/>
          <w:lang w:bidi="ar"/>
        </w:rPr>
      </w:pPr>
      <w:bookmarkStart w:id="256" w:name="bookmark999"/>
      <w:r>
        <w:rPr>
          <w:rFonts w:hint="eastAsia" w:cs="Times New Roman"/>
          <w:color w:val="000000"/>
          <w:kern w:val="0"/>
          <w:lang w:bidi="ar"/>
        </w:rPr>
        <w:t>（</w:t>
      </w:r>
      <w:bookmarkEnd w:id="256"/>
      <w:r>
        <w:rPr>
          <w:rFonts w:hint="eastAsia" w:cs="Times New Roman"/>
          <w:color w:val="000000"/>
          <w:kern w:val="0"/>
          <w:lang w:bidi="ar"/>
        </w:rPr>
        <w:t>4）消防及火灾报警系统</w:t>
      </w:r>
    </w:p>
    <w:p>
      <w:pPr>
        <w:widowControl/>
        <w:ind w:firstLine="480"/>
        <w:jc w:val="both"/>
        <w:rPr>
          <w:rFonts w:cs="Times New Roman"/>
          <w:color w:val="000000"/>
          <w:kern w:val="0"/>
          <w:lang w:bidi="ar"/>
        </w:rPr>
      </w:pPr>
      <w:bookmarkStart w:id="257" w:name="bookmark1000"/>
      <w:bookmarkEnd w:id="257"/>
      <w:r>
        <w:rPr>
          <w:rFonts w:hint="eastAsia" w:cs="Times New Roman"/>
          <w:color w:val="000000"/>
          <w:kern w:val="0"/>
          <w:lang w:bidi="ar"/>
        </w:rPr>
        <w:t>各类设施、设备严格《建筑设计防火规范》（GB50016-2014）等规范的要求进行设计、设备选型和施工。并按照《建筑设计防火规范》中防火等级和建筑防火间距的要求，设计建构筑物的耐火等级、防火间距。</w:t>
      </w:r>
    </w:p>
    <w:p>
      <w:pPr>
        <w:widowControl/>
        <w:ind w:firstLine="480"/>
        <w:jc w:val="both"/>
        <w:rPr>
          <w:rFonts w:cs="Times New Roman"/>
          <w:color w:val="000000"/>
          <w:kern w:val="0"/>
          <w:lang w:bidi="ar"/>
        </w:rPr>
      </w:pPr>
      <w:bookmarkStart w:id="258" w:name="bookmark1001"/>
      <w:bookmarkEnd w:id="258"/>
      <w:r>
        <w:rPr>
          <w:rFonts w:hint="eastAsia" w:cs="Times New Roman"/>
          <w:color w:val="000000"/>
          <w:kern w:val="0"/>
          <w:lang w:bidi="ar"/>
        </w:rPr>
        <w:t>消防系统按《建筑设计防火规范》（GB50016-2014）及《石油化工企业设计防火规范》（GB50160-2008）的要求进行设计。消防系统设置了室外消火栓系统、室内喷淋系统、灭火器等，本项目在厂区设置1个容积为1000m</w:t>
      </w:r>
      <w:r>
        <w:rPr>
          <w:rFonts w:hint="eastAsia" w:cs="Times New Roman"/>
          <w:color w:val="000000"/>
          <w:kern w:val="0"/>
          <w:vertAlign w:val="superscript"/>
          <w:lang w:bidi="ar"/>
        </w:rPr>
        <w:t>3</w:t>
      </w:r>
      <w:r>
        <w:rPr>
          <w:rFonts w:hint="eastAsia" w:cs="Times New Roman"/>
          <w:color w:val="000000"/>
          <w:kern w:val="0"/>
          <w:lang w:bidi="ar"/>
        </w:rPr>
        <w:t>的事故池和1座容积为300m</w:t>
      </w:r>
      <w:r>
        <w:rPr>
          <w:rFonts w:hint="eastAsia" w:cs="Times New Roman"/>
          <w:color w:val="000000"/>
          <w:kern w:val="0"/>
          <w:vertAlign w:val="superscript"/>
          <w:lang w:bidi="ar"/>
        </w:rPr>
        <w:t>3</w:t>
      </w:r>
      <w:r>
        <w:rPr>
          <w:rFonts w:hint="eastAsia" w:cs="Times New Roman"/>
          <w:color w:val="000000"/>
          <w:kern w:val="0"/>
          <w:lang w:bidi="ar"/>
        </w:rPr>
        <w:t>的初期雨水收集池，用以收集事故废水和初期雨水。</w:t>
      </w:r>
    </w:p>
    <w:p>
      <w:pPr>
        <w:widowControl/>
        <w:ind w:firstLine="480"/>
        <w:jc w:val="left"/>
        <w:rPr>
          <w:rFonts w:cs="Times New Roman"/>
          <w:color w:val="000000"/>
          <w:kern w:val="0"/>
          <w:lang w:bidi="ar"/>
        </w:rPr>
      </w:pPr>
      <w:bookmarkStart w:id="259" w:name="bookmark1002"/>
      <w:bookmarkEnd w:id="259"/>
      <w:r>
        <w:rPr>
          <w:rFonts w:hint="eastAsia" w:cs="Times New Roman"/>
          <w:color w:val="000000"/>
          <w:kern w:val="0"/>
          <w:lang w:bidi="ar"/>
        </w:rPr>
        <w:t>消防及火灾报警系统由可燃气体探测器、感烟探测器、感温探测器、警铃手动按钮、应急广播等构成。在生产装置区设置可燃气体探测器、有毒有害气体探测器、感烟探测器和警铃手动按钮，中控室设置集中报警器。当发生泄漏或火灾等突发环境事故时，探测器或报警器迅速将报警信号传输至中控室，以便迅速采取措施，及时组织扑救。</w:t>
      </w:r>
    </w:p>
    <w:p>
      <w:pPr>
        <w:widowControl/>
        <w:ind w:firstLine="480"/>
        <w:jc w:val="left"/>
        <w:rPr>
          <w:rFonts w:cs="Times New Roman"/>
          <w:color w:val="000000"/>
          <w:kern w:val="0"/>
          <w:lang w:bidi="ar"/>
        </w:rPr>
      </w:pPr>
      <w:r>
        <w:rPr>
          <w:rFonts w:hint="eastAsia" w:cs="Times New Roman"/>
          <w:color w:val="000000"/>
          <w:kern w:val="0"/>
          <w:lang w:bidi="ar"/>
        </w:rPr>
        <w:t>3、危险化学品管理、储存、使用中的防范措施</w:t>
      </w:r>
    </w:p>
    <w:p>
      <w:pPr>
        <w:widowControl/>
        <w:ind w:firstLine="480"/>
        <w:jc w:val="left"/>
        <w:rPr>
          <w:rFonts w:cs="Times New Roman"/>
          <w:color w:val="000000"/>
          <w:kern w:val="0"/>
          <w:lang w:bidi="ar"/>
        </w:rPr>
      </w:pPr>
      <w:bookmarkStart w:id="260" w:name="bookmark1003"/>
      <w:r>
        <w:rPr>
          <w:rFonts w:hint="eastAsia" w:cs="Times New Roman"/>
          <w:color w:val="000000"/>
          <w:kern w:val="0"/>
          <w:lang w:bidi="ar"/>
        </w:rPr>
        <w:t>（</w:t>
      </w:r>
      <w:bookmarkEnd w:id="260"/>
      <w:r>
        <w:rPr>
          <w:rFonts w:hint="eastAsia" w:cs="Times New Roman"/>
          <w:color w:val="000000"/>
          <w:kern w:val="0"/>
          <w:lang w:bidi="ar"/>
        </w:rPr>
        <w:t>1）严格按《危险化学品安全管理条例》的要求，加强对危险化学品的管理；制定危险化学品安全操作规程，要求操作人员严格按操作规程作业；对从事危险化学作业人员定期进行安全培训教育；经常性对危险化学品作业场所进行安全检查。</w:t>
      </w:r>
    </w:p>
    <w:p>
      <w:pPr>
        <w:widowControl/>
        <w:ind w:firstLine="480"/>
        <w:jc w:val="left"/>
        <w:rPr>
          <w:rFonts w:cs="Times New Roman"/>
          <w:color w:val="000000"/>
          <w:kern w:val="0"/>
          <w:lang w:bidi="ar"/>
        </w:rPr>
      </w:pPr>
      <w:bookmarkStart w:id="261" w:name="bookmark1004"/>
      <w:r>
        <w:rPr>
          <w:rFonts w:hint="eastAsia" w:cs="Times New Roman"/>
          <w:color w:val="000000"/>
          <w:kern w:val="0"/>
          <w:lang w:bidi="ar"/>
        </w:rPr>
        <w:t>（</w:t>
      </w:r>
      <w:bookmarkEnd w:id="261"/>
      <w:r>
        <w:rPr>
          <w:rFonts w:hint="eastAsia" w:cs="Times New Roman"/>
          <w:color w:val="000000"/>
          <w:kern w:val="0"/>
          <w:lang w:bidi="ar"/>
        </w:rPr>
        <w:t>2）仓库区</w:t>
      </w:r>
    </w:p>
    <w:p>
      <w:pPr>
        <w:widowControl/>
        <w:ind w:firstLine="480"/>
        <w:jc w:val="left"/>
        <w:rPr>
          <w:rFonts w:cs="Times New Roman"/>
          <w:color w:val="000000"/>
          <w:kern w:val="0"/>
          <w:lang w:bidi="ar"/>
        </w:rPr>
      </w:pPr>
      <w:r>
        <w:rPr>
          <w:rFonts w:hint="eastAsia" w:cs="Times New Roman"/>
          <w:color w:val="000000"/>
          <w:kern w:val="0"/>
          <w:lang w:bidi="ar"/>
        </w:rPr>
        <w:t>本项目各类原料按照物料性质分别放入不同的仓库内，各类仓库严格按照设计规格进行建设，底部及四周采取严格的防渗措施。</w:t>
      </w:r>
    </w:p>
    <w:p>
      <w:pPr>
        <w:widowControl/>
        <w:ind w:firstLine="480"/>
        <w:jc w:val="left"/>
        <w:rPr>
          <w:rFonts w:cs="Times New Roman"/>
          <w:color w:val="000000"/>
          <w:kern w:val="0"/>
          <w:lang w:bidi="ar"/>
        </w:rPr>
      </w:pPr>
      <w:r>
        <w:rPr>
          <w:rFonts w:hint="eastAsia" w:cs="Times New Roman"/>
          <w:color w:val="000000"/>
          <w:kern w:val="0"/>
          <w:lang w:bidi="ar"/>
        </w:rPr>
        <w:t>属危险品的原料及产品的运输必须严格按照危险品运输规定执行，搬运时应轻装轻卸，严防震动撞击、重压、倾倒和摩擦。</w:t>
      </w:r>
    </w:p>
    <w:p>
      <w:pPr>
        <w:widowControl/>
        <w:ind w:firstLine="480"/>
        <w:jc w:val="left"/>
        <w:rPr>
          <w:rFonts w:cs="Times New Roman"/>
          <w:color w:val="000000"/>
          <w:kern w:val="0"/>
          <w:lang w:bidi="ar"/>
        </w:rPr>
      </w:pPr>
      <w:r>
        <w:rPr>
          <w:rFonts w:hint="eastAsia" w:cs="Times New Roman"/>
          <w:color w:val="000000"/>
          <w:kern w:val="0"/>
          <w:lang w:bidi="ar"/>
        </w:rPr>
        <w:t>仓库内液体化学品分区存放，且四周设置围堰，一旦物料发生泄漏，及时将物料通过事故泵打入备用储罐内。</w:t>
      </w:r>
    </w:p>
    <w:p>
      <w:pPr>
        <w:widowControl/>
        <w:ind w:firstLine="480"/>
        <w:jc w:val="left"/>
        <w:rPr>
          <w:rFonts w:cs="Times New Roman"/>
          <w:color w:val="000000"/>
          <w:kern w:val="0"/>
          <w:lang w:bidi="ar"/>
        </w:rPr>
      </w:pPr>
      <w:bookmarkStart w:id="262" w:name="bookmark1005"/>
      <w:r>
        <w:rPr>
          <w:rFonts w:hint="eastAsia" w:cs="Times New Roman"/>
          <w:color w:val="000000"/>
          <w:kern w:val="0"/>
          <w:lang w:bidi="ar"/>
        </w:rPr>
        <w:t>（</w:t>
      </w:r>
      <w:bookmarkEnd w:id="262"/>
      <w:r>
        <w:rPr>
          <w:rFonts w:hint="eastAsia" w:cs="Times New Roman"/>
          <w:color w:val="000000"/>
          <w:kern w:val="0"/>
          <w:lang w:bidi="ar"/>
        </w:rPr>
        <w:t>3）储罐区</w:t>
      </w:r>
    </w:p>
    <w:p>
      <w:pPr>
        <w:widowControl/>
        <w:ind w:firstLine="480"/>
        <w:jc w:val="left"/>
        <w:rPr>
          <w:rFonts w:cs="Times New Roman"/>
          <w:color w:val="000000"/>
          <w:kern w:val="0"/>
          <w:lang w:bidi="ar"/>
        </w:rPr>
      </w:pPr>
      <w:bookmarkStart w:id="263" w:name="bookmark1006"/>
      <w:bookmarkEnd w:id="263"/>
      <w:r>
        <w:rPr>
          <w:rFonts w:hint="eastAsia" w:cs="Times New Roman"/>
          <w:color w:val="000000"/>
          <w:kern w:val="0"/>
          <w:lang w:bidi="ar"/>
        </w:rPr>
        <w:t>储罐按照防火间距标准布置，修建罐区防护围堰，围堰容积满足最大储罐泄漏收集容积需求，储罐之间应设防火堤；液氨罐区设置水喷淋吸收装置。</w:t>
      </w:r>
    </w:p>
    <w:p>
      <w:pPr>
        <w:widowControl/>
        <w:ind w:firstLine="480"/>
        <w:jc w:val="left"/>
        <w:rPr>
          <w:rFonts w:cs="Times New Roman"/>
          <w:color w:val="000000"/>
          <w:kern w:val="0"/>
          <w:lang w:bidi="ar"/>
        </w:rPr>
      </w:pPr>
      <w:bookmarkStart w:id="264" w:name="bookmark1007"/>
      <w:bookmarkEnd w:id="264"/>
      <w:r>
        <w:rPr>
          <w:rFonts w:hint="eastAsia" w:cs="Times New Roman"/>
          <w:color w:val="000000"/>
          <w:kern w:val="0"/>
          <w:lang w:bidi="ar"/>
        </w:rPr>
        <w:t>储罐区配置易燃易爆气体、有毒有害气体监测报警装置，并与全厂自动控制系统联动，确保其在良好状态下运行。</w:t>
      </w:r>
    </w:p>
    <w:p>
      <w:pPr>
        <w:widowControl/>
        <w:ind w:firstLine="480"/>
        <w:jc w:val="left"/>
        <w:rPr>
          <w:rFonts w:cs="Times New Roman"/>
          <w:color w:val="000000"/>
          <w:kern w:val="0"/>
          <w:lang w:bidi="ar"/>
        </w:rPr>
      </w:pPr>
      <w:bookmarkStart w:id="265" w:name="bookmark1008"/>
      <w:bookmarkEnd w:id="265"/>
      <w:r>
        <w:rPr>
          <w:rFonts w:hint="eastAsia" w:cs="Times New Roman"/>
          <w:color w:val="000000"/>
          <w:kern w:val="0"/>
          <w:lang w:bidi="ar"/>
        </w:rPr>
        <w:t>常压储罐应有呼吸措施，易燃液体储罐应装阻火器的呼吸阀；应设相应的液位现场显示监控仪表；应设置供切断用阀门；储罐排污、排水阀、装车切断阀应双设；进料管应从罐下部接入。</w:t>
      </w:r>
    </w:p>
    <w:p>
      <w:pPr>
        <w:widowControl/>
        <w:ind w:firstLine="480"/>
        <w:jc w:val="left"/>
        <w:rPr>
          <w:rFonts w:cs="Times New Roman"/>
          <w:color w:val="000000"/>
          <w:kern w:val="0"/>
          <w:lang w:bidi="ar"/>
        </w:rPr>
      </w:pPr>
      <w:bookmarkStart w:id="266" w:name="bookmark1009"/>
      <w:bookmarkEnd w:id="266"/>
      <w:r>
        <w:rPr>
          <w:rFonts w:hint="eastAsia" w:cs="Times New Roman"/>
          <w:color w:val="000000"/>
          <w:kern w:val="0"/>
          <w:lang w:bidi="ar"/>
        </w:rPr>
        <w:t>储罐应有防腐蚀措施；罐底外壁、罐底内壁等防腐必须符合要求。罐区应设泄漏流散收集设施；设置的围堰应考虑符合《储罐区防火堤设计规范》要求；围堰排水口处宜设水封井；排水处应设置切断阀门，围堰不得有孔洞；地面应进行防腐处理。</w:t>
      </w:r>
    </w:p>
    <w:p>
      <w:pPr>
        <w:widowControl/>
        <w:ind w:firstLine="480"/>
        <w:jc w:val="left"/>
        <w:rPr>
          <w:rFonts w:cs="Times New Roman"/>
          <w:color w:val="000000"/>
          <w:kern w:val="0"/>
          <w:lang w:bidi="ar"/>
        </w:rPr>
      </w:pPr>
      <w:bookmarkStart w:id="267" w:name="bookmark1010"/>
      <w:bookmarkEnd w:id="267"/>
      <w:r>
        <w:rPr>
          <w:rFonts w:hint="eastAsia" w:cs="Times New Roman"/>
          <w:color w:val="000000"/>
          <w:kern w:val="0"/>
          <w:lang w:bidi="ar"/>
        </w:rPr>
        <w:t>储罐区地面与裙角采用坚固、防渗的材料建造；基础采取防渗处理，四周设置防流散围堰，防止泄漏后发生流失；并设置事故池，便于泄漏后及时导入事故池收集。</w:t>
      </w:r>
    </w:p>
    <w:p>
      <w:pPr>
        <w:widowControl/>
        <w:ind w:firstLine="480"/>
        <w:jc w:val="left"/>
        <w:rPr>
          <w:rFonts w:cs="Times New Roman"/>
          <w:color w:val="000000"/>
          <w:kern w:val="0"/>
          <w:lang w:bidi="ar"/>
        </w:rPr>
      </w:pPr>
      <w:bookmarkStart w:id="268" w:name="bookmark1011"/>
      <w:bookmarkEnd w:id="268"/>
      <w:r>
        <w:rPr>
          <w:rFonts w:hint="eastAsia" w:cs="Times New Roman"/>
          <w:color w:val="000000"/>
          <w:kern w:val="0"/>
          <w:lang w:bidi="ar"/>
        </w:rPr>
        <w:t>所有储罐应设截止阀、流量检测和检漏设备。对储罐及时检查并更新，防止阀门处构件老化和损坏。容器管道发生泄漏后，及时修复。</w:t>
      </w:r>
    </w:p>
    <w:p>
      <w:pPr>
        <w:widowControl/>
        <w:ind w:firstLine="480"/>
        <w:jc w:val="left"/>
        <w:rPr>
          <w:rFonts w:cs="Times New Roman"/>
          <w:color w:val="000000"/>
          <w:kern w:val="0"/>
          <w:lang w:bidi="ar"/>
        </w:rPr>
      </w:pPr>
      <w:r>
        <w:rPr>
          <w:rFonts w:hint="eastAsia" w:cs="Times New Roman"/>
          <w:color w:val="000000"/>
          <w:kern w:val="0"/>
          <w:lang w:bidi="ar"/>
        </w:rPr>
        <w:t>本项目涉及危险化学品种类较多，固态的主要有丙烯酸、甲基丙烯酸甲酯、丙烯酸丁酯等，均采用</w:t>
      </w:r>
      <w:r>
        <w:rPr>
          <w:rFonts w:hint="eastAsia" w:cs="Times New Roman"/>
          <w:color w:val="000000"/>
          <w:kern w:val="0"/>
          <w:lang w:eastAsia="zh-CN" w:bidi="ar"/>
        </w:rPr>
        <w:t>包装桶</w:t>
      </w:r>
      <w:r>
        <w:rPr>
          <w:rFonts w:hint="eastAsia" w:cs="Times New Roman"/>
          <w:color w:val="000000"/>
          <w:kern w:val="0"/>
          <w:lang w:bidi="ar"/>
        </w:rPr>
        <w:t>储存，泄漏后较易发现收集，危害性较小，环境风险较小。各液体物料储存要求见表7.2-9。</w:t>
      </w:r>
    </w:p>
    <w:p>
      <w:pPr>
        <w:pStyle w:val="13"/>
        <w:ind w:firstLine="482"/>
        <w:jc w:val="center"/>
        <w:rPr>
          <w:b/>
          <w:bCs/>
          <w:color w:val="000000"/>
        </w:rPr>
      </w:pPr>
      <w:bookmarkStart w:id="269" w:name="bookmark1013"/>
      <w:bookmarkStart w:id="270" w:name="bookmark1014"/>
      <w:bookmarkStart w:id="271" w:name="bookmark1012"/>
      <w:r>
        <w:rPr>
          <w:b/>
          <w:bCs/>
          <w:color w:val="000000"/>
        </w:rPr>
        <w:t>表</w:t>
      </w:r>
      <w:r>
        <w:rPr>
          <w:rFonts w:hint="eastAsia" w:ascii="Times New Roman" w:hAnsi="Times New Roman" w:cs="Times New Roman"/>
          <w:color w:val="000000"/>
          <w:lang w:val="en-US" w:bidi="en-US"/>
        </w:rPr>
        <w:t xml:space="preserve">7.2-9  </w:t>
      </w:r>
      <w:r>
        <w:rPr>
          <w:b/>
          <w:bCs/>
          <w:color w:val="000000"/>
        </w:rPr>
        <w:t>各液体原料储存要求一览表</w:t>
      </w:r>
      <w:bookmarkEnd w:id="269"/>
      <w:bookmarkEnd w:id="270"/>
      <w:bookmarkEnd w:id="271"/>
    </w:p>
    <w:tbl>
      <w:tblPr>
        <w:tblStyle w:val="28"/>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16"/>
        <w:gridCol w:w="6026"/>
        <w:gridCol w:w="1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化学品名称</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储存要求</w:t>
            </w:r>
          </w:p>
        </w:tc>
        <w:tc>
          <w:tcPr>
            <w:tcW w:w="90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rFonts w:cs="Times New Roman"/>
                <w:kern w:val="21"/>
                <w:sz w:val="21"/>
                <w:szCs w:val="21"/>
              </w:rPr>
              <w:t>聚醚</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储存于阴凉、通风的库房。远离火种、热源。库温不宜超过</w:t>
            </w:r>
            <w:r>
              <w:rPr>
                <w:rFonts w:eastAsia="Times New Roman" w:cs="Times New Roman"/>
                <w:color w:val="000000"/>
                <w:sz w:val="21"/>
                <w:szCs w:val="21"/>
                <w:lang w:val="en-US" w:eastAsia="zh-CN" w:bidi="en-US"/>
              </w:rPr>
              <w:t>30°C</w:t>
            </w:r>
            <w:r>
              <w:rPr>
                <w:rFonts w:ascii="宋体" w:hAnsi="宋体" w:cs="宋体"/>
                <w:color w:val="000000"/>
                <w:sz w:val="21"/>
                <w:szCs w:val="21"/>
                <w:lang w:val="en-US" w:eastAsia="zh-CN" w:bidi="en-US"/>
              </w:rPr>
              <w:t xml:space="preserve">。 </w:t>
            </w:r>
            <w:r>
              <w:rPr>
                <w:rFonts w:ascii="宋体" w:hAnsi="宋体" w:cs="宋体"/>
                <w:color w:val="000000"/>
                <w:sz w:val="21"/>
                <w:szCs w:val="21"/>
              </w:rPr>
              <w:t>保持容器密封。应与氧化剂分开存放，切忌混储。</w:t>
            </w:r>
          </w:p>
        </w:tc>
        <w:tc>
          <w:tcPr>
            <w:tcW w:w="905" w:type="pct"/>
            <w:shd w:val="clear" w:color="auto" w:fill="FFFFFF"/>
            <w:vAlign w:val="center"/>
          </w:tcPr>
          <w:p>
            <w:pPr>
              <w:pStyle w:val="61"/>
              <w:spacing w:line="360" w:lineRule="exact"/>
              <w:ind w:firstLine="0" w:firstLineChars="0"/>
              <w:jc w:val="center"/>
              <w:rPr>
                <w:sz w:val="21"/>
                <w:szCs w:val="21"/>
                <w:lang w:eastAsia="zh-CN"/>
              </w:rPr>
            </w:pPr>
            <w:r>
              <w:rPr>
                <w:rFonts w:hint="eastAsia" w:ascii="宋体" w:hAnsi="宋体" w:cs="宋体"/>
                <w:color w:val="000000"/>
                <w:sz w:val="21"/>
                <w:szCs w:val="21"/>
                <w:lang w:eastAsia="zh-CN"/>
              </w:rPr>
              <w:t>化学品库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sz w:val="21"/>
                <w:szCs w:val="21"/>
              </w:rPr>
              <w:t>MDI50</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储存于阴凉、干燥、通风</w:t>
            </w:r>
            <w:r>
              <w:rPr>
                <w:rFonts w:hint="eastAsia" w:ascii="宋体" w:hAnsi="宋体" w:cs="宋体"/>
                <w:color w:val="000000"/>
                <w:sz w:val="21"/>
                <w:szCs w:val="21"/>
                <w:lang w:eastAsia="zh-CN"/>
              </w:rPr>
              <w:t>房间内</w:t>
            </w:r>
            <w:r>
              <w:rPr>
                <w:rFonts w:ascii="宋体" w:hAnsi="宋体" w:cs="宋体"/>
                <w:color w:val="000000"/>
                <w:sz w:val="21"/>
                <w:szCs w:val="21"/>
              </w:rPr>
              <w:t>。远离火种、热源。防止阳光直射。应与卤素（氟、氯）、酸类分开存放。</w:t>
            </w:r>
          </w:p>
        </w:tc>
        <w:tc>
          <w:tcPr>
            <w:tcW w:w="905" w:type="pct"/>
            <w:shd w:val="clear" w:color="auto" w:fill="FFFFFF"/>
            <w:vAlign w:val="center"/>
          </w:tcPr>
          <w:p>
            <w:pPr>
              <w:pStyle w:val="61"/>
              <w:spacing w:line="360" w:lineRule="exact"/>
              <w:ind w:firstLine="0" w:firstLineChars="0"/>
              <w:jc w:val="center"/>
              <w:rPr>
                <w:sz w:val="21"/>
                <w:szCs w:val="21"/>
              </w:rPr>
            </w:pPr>
            <w:r>
              <w:rPr>
                <w:rFonts w:hint="eastAsia" w:ascii="宋体" w:hAnsi="宋体" w:cs="宋体"/>
                <w:color w:val="000000"/>
                <w:sz w:val="21"/>
                <w:szCs w:val="21"/>
                <w:lang w:eastAsia="zh-CN"/>
              </w:rPr>
              <w:t>化学品库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rFonts w:cs="Times New Roman"/>
                <w:kern w:val="21"/>
                <w:sz w:val="21"/>
                <w:szCs w:val="21"/>
              </w:rPr>
              <w:t>DMC</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储存于阴凉、干燥、通风的库房。保持容器密闭。应与易燃、可燃物，碱类、金属粉末等分开存放。不可混储混运。</w:t>
            </w:r>
          </w:p>
        </w:tc>
        <w:tc>
          <w:tcPr>
            <w:tcW w:w="905" w:type="pct"/>
            <w:shd w:val="clear" w:color="auto" w:fill="FFFFFF"/>
            <w:vAlign w:val="center"/>
          </w:tcPr>
          <w:p>
            <w:pPr>
              <w:pStyle w:val="61"/>
              <w:spacing w:line="360" w:lineRule="exact"/>
              <w:ind w:firstLine="0" w:firstLineChars="0"/>
              <w:jc w:val="center"/>
              <w:rPr>
                <w:sz w:val="21"/>
                <w:szCs w:val="21"/>
              </w:rPr>
            </w:pPr>
            <w:r>
              <w:rPr>
                <w:rFonts w:hint="eastAsia" w:ascii="宋体" w:hAnsi="宋体" w:cs="宋体"/>
                <w:color w:val="000000"/>
                <w:sz w:val="21"/>
                <w:szCs w:val="21"/>
                <w:lang w:eastAsia="zh-CN"/>
              </w:rPr>
              <w:t>化学品库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sz w:val="21"/>
                <w:szCs w:val="21"/>
                <w:lang w:val="en-US" w:eastAsia="zh-CN"/>
              </w:rPr>
              <w:t>聚醚多元醇</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储存于阴凉、通风的库房。远离火种、热源。库温不宜超过</w:t>
            </w:r>
            <w:r>
              <w:rPr>
                <w:rFonts w:eastAsia="Times New Roman" w:cs="Times New Roman"/>
                <w:color w:val="000000"/>
                <w:sz w:val="21"/>
                <w:szCs w:val="21"/>
                <w:lang w:val="en-US" w:eastAsia="zh-CN" w:bidi="en-US"/>
              </w:rPr>
              <w:t>30°C</w:t>
            </w:r>
            <w:r>
              <w:rPr>
                <w:rFonts w:ascii="宋体" w:hAnsi="宋体" w:cs="宋体"/>
                <w:color w:val="000000"/>
                <w:sz w:val="21"/>
                <w:szCs w:val="21"/>
                <w:lang w:val="en-US" w:eastAsia="zh-CN" w:bidi="en-US"/>
              </w:rPr>
              <w:t xml:space="preserve">。 </w:t>
            </w:r>
            <w:r>
              <w:rPr>
                <w:rFonts w:ascii="宋体" w:hAnsi="宋体" w:cs="宋体"/>
                <w:color w:val="000000"/>
                <w:sz w:val="21"/>
                <w:szCs w:val="21"/>
              </w:rPr>
              <w:t>保持容器密封。应与氧化剂、酸类、碱金属、胺类等分开存放，切忌混储。</w:t>
            </w:r>
          </w:p>
        </w:tc>
        <w:tc>
          <w:tcPr>
            <w:tcW w:w="90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化学品仓库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rFonts w:cs="Times New Roman"/>
                <w:kern w:val="21"/>
                <w:sz w:val="21"/>
                <w:szCs w:val="21"/>
                <w:lang w:val="en-US" w:eastAsia="zh-CN"/>
              </w:rPr>
              <w:t>甲苯二异氰酸酯</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w:t>
            </w:r>
            <w:r>
              <w:rPr>
                <w:rFonts w:hint="eastAsia" w:ascii="宋体" w:hAnsi="宋体" w:cs="宋体"/>
                <w:color w:val="000000"/>
                <w:sz w:val="21"/>
                <w:szCs w:val="21"/>
                <w:lang w:eastAsia="zh-CN"/>
              </w:rPr>
              <w:t>于</w:t>
            </w:r>
            <w:r>
              <w:rPr>
                <w:rFonts w:ascii="宋体" w:hAnsi="宋体" w:cs="宋体"/>
                <w:color w:val="000000"/>
                <w:sz w:val="21"/>
                <w:szCs w:val="21"/>
              </w:rPr>
              <w:t>阴凉干燥处存放，避免阳光直晒，应与易燃或可燃物 及酸类分开存放。</w:t>
            </w:r>
          </w:p>
        </w:tc>
        <w:tc>
          <w:tcPr>
            <w:tcW w:w="90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化学品仓库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rFonts w:cs="Times New Roman"/>
                <w:kern w:val="21"/>
                <w:sz w:val="21"/>
                <w:szCs w:val="21"/>
                <w:lang w:val="en-US" w:eastAsia="zh-CN"/>
              </w:rPr>
              <w:t>二苯基甲烷二异氰酸酯</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储存于阴凉、通风的库房；远离火种、热源。库温不宜超过</w:t>
            </w:r>
            <w:r>
              <w:rPr>
                <w:rFonts w:eastAsia="Times New Roman" w:cs="Times New Roman"/>
                <w:color w:val="000000"/>
                <w:sz w:val="21"/>
                <w:szCs w:val="21"/>
                <w:lang w:val="en-US" w:eastAsia="zh-CN" w:bidi="en-US"/>
              </w:rPr>
              <w:t>30°C</w:t>
            </w:r>
            <w:r>
              <w:rPr>
                <w:rFonts w:ascii="宋体" w:hAnsi="宋体" w:cs="宋体"/>
                <w:color w:val="000000"/>
                <w:sz w:val="21"/>
                <w:szCs w:val="21"/>
                <w:lang w:val="en-US" w:eastAsia="zh-CN" w:bidi="en-US"/>
              </w:rPr>
              <w:t xml:space="preserve">。 </w:t>
            </w:r>
            <w:r>
              <w:rPr>
                <w:rFonts w:ascii="宋体" w:hAnsi="宋体" w:cs="宋体"/>
                <w:color w:val="000000"/>
                <w:sz w:val="21"/>
                <w:szCs w:val="21"/>
              </w:rPr>
              <w:t>应与碱分开存放，切忌混储。</w:t>
            </w:r>
          </w:p>
        </w:tc>
        <w:tc>
          <w:tcPr>
            <w:tcW w:w="90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化学品仓库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rFonts w:cs="Times New Roman"/>
                <w:kern w:val="21"/>
                <w:sz w:val="21"/>
                <w:szCs w:val="21"/>
              </w:rPr>
              <w:t>白矿油</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库温不超过</w:t>
            </w:r>
            <w:r>
              <w:rPr>
                <w:rFonts w:eastAsia="Times New Roman" w:cs="Times New Roman"/>
                <w:color w:val="000000"/>
                <w:sz w:val="21"/>
                <w:szCs w:val="21"/>
                <w:lang w:val="en-US" w:eastAsia="zh-CN" w:bidi="en-US"/>
              </w:rPr>
              <w:t>30°C</w:t>
            </w:r>
            <w:r>
              <w:rPr>
                <w:rFonts w:hint="eastAsia" w:cs="Times New Roman"/>
                <w:color w:val="000000"/>
                <w:sz w:val="21"/>
                <w:szCs w:val="21"/>
                <w:lang w:val="en-US" w:eastAsia="zh-CN" w:bidi="en-US"/>
              </w:rPr>
              <w:t>，</w:t>
            </w:r>
            <w:r>
              <w:rPr>
                <w:rFonts w:ascii="宋体" w:hAnsi="宋体" w:cs="宋体"/>
                <w:color w:val="000000"/>
                <w:sz w:val="21"/>
                <w:szCs w:val="21"/>
              </w:rPr>
              <w:t>相对湿度不超过</w:t>
            </w:r>
            <w:r>
              <w:rPr>
                <w:rFonts w:eastAsia="Times New Roman" w:cs="Times New Roman"/>
                <w:color w:val="000000"/>
                <w:sz w:val="21"/>
                <w:szCs w:val="21"/>
              </w:rPr>
              <w:t>85%</w:t>
            </w:r>
            <w:r>
              <w:rPr>
                <w:rFonts w:ascii="宋体" w:hAnsi="宋体" w:cs="宋体"/>
                <w:color w:val="000000"/>
                <w:sz w:val="21"/>
                <w:szCs w:val="21"/>
              </w:rPr>
              <w:t>。保持容器密封。应与碱类、胺类、碱金属、易（可）燃物分开存放，切忌混储。</w:t>
            </w:r>
          </w:p>
        </w:tc>
        <w:tc>
          <w:tcPr>
            <w:tcW w:w="90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储罐区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rFonts w:cs="Times New Roman"/>
                <w:kern w:val="21"/>
                <w:sz w:val="21"/>
                <w:szCs w:val="21"/>
                <w:lang w:val="en-US" w:eastAsia="zh-CN"/>
              </w:rPr>
              <w:t>丙烯酸</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储存于阴凉、通风的库房内。远离火种、热源。库温不宜超过</w:t>
            </w:r>
            <w:r>
              <w:rPr>
                <w:rFonts w:eastAsia="Times New Roman" w:cs="Times New Roman"/>
                <w:color w:val="000000"/>
                <w:sz w:val="21"/>
                <w:szCs w:val="21"/>
                <w:lang w:val="en-US" w:eastAsia="zh-CN" w:bidi="en-US"/>
              </w:rPr>
              <w:t>30°C</w:t>
            </w:r>
            <w:r>
              <w:rPr>
                <w:rFonts w:ascii="宋体" w:hAnsi="宋体" w:cs="宋体"/>
                <w:color w:val="000000"/>
                <w:sz w:val="21"/>
                <w:szCs w:val="21"/>
                <w:lang w:val="en-US" w:eastAsia="zh-CN" w:bidi="en-US"/>
              </w:rPr>
              <w:t>。</w:t>
            </w:r>
            <w:r>
              <w:rPr>
                <w:rFonts w:ascii="宋体" w:hAnsi="宋体" w:cs="宋体"/>
                <w:color w:val="000000"/>
                <w:sz w:val="21"/>
                <w:szCs w:val="21"/>
              </w:rPr>
              <w:t>保持容器密封。应与易（可）燃物、还原剂、活性金属粉末等分开存放，切忌混储。</w:t>
            </w:r>
          </w:p>
        </w:tc>
        <w:tc>
          <w:tcPr>
            <w:tcW w:w="90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化学品仓库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pStyle w:val="61"/>
              <w:spacing w:line="360" w:lineRule="exact"/>
              <w:ind w:firstLine="0" w:firstLineChars="0"/>
              <w:jc w:val="center"/>
              <w:rPr>
                <w:sz w:val="21"/>
                <w:szCs w:val="21"/>
              </w:rPr>
            </w:pPr>
            <w:r>
              <w:rPr>
                <w:rFonts w:cs="Times New Roman"/>
                <w:kern w:val="21"/>
                <w:sz w:val="21"/>
                <w:szCs w:val="21"/>
                <w:lang w:val="en-US" w:eastAsia="zh-CN"/>
              </w:rPr>
              <w:t>甲基丙烯酸丁酯</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储存于阴凉、通风的库房。远离火种、热源。库温不宜超过</w:t>
            </w:r>
            <w:r>
              <w:rPr>
                <w:rFonts w:eastAsia="Times New Roman" w:cs="Times New Roman"/>
                <w:color w:val="000000"/>
                <w:sz w:val="21"/>
                <w:szCs w:val="21"/>
                <w:lang w:val="en-US" w:eastAsia="zh-CN" w:bidi="en-US"/>
              </w:rPr>
              <w:t>37°C</w:t>
            </w:r>
            <w:r>
              <w:rPr>
                <w:rFonts w:ascii="宋体" w:hAnsi="宋体" w:cs="宋体"/>
                <w:color w:val="000000"/>
                <w:sz w:val="21"/>
                <w:szCs w:val="21"/>
                <w:lang w:val="en-US" w:eastAsia="zh-CN" w:bidi="en-US"/>
              </w:rPr>
              <w:t xml:space="preserve">。 </w:t>
            </w:r>
            <w:r>
              <w:rPr>
                <w:rFonts w:ascii="宋体" w:hAnsi="宋体" w:cs="宋体"/>
                <w:color w:val="000000"/>
                <w:sz w:val="21"/>
                <w:szCs w:val="21"/>
              </w:rPr>
              <w:t>保持容器密封。应与氧化剂、碱类、活性金属末等分开存放，切忌混储。</w:t>
            </w:r>
          </w:p>
        </w:tc>
        <w:tc>
          <w:tcPr>
            <w:tcW w:w="90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化学品仓库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spacing w:line="360" w:lineRule="exact"/>
              <w:ind w:firstLine="0" w:firstLineChars="0"/>
              <w:jc w:val="center"/>
              <w:rPr>
                <w:sz w:val="21"/>
                <w:szCs w:val="21"/>
              </w:rPr>
            </w:pPr>
            <w:r>
              <w:rPr>
                <w:rFonts w:cs="Times New Roman"/>
                <w:kern w:val="21"/>
                <w:sz w:val="21"/>
                <w:szCs w:val="21"/>
              </w:rPr>
              <w:t>丙烯酸丁酯</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储存于阴凉、通风的库房。远离火种、热源。库温不宜超过</w:t>
            </w:r>
            <w:r>
              <w:rPr>
                <w:rFonts w:eastAsia="Times New Roman" w:cs="Times New Roman"/>
                <w:color w:val="000000"/>
                <w:sz w:val="21"/>
                <w:szCs w:val="21"/>
                <w:lang w:val="en-US" w:eastAsia="zh-CN" w:bidi="en-US"/>
              </w:rPr>
              <w:t>30°C</w:t>
            </w:r>
            <w:r>
              <w:rPr>
                <w:rFonts w:ascii="宋体" w:hAnsi="宋体" w:cs="宋体"/>
                <w:color w:val="000000"/>
                <w:sz w:val="21"/>
                <w:szCs w:val="21"/>
                <w:lang w:val="en-US" w:eastAsia="zh-CN" w:bidi="en-US"/>
              </w:rPr>
              <w:t xml:space="preserve">。 </w:t>
            </w:r>
            <w:r>
              <w:rPr>
                <w:rFonts w:ascii="宋体" w:hAnsi="宋体" w:cs="宋体"/>
                <w:color w:val="000000"/>
                <w:sz w:val="21"/>
                <w:szCs w:val="21"/>
              </w:rPr>
              <w:t>保持容器密封。应与氧化剂、还原剂、酸类、碱类、易（可）燃物、食用化学品分开存放，切忌混储。</w:t>
            </w:r>
          </w:p>
        </w:tc>
        <w:tc>
          <w:tcPr>
            <w:tcW w:w="90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化学品仓库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3" w:hRule="atLeast"/>
          <w:jc w:val="center"/>
        </w:trPr>
        <w:tc>
          <w:tcPr>
            <w:tcW w:w="779" w:type="pct"/>
            <w:shd w:val="clear" w:color="auto" w:fill="FFFFFF"/>
            <w:vAlign w:val="center"/>
          </w:tcPr>
          <w:p>
            <w:pPr>
              <w:spacing w:line="360" w:lineRule="exact"/>
              <w:ind w:firstLine="0" w:firstLineChars="0"/>
              <w:jc w:val="center"/>
              <w:rPr>
                <w:sz w:val="21"/>
                <w:szCs w:val="21"/>
              </w:rPr>
            </w:pPr>
            <w:r>
              <w:rPr>
                <w:rFonts w:cs="Times New Roman"/>
                <w:kern w:val="21"/>
                <w:sz w:val="21"/>
                <w:szCs w:val="21"/>
              </w:rPr>
              <w:t>OP-10</w:t>
            </w:r>
          </w:p>
        </w:tc>
        <w:tc>
          <w:tcPr>
            <w:tcW w:w="331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储存于阴凉、干燥、通风良好的库房。远离火种、热源。相对湿度保持在</w:t>
            </w:r>
            <w:r>
              <w:rPr>
                <w:rFonts w:eastAsia="Times New Roman" w:cs="Times New Roman"/>
                <w:color w:val="000000"/>
                <w:sz w:val="21"/>
                <w:szCs w:val="21"/>
              </w:rPr>
              <w:t>75%</w:t>
            </w:r>
            <w:r>
              <w:rPr>
                <w:rFonts w:ascii="宋体" w:hAnsi="宋体" w:cs="宋体"/>
                <w:color w:val="000000"/>
                <w:sz w:val="21"/>
                <w:szCs w:val="21"/>
              </w:rPr>
              <w:t>以下。包装必须密封，切勿受潮。应与氧化剂、碱类、食用化学品分开存放，切忌混储。</w:t>
            </w:r>
          </w:p>
        </w:tc>
        <w:tc>
          <w:tcPr>
            <w:tcW w:w="905" w:type="pct"/>
            <w:shd w:val="clear" w:color="auto" w:fill="FFFFFF"/>
            <w:vAlign w:val="center"/>
          </w:tcPr>
          <w:p>
            <w:pPr>
              <w:pStyle w:val="61"/>
              <w:spacing w:line="360" w:lineRule="exact"/>
              <w:ind w:firstLine="0" w:firstLineChars="0"/>
              <w:jc w:val="center"/>
              <w:rPr>
                <w:sz w:val="21"/>
                <w:szCs w:val="21"/>
              </w:rPr>
            </w:pPr>
            <w:r>
              <w:rPr>
                <w:rFonts w:ascii="宋体" w:hAnsi="宋体" w:cs="宋体"/>
                <w:color w:val="000000"/>
                <w:sz w:val="21"/>
                <w:szCs w:val="21"/>
              </w:rPr>
              <w:t>化学品仓库</w:t>
            </w:r>
          </w:p>
        </w:tc>
      </w:tr>
    </w:tbl>
    <w:p>
      <w:pPr>
        <w:widowControl/>
        <w:ind w:firstLine="480"/>
        <w:jc w:val="left"/>
        <w:rPr>
          <w:rFonts w:cs="Times New Roman"/>
          <w:color w:val="000000"/>
          <w:kern w:val="0"/>
          <w:lang w:bidi="ar"/>
        </w:rPr>
      </w:pPr>
      <w:r>
        <w:rPr>
          <w:rFonts w:hint="eastAsia" w:cs="Times New Roman"/>
          <w:color w:val="000000"/>
          <w:kern w:val="0"/>
          <w:lang w:bidi="ar"/>
        </w:rPr>
        <w:t>企业应制定严格的操作规程和规章制度，贮存区操作工人应进行相应的上岗培训和事故应急培训，尽量杜绝危险事故的发生。</w:t>
      </w:r>
    </w:p>
    <w:p>
      <w:pPr>
        <w:widowControl/>
        <w:ind w:firstLine="480"/>
        <w:jc w:val="left"/>
        <w:rPr>
          <w:rFonts w:cs="Times New Roman"/>
          <w:color w:val="000000"/>
          <w:kern w:val="0"/>
          <w:lang w:bidi="ar"/>
        </w:rPr>
      </w:pPr>
      <w:r>
        <w:rPr>
          <w:rFonts w:hint="eastAsia" w:cs="Times New Roman"/>
          <w:color w:val="000000"/>
          <w:kern w:val="0"/>
          <w:lang w:bidi="ar"/>
        </w:rPr>
        <w:t>4、泄漏事故风险防范措施</w:t>
      </w:r>
    </w:p>
    <w:p>
      <w:pPr>
        <w:widowControl/>
        <w:ind w:firstLine="480"/>
        <w:jc w:val="left"/>
        <w:rPr>
          <w:rFonts w:cs="Times New Roman"/>
          <w:color w:val="000000"/>
          <w:kern w:val="0"/>
          <w:lang w:bidi="ar"/>
        </w:rPr>
      </w:pPr>
      <w:r>
        <w:rPr>
          <w:rFonts w:hint="eastAsia" w:cs="Times New Roman"/>
          <w:color w:val="000000"/>
          <w:kern w:val="0"/>
          <w:lang w:bidi="ar"/>
        </w:rPr>
        <w:t>泄漏事故的防止是生产和储运过程中最重要的环节；发生泄漏事故可能引起火灾和爆炸等一系列重大事故。经验表明：设备失灵和人为</w:t>
      </w:r>
      <w:r>
        <w:rPr>
          <w:rFonts w:hint="eastAsia" w:cs="Times New Roman"/>
          <w:color w:val="000000"/>
          <w:kern w:val="0"/>
          <w:lang w:eastAsia="zh-CN" w:bidi="ar"/>
        </w:rPr>
        <w:t>的</w:t>
      </w:r>
      <w:r>
        <w:rPr>
          <w:rFonts w:hint="eastAsia" w:cs="Times New Roman"/>
          <w:color w:val="000000"/>
          <w:kern w:val="0"/>
          <w:lang w:bidi="ar"/>
        </w:rPr>
        <w:t>操作失误是引发泄漏的主要原因。因此选用较好的设备、精心设计、认真</w:t>
      </w:r>
      <w:r>
        <w:rPr>
          <w:rFonts w:hint="eastAsia" w:cs="Times New Roman"/>
          <w:color w:val="000000"/>
          <w:kern w:val="0"/>
          <w:lang w:eastAsia="zh-CN" w:bidi="ar"/>
        </w:rPr>
        <w:t>的</w:t>
      </w:r>
      <w:r>
        <w:rPr>
          <w:rFonts w:hint="eastAsia" w:cs="Times New Roman"/>
          <w:color w:val="000000"/>
          <w:kern w:val="0"/>
          <w:lang w:bidi="ar"/>
        </w:rPr>
        <w:t>管理和操作人员的责任心是减少泄漏事故的关键。</w:t>
      </w:r>
    </w:p>
    <w:p>
      <w:pPr>
        <w:widowControl/>
        <w:ind w:firstLine="480"/>
        <w:jc w:val="left"/>
        <w:rPr>
          <w:rFonts w:cs="Times New Roman"/>
          <w:color w:val="000000"/>
          <w:kern w:val="0"/>
          <w:lang w:bidi="ar"/>
        </w:rPr>
      </w:pPr>
      <w:bookmarkStart w:id="272" w:name="bookmark1016"/>
      <w:bookmarkEnd w:id="272"/>
      <w:bookmarkStart w:id="273" w:name="bookmark1015"/>
      <w:bookmarkEnd w:id="273"/>
      <w:r>
        <w:rPr>
          <w:rFonts w:hint="eastAsia" w:cs="Times New Roman"/>
          <w:color w:val="000000"/>
          <w:kern w:val="0"/>
          <w:lang w:bidi="ar"/>
        </w:rPr>
        <w:t>储罐存储区域、化学品库区域周边设置有至少0.5m高围堰，并分性质、分区存放，满足相关安全设计规范，具有耐腐蚀性，保证泄漏物料不发生溢出情况。</w:t>
      </w:r>
    </w:p>
    <w:p>
      <w:pPr>
        <w:widowControl/>
        <w:ind w:firstLine="480"/>
        <w:jc w:val="left"/>
        <w:rPr>
          <w:rFonts w:cs="Times New Roman"/>
          <w:color w:val="000000"/>
          <w:kern w:val="0"/>
          <w:lang w:bidi="ar"/>
        </w:rPr>
      </w:pPr>
      <w:bookmarkStart w:id="274" w:name="bookmark1017"/>
      <w:bookmarkEnd w:id="274"/>
      <w:r>
        <w:rPr>
          <w:rFonts w:hint="eastAsia" w:cs="Times New Roman"/>
          <w:color w:val="000000"/>
          <w:kern w:val="0"/>
          <w:lang w:bidi="ar"/>
        </w:rPr>
        <w:t>储罐区、生产车间、输送管道等易泄漏点处应安装有自动报警装置的液位探测仪、有机废气检测仪、可燃气体探测仪、紧急停车按钮和报警器等设备，中控室24h进行监控，以便及早发现泄漏，及早处理。</w:t>
      </w:r>
    </w:p>
    <w:p>
      <w:pPr>
        <w:widowControl/>
        <w:ind w:firstLine="480"/>
        <w:jc w:val="left"/>
        <w:rPr>
          <w:rFonts w:cs="Times New Roman"/>
          <w:color w:val="000000"/>
          <w:kern w:val="0"/>
          <w:lang w:bidi="ar"/>
        </w:rPr>
      </w:pPr>
      <w:bookmarkStart w:id="275" w:name="bookmark1018"/>
      <w:bookmarkEnd w:id="275"/>
      <w:r>
        <w:rPr>
          <w:rFonts w:hint="eastAsia" w:cs="Times New Roman"/>
          <w:color w:val="000000"/>
          <w:kern w:val="0"/>
          <w:lang w:bidi="ar"/>
        </w:rPr>
        <w:t>应用DCS系统进行生产装置和罐区的监视与控制。</w:t>
      </w:r>
    </w:p>
    <w:p>
      <w:pPr>
        <w:widowControl/>
        <w:ind w:firstLine="480"/>
        <w:jc w:val="left"/>
        <w:rPr>
          <w:rFonts w:cs="Times New Roman"/>
          <w:color w:val="000000"/>
          <w:kern w:val="0"/>
          <w:lang w:bidi="ar"/>
        </w:rPr>
      </w:pPr>
      <w:bookmarkStart w:id="276" w:name="bookmark1019"/>
      <w:bookmarkEnd w:id="276"/>
      <w:r>
        <w:rPr>
          <w:rFonts w:hint="eastAsia" w:cs="Times New Roman"/>
          <w:color w:val="000000"/>
          <w:kern w:val="0"/>
          <w:lang w:bidi="ar"/>
        </w:rPr>
        <w:t>管道输送时要求管道采用双层防腐结构，在两节管道之间的接头一定要焊接牢固，防止物料在输送过程中的泄漏。</w:t>
      </w:r>
    </w:p>
    <w:p>
      <w:pPr>
        <w:widowControl/>
        <w:ind w:firstLine="480"/>
        <w:jc w:val="left"/>
        <w:rPr>
          <w:rFonts w:cs="Times New Roman"/>
          <w:color w:val="000000"/>
          <w:kern w:val="0"/>
          <w:lang w:bidi="ar"/>
        </w:rPr>
      </w:pPr>
      <w:bookmarkStart w:id="277" w:name="bookmark1020"/>
      <w:bookmarkEnd w:id="277"/>
      <w:r>
        <w:rPr>
          <w:rFonts w:hint="eastAsia" w:cs="Times New Roman"/>
          <w:color w:val="000000"/>
          <w:kern w:val="0"/>
          <w:lang w:bidi="ar"/>
        </w:rPr>
        <w:t>各储罐、输送管道在阀门处设置紧急隔离系统，一旦发生泄漏启动紧急隔离系统，可有效阻挡泄漏物料外排。</w:t>
      </w:r>
    </w:p>
    <w:p>
      <w:pPr>
        <w:widowControl/>
        <w:ind w:firstLine="480"/>
        <w:jc w:val="left"/>
        <w:rPr>
          <w:rFonts w:cs="Times New Roman"/>
          <w:color w:val="000000"/>
          <w:kern w:val="0"/>
          <w:lang w:bidi="ar"/>
        </w:rPr>
      </w:pPr>
      <w:bookmarkStart w:id="278" w:name="bookmark1021"/>
      <w:bookmarkEnd w:id="278"/>
      <w:r>
        <w:rPr>
          <w:rFonts w:hint="eastAsia" w:cs="Times New Roman"/>
          <w:color w:val="000000"/>
          <w:kern w:val="0"/>
          <w:lang w:bidi="ar"/>
        </w:rPr>
        <w:t>厂区设置事故池，并按照重点防渗区要求严格防。</w:t>
      </w:r>
    </w:p>
    <w:p>
      <w:pPr>
        <w:pStyle w:val="7"/>
        <w:ind w:firstLine="562"/>
      </w:pPr>
      <w:r>
        <w:rPr>
          <w:rFonts w:hint="eastAsia"/>
        </w:rPr>
        <w:t>7.2.7 清洁生产</w:t>
      </w:r>
    </w:p>
    <w:p>
      <w:pPr>
        <w:widowControl/>
        <w:ind w:firstLine="480"/>
        <w:jc w:val="both"/>
        <w:rPr>
          <w:rFonts w:cs="Times New Roman"/>
          <w:color w:val="000000"/>
          <w:kern w:val="0"/>
          <w:lang w:bidi="ar"/>
        </w:rPr>
      </w:pPr>
      <w:bookmarkStart w:id="279" w:name="bookmark1100"/>
      <w:r>
        <w:rPr>
          <w:rFonts w:hint="eastAsia" w:cs="Times New Roman"/>
          <w:color w:val="000000"/>
          <w:kern w:val="0"/>
          <w:lang w:bidi="ar"/>
        </w:rPr>
        <w:t>1</w:t>
      </w:r>
      <w:bookmarkEnd w:id="279"/>
      <w:r>
        <w:rPr>
          <w:rFonts w:hint="eastAsia" w:cs="Times New Roman"/>
          <w:color w:val="000000"/>
          <w:kern w:val="0"/>
          <w:lang w:bidi="ar"/>
        </w:rPr>
        <w:t>、清洁生产概念</w:t>
      </w:r>
    </w:p>
    <w:p>
      <w:pPr>
        <w:widowControl/>
        <w:ind w:firstLine="480"/>
        <w:jc w:val="both"/>
        <w:rPr>
          <w:rFonts w:cs="Times New Roman"/>
          <w:color w:val="000000"/>
          <w:kern w:val="0"/>
          <w:lang w:bidi="ar"/>
        </w:rPr>
      </w:pPr>
      <w:r>
        <w:rPr>
          <w:rFonts w:cs="Times New Roman"/>
          <w:color w:val="000000"/>
          <w:kern w:val="0"/>
          <w:lang w:bidi="ar"/>
        </w:rPr>
        <w:t>清洁生产（cleaner production）作为一种新的污染预防策略，其根本思想在于资源消耗、污染影响最小化，它的实施可以减少生产过程原材料的消耗，同时降低污染物的产生量，使生产发展与环境保护相互协调。根据《中华人民共和国清洁生产促进法》第一章第二条定义</w:t>
      </w:r>
      <w:r>
        <w:rPr>
          <w:rFonts w:hint="eastAsia" w:cs="Times New Roman"/>
          <w:color w:val="000000"/>
          <w:kern w:val="0"/>
          <w:lang w:bidi="ar"/>
        </w:rPr>
        <w:t>“清洁生产”</w:t>
      </w:r>
      <w:r>
        <w:rPr>
          <w:rFonts w:cs="Times New Roman"/>
          <w:color w:val="000000"/>
          <w:kern w:val="0"/>
          <w:lang w:bidi="ar"/>
        </w:rPr>
        <w:t>指的是不断采取改进设计、使用清洁的能源和原料、采用先进工艺技术与设备、改善管理、综合利用等措施，从源头削减污染，提高资源利用效率，减少或者避免生产、服务和产品使用过程中污染物的产生和排放，以减轻或者消除对人类健康和环境的危害。实行清洁生产可实现合理利用资源，减缓资源的枯竭，节水、节能、省料，并且在生产过程中，消减甚至消除废物和污染物的产生和排放，促进工业产品生产和产品消费过程与环境相容，减少在产品整个生命周期内对人类和环境的危害。</w:t>
      </w:r>
    </w:p>
    <w:p>
      <w:pPr>
        <w:widowControl/>
        <w:ind w:firstLine="480"/>
        <w:jc w:val="both"/>
        <w:rPr>
          <w:rFonts w:hint="eastAsia" w:cs="Times New Roman"/>
          <w:color w:val="000000"/>
          <w:kern w:val="0"/>
          <w:lang w:bidi="ar"/>
        </w:rPr>
      </w:pPr>
      <w:bookmarkStart w:id="280" w:name="bookmark1101"/>
      <w:r>
        <w:rPr>
          <w:rFonts w:hint="eastAsia" w:cs="Times New Roman"/>
          <w:color w:val="000000"/>
          <w:kern w:val="0"/>
          <w:lang w:bidi="ar"/>
        </w:rPr>
        <w:t>2</w:t>
      </w:r>
      <w:bookmarkEnd w:id="280"/>
      <w:r>
        <w:rPr>
          <w:rFonts w:hint="eastAsia" w:cs="Times New Roman"/>
          <w:color w:val="000000"/>
          <w:kern w:val="0"/>
          <w:lang w:bidi="ar"/>
        </w:rPr>
        <w:t>、清洁生产水平分析思路</w:t>
      </w:r>
    </w:p>
    <w:p>
      <w:pPr>
        <w:widowControl/>
        <w:ind w:firstLine="480"/>
        <w:jc w:val="both"/>
        <w:rPr>
          <w:rFonts w:hint="eastAsia" w:ascii="Times New Roman" w:hAnsi="Times New Roman" w:cs="Times New Roman"/>
          <w:color w:val="000000"/>
          <w:kern w:val="0"/>
          <w:u w:val="single"/>
          <w:lang w:bidi="ar"/>
        </w:rPr>
      </w:pPr>
      <w:r>
        <w:rPr>
          <w:rFonts w:hint="eastAsia" w:ascii="Times New Roman" w:hAnsi="Times New Roman" w:cs="Times New Roman"/>
          <w:color w:val="000000"/>
          <w:kern w:val="0"/>
          <w:u w:val="single"/>
          <w:lang w:bidi="ar"/>
        </w:rPr>
        <w:t>本次评价依据《有机化工行业清洁生产方案》确定清洁生产水平，同时参照《清洁生产标准制订技术导则》（HJ/T425-2008）和《工业清洁生产评价指标体系编制通则》（GB/T20106-2006）以及行业清洁生产推广技术等技术要求，主要从生产工艺及装备指标、资源能源消耗指标、资源综合利用指标、污染物产生指标、产品特征指标和清洁生产管理指标等六方面入手，对本项目的清洁生产水平进行分析并提出持续清洁生产方案和建议。</w:t>
      </w:r>
    </w:p>
    <w:p>
      <w:pPr>
        <w:widowControl/>
        <w:ind w:firstLine="480"/>
        <w:jc w:val="both"/>
        <w:rPr>
          <w:rFonts w:hint="eastAsia" w:cs="Times New Roman"/>
          <w:color w:val="000000"/>
          <w:kern w:val="0"/>
          <w:u w:val="single"/>
          <w:lang w:bidi="ar"/>
        </w:rPr>
      </w:pPr>
      <w:bookmarkStart w:id="281" w:name="bookmark1102"/>
      <w:r>
        <w:rPr>
          <w:rFonts w:hint="eastAsia" w:cs="Times New Roman"/>
          <w:color w:val="000000"/>
          <w:kern w:val="0"/>
          <w:u w:val="single"/>
          <w:lang w:bidi="ar"/>
        </w:rPr>
        <w:t>3</w:t>
      </w:r>
      <w:bookmarkEnd w:id="281"/>
      <w:r>
        <w:rPr>
          <w:rFonts w:hint="eastAsia" w:cs="Times New Roman"/>
          <w:color w:val="000000"/>
          <w:kern w:val="0"/>
          <w:u w:val="single"/>
          <w:lang w:bidi="ar"/>
        </w:rPr>
        <w:t>、清洁生产方案</w:t>
      </w:r>
    </w:p>
    <w:p>
      <w:pPr>
        <w:widowControl/>
        <w:ind w:firstLine="480"/>
        <w:jc w:val="left"/>
        <w:rPr>
          <w:rFonts w:hint="eastAsia" w:ascii="Times New Roman" w:hAnsi="Times New Roman" w:cs="Times New Roman"/>
          <w:color w:val="000000"/>
          <w:kern w:val="0"/>
          <w:u w:val="single"/>
          <w:lang w:bidi="ar"/>
        </w:rPr>
      </w:pPr>
      <w:r>
        <w:rPr>
          <w:rFonts w:hint="eastAsia" w:ascii="Times New Roman" w:hAnsi="Times New Roman" w:cs="Times New Roman"/>
          <w:color w:val="000000"/>
          <w:kern w:val="0"/>
          <w:u w:val="single"/>
          <w:lang w:bidi="ar"/>
        </w:rPr>
        <w:t>本次评价参照《有机化工行业清洁生产方案》对项目清洁生产水平进行评价，详见下表。</w:t>
      </w:r>
    </w:p>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Times New Roman" w:hAnsi="Times New Roman" w:cs="Times New Roman"/>
          <w:color w:val="000000"/>
          <w:kern w:val="0"/>
          <w:lang w:bidi="ar"/>
        </w:rPr>
      </w:pPr>
      <w:r>
        <w:rPr>
          <w:rFonts w:hint="default" w:ascii="Times New Roman" w:hAnsi="Times New Roman" w:eastAsia="黑体" w:cs="Times New Roman"/>
          <w:color w:val="auto"/>
          <w:sz w:val="24"/>
        </w:rPr>
        <w:t>表</w:t>
      </w:r>
      <w:r>
        <w:rPr>
          <w:rFonts w:hint="eastAsia" w:ascii="Times New Roman" w:hAnsi="Times New Roman" w:eastAsia="黑体" w:cs="Times New Roman"/>
          <w:color w:val="auto"/>
          <w:sz w:val="24"/>
          <w:lang w:val="en-US" w:eastAsia="zh-CN"/>
        </w:rPr>
        <w:t>7.2-10</w:t>
      </w:r>
      <w:r>
        <w:rPr>
          <w:rFonts w:hint="default" w:ascii="Times New Roman" w:hAnsi="Times New Roman" w:eastAsia="黑体" w:cs="Times New Roman"/>
          <w:color w:val="auto"/>
          <w:sz w:val="24"/>
        </w:rPr>
        <w:t xml:space="preserve">    有机化工行业清洁生产方案</w:t>
      </w:r>
    </w:p>
    <w:tbl>
      <w:tblPr>
        <w:tblStyle w:val="29"/>
        <w:tblW w:w="4998" w:type="pct"/>
        <w:jc w:val="center"/>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Layout w:type="autofit"/>
        <w:tblCellMar>
          <w:top w:w="0" w:type="dxa"/>
          <w:left w:w="108" w:type="dxa"/>
          <w:bottom w:w="0" w:type="dxa"/>
          <w:right w:w="108" w:type="dxa"/>
        </w:tblCellMar>
      </w:tblPr>
      <w:tblGrid>
        <w:gridCol w:w="1188"/>
        <w:gridCol w:w="1209"/>
        <w:gridCol w:w="5759"/>
        <w:gridCol w:w="1128"/>
      </w:tblGrid>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bookmarkStart w:id="282" w:name="bookmark1103"/>
            <w:r>
              <w:rPr>
                <w:rFonts w:hint="default" w:ascii="Times New Roman" w:hAnsi="Times New Roman" w:eastAsia="宋体" w:cs="Times New Roman"/>
                <w:b w:val="0"/>
                <w:bCs/>
                <w:color w:val="auto"/>
                <w:sz w:val="21"/>
                <w:szCs w:val="21"/>
                <w:u w:val="single"/>
              </w:rPr>
              <w:t>废物源</w:t>
            </w:r>
          </w:p>
        </w:tc>
        <w:tc>
          <w:tcPr>
            <w:tcW w:w="651"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废物类型</w:t>
            </w: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清洁生产方案</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本项目实施情况</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物料装卸、贮运管理</w:t>
            </w:r>
          </w:p>
        </w:tc>
        <w:tc>
          <w:tcPr>
            <w:tcW w:w="651"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化学品泄漏、腐蚀、爆炸、不合 格原料</w:t>
            </w: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在每排贮料桶之间留有适当的空间，以便直观检查其腐蚀和泄漏情况。</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包装袋和容器的堆积应尽量减少翻倒、撕裂、戳破和破裂的机会。</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将料桶抬离地面，防止由于泄漏或混凝土“出汗”引起的腐蚀。</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不同化学物料贮存应保持适当的间隔，以防止交叉污染或万一泄漏时发生化学反应。</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除转移物料时，应保持容器处于密闭状态。</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保证储料区的适当照明。</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对使用各种运输工具（铲车、拖车、运输机械等）的操作工人进行培训。</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反应、精馏、火炬等</w:t>
            </w:r>
          </w:p>
        </w:tc>
        <w:tc>
          <w:tcPr>
            <w:tcW w:w="651"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有机废气</w:t>
            </w: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采购优质原料或进行原料净化，减少副产物生成。</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优化工艺操作条件，减少副反应发生。</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选择高效催化剂，提高选择性和产品收率，减少副产物生成。</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增加分离回收装置或燃烧回收热能。</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泵阀门贮槽等泄漏及开停车</w:t>
            </w:r>
          </w:p>
        </w:tc>
        <w:tc>
          <w:tcPr>
            <w:tcW w:w="651"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短期气体排放物、火炬排放气</w:t>
            </w: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使用密闭贮存和转运系统。</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定期进行预防性维修保养，消除泄漏。</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精心操作，减少事故和装置不正常停车排放。</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安装溢流报警装置，使用固定顶管贮槽，控制挥发性有机物排放。</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冷却</w:t>
            </w:r>
          </w:p>
        </w:tc>
        <w:tc>
          <w:tcPr>
            <w:tcW w:w="651"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间接冷却水</w:t>
            </w: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改进换热设备，提高热效率，节省用水量</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增加制冷设备，提高制冷能力，加强调度，节省冷却水</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进行冷却水稳定处理，循环利用冷却水。</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设备清洗</w:t>
            </w:r>
          </w:p>
        </w:tc>
        <w:tc>
          <w:tcPr>
            <w:tcW w:w="651"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清洗废水</w:t>
            </w: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合理安排生产，改进清洗程序，减少设备清洗次数。</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使用耗水少、效率高的清洗喷头。</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工艺洗涤水套用和回收利用。</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加强管理，消除跑冒滴漏，节约用水。</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化学反应</w:t>
            </w:r>
          </w:p>
        </w:tc>
        <w:tc>
          <w:tcPr>
            <w:tcW w:w="651" w:type="pct"/>
            <w:vMerge w:val="restar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废催化剂</w:t>
            </w: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改进催化剂性能，延长使用寿命，减少其使用量。</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r>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640"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651" w:type="pct"/>
            <w:vMerge w:val="continue"/>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p>
        </w:tc>
        <w:tc>
          <w:tcPr>
            <w:tcW w:w="3100"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color w:val="auto"/>
                <w:sz w:val="21"/>
                <w:szCs w:val="21"/>
                <w:u w:val="single"/>
              </w:rPr>
              <w:t>再生利用，</w:t>
            </w:r>
            <w:r>
              <w:rPr>
                <w:rFonts w:hint="eastAsia" w:cs="Times New Roman"/>
                <w:b w:val="0"/>
                <w:bCs/>
                <w:color w:val="auto"/>
                <w:sz w:val="21"/>
                <w:szCs w:val="21"/>
                <w:u w:val="single"/>
                <w:lang w:eastAsia="zh-CN"/>
              </w:rPr>
              <w:t>再生</w:t>
            </w:r>
            <w:r>
              <w:rPr>
                <w:rFonts w:hint="default" w:ascii="Times New Roman" w:hAnsi="Times New Roman" w:eastAsia="宋体" w:cs="Times New Roman"/>
                <w:b w:val="0"/>
                <w:bCs/>
                <w:color w:val="auto"/>
                <w:sz w:val="21"/>
                <w:szCs w:val="21"/>
                <w:u w:val="single"/>
              </w:rPr>
              <w:t>其中有价金属。</w:t>
            </w:r>
          </w:p>
        </w:tc>
        <w:tc>
          <w:tcPr>
            <w:tcW w:w="607" w:type="pct"/>
            <w:vAlign w:val="center"/>
          </w:tcPr>
          <w:p>
            <w:pPr>
              <w:pStyle w:val="25"/>
              <w:keepNext w:val="0"/>
              <w:keepLines w:val="0"/>
              <w:pageBreakBefore w:val="0"/>
              <w:widowControl w:val="0"/>
              <w:kinsoku/>
              <w:wordWrap/>
              <w:overflowPunct/>
              <w:topLinePunct w:val="0"/>
              <w:autoSpaceDE w:val="0"/>
              <w:autoSpaceDN w:val="0"/>
              <w:bidi w:val="0"/>
              <w:adjustRightInd/>
              <w:snapToGrid/>
              <w:spacing w:beforeAutospacing="0" w:afterAutospacing="0" w:line="240" w:lineRule="auto"/>
              <w:ind w:firstLine="0" w:firstLineChars="0"/>
              <w:jc w:val="center"/>
              <w:textAlignment w:val="auto"/>
              <w:rPr>
                <w:rFonts w:hint="default" w:ascii="Times New Roman" w:hAnsi="Times New Roman" w:eastAsia="宋体" w:cs="Times New Roman"/>
                <w:b w:val="0"/>
                <w:bCs/>
                <w:color w:val="auto"/>
                <w:sz w:val="21"/>
                <w:szCs w:val="21"/>
                <w:u w:val="single"/>
              </w:rPr>
            </w:pPr>
            <w:r>
              <w:rPr>
                <w:rFonts w:hint="default" w:ascii="Times New Roman" w:hAnsi="Times New Roman" w:eastAsia="宋体" w:cs="Times New Roman"/>
                <w:b w:val="0"/>
                <w:bCs/>
                <w:sz w:val="21"/>
                <w:szCs w:val="21"/>
                <w:u w:val="single"/>
              </w:rPr>
              <w:t>实行</w:t>
            </w:r>
          </w:p>
        </w:tc>
      </w:tr>
    </w:tbl>
    <w:p>
      <w:pPr>
        <w:widowControl/>
        <w:ind w:firstLine="480"/>
        <w:jc w:val="left"/>
        <w:rPr>
          <w:rFonts w:hint="eastAsia" w:ascii="Times New Roman" w:hAnsi="Times New Roman" w:cs="Times New Roman"/>
          <w:color w:val="000000"/>
          <w:kern w:val="0"/>
          <w:lang w:bidi="ar"/>
        </w:rPr>
      </w:pPr>
      <w:r>
        <w:rPr>
          <w:rFonts w:hint="eastAsia" w:ascii="Times New Roman" w:hAnsi="Times New Roman" w:cs="Times New Roman"/>
          <w:color w:val="000000"/>
          <w:kern w:val="0"/>
          <w:lang w:bidi="ar"/>
        </w:rPr>
        <w:t>从上表可知，本项目满足绝大部分有机化工行业清洁生产方案的要求，从总体上来说，满足清洁生产需要，有较高的清洁生产水平。</w:t>
      </w:r>
    </w:p>
    <w:p>
      <w:pPr>
        <w:widowControl/>
        <w:ind w:firstLine="480"/>
        <w:jc w:val="both"/>
        <w:rPr>
          <w:rFonts w:hint="eastAsia" w:ascii="Times New Roman" w:hAnsi="Times New Roman" w:cs="Times New Roman"/>
          <w:color w:val="000000"/>
          <w:kern w:val="0"/>
          <w:u w:val="single"/>
          <w:lang w:bidi="ar"/>
        </w:rPr>
      </w:pPr>
      <w:r>
        <w:rPr>
          <w:rFonts w:hint="eastAsia" w:ascii="Times New Roman" w:hAnsi="Times New Roman" w:cs="Times New Roman"/>
          <w:color w:val="000000"/>
          <w:kern w:val="0"/>
          <w:u w:val="single"/>
          <w:lang w:bidi="ar"/>
        </w:rPr>
        <w:t>4、清洁生产指标分析</w:t>
      </w:r>
    </w:p>
    <w:p>
      <w:pPr>
        <w:widowControl/>
        <w:ind w:firstLine="480"/>
        <w:jc w:val="left"/>
        <w:rPr>
          <w:rFonts w:hint="eastAsia" w:cs="Times New Roman"/>
          <w:color w:val="000000"/>
          <w:kern w:val="0"/>
          <w:lang w:bidi="ar"/>
        </w:rPr>
      </w:pPr>
      <w:r>
        <w:rPr>
          <w:rFonts w:hint="eastAsia" w:cs="Times New Roman"/>
          <w:color w:val="000000"/>
          <w:kern w:val="0"/>
          <w:lang w:bidi="ar"/>
        </w:rPr>
        <w:t>（1）工艺先进性</w:t>
      </w:r>
    </w:p>
    <w:p>
      <w:pPr>
        <w:widowControl/>
        <w:ind w:firstLine="480"/>
        <w:jc w:val="left"/>
        <w:rPr>
          <w:rFonts w:hint="eastAsia" w:cs="Times New Roman"/>
          <w:color w:val="000000"/>
          <w:kern w:val="0"/>
          <w:lang w:bidi="ar"/>
        </w:rPr>
      </w:pPr>
      <w:r>
        <w:rPr>
          <w:rFonts w:hint="eastAsia" w:cs="Times New Roman"/>
          <w:color w:val="000000"/>
          <w:kern w:val="0"/>
          <w:lang w:bidi="ar"/>
        </w:rPr>
        <w:t>本项目所生产的各产品均为成熟产品，工艺成熟稳定，生产工艺采用自动化控制：严格控制各投料量、反应温度和准确控制反应终点；采用全新原料配比，最大限度提高转化率，降低废水中有机物含量；大功率设备采用调频器，根据实际情况，调整设备运转功率，节约电能；生产工艺处于国内先进水平。</w:t>
      </w:r>
    </w:p>
    <w:p>
      <w:pPr>
        <w:widowControl/>
        <w:ind w:firstLine="480"/>
        <w:jc w:val="both"/>
        <w:rPr>
          <w:rFonts w:hint="eastAsia" w:cs="Times New Roman"/>
          <w:color w:val="000000"/>
          <w:kern w:val="0"/>
          <w:lang w:bidi="ar"/>
        </w:rPr>
      </w:pPr>
      <w:r>
        <w:rPr>
          <w:rFonts w:hint="eastAsia" w:cs="Times New Roman"/>
          <w:color w:val="000000"/>
          <w:kern w:val="0"/>
          <w:lang w:bidi="ar"/>
        </w:rPr>
        <w:t>（2）设备及过程控制先进性</w:t>
      </w:r>
    </w:p>
    <w:p>
      <w:pPr>
        <w:widowControl/>
        <w:ind w:firstLine="480"/>
        <w:jc w:val="both"/>
        <w:rPr>
          <w:rFonts w:hint="eastAsia" w:cs="Times New Roman"/>
          <w:color w:val="000000"/>
          <w:kern w:val="0"/>
          <w:lang w:bidi="ar"/>
        </w:rPr>
      </w:pPr>
      <w:r>
        <w:rPr>
          <w:rFonts w:hint="eastAsia" w:cs="Times New Roman"/>
          <w:color w:val="000000"/>
          <w:kern w:val="0"/>
          <w:lang w:bidi="ar"/>
        </w:rPr>
        <w:t>本项目生产设备及过程控制先进性主要表现在以下方面：</w:t>
      </w:r>
    </w:p>
    <w:p>
      <w:pPr>
        <w:widowControl/>
        <w:ind w:firstLine="480"/>
        <w:jc w:val="both"/>
        <w:rPr>
          <w:rFonts w:hint="eastAsia" w:cs="Times New Roman"/>
          <w:color w:val="000000"/>
          <w:kern w:val="0"/>
          <w:lang w:bidi="ar"/>
        </w:rPr>
      </w:pPr>
      <w:r>
        <w:rPr>
          <w:rFonts w:hint="eastAsia" w:cs="Times New Roman"/>
          <w:color w:val="000000"/>
          <w:kern w:val="0"/>
          <w:lang w:bidi="ar"/>
        </w:rPr>
        <w:t>①本项目设计上采用节能、高效、密闭先进设备，采用的是搪瓷材质，降低了高温高压下原料对设备的腐蚀性，提高了设备的使用寿命及操作安全性。反应釜外壳、管道的外壳均包裹保温层，既可减少热损失、减少能耗，又能起到有效的防烫作用，大大地提高了职工的安全保护。</w:t>
      </w:r>
    </w:p>
    <w:p>
      <w:pPr>
        <w:widowControl/>
        <w:ind w:firstLine="480"/>
        <w:jc w:val="both"/>
        <w:rPr>
          <w:rFonts w:hint="eastAsia" w:cs="Times New Roman"/>
          <w:color w:val="000000"/>
          <w:kern w:val="0"/>
          <w:lang w:bidi="ar"/>
        </w:rPr>
      </w:pPr>
      <w:r>
        <w:rPr>
          <w:rFonts w:hint="eastAsia" w:cs="Times New Roman"/>
          <w:color w:val="000000"/>
          <w:kern w:val="0"/>
          <w:lang w:bidi="ar"/>
        </w:rPr>
        <w:t>②部分生产单元采用先进的检验设备。一般化工企业生产中采用简单的化验设备作为中控手段，无法准确指导生产进程。本项目拟配备液相色谱仪和气相色谱仪跟踪反应，在反应过程中使有气动、电动自动阀门，对滴加的物料根据反应温度、压力等因素由远程的计算机自动控制，减少人工操作，使反应更加平稳，达到工艺指标，对于反应的物料转移、输送采用高精度计量泵与电脑联动控制，使物料的量更加精准。在加热冷却过程的蒸汽阀门、冷却阀门均采用气动阀门，根据工艺要求</w:t>
      </w:r>
      <w:r>
        <w:rPr>
          <w:rFonts w:hint="eastAsia" w:cs="Times New Roman"/>
          <w:color w:val="000000"/>
          <w:kern w:val="0"/>
          <w:lang w:eastAsia="zh-CN" w:bidi="ar"/>
        </w:rPr>
        <w:t>用</w:t>
      </w:r>
      <w:r>
        <w:rPr>
          <w:rFonts w:hint="eastAsia" w:cs="Times New Roman"/>
          <w:color w:val="000000"/>
          <w:kern w:val="0"/>
          <w:lang w:bidi="ar"/>
        </w:rPr>
        <w:t>远程计算机控制，采用DCS进行生产过程控制更为准确，达到最大转化率和产率，并尽可能减少副反应带来的杂质，提高产品质量。</w:t>
      </w:r>
    </w:p>
    <w:p>
      <w:pPr>
        <w:widowControl/>
        <w:ind w:firstLine="480"/>
        <w:jc w:val="both"/>
        <w:rPr>
          <w:rFonts w:hint="eastAsia" w:cs="Times New Roman"/>
          <w:color w:val="000000"/>
          <w:kern w:val="0"/>
          <w:lang w:bidi="ar"/>
        </w:rPr>
      </w:pPr>
      <w:r>
        <w:rPr>
          <w:rFonts w:hint="eastAsia" w:cs="Times New Roman"/>
          <w:color w:val="000000"/>
          <w:kern w:val="0"/>
          <w:lang w:bidi="ar"/>
        </w:rPr>
        <w:t>③本项目反应釜采用斜叶桨式搅拌器进行搅拌。与传统的平直叶浆式搅拌器相比，斜叶桨式搅拌器强化了叶末端的液流状态，湍流加强，剪切作用明显提高，对物理性质相差大的物料的混和、分散、传热都有增效作用，排出能量比平直桨高，综合效果更好，</w:t>
      </w:r>
      <w:r>
        <w:rPr>
          <w:rFonts w:hint="eastAsia" w:cs="Times New Roman"/>
          <w:color w:val="000000"/>
          <w:kern w:val="0"/>
          <w:lang w:eastAsia="zh-CN" w:bidi="ar"/>
        </w:rPr>
        <w:t>可以有效地提高</w:t>
      </w:r>
      <w:r>
        <w:rPr>
          <w:rFonts w:hint="eastAsia" w:cs="Times New Roman"/>
          <w:color w:val="000000"/>
          <w:kern w:val="0"/>
          <w:lang w:bidi="ar"/>
        </w:rPr>
        <w:t>物料混合效果，有利于提高反应收率。反应釜采用全密闭反应装置，可以减少废气的产生量，同时节约溶剂的使用。同时反应釜、管道外壳均包裹保温层，降低能耗。蒸汽管道和高温管道采取保温措施，减少热损失。</w:t>
      </w:r>
    </w:p>
    <w:p>
      <w:pPr>
        <w:widowControl/>
        <w:ind w:firstLine="480"/>
        <w:jc w:val="left"/>
        <w:rPr>
          <w:rFonts w:hint="eastAsia" w:cs="Times New Roman"/>
          <w:color w:val="000000"/>
          <w:kern w:val="0"/>
          <w:lang w:bidi="ar"/>
        </w:rPr>
      </w:pPr>
      <w:r>
        <w:rPr>
          <w:rFonts w:hint="eastAsia" w:cs="Times New Roman"/>
          <w:color w:val="000000"/>
          <w:kern w:val="0"/>
          <w:lang w:bidi="ar"/>
        </w:rPr>
        <w:t>④离心分离设备，离心机房离心设备多采用环保型二合一离心过滤设备，进料口与反应釜通过管道连接利用重力或正压进料，离心过程废气通过离心设备配套集气口进行有组织收集，少量无组织废气采用单独的密闭房间放置，通过一端风机连接负压抽风进行废气收集，收集后进入配套废气处理装置处理后达标排放，离心结束后，固体物料通过刮刀进入密闭料仓，然后通过链式气流输送管道进入下一步反应装置或烘干设备。此外，对离心间等主要无组织产生点设置集气装置，尾气经进一步处理后达标排放，减少无组织排放。</w:t>
      </w:r>
    </w:p>
    <w:p>
      <w:pPr>
        <w:widowControl/>
        <w:ind w:firstLine="480"/>
        <w:jc w:val="left"/>
        <w:rPr>
          <w:rFonts w:hint="eastAsia" w:cs="Times New Roman"/>
          <w:color w:val="000000"/>
          <w:kern w:val="0"/>
          <w:lang w:bidi="ar"/>
        </w:rPr>
      </w:pPr>
      <w:r>
        <w:rPr>
          <w:rFonts w:hint="eastAsia" w:cs="Times New Roman"/>
          <w:color w:val="000000"/>
          <w:kern w:val="0"/>
          <w:lang w:bidi="ar"/>
        </w:rPr>
        <w:t>⑤分装物料的投加采用密闭固体投料器的给料方式，减少无组织废气的排放。</w:t>
      </w:r>
    </w:p>
    <w:p>
      <w:pPr>
        <w:widowControl/>
        <w:ind w:firstLine="480"/>
        <w:jc w:val="left"/>
        <w:rPr>
          <w:rFonts w:hint="eastAsia" w:cs="Times New Roman"/>
          <w:color w:val="000000"/>
          <w:kern w:val="0"/>
          <w:lang w:bidi="ar"/>
        </w:rPr>
      </w:pPr>
      <w:r>
        <w:rPr>
          <w:rFonts w:hint="eastAsia" w:cs="Times New Roman"/>
          <w:color w:val="000000"/>
          <w:kern w:val="0"/>
          <w:lang w:bidi="ar"/>
        </w:rPr>
        <w:t>⑥项目原料输入，产品输出都采用全封闭式，生产装置区采取微负压抽风装置，</w:t>
      </w:r>
    </w:p>
    <w:p>
      <w:pPr>
        <w:widowControl/>
        <w:ind w:firstLine="480"/>
        <w:jc w:val="left"/>
        <w:rPr>
          <w:rFonts w:hint="eastAsia" w:cs="Times New Roman"/>
          <w:color w:val="000000"/>
          <w:kern w:val="0"/>
          <w:lang w:bidi="ar"/>
        </w:rPr>
      </w:pPr>
      <w:r>
        <w:rPr>
          <w:rFonts w:hint="eastAsia" w:cs="Times New Roman"/>
          <w:color w:val="000000"/>
          <w:kern w:val="0"/>
          <w:lang w:bidi="ar"/>
        </w:rPr>
        <w:t>各类中间罐、周转罐呼吸阀均与废气处理装置连接，</w:t>
      </w:r>
      <w:r>
        <w:rPr>
          <w:rFonts w:hint="eastAsia" w:cs="Times New Roman"/>
          <w:color w:val="000000"/>
          <w:kern w:val="0"/>
          <w:lang w:eastAsia="zh-CN" w:bidi="ar"/>
        </w:rPr>
        <w:t>有效地减少了</w:t>
      </w:r>
      <w:r>
        <w:rPr>
          <w:rFonts w:hint="eastAsia" w:cs="Times New Roman"/>
          <w:color w:val="000000"/>
          <w:kern w:val="0"/>
          <w:lang w:bidi="ar"/>
        </w:rPr>
        <w:t>项目的废气无组织排放。</w:t>
      </w:r>
    </w:p>
    <w:p>
      <w:pPr>
        <w:widowControl/>
        <w:ind w:firstLine="480"/>
        <w:jc w:val="left"/>
        <w:rPr>
          <w:rFonts w:hint="eastAsia" w:cs="Times New Roman"/>
          <w:color w:val="000000"/>
          <w:kern w:val="0"/>
          <w:lang w:bidi="ar"/>
        </w:rPr>
      </w:pPr>
      <w:r>
        <w:rPr>
          <w:rFonts w:hint="eastAsia" w:ascii="宋体" w:hAnsi="宋体" w:eastAsia="宋体" w:cs="宋体"/>
          <w:color w:val="000000"/>
          <w:kern w:val="0"/>
          <w:lang w:bidi="ar"/>
        </w:rPr>
        <w:t>⑦</w:t>
      </w:r>
      <w:r>
        <w:rPr>
          <w:rFonts w:hint="eastAsia" w:cs="Times New Roman"/>
          <w:color w:val="000000"/>
          <w:kern w:val="0"/>
          <w:lang w:bidi="ar"/>
        </w:rPr>
        <w:t>本项目产品生产中的关键设备，均采用DCS控制系统，对主要工艺过程进行集中控制和监测，其他工艺采用集中显示和就地检测相结合，配套有毒有害气体报警装置，易燃气体自动检测报警系统。DCS控制技术采用前馈系统、壁纸系统等控制进料、贮存、温度、压力和时间等指标，从而实现自动控制或程序控制，并将控制系统通过上层管理系统PIMS控制局域网络平台，实现生产数据共享及远程控制。本套装置设置了紧急停车系统（SIS、ESD），当出现影响安全的状况时，紧急停车系统自动实现停车，保证生产安全。设置GDS气体报警系统，检测装置中的可燃、有毒气体泄漏情况，有</w:t>
      </w:r>
      <w:r>
        <w:rPr>
          <w:rFonts w:hint="eastAsia" w:cs="Times New Roman"/>
          <w:color w:val="000000"/>
          <w:kern w:val="0"/>
          <w:lang w:eastAsia="zh-CN" w:bidi="ar"/>
        </w:rPr>
        <w:t>需要连锁</w:t>
      </w:r>
      <w:r>
        <w:rPr>
          <w:rFonts w:hint="eastAsia" w:cs="Times New Roman"/>
          <w:color w:val="000000"/>
          <w:kern w:val="0"/>
          <w:lang w:bidi="ar"/>
        </w:rPr>
        <w:t>的并进行联锁。</w:t>
      </w:r>
    </w:p>
    <w:bookmarkEnd w:id="282"/>
    <w:p>
      <w:pPr>
        <w:widowControl/>
        <w:ind w:firstLine="480"/>
        <w:jc w:val="left"/>
        <w:rPr>
          <w:rFonts w:cs="Times New Roman"/>
          <w:color w:val="000000"/>
          <w:kern w:val="0"/>
          <w:lang w:bidi="ar"/>
        </w:rPr>
      </w:pPr>
      <w:bookmarkStart w:id="283" w:name="bookmark1106"/>
      <w:r>
        <w:rPr>
          <w:rFonts w:hint="eastAsia" w:cs="Times New Roman"/>
          <w:color w:val="000000"/>
          <w:kern w:val="0"/>
          <w:lang w:bidi="ar"/>
        </w:rPr>
        <w:t>4</w:t>
      </w:r>
      <w:bookmarkEnd w:id="283"/>
      <w:r>
        <w:rPr>
          <w:rFonts w:hint="eastAsia" w:cs="Times New Roman"/>
          <w:color w:val="000000"/>
          <w:kern w:val="0"/>
          <w:lang w:bidi="ar"/>
        </w:rPr>
        <w:t>、产品先进性分析</w:t>
      </w:r>
    </w:p>
    <w:p>
      <w:pPr>
        <w:widowControl/>
        <w:ind w:firstLine="480"/>
        <w:jc w:val="left"/>
        <w:rPr>
          <w:rFonts w:cs="Times New Roman"/>
          <w:color w:val="000000"/>
          <w:kern w:val="0"/>
          <w:lang w:bidi="ar"/>
        </w:rPr>
      </w:pPr>
      <w:r>
        <w:rPr>
          <w:rFonts w:hint="eastAsia" w:cs="Times New Roman"/>
          <w:color w:val="000000"/>
          <w:kern w:val="0"/>
          <w:lang w:bidi="ar"/>
        </w:rPr>
        <w:t>本项目产品可就地供给附近企业，符合国家的宏观产业政策，促进平顶山尼龙新材料产业集聚区的可持续发展和产业链条延伸。</w:t>
      </w:r>
    </w:p>
    <w:p>
      <w:pPr>
        <w:widowControl/>
        <w:ind w:firstLine="480"/>
        <w:jc w:val="both"/>
        <w:rPr>
          <w:rFonts w:cs="Times New Roman"/>
          <w:color w:val="000000"/>
          <w:kern w:val="0"/>
          <w:lang w:bidi="ar"/>
        </w:rPr>
      </w:pPr>
      <w:bookmarkStart w:id="284" w:name="bookmark1107"/>
      <w:r>
        <w:rPr>
          <w:rFonts w:hint="eastAsia" w:cs="Times New Roman"/>
          <w:color w:val="000000"/>
          <w:kern w:val="0"/>
          <w:lang w:bidi="ar"/>
        </w:rPr>
        <w:t>5</w:t>
      </w:r>
      <w:bookmarkEnd w:id="284"/>
      <w:r>
        <w:rPr>
          <w:rFonts w:hint="eastAsia" w:cs="Times New Roman"/>
          <w:color w:val="000000"/>
          <w:kern w:val="0"/>
          <w:lang w:bidi="ar"/>
        </w:rPr>
        <w:t>、资源能源利用</w:t>
      </w:r>
    </w:p>
    <w:p>
      <w:pPr>
        <w:widowControl/>
        <w:ind w:firstLine="480"/>
        <w:jc w:val="both"/>
        <w:rPr>
          <w:rFonts w:cs="Times New Roman"/>
          <w:color w:val="000000"/>
          <w:kern w:val="0"/>
          <w:lang w:bidi="ar"/>
        </w:rPr>
      </w:pPr>
      <w:r>
        <w:rPr>
          <w:rFonts w:hint="eastAsia" w:cs="Times New Roman"/>
          <w:color w:val="000000"/>
          <w:kern w:val="0"/>
          <w:lang w:bidi="ar"/>
        </w:rPr>
        <w:t>本项目在生产过程中消耗电能、水，不消耗煤等高污染燃料，使用能源清洁。同时对工艺系统采取节能措施：</w:t>
      </w:r>
    </w:p>
    <w:p>
      <w:pPr>
        <w:widowControl/>
        <w:ind w:firstLine="480"/>
        <w:jc w:val="both"/>
        <w:rPr>
          <w:rFonts w:cs="Times New Roman"/>
          <w:color w:val="000000"/>
          <w:kern w:val="0"/>
          <w:lang w:bidi="ar"/>
        </w:rPr>
      </w:pPr>
      <w:bookmarkStart w:id="285" w:name="bookmark1108"/>
      <w:r>
        <w:rPr>
          <w:rFonts w:hint="eastAsia" w:cs="Times New Roman"/>
          <w:color w:val="000000"/>
          <w:kern w:val="0"/>
          <w:lang w:bidi="ar"/>
        </w:rPr>
        <w:t>（</w:t>
      </w:r>
      <w:bookmarkEnd w:id="285"/>
      <w:r>
        <w:rPr>
          <w:rFonts w:hint="eastAsia" w:cs="Times New Roman"/>
          <w:color w:val="000000"/>
          <w:kern w:val="0"/>
          <w:lang w:bidi="ar"/>
        </w:rPr>
        <w:t>1）采用先进节能的工艺技术，重视能量的综合利用，提高可用能的综合利用率，减少能源对环境的污染，降低产品成本，同时增加产品的市场竞争能力。</w:t>
      </w:r>
    </w:p>
    <w:p>
      <w:pPr>
        <w:widowControl/>
        <w:ind w:firstLine="480"/>
        <w:jc w:val="both"/>
        <w:rPr>
          <w:rFonts w:cs="Times New Roman"/>
          <w:color w:val="000000"/>
          <w:kern w:val="0"/>
          <w:lang w:bidi="ar"/>
        </w:rPr>
      </w:pPr>
      <w:bookmarkStart w:id="286" w:name="bookmark1109"/>
      <w:r>
        <w:rPr>
          <w:rFonts w:hint="eastAsia" w:cs="Times New Roman"/>
          <w:color w:val="000000"/>
          <w:kern w:val="0"/>
          <w:lang w:bidi="ar"/>
        </w:rPr>
        <w:t>（</w:t>
      </w:r>
      <w:bookmarkEnd w:id="286"/>
      <w:r>
        <w:rPr>
          <w:rFonts w:hint="eastAsia" w:cs="Times New Roman"/>
          <w:color w:val="000000"/>
          <w:kern w:val="0"/>
          <w:lang w:bidi="ar"/>
        </w:rPr>
        <w:t>2）选用节能效果好的工艺设备和装置以及国家推荐的新型节能机电产品，减少无功消耗，提高效率，降低电耗。</w:t>
      </w:r>
    </w:p>
    <w:p>
      <w:pPr>
        <w:widowControl/>
        <w:ind w:firstLine="480"/>
        <w:jc w:val="both"/>
        <w:rPr>
          <w:rFonts w:cs="Times New Roman"/>
          <w:color w:val="000000"/>
          <w:kern w:val="0"/>
          <w:lang w:bidi="ar"/>
        </w:rPr>
      </w:pPr>
      <w:bookmarkStart w:id="287" w:name="bookmark1110"/>
      <w:r>
        <w:rPr>
          <w:rFonts w:hint="eastAsia" w:cs="Times New Roman"/>
          <w:color w:val="000000"/>
          <w:kern w:val="0"/>
          <w:lang w:bidi="ar"/>
        </w:rPr>
        <w:t>（</w:t>
      </w:r>
      <w:bookmarkEnd w:id="287"/>
      <w:r>
        <w:rPr>
          <w:rFonts w:hint="eastAsia" w:cs="Times New Roman"/>
          <w:color w:val="000000"/>
          <w:kern w:val="0"/>
          <w:lang w:bidi="ar"/>
        </w:rPr>
        <w:t>3）安装冷凝水回收装置，对蒸汽进行冷凝回收，回收的冷凝水送纯水站，循环利用，节约水资源。</w:t>
      </w:r>
    </w:p>
    <w:p>
      <w:pPr>
        <w:widowControl/>
        <w:ind w:firstLine="480"/>
        <w:jc w:val="both"/>
        <w:rPr>
          <w:rFonts w:cs="Times New Roman"/>
          <w:color w:val="000000"/>
          <w:kern w:val="0"/>
          <w:lang w:bidi="ar"/>
        </w:rPr>
      </w:pPr>
      <w:bookmarkStart w:id="288" w:name="bookmark1111"/>
      <w:r>
        <w:rPr>
          <w:rFonts w:hint="eastAsia" w:cs="Times New Roman"/>
          <w:color w:val="000000"/>
          <w:kern w:val="0"/>
          <w:lang w:bidi="ar"/>
        </w:rPr>
        <w:t>（</w:t>
      </w:r>
      <w:bookmarkEnd w:id="288"/>
      <w:r>
        <w:rPr>
          <w:rFonts w:hint="eastAsia" w:cs="Times New Roman"/>
          <w:color w:val="000000"/>
          <w:kern w:val="0"/>
          <w:lang w:bidi="ar"/>
        </w:rPr>
        <w:t>4）选用国家推荐的高效率的机泵，合理选用功率、流量。</w:t>
      </w:r>
    </w:p>
    <w:p>
      <w:pPr>
        <w:widowControl/>
        <w:ind w:firstLine="480"/>
        <w:jc w:val="both"/>
        <w:rPr>
          <w:rFonts w:cs="Times New Roman"/>
          <w:color w:val="000000"/>
          <w:kern w:val="0"/>
          <w:lang w:bidi="ar"/>
        </w:rPr>
      </w:pPr>
      <w:bookmarkStart w:id="289" w:name="bookmark1112"/>
      <w:r>
        <w:rPr>
          <w:rFonts w:hint="eastAsia" w:cs="Times New Roman"/>
          <w:color w:val="000000"/>
          <w:kern w:val="0"/>
          <w:lang w:bidi="ar"/>
        </w:rPr>
        <w:t>（</w:t>
      </w:r>
      <w:bookmarkEnd w:id="289"/>
      <w:r>
        <w:rPr>
          <w:rFonts w:hint="eastAsia" w:cs="Times New Roman"/>
          <w:color w:val="000000"/>
          <w:kern w:val="0"/>
          <w:lang w:bidi="ar"/>
        </w:rPr>
        <w:t>5）在满足工艺生产的前提下，设备布置采用集成化布置方式，缩短管线，减少运输距离，节约能源。</w:t>
      </w:r>
    </w:p>
    <w:p>
      <w:pPr>
        <w:widowControl/>
        <w:ind w:firstLine="480"/>
        <w:jc w:val="both"/>
        <w:rPr>
          <w:rFonts w:cs="Times New Roman"/>
          <w:color w:val="000000"/>
          <w:kern w:val="0"/>
          <w:lang w:bidi="ar"/>
        </w:rPr>
      </w:pPr>
      <w:bookmarkStart w:id="290" w:name="bookmark1113"/>
      <w:r>
        <w:rPr>
          <w:rFonts w:hint="eastAsia" w:cs="Times New Roman"/>
          <w:color w:val="000000"/>
          <w:kern w:val="0"/>
          <w:lang w:bidi="ar"/>
        </w:rPr>
        <w:t>（</w:t>
      </w:r>
      <w:bookmarkEnd w:id="290"/>
      <w:r>
        <w:rPr>
          <w:rFonts w:hint="eastAsia" w:cs="Times New Roman"/>
          <w:color w:val="000000"/>
          <w:kern w:val="0"/>
          <w:lang w:bidi="ar"/>
        </w:rPr>
        <w:t>6）工艺设计注意设备间连接就近和设备配置利用位差，减少物料输送能耗。</w:t>
      </w:r>
    </w:p>
    <w:p>
      <w:pPr>
        <w:widowControl/>
        <w:ind w:firstLine="480"/>
        <w:jc w:val="both"/>
        <w:rPr>
          <w:rFonts w:cs="Times New Roman"/>
          <w:color w:val="000000"/>
          <w:kern w:val="0"/>
          <w:lang w:bidi="ar"/>
        </w:rPr>
      </w:pPr>
      <w:bookmarkStart w:id="291" w:name="bookmark1114"/>
      <w:r>
        <w:rPr>
          <w:rFonts w:hint="eastAsia" w:cs="Times New Roman"/>
          <w:color w:val="000000"/>
          <w:kern w:val="0"/>
          <w:lang w:bidi="ar"/>
        </w:rPr>
        <w:t>（</w:t>
      </w:r>
      <w:bookmarkEnd w:id="291"/>
      <w:r>
        <w:rPr>
          <w:rFonts w:hint="eastAsia" w:cs="Times New Roman"/>
          <w:color w:val="000000"/>
          <w:kern w:val="0"/>
          <w:lang w:bidi="ar"/>
        </w:rPr>
        <w:t>7）采用高性能的隔热材料对设备和管道进行保温隔热，减少能量损失，并建设余热锅炉，回收热量。</w:t>
      </w:r>
    </w:p>
    <w:p>
      <w:pPr>
        <w:widowControl/>
        <w:ind w:firstLine="480"/>
        <w:jc w:val="both"/>
        <w:rPr>
          <w:rFonts w:cs="Times New Roman"/>
          <w:color w:val="000000"/>
          <w:kern w:val="0"/>
          <w:lang w:bidi="ar"/>
        </w:rPr>
      </w:pPr>
      <w:bookmarkStart w:id="292" w:name="bookmark1115"/>
      <w:r>
        <w:rPr>
          <w:rFonts w:hint="eastAsia" w:cs="Times New Roman"/>
          <w:color w:val="000000"/>
          <w:kern w:val="0"/>
          <w:lang w:bidi="ar"/>
        </w:rPr>
        <w:t>6</w:t>
      </w:r>
      <w:bookmarkEnd w:id="292"/>
      <w:r>
        <w:rPr>
          <w:rFonts w:hint="eastAsia" w:cs="Times New Roman"/>
          <w:color w:val="000000"/>
          <w:kern w:val="0"/>
          <w:lang w:bidi="ar"/>
        </w:rPr>
        <w:t>、污染物产生指标</w:t>
      </w:r>
    </w:p>
    <w:p>
      <w:pPr>
        <w:widowControl/>
        <w:ind w:firstLine="480"/>
        <w:jc w:val="both"/>
        <w:rPr>
          <w:rFonts w:cs="Times New Roman"/>
          <w:color w:val="000000"/>
          <w:kern w:val="0"/>
          <w:u w:val="single"/>
          <w:lang w:bidi="ar"/>
        </w:rPr>
      </w:pPr>
      <w:bookmarkStart w:id="293" w:name="bookmark1116"/>
      <w:r>
        <w:rPr>
          <w:rFonts w:hint="eastAsia" w:cs="Times New Roman"/>
          <w:color w:val="000000"/>
          <w:kern w:val="0"/>
          <w:u w:val="single"/>
          <w:lang w:bidi="ar"/>
        </w:rPr>
        <w:t>（</w:t>
      </w:r>
      <w:bookmarkEnd w:id="293"/>
      <w:r>
        <w:rPr>
          <w:rFonts w:hint="eastAsia" w:cs="Times New Roman"/>
          <w:color w:val="000000"/>
          <w:kern w:val="0"/>
          <w:u w:val="single"/>
          <w:lang w:bidi="ar"/>
        </w:rPr>
        <w:t>1）废气污染物排放清洁性分析</w:t>
      </w:r>
    </w:p>
    <w:p>
      <w:pPr>
        <w:widowControl/>
        <w:ind w:firstLine="480"/>
        <w:jc w:val="both"/>
        <w:rPr>
          <w:rFonts w:cs="Times New Roman"/>
          <w:color w:val="000000"/>
          <w:kern w:val="0"/>
          <w:u w:val="single"/>
          <w:lang w:bidi="ar"/>
        </w:rPr>
      </w:pPr>
      <w:r>
        <w:rPr>
          <w:rFonts w:hint="eastAsia" w:cs="Times New Roman"/>
          <w:color w:val="000000"/>
          <w:kern w:val="0"/>
          <w:u w:val="single"/>
          <w:lang w:bidi="ar"/>
        </w:rPr>
        <w:t>根据各生产废气特点通过归类及污染源的合并处理，优化了环保装置的配备，各类废气均能实现达标排放，符合清洁生产理念。</w:t>
      </w:r>
    </w:p>
    <w:p>
      <w:pPr>
        <w:widowControl/>
        <w:ind w:firstLine="480"/>
        <w:jc w:val="both"/>
        <w:rPr>
          <w:rFonts w:cs="Times New Roman"/>
          <w:color w:val="000000"/>
          <w:kern w:val="0"/>
          <w:u w:val="single"/>
          <w:lang w:bidi="ar"/>
        </w:rPr>
      </w:pPr>
      <w:r>
        <w:rPr>
          <w:rFonts w:hint="eastAsia" w:cs="Times New Roman"/>
          <w:color w:val="000000"/>
          <w:kern w:val="0"/>
          <w:u w:val="single"/>
          <w:lang w:bidi="ar"/>
        </w:rPr>
        <w:t>本项目生产过程中根据产品工艺特点，对产品工艺废气采用碱液吸收塔+催化燃烧装置处理；对颗粒工艺废气采用袋式除尘器处理，保证各类废气达标排放，减少污染物排放量。</w:t>
      </w:r>
    </w:p>
    <w:p>
      <w:pPr>
        <w:widowControl/>
        <w:ind w:firstLine="480"/>
        <w:jc w:val="both"/>
        <w:rPr>
          <w:rFonts w:cs="Times New Roman"/>
          <w:color w:val="000000"/>
          <w:kern w:val="0"/>
          <w:u w:val="single"/>
          <w:lang w:bidi="ar"/>
        </w:rPr>
      </w:pPr>
      <w:bookmarkStart w:id="294" w:name="bookmark1117"/>
      <w:r>
        <w:rPr>
          <w:rFonts w:hint="eastAsia" w:cs="Times New Roman"/>
          <w:color w:val="000000"/>
          <w:kern w:val="0"/>
          <w:u w:val="single"/>
          <w:lang w:bidi="ar"/>
        </w:rPr>
        <w:t>（</w:t>
      </w:r>
      <w:bookmarkEnd w:id="294"/>
      <w:r>
        <w:rPr>
          <w:rFonts w:hint="eastAsia" w:cs="Times New Roman"/>
          <w:color w:val="000000"/>
          <w:kern w:val="0"/>
          <w:u w:val="single"/>
          <w:lang w:bidi="ar"/>
        </w:rPr>
        <w:t>2）严格控制各项生产参数，精准计量投料，提高生产转化率。工艺过程采用密闭设备、密闭储罐储存物料等，加强生产期间VOCs排放源的定期泄漏检测，收集的废气送相应废气处理装置进行处理，最大程度降低无组织废气的排放。</w:t>
      </w:r>
    </w:p>
    <w:p>
      <w:pPr>
        <w:widowControl/>
        <w:ind w:firstLine="480"/>
        <w:jc w:val="both"/>
        <w:rPr>
          <w:rFonts w:cs="Times New Roman"/>
          <w:color w:val="000000"/>
          <w:kern w:val="0"/>
          <w:u w:val="single"/>
          <w:lang w:bidi="ar"/>
        </w:rPr>
      </w:pPr>
      <w:bookmarkStart w:id="295" w:name="bookmark1119"/>
      <w:r>
        <w:rPr>
          <w:rFonts w:hint="eastAsia" w:cs="Times New Roman"/>
          <w:color w:val="000000"/>
          <w:kern w:val="0"/>
          <w:u w:val="single"/>
          <w:lang w:bidi="ar"/>
        </w:rPr>
        <w:t>（</w:t>
      </w:r>
      <w:bookmarkEnd w:id="295"/>
      <w:r>
        <w:rPr>
          <w:rFonts w:hint="eastAsia" w:cs="Times New Roman"/>
          <w:color w:val="000000"/>
          <w:kern w:val="0"/>
          <w:u w:val="single"/>
          <w:lang w:bidi="ar"/>
        </w:rPr>
        <w:t>3）本项目厂区自建废水处理站1座，并设置有工艺废水预处理系统，保证出水达标排放。</w:t>
      </w:r>
    </w:p>
    <w:p>
      <w:pPr>
        <w:widowControl/>
        <w:ind w:firstLine="480"/>
        <w:jc w:val="both"/>
        <w:rPr>
          <w:rFonts w:cs="Times New Roman"/>
          <w:color w:val="000000"/>
          <w:kern w:val="0"/>
          <w:lang w:bidi="ar"/>
        </w:rPr>
      </w:pPr>
      <w:bookmarkStart w:id="296" w:name="bookmark1120"/>
      <w:r>
        <w:rPr>
          <w:rFonts w:hint="eastAsia" w:cs="Times New Roman"/>
          <w:color w:val="000000"/>
          <w:kern w:val="0"/>
          <w:lang w:bidi="ar"/>
        </w:rPr>
        <w:t>7</w:t>
      </w:r>
      <w:bookmarkEnd w:id="296"/>
      <w:r>
        <w:rPr>
          <w:rFonts w:hint="eastAsia" w:cs="Times New Roman"/>
          <w:color w:val="000000"/>
          <w:kern w:val="0"/>
          <w:lang w:bidi="ar"/>
        </w:rPr>
        <w:t>、生产管理体系先进性分析</w:t>
      </w:r>
    </w:p>
    <w:p>
      <w:pPr>
        <w:widowControl/>
        <w:ind w:firstLine="480"/>
        <w:jc w:val="both"/>
        <w:rPr>
          <w:rFonts w:cs="Times New Roman"/>
          <w:color w:val="000000"/>
          <w:kern w:val="0"/>
          <w:lang w:bidi="ar"/>
        </w:rPr>
      </w:pPr>
      <w:bookmarkStart w:id="297" w:name="bookmark1121"/>
      <w:r>
        <w:rPr>
          <w:rFonts w:hint="eastAsia" w:cs="Times New Roman"/>
          <w:color w:val="000000"/>
          <w:kern w:val="0"/>
          <w:lang w:bidi="ar"/>
        </w:rPr>
        <w:t>（</w:t>
      </w:r>
      <w:bookmarkEnd w:id="297"/>
      <w:r>
        <w:rPr>
          <w:rFonts w:hint="eastAsia" w:cs="Times New Roman"/>
          <w:color w:val="000000"/>
          <w:kern w:val="0"/>
          <w:lang w:bidi="ar"/>
        </w:rPr>
        <w:t>1）制度保证措施</w:t>
      </w:r>
    </w:p>
    <w:p>
      <w:pPr>
        <w:widowControl/>
        <w:ind w:firstLine="480"/>
        <w:jc w:val="both"/>
        <w:rPr>
          <w:rFonts w:cs="Times New Roman"/>
          <w:color w:val="000000"/>
          <w:kern w:val="0"/>
          <w:lang w:bidi="ar"/>
        </w:rPr>
      </w:pPr>
      <w:r>
        <w:rPr>
          <w:rFonts w:hint="eastAsia" w:cs="Times New Roman"/>
          <w:color w:val="000000"/>
          <w:kern w:val="0"/>
          <w:lang w:bidi="ar"/>
        </w:rPr>
        <w:t>企业管理措施是推行清洁生产的重要手段。有效的企业管理措施能减少污染物的排放，增加产品的收率并使生产成本大为降低。</w:t>
      </w:r>
    </w:p>
    <w:p>
      <w:pPr>
        <w:widowControl/>
        <w:ind w:firstLine="480"/>
        <w:jc w:val="both"/>
        <w:rPr>
          <w:rFonts w:cs="Times New Roman"/>
          <w:color w:val="000000"/>
          <w:kern w:val="0"/>
          <w:lang w:bidi="ar"/>
        </w:rPr>
      </w:pPr>
      <w:bookmarkStart w:id="298" w:name="bookmark1122"/>
      <w:r>
        <w:rPr>
          <w:rFonts w:hint="eastAsia" w:cs="Times New Roman"/>
          <w:color w:val="000000"/>
          <w:kern w:val="0"/>
          <w:lang w:bidi="ar"/>
        </w:rPr>
        <w:t>（</w:t>
      </w:r>
      <w:bookmarkEnd w:id="298"/>
      <w:r>
        <w:rPr>
          <w:rFonts w:hint="eastAsia" w:cs="Times New Roman"/>
          <w:color w:val="000000"/>
          <w:kern w:val="0"/>
          <w:lang w:bidi="ar"/>
        </w:rPr>
        <w:t>2）工艺与设备管理措施</w:t>
      </w:r>
    </w:p>
    <w:p>
      <w:pPr>
        <w:widowControl/>
        <w:ind w:firstLine="480"/>
        <w:jc w:val="both"/>
        <w:rPr>
          <w:rFonts w:cs="Times New Roman"/>
          <w:color w:val="000000"/>
          <w:kern w:val="0"/>
          <w:lang w:bidi="ar"/>
        </w:rPr>
      </w:pPr>
      <w:r>
        <w:rPr>
          <w:rFonts w:hint="eastAsia" w:cs="Times New Roman"/>
          <w:color w:val="000000"/>
          <w:kern w:val="0"/>
          <w:lang w:bidi="ar"/>
        </w:rPr>
        <w:t>工艺管理措施包括推行和开发清洁生产工艺，制定生产工艺操作规程，确定生产过程工艺参数等。推行和开发清洁生产工艺，是清洁生产最重要的一环。设备管理是清洁生产的重要组成部分，包括设备的维修保养、技术革新、挖掘设备的生产潜力等方面。</w:t>
      </w:r>
    </w:p>
    <w:p>
      <w:pPr>
        <w:widowControl/>
        <w:ind w:firstLine="480"/>
        <w:jc w:val="both"/>
        <w:rPr>
          <w:rFonts w:cs="Times New Roman"/>
          <w:color w:val="000000"/>
          <w:kern w:val="0"/>
          <w:lang w:bidi="ar"/>
        </w:rPr>
      </w:pPr>
      <w:bookmarkStart w:id="299" w:name="bookmark1123"/>
      <w:r>
        <w:rPr>
          <w:rFonts w:hint="eastAsia" w:cs="Times New Roman"/>
          <w:color w:val="000000"/>
          <w:kern w:val="0"/>
          <w:lang w:bidi="ar"/>
        </w:rPr>
        <w:t>（</w:t>
      </w:r>
      <w:bookmarkEnd w:id="299"/>
      <w:r>
        <w:rPr>
          <w:rFonts w:hint="eastAsia" w:cs="Times New Roman"/>
          <w:color w:val="000000"/>
          <w:kern w:val="0"/>
          <w:lang w:bidi="ar"/>
        </w:rPr>
        <w:t>3）原辅材料管理措施</w:t>
      </w:r>
    </w:p>
    <w:p>
      <w:pPr>
        <w:widowControl/>
        <w:ind w:firstLine="480"/>
        <w:jc w:val="both"/>
        <w:rPr>
          <w:rFonts w:cs="Times New Roman"/>
          <w:color w:val="000000"/>
          <w:kern w:val="0"/>
          <w:u w:val="single"/>
          <w:lang w:bidi="ar"/>
        </w:rPr>
      </w:pPr>
      <w:r>
        <w:rPr>
          <w:rFonts w:hint="eastAsia" w:cs="Times New Roman"/>
          <w:color w:val="000000"/>
          <w:kern w:val="0"/>
          <w:u w:val="single"/>
          <w:lang w:bidi="ar"/>
        </w:rPr>
        <w:t>原材料管理包括原材料的定额管理、储运管理、包装物管理、废物的回收利用和处置等。</w:t>
      </w:r>
    </w:p>
    <w:p>
      <w:pPr>
        <w:widowControl/>
        <w:ind w:firstLine="480"/>
        <w:jc w:val="both"/>
        <w:rPr>
          <w:rFonts w:cs="Times New Roman"/>
          <w:color w:val="000000"/>
          <w:kern w:val="0"/>
          <w:u w:val="single"/>
          <w:lang w:bidi="ar"/>
        </w:rPr>
      </w:pPr>
      <w:bookmarkStart w:id="300" w:name="bookmark1124"/>
      <w:r>
        <w:rPr>
          <w:rFonts w:hint="eastAsia" w:cs="Times New Roman"/>
          <w:color w:val="000000"/>
          <w:kern w:val="0"/>
          <w:u w:val="single"/>
          <w:lang w:bidi="ar"/>
        </w:rPr>
        <w:t>8</w:t>
      </w:r>
      <w:bookmarkEnd w:id="300"/>
      <w:r>
        <w:rPr>
          <w:rFonts w:hint="eastAsia" w:cs="Times New Roman"/>
          <w:color w:val="000000"/>
          <w:kern w:val="0"/>
          <w:u w:val="single"/>
          <w:lang w:bidi="ar"/>
        </w:rPr>
        <w:t>、清洁生产结论</w:t>
      </w:r>
    </w:p>
    <w:p>
      <w:pPr>
        <w:widowControl/>
        <w:ind w:firstLine="480"/>
        <w:jc w:val="both"/>
        <w:rPr>
          <w:rFonts w:cs="Times New Roman"/>
          <w:color w:val="000000"/>
          <w:kern w:val="0"/>
          <w:u w:val="single"/>
          <w:lang w:bidi="ar"/>
        </w:rPr>
      </w:pPr>
      <w:r>
        <w:rPr>
          <w:rFonts w:hint="eastAsia" w:cs="Times New Roman"/>
          <w:color w:val="000000"/>
          <w:kern w:val="0"/>
          <w:u w:val="single"/>
          <w:lang w:bidi="ar"/>
        </w:rPr>
        <w:t>本项目各装置采取的技术均为国内先进的生产技术，原料和水电气消耗较低，在工艺技术上流程更加简练、设备选型合理，布局紧凑，能量利用更合理，主要污染物得到了有效治理。因此，综合分析本项目清洁生产水平可以达到国内先进水平。</w:t>
      </w:r>
    </w:p>
    <w:p>
      <w:pPr>
        <w:widowControl/>
        <w:ind w:firstLine="480"/>
        <w:jc w:val="both"/>
        <w:rPr>
          <w:rFonts w:cs="Times New Roman"/>
          <w:color w:val="000000"/>
          <w:kern w:val="0"/>
          <w:u w:val="single"/>
          <w:lang w:bidi="ar"/>
        </w:rPr>
      </w:pPr>
      <w:bookmarkStart w:id="301" w:name="bookmark1125"/>
      <w:r>
        <w:rPr>
          <w:rFonts w:hint="eastAsia" w:cs="Times New Roman"/>
          <w:color w:val="000000"/>
          <w:kern w:val="0"/>
          <w:u w:val="single"/>
          <w:lang w:bidi="ar"/>
        </w:rPr>
        <w:t>9</w:t>
      </w:r>
      <w:bookmarkEnd w:id="301"/>
      <w:r>
        <w:rPr>
          <w:rFonts w:hint="eastAsia" w:cs="Times New Roman"/>
          <w:color w:val="000000"/>
          <w:kern w:val="0"/>
          <w:u w:val="single"/>
          <w:lang w:bidi="ar"/>
        </w:rPr>
        <w:t>、进一步推行清洁生产的具体措施</w:t>
      </w:r>
    </w:p>
    <w:p>
      <w:pPr>
        <w:widowControl/>
        <w:ind w:firstLine="480"/>
        <w:jc w:val="both"/>
        <w:rPr>
          <w:rFonts w:cs="Times New Roman"/>
          <w:color w:val="000000"/>
          <w:kern w:val="0"/>
          <w:u w:val="single"/>
          <w:lang w:bidi="ar"/>
        </w:rPr>
      </w:pPr>
      <w:r>
        <w:rPr>
          <w:rFonts w:hint="eastAsia" w:cs="Times New Roman"/>
          <w:color w:val="000000"/>
          <w:kern w:val="0"/>
          <w:u w:val="single"/>
          <w:lang w:bidi="ar"/>
        </w:rPr>
        <w:t>本项目在生产过程中拟采取以下推行清洁生产具体措施：</w:t>
      </w:r>
    </w:p>
    <w:p>
      <w:pPr>
        <w:widowControl/>
        <w:ind w:firstLine="480"/>
        <w:jc w:val="both"/>
        <w:rPr>
          <w:rFonts w:cs="Times New Roman"/>
          <w:color w:val="000000"/>
          <w:kern w:val="0"/>
          <w:u w:val="single"/>
          <w:lang w:bidi="ar"/>
        </w:rPr>
      </w:pPr>
      <w:bookmarkStart w:id="302" w:name="bookmark1126"/>
      <w:r>
        <w:rPr>
          <w:rFonts w:hint="eastAsia" w:cs="Times New Roman"/>
          <w:color w:val="000000"/>
          <w:kern w:val="0"/>
          <w:u w:val="single"/>
          <w:lang w:bidi="ar"/>
        </w:rPr>
        <w:t>（</w:t>
      </w:r>
      <w:bookmarkEnd w:id="302"/>
      <w:r>
        <w:rPr>
          <w:rFonts w:hint="eastAsia" w:cs="Times New Roman"/>
          <w:color w:val="000000"/>
          <w:kern w:val="0"/>
          <w:u w:val="single"/>
          <w:lang w:bidi="ar"/>
        </w:rPr>
        <w:t>1）加强企业管理的制度化、规范化，使企业按照现代化标准管理，进一步提高技术装备水平。</w:t>
      </w:r>
    </w:p>
    <w:p>
      <w:pPr>
        <w:widowControl/>
        <w:ind w:firstLine="480"/>
        <w:jc w:val="both"/>
        <w:rPr>
          <w:rFonts w:cs="Times New Roman"/>
          <w:color w:val="000000"/>
          <w:kern w:val="0"/>
          <w:u w:val="single"/>
          <w:lang w:bidi="ar"/>
        </w:rPr>
      </w:pPr>
      <w:bookmarkStart w:id="303" w:name="bookmark1127"/>
      <w:r>
        <w:rPr>
          <w:rFonts w:hint="eastAsia" w:cs="Times New Roman"/>
          <w:color w:val="000000"/>
          <w:kern w:val="0"/>
          <w:u w:val="single"/>
          <w:lang w:bidi="ar"/>
        </w:rPr>
        <w:t>（</w:t>
      </w:r>
      <w:bookmarkEnd w:id="303"/>
      <w:r>
        <w:rPr>
          <w:rFonts w:hint="eastAsia" w:cs="Times New Roman"/>
          <w:color w:val="000000"/>
          <w:kern w:val="0"/>
          <w:u w:val="single"/>
          <w:lang w:bidi="ar"/>
        </w:rPr>
        <w:t>2）从源头控制污染物排放量，高度重视工艺改进及溶剂替代，健全污染治理措施，主要污染物全部达标排放，最大限度地减轻对环境的污染，为企业持续发展创造条件。</w:t>
      </w:r>
    </w:p>
    <w:p>
      <w:pPr>
        <w:widowControl/>
        <w:ind w:firstLine="480"/>
        <w:jc w:val="left"/>
        <w:rPr>
          <w:rFonts w:cs="Times New Roman"/>
          <w:color w:val="000000"/>
          <w:kern w:val="0"/>
          <w:u w:val="single"/>
          <w:lang w:bidi="ar"/>
        </w:rPr>
      </w:pPr>
      <w:bookmarkStart w:id="304" w:name="bookmark1128"/>
      <w:r>
        <w:rPr>
          <w:rFonts w:hint="eastAsia" w:cs="Times New Roman"/>
          <w:color w:val="000000"/>
          <w:kern w:val="0"/>
          <w:u w:val="single"/>
          <w:lang w:bidi="ar"/>
        </w:rPr>
        <w:t>（</w:t>
      </w:r>
      <w:bookmarkEnd w:id="304"/>
      <w:r>
        <w:rPr>
          <w:rFonts w:hint="eastAsia" w:cs="Times New Roman"/>
          <w:color w:val="000000"/>
          <w:kern w:val="0"/>
          <w:u w:val="single"/>
          <w:lang w:bidi="ar"/>
        </w:rPr>
        <w:t>3）生产管理与环境管理的各项指标与个人经济利益挂钩，建立互相制约机制，调动职工的主动性和自觉性。</w:t>
      </w:r>
    </w:p>
    <w:p>
      <w:pPr>
        <w:widowControl/>
        <w:ind w:firstLine="480"/>
        <w:jc w:val="left"/>
        <w:rPr>
          <w:rFonts w:cs="Times New Roman"/>
          <w:color w:val="000000"/>
          <w:kern w:val="0"/>
          <w:u w:val="single"/>
          <w:lang w:bidi="ar"/>
        </w:rPr>
      </w:pPr>
      <w:bookmarkStart w:id="305" w:name="bookmark1129"/>
      <w:r>
        <w:rPr>
          <w:rFonts w:hint="eastAsia" w:cs="Times New Roman"/>
          <w:color w:val="000000"/>
          <w:kern w:val="0"/>
          <w:u w:val="single"/>
          <w:lang w:bidi="ar"/>
        </w:rPr>
        <w:t>（</w:t>
      </w:r>
      <w:bookmarkEnd w:id="305"/>
      <w:r>
        <w:rPr>
          <w:rFonts w:hint="eastAsia" w:cs="Times New Roman"/>
          <w:color w:val="000000"/>
          <w:kern w:val="0"/>
          <w:u w:val="single"/>
          <w:lang w:bidi="ar"/>
        </w:rPr>
        <w:t>4）加强企业职工清洁生产培训，定期组织清洁生产审核。</w:t>
      </w:r>
    </w:p>
    <w:p>
      <w:pPr>
        <w:pStyle w:val="6"/>
        <w:ind w:firstLine="643"/>
      </w:pPr>
      <w:bookmarkStart w:id="306" w:name="_Toc7908"/>
      <w:r>
        <w:rPr>
          <w:rFonts w:hint="eastAsia"/>
          <w:lang w:val="en-US"/>
        </w:rPr>
        <w:t xml:space="preserve">7.3 </w:t>
      </w:r>
      <w:r>
        <w:t>污染防治措施及环保投资汇总</w:t>
      </w:r>
      <w:bookmarkEnd w:id="240"/>
      <w:bookmarkEnd w:id="241"/>
      <w:bookmarkEnd w:id="242"/>
      <w:bookmarkEnd w:id="243"/>
      <w:bookmarkEnd w:id="244"/>
      <w:bookmarkEnd w:id="245"/>
      <w:bookmarkEnd w:id="246"/>
      <w:bookmarkEnd w:id="306"/>
    </w:p>
    <w:p>
      <w:pPr>
        <w:ind w:firstLine="480"/>
        <w:sectPr>
          <w:pgSz w:w="11906" w:h="16838"/>
          <w:pgMar w:top="1417" w:right="1417" w:bottom="1417" w:left="1417" w:header="737" w:footer="850" w:gutter="0"/>
          <w:pgBorders>
            <w:top w:val="none" w:sz="0" w:space="0"/>
            <w:left w:val="none" w:sz="0" w:space="0"/>
            <w:bottom w:val="none" w:sz="0" w:space="0"/>
            <w:right w:val="none" w:sz="0" w:space="0"/>
          </w:pgBorders>
          <w:cols w:space="425" w:num="1"/>
          <w:docGrid w:type="lines" w:linePitch="312" w:charSpace="0"/>
        </w:sectPr>
      </w:pPr>
      <w:r>
        <w:t>本项目环保总投资</w:t>
      </w:r>
      <w:r>
        <w:rPr>
          <w:rFonts w:hint="eastAsia"/>
          <w:lang w:eastAsia="zh-CN"/>
        </w:rPr>
        <w:t>651</w:t>
      </w:r>
      <w:r>
        <w:t>万元，占总投资</w:t>
      </w:r>
      <w:r>
        <w:rPr>
          <w:rFonts w:hint="eastAsia"/>
        </w:rPr>
        <w:t>20087.21万元</w:t>
      </w:r>
      <w:r>
        <w:t>的</w:t>
      </w:r>
      <w:r>
        <w:rPr>
          <w:rFonts w:hint="eastAsia"/>
          <w:lang w:val="en-US" w:eastAsia="zh-CN"/>
        </w:rPr>
        <w:t>3.24</w:t>
      </w:r>
      <w:r>
        <w:rPr>
          <w:rFonts w:hint="eastAsia"/>
        </w:rPr>
        <w:t>%</w:t>
      </w:r>
      <w:r>
        <w:t>，主要用于废气、废水、固体废物、噪声的治理，资金来源为企业自筹。本项目拟采取的环保措施及投资一览表见表7.</w:t>
      </w:r>
      <w:r>
        <w:rPr>
          <w:rFonts w:hint="eastAsia"/>
        </w:rPr>
        <w:t>3</w:t>
      </w:r>
      <w:r>
        <w:t>-1。</w:t>
      </w:r>
    </w:p>
    <w:p>
      <w:pPr>
        <w:ind w:firstLine="482"/>
        <w:jc w:val="center"/>
        <w:rPr>
          <w:b/>
          <w:bCs/>
        </w:rPr>
      </w:pPr>
      <w:r>
        <w:rPr>
          <w:b/>
          <w:bCs/>
        </w:rPr>
        <w:t>表</w:t>
      </w:r>
      <w:r>
        <w:rPr>
          <w:rFonts w:hint="eastAsia"/>
          <w:b/>
          <w:bCs/>
        </w:rPr>
        <w:t>7.3</w:t>
      </w:r>
      <w:r>
        <w:rPr>
          <w:b/>
          <w:bCs/>
        </w:rPr>
        <w:t>-</w:t>
      </w:r>
      <w:r>
        <w:rPr>
          <w:rFonts w:hint="eastAsia"/>
          <w:b/>
          <w:bCs/>
        </w:rPr>
        <w:t>1</w:t>
      </w:r>
      <w:r>
        <w:rPr>
          <w:b/>
          <w:bCs/>
        </w:rPr>
        <w:t xml:space="preserve">  污染防治措施及环保投资估算表</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8"/>
        <w:gridCol w:w="1293"/>
        <w:gridCol w:w="3406"/>
        <w:gridCol w:w="1620"/>
        <w:gridCol w:w="5400"/>
        <w:gridCol w:w="1250"/>
        <w:gridCol w:w="7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Align w:val="center"/>
          </w:tcPr>
          <w:p>
            <w:pPr>
              <w:pStyle w:val="38"/>
              <w:rPr>
                <w:rFonts w:hint="default"/>
              </w:rPr>
            </w:pPr>
            <w:r>
              <w:t>项目</w:t>
            </w:r>
          </w:p>
        </w:tc>
        <w:tc>
          <w:tcPr>
            <w:tcW w:w="1293" w:type="dxa"/>
            <w:vAlign w:val="center"/>
          </w:tcPr>
          <w:p>
            <w:pPr>
              <w:pStyle w:val="38"/>
              <w:rPr>
                <w:rFonts w:hint="default"/>
              </w:rPr>
            </w:pPr>
            <w:r>
              <w:t>污染物</w:t>
            </w:r>
          </w:p>
        </w:tc>
        <w:tc>
          <w:tcPr>
            <w:tcW w:w="3406" w:type="dxa"/>
            <w:vAlign w:val="center"/>
          </w:tcPr>
          <w:p>
            <w:pPr>
              <w:pStyle w:val="38"/>
              <w:rPr>
                <w:rFonts w:hint="default"/>
              </w:rPr>
            </w:pPr>
            <w:r>
              <w:t>治理设施</w:t>
            </w:r>
          </w:p>
        </w:tc>
        <w:tc>
          <w:tcPr>
            <w:tcW w:w="1620" w:type="dxa"/>
            <w:vAlign w:val="center"/>
          </w:tcPr>
          <w:p>
            <w:pPr>
              <w:pStyle w:val="38"/>
              <w:rPr>
                <w:rFonts w:hint="default"/>
              </w:rPr>
            </w:pPr>
            <w:r>
              <w:t>数量</w:t>
            </w:r>
          </w:p>
        </w:tc>
        <w:tc>
          <w:tcPr>
            <w:tcW w:w="5400" w:type="dxa"/>
            <w:vAlign w:val="center"/>
          </w:tcPr>
          <w:p>
            <w:pPr>
              <w:pStyle w:val="38"/>
              <w:rPr>
                <w:rFonts w:hint="default"/>
                <w:b/>
                <w:bCs/>
              </w:rPr>
            </w:pPr>
            <w:r>
              <w:rPr>
                <w:lang w:bidi="ar"/>
              </w:rPr>
              <w:t>处理效果、执行标准或拟达要求</w:t>
            </w:r>
          </w:p>
        </w:tc>
        <w:tc>
          <w:tcPr>
            <w:tcW w:w="1250" w:type="dxa"/>
            <w:vAlign w:val="center"/>
          </w:tcPr>
          <w:p>
            <w:pPr>
              <w:pStyle w:val="38"/>
              <w:rPr>
                <w:rFonts w:hint="default"/>
              </w:rPr>
            </w:pPr>
            <w:r>
              <w:t>环保投资（万元）</w:t>
            </w:r>
          </w:p>
        </w:tc>
        <w:tc>
          <w:tcPr>
            <w:tcW w:w="753" w:type="dxa"/>
            <w:vMerge w:val="restart"/>
            <w:vAlign w:val="center"/>
          </w:tcPr>
          <w:p>
            <w:pPr>
              <w:widowControl/>
              <w:spacing w:line="240" w:lineRule="auto"/>
              <w:ind w:firstLine="0" w:firstLineChars="0"/>
              <w:jc w:val="center"/>
              <w:rPr>
                <w:color w:val="000000"/>
                <w:sz w:val="21"/>
                <w:szCs w:val="21"/>
                <w:lang w:bidi="ar"/>
              </w:rPr>
            </w:pPr>
            <w:r>
              <w:rPr>
                <w:rFonts w:hint="eastAsia"/>
                <w:color w:val="000000"/>
                <w:sz w:val="21"/>
                <w:szCs w:val="21"/>
                <w:lang w:bidi="ar"/>
              </w:rPr>
              <w:t>完成时间</w:t>
            </w:r>
          </w:p>
          <w:p>
            <w:pPr>
              <w:pStyle w:val="38"/>
              <w:rPr>
                <w:rFonts w:hint="default"/>
              </w:rPr>
            </w:pPr>
            <w:r>
              <w:rPr>
                <w:lang w:bidi="ar"/>
              </w:rPr>
              <w:t>与建设项目同时设计，同时施工，同时投入运行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restart"/>
            <w:vAlign w:val="center"/>
          </w:tcPr>
          <w:p>
            <w:pPr>
              <w:pStyle w:val="38"/>
              <w:rPr>
                <w:rFonts w:hint="default"/>
              </w:rPr>
            </w:pPr>
            <w:r>
              <w:t>废水</w:t>
            </w:r>
          </w:p>
        </w:tc>
        <w:tc>
          <w:tcPr>
            <w:tcW w:w="1293" w:type="dxa"/>
            <w:vAlign w:val="center"/>
          </w:tcPr>
          <w:p>
            <w:pPr>
              <w:pStyle w:val="38"/>
              <w:rPr>
                <w:rFonts w:hint="default"/>
              </w:rPr>
            </w:pPr>
            <w:r>
              <w:t>生活污水</w:t>
            </w:r>
          </w:p>
        </w:tc>
        <w:tc>
          <w:tcPr>
            <w:tcW w:w="3406" w:type="dxa"/>
            <w:vAlign w:val="center"/>
          </w:tcPr>
          <w:p>
            <w:pPr>
              <w:pStyle w:val="38"/>
              <w:rPr>
                <w:rFonts w:hint="default"/>
              </w:rPr>
            </w:pPr>
            <w:r>
              <w:t>化粪池</w:t>
            </w:r>
          </w:p>
        </w:tc>
        <w:tc>
          <w:tcPr>
            <w:tcW w:w="1620" w:type="dxa"/>
            <w:vMerge w:val="restart"/>
            <w:vAlign w:val="center"/>
          </w:tcPr>
          <w:p>
            <w:pPr>
              <w:pStyle w:val="38"/>
              <w:rPr>
                <w:rFonts w:hint="default"/>
              </w:rPr>
            </w:pPr>
            <w:r>
              <w:t>1座，容积80m</w:t>
            </w:r>
            <w:r>
              <w:rPr>
                <w:vertAlign w:val="superscript"/>
              </w:rPr>
              <w:t>3</w:t>
            </w:r>
          </w:p>
        </w:tc>
        <w:tc>
          <w:tcPr>
            <w:tcW w:w="5400" w:type="dxa"/>
            <w:vMerge w:val="restart"/>
            <w:vAlign w:val="center"/>
          </w:tcPr>
          <w:p>
            <w:pPr>
              <w:spacing w:line="360" w:lineRule="exact"/>
              <w:ind w:firstLine="0" w:firstLineChars="0"/>
              <w:jc w:val="center"/>
              <w:rPr>
                <w:rFonts w:ascii="宋体" w:hAnsi="宋体" w:cs="宋体"/>
                <w:color w:val="auto"/>
                <w:sz w:val="21"/>
                <w:szCs w:val="21"/>
                <w:u w:val="single"/>
              </w:rPr>
            </w:pPr>
            <w:r>
              <w:rPr>
                <w:rFonts w:ascii="宋体" w:hAnsi="宋体" w:cs="宋体"/>
                <w:color w:val="auto"/>
                <w:sz w:val="21"/>
                <w:szCs w:val="21"/>
                <w:u w:val="single"/>
              </w:rPr>
              <w:t>《化工行业水污染物间接排放标准》</w:t>
            </w:r>
          </w:p>
          <w:p>
            <w:pPr>
              <w:spacing w:line="360" w:lineRule="exact"/>
              <w:ind w:firstLine="0" w:firstLineChars="0"/>
              <w:jc w:val="center"/>
              <w:rPr>
                <w:rFonts w:ascii="宋体" w:hAnsi="宋体" w:cs="宋体"/>
                <w:color w:val="auto"/>
                <w:sz w:val="21"/>
                <w:szCs w:val="21"/>
                <w:u w:val="single"/>
              </w:rPr>
            </w:pPr>
            <w:r>
              <w:rPr>
                <w:rFonts w:ascii="宋体" w:hAnsi="宋体" w:cs="宋体"/>
                <w:color w:val="auto"/>
                <w:sz w:val="21"/>
                <w:szCs w:val="21"/>
                <w:u w:val="single"/>
              </w:rPr>
              <w:t>（</w:t>
            </w:r>
            <w:r>
              <w:rPr>
                <w:rFonts w:eastAsia="Times New Roman" w:cs="Times New Roman"/>
                <w:color w:val="auto"/>
                <w:sz w:val="21"/>
                <w:szCs w:val="21"/>
                <w:u w:val="single"/>
              </w:rPr>
              <w:t>DB41/1135-2016</w:t>
            </w:r>
            <w:r>
              <w:rPr>
                <w:rFonts w:ascii="宋体" w:hAnsi="宋体" w:cs="宋体"/>
                <w:color w:val="auto"/>
                <w:sz w:val="21"/>
                <w:szCs w:val="21"/>
                <w:u w:val="single"/>
              </w:rPr>
              <w:t>）</w:t>
            </w:r>
            <w:r>
              <w:rPr>
                <w:rFonts w:hint="eastAsia" w:ascii="宋体" w:hAnsi="宋体" w:cs="宋体"/>
                <w:color w:val="auto"/>
                <w:sz w:val="21"/>
                <w:szCs w:val="21"/>
                <w:u w:val="single"/>
              </w:rPr>
              <w:t>、</w:t>
            </w:r>
            <w:r>
              <w:rPr>
                <w:rFonts w:ascii="宋体" w:hAnsi="宋体" w:cs="宋体"/>
                <w:color w:val="auto"/>
                <w:sz w:val="21"/>
                <w:szCs w:val="21"/>
                <w:u w:val="single"/>
              </w:rPr>
              <w:t>《合成树脂工业污染物排放标准》</w:t>
            </w:r>
          </w:p>
          <w:p>
            <w:pPr>
              <w:pStyle w:val="38"/>
              <w:rPr>
                <w:rFonts w:hint="default"/>
                <w:color w:val="FF0000"/>
                <w:u w:val="single"/>
              </w:rPr>
            </w:pPr>
            <w:r>
              <w:rPr>
                <w:rFonts w:ascii="宋体" w:hAnsi="宋体" w:cs="宋体"/>
                <w:color w:val="auto"/>
                <w:u w:val="single"/>
              </w:rPr>
              <w:t>（</w:t>
            </w:r>
            <w:r>
              <w:rPr>
                <w:rFonts w:eastAsia="Times New Roman"/>
                <w:color w:val="auto"/>
                <w:u w:val="single"/>
              </w:rPr>
              <w:t>GB31572-2015</w:t>
            </w:r>
            <w:r>
              <w:rPr>
                <w:rFonts w:ascii="宋体" w:hAnsi="宋体" w:cs="宋体"/>
                <w:color w:val="auto"/>
                <w:u w:val="single"/>
              </w:rPr>
              <w:t>）、平顶山第三污水处理厂收水标准</w:t>
            </w:r>
          </w:p>
        </w:tc>
        <w:tc>
          <w:tcPr>
            <w:tcW w:w="1250" w:type="dxa"/>
            <w:vMerge w:val="restart"/>
            <w:vAlign w:val="center"/>
          </w:tcPr>
          <w:p>
            <w:pPr>
              <w:pStyle w:val="38"/>
              <w:rPr>
                <w:rFonts w:hint="default"/>
              </w:rPr>
            </w:pPr>
            <w:r>
              <w:t>5</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continue"/>
            <w:vAlign w:val="center"/>
          </w:tcPr>
          <w:p>
            <w:pPr>
              <w:pStyle w:val="38"/>
              <w:rPr>
                <w:rFonts w:hint="default"/>
              </w:rPr>
            </w:pPr>
          </w:p>
        </w:tc>
        <w:tc>
          <w:tcPr>
            <w:tcW w:w="1293" w:type="dxa"/>
            <w:vAlign w:val="center"/>
          </w:tcPr>
          <w:p>
            <w:pPr>
              <w:pStyle w:val="38"/>
              <w:rPr>
                <w:rFonts w:hint="default"/>
              </w:rPr>
            </w:pPr>
            <w:r>
              <w:t>餐饮废水</w:t>
            </w:r>
          </w:p>
        </w:tc>
        <w:tc>
          <w:tcPr>
            <w:tcW w:w="3406" w:type="dxa"/>
            <w:vAlign w:val="center"/>
          </w:tcPr>
          <w:p>
            <w:pPr>
              <w:pStyle w:val="38"/>
              <w:rPr>
                <w:rFonts w:hint="default"/>
              </w:rPr>
            </w:pPr>
            <w:r>
              <w:t>隔油池</w:t>
            </w:r>
          </w:p>
        </w:tc>
        <w:tc>
          <w:tcPr>
            <w:tcW w:w="1620" w:type="dxa"/>
            <w:vMerge w:val="continue"/>
            <w:vAlign w:val="center"/>
          </w:tcPr>
          <w:p>
            <w:pPr>
              <w:pStyle w:val="38"/>
              <w:rPr>
                <w:rFonts w:hint="default"/>
              </w:rPr>
            </w:pPr>
          </w:p>
        </w:tc>
        <w:tc>
          <w:tcPr>
            <w:tcW w:w="5400" w:type="dxa"/>
            <w:vMerge w:val="continue"/>
            <w:vAlign w:val="center"/>
          </w:tcPr>
          <w:p>
            <w:pPr>
              <w:pStyle w:val="38"/>
              <w:rPr>
                <w:rFonts w:hint="default"/>
                <w:color w:val="FF0000"/>
                <w:u w:val="single"/>
              </w:rPr>
            </w:pPr>
          </w:p>
        </w:tc>
        <w:tc>
          <w:tcPr>
            <w:tcW w:w="1250" w:type="dxa"/>
            <w:vMerge w:val="continue"/>
            <w:vAlign w:val="center"/>
          </w:tcPr>
          <w:p>
            <w:pPr>
              <w:pStyle w:val="38"/>
              <w:rPr>
                <w:rFonts w:hint="default"/>
              </w:rPr>
            </w:pP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continue"/>
            <w:vAlign w:val="center"/>
          </w:tcPr>
          <w:p>
            <w:pPr>
              <w:pStyle w:val="38"/>
              <w:rPr>
                <w:rFonts w:hint="default"/>
              </w:rPr>
            </w:pPr>
          </w:p>
        </w:tc>
        <w:tc>
          <w:tcPr>
            <w:tcW w:w="1293" w:type="dxa"/>
            <w:vAlign w:val="center"/>
          </w:tcPr>
          <w:p>
            <w:pPr>
              <w:pStyle w:val="38"/>
              <w:rPr>
                <w:rFonts w:hint="default"/>
              </w:rPr>
            </w:pPr>
            <w:r>
              <w:t>生产废水</w:t>
            </w:r>
          </w:p>
        </w:tc>
        <w:tc>
          <w:tcPr>
            <w:tcW w:w="3406" w:type="dxa"/>
            <w:vMerge w:val="restart"/>
            <w:vAlign w:val="center"/>
          </w:tcPr>
          <w:p>
            <w:pPr>
              <w:pStyle w:val="38"/>
              <w:ind w:firstLine="0" w:firstLineChars="0"/>
              <w:rPr>
                <w:rFonts w:hint="eastAsia" w:ascii="Times New Roman" w:hAnsi="Times New Roman" w:eastAsia="宋体" w:cs="Times New Roman"/>
                <w:color w:val="000000"/>
                <w:kern w:val="2"/>
                <w:sz w:val="21"/>
                <w:szCs w:val="21"/>
                <w:lang w:val="en-US" w:eastAsia="zh-CN" w:bidi="ar-SA"/>
              </w:rPr>
            </w:pPr>
            <w:r>
              <w:rPr>
                <w:rFonts w:hint="eastAsia"/>
                <w:u w:val="single"/>
                <w:lang w:eastAsia="zh-CN"/>
              </w:rPr>
              <w:t>厂区内设置1个50t/d污水站，“预曝气调节池+厌氧反应器+水解酸化池+沉淀池</w:t>
            </w:r>
            <w:r>
              <w:rPr>
                <w:rFonts w:hint="eastAsia"/>
                <w:u w:val="single"/>
                <w:lang w:val="en-US" w:eastAsia="zh-CN"/>
              </w:rPr>
              <w:t>”</w:t>
            </w:r>
          </w:p>
        </w:tc>
        <w:tc>
          <w:tcPr>
            <w:tcW w:w="1620" w:type="dxa"/>
            <w:vMerge w:val="restart"/>
            <w:vAlign w:val="center"/>
          </w:tcPr>
          <w:p>
            <w:pPr>
              <w:pStyle w:val="38"/>
              <w:rPr>
                <w:rFonts w:hint="default"/>
              </w:rPr>
            </w:pPr>
            <w:r>
              <w:t>1套，处理能力50m</w:t>
            </w:r>
            <w:r>
              <w:rPr>
                <w:vertAlign w:val="superscript"/>
              </w:rPr>
              <w:t>3</w:t>
            </w:r>
          </w:p>
        </w:tc>
        <w:tc>
          <w:tcPr>
            <w:tcW w:w="5400" w:type="dxa"/>
            <w:vMerge w:val="continue"/>
            <w:vAlign w:val="center"/>
          </w:tcPr>
          <w:p>
            <w:pPr>
              <w:pStyle w:val="38"/>
              <w:rPr>
                <w:rFonts w:hint="default"/>
                <w:color w:val="FF0000"/>
                <w:u w:val="single"/>
              </w:rPr>
            </w:pPr>
          </w:p>
        </w:tc>
        <w:tc>
          <w:tcPr>
            <w:tcW w:w="1250" w:type="dxa"/>
            <w:vMerge w:val="restart"/>
            <w:vAlign w:val="center"/>
          </w:tcPr>
          <w:p>
            <w:pPr>
              <w:pStyle w:val="38"/>
              <w:rPr>
                <w:rFonts w:hint="default" w:eastAsia="宋体"/>
                <w:lang w:val="en-US" w:eastAsia="zh-CN"/>
              </w:rPr>
            </w:pPr>
            <w:r>
              <w:rPr>
                <w:rFonts w:hint="eastAsia"/>
                <w:lang w:val="en-US" w:eastAsia="zh-CN"/>
              </w:rPr>
              <w:t>160</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 w:hRule="atLeast"/>
        </w:trPr>
        <w:tc>
          <w:tcPr>
            <w:tcW w:w="498" w:type="dxa"/>
            <w:vMerge w:val="continue"/>
            <w:vAlign w:val="center"/>
          </w:tcPr>
          <w:p>
            <w:pPr>
              <w:pStyle w:val="38"/>
              <w:rPr>
                <w:rFonts w:hint="default"/>
              </w:rPr>
            </w:pPr>
          </w:p>
        </w:tc>
        <w:tc>
          <w:tcPr>
            <w:tcW w:w="1293" w:type="dxa"/>
            <w:vAlign w:val="center"/>
          </w:tcPr>
          <w:p>
            <w:pPr>
              <w:pStyle w:val="38"/>
              <w:rPr>
                <w:rFonts w:hint="default"/>
              </w:rPr>
            </w:pPr>
            <w:r>
              <w:t>冷却循环水</w:t>
            </w:r>
          </w:p>
        </w:tc>
        <w:tc>
          <w:tcPr>
            <w:tcW w:w="3406" w:type="dxa"/>
            <w:vMerge w:val="continue"/>
            <w:vAlign w:val="center"/>
          </w:tcPr>
          <w:p>
            <w:pPr>
              <w:pStyle w:val="38"/>
              <w:rPr>
                <w:rFonts w:hint="default"/>
              </w:rPr>
            </w:pPr>
          </w:p>
        </w:tc>
        <w:tc>
          <w:tcPr>
            <w:tcW w:w="1620" w:type="dxa"/>
            <w:vMerge w:val="continue"/>
            <w:vAlign w:val="center"/>
          </w:tcPr>
          <w:p>
            <w:pPr>
              <w:pStyle w:val="38"/>
              <w:rPr>
                <w:rFonts w:hint="default"/>
              </w:rPr>
            </w:pPr>
          </w:p>
        </w:tc>
        <w:tc>
          <w:tcPr>
            <w:tcW w:w="5400" w:type="dxa"/>
            <w:vMerge w:val="continue"/>
            <w:vAlign w:val="center"/>
          </w:tcPr>
          <w:p>
            <w:pPr>
              <w:pStyle w:val="38"/>
              <w:rPr>
                <w:rFonts w:hint="default"/>
                <w:color w:val="FF0000"/>
                <w:u w:val="single"/>
              </w:rPr>
            </w:pPr>
          </w:p>
        </w:tc>
        <w:tc>
          <w:tcPr>
            <w:tcW w:w="1250" w:type="dxa"/>
            <w:vMerge w:val="continue"/>
            <w:vAlign w:val="center"/>
          </w:tcPr>
          <w:p>
            <w:pPr>
              <w:pStyle w:val="38"/>
              <w:rPr>
                <w:rFonts w:hint="default"/>
              </w:rPr>
            </w:pP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6" w:hRule="atLeast"/>
        </w:trPr>
        <w:tc>
          <w:tcPr>
            <w:tcW w:w="498" w:type="dxa"/>
            <w:vMerge w:val="continue"/>
            <w:vAlign w:val="center"/>
          </w:tcPr>
          <w:p>
            <w:pPr>
              <w:pStyle w:val="38"/>
              <w:rPr>
                <w:rFonts w:hint="default"/>
              </w:rPr>
            </w:pPr>
          </w:p>
        </w:tc>
        <w:tc>
          <w:tcPr>
            <w:tcW w:w="1293" w:type="dxa"/>
            <w:vAlign w:val="center"/>
          </w:tcPr>
          <w:p>
            <w:pPr>
              <w:pStyle w:val="38"/>
              <w:rPr>
                <w:rFonts w:hint="eastAsia" w:eastAsia="宋体"/>
                <w:lang w:eastAsia="zh-CN"/>
              </w:rPr>
            </w:pPr>
            <w:r>
              <w:rPr>
                <w:rFonts w:hint="eastAsia"/>
                <w:lang w:eastAsia="zh-CN"/>
              </w:rPr>
              <w:t>蒸汽冷凝水</w:t>
            </w:r>
          </w:p>
        </w:tc>
        <w:tc>
          <w:tcPr>
            <w:tcW w:w="3406" w:type="dxa"/>
            <w:vMerge w:val="continue"/>
            <w:vAlign w:val="center"/>
          </w:tcPr>
          <w:p>
            <w:pPr>
              <w:pStyle w:val="38"/>
              <w:rPr>
                <w:rFonts w:hint="default"/>
              </w:rPr>
            </w:pPr>
          </w:p>
        </w:tc>
        <w:tc>
          <w:tcPr>
            <w:tcW w:w="1620" w:type="dxa"/>
            <w:vMerge w:val="continue"/>
            <w:vAlign w:val="center"/>
          </w:tcPr>
          <w:p>
            <w:pPr>
              <w:pStyle w:val="38"/>
              <w:rPr>
                <w:rFonts w:hint="default"/>
              </w:rPr>
            </w:pPr>
          </w:p>
        </w:tc>
        <w:tc>
          <w:tcPr>
            <w:tcW w:w="5400" w:type="dxa"/>
            <w:vMerge w:val="continue"/>
            <w:vAlign w:val="center"/>
          </w:tcPr>
          <w:p>
            <w:pPr>
              <w:pStyle w:val="38"/>
              <w:rPr>
                <w:rFonts w:hint="default"/>
                <w:color w:val="FF0000"/>
                <w:u w:val="single"/>
              </w:rPr>
            </w:pPr>
          </w:p>
        </w:tc>
        <w:tc>
          <w:tcPr>
            <w:tcW w:w="1250" w:type="dxa"/>
            <w:vMerge w:val="continue"/>
            <w:vAlign w:val="center"/>
          </w:tcPr>
          <w:p>
            <w:pPr>
              <w:pStyle w:val="38"/>
              <w:rPr>
                <w:rFonts w:hint="default"/>
              </w:rPr>
            </w:pP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restart"/>
            <w:vAlign w:val="center"/>
          </w:tcPr>
          <w:p>
            <w:pPr>
              <w:pStyle w:val="38"/>
              <w:rPr>
                <w:rFonts w:hint="default"/>
              </w:rPr>
            </w:pPr>
            <w:r>
              <w:t>废气</w:t>
            </w:r>
          </w:p>
        </w:tc>
        <w:tc>
          <w:tcPr>
            <w:tcW w:w="1293" w:type="dxa"/>
            <w:vMerge w:val="restart"/>
            <w:vAlign w:val="center"/>
          </w:tcPr>
          <w:p>
            <w:pPr>
              <w:pStyle w:val="38"/>
              <w:ind w:firstLine="0" w:firstLineChars="0"/>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1~3#车间生产废气</w:t>
            </w:r>
          </w:p>
        </w:tc>
        <w:tc>
          <w:tcPr>
            <w:tcW w:w="3406" w:type="dxa"/>
            <w:vMerge w:val="restart"/>
            <w:vAlign w:val="center"/>
          </w:tcPr>
          <w:p>
            <w:pPr>
              <w:pStyle w:val="38"/>
              <w:rPr>
                <w:rFonts w:hint="default"/>
              </w:rPr>
            </w:pPr>
            <w:r>
              <w:t>硫化废气、上料、密炼和粉碎废气收集后先经袋式除尘器处理，排入1#</w:t>
            </w:r>
            <w:r>
              <w:rPr>
                <w:rFonts w:hint="eastAsia"/>
                <w:lang w:eastAsia="zh-CN"/>
              </w:rPr>
              <w:t>“活性炭吸附箱+RCO废气处理工艺”</w:t>
            </w:r>
            <w:r>
              <w:t>处置后经15</w:t>
            </w:r>
            <w:r>
              <w:rPr>
                <w:rFonts w:hint="eastAsia"/>
                <w:lang w:val="en-US" w:eastAsia="zh-CN"/>
              </w:rPr>
              <w:t>mDA001</w:t>
            </w:r>
            <w:r>
              <w:t>排气筒排放</w:t>
            </w:r>
          </w:p>
        </w:tc>
        <w:tc>
          <w:tcPr>
            <w:tcW w:w="1620" w:type="dxa"/>
            <w:vAlign w:val="center"/>
          </w:tcPr>
          <w:p>
            <w:pPr>
              <w:pStyle w:val="38"/>
              <w:rPr>
                <w:rFonts w:hint="default"/>
              </w:rPr>
            </w:pPr>
            <w:r>
              <w:t>1套</w:t>
            </w:r>
          </w:p>
        </w:tc>
        <w:tc>
          <w:tcPr>
            <w:tcW w:w="5400" w:type="dxa"/>
            <w:vMerge w:val="restart"/>
            <w:vAlign w:val="center"/>
          </w:tcPr>
          <w:p>
            <w:pPr>
              <w:pStyle w:val="38"/>
              <w:rPr>
                <w:rFonts w:hint="default"/>
                <w:color w:val="FF0000"/>
                <w:u w:val="single"/>
              </w:rPr>
            </w:pPr>
            <w:r>
              <w:rPr>
                <w:color w:val="auto"/>
                <w:kern w:val="0"/>
                <w:u w:val="single"/>
                <w:lang w:bidi="ar"/>
              </w:rPr>
              <w:t>《合成树脂工业污染物排放标准》（GB31572-2015）</w:t>
            </w:r>
          </w:p>
        </w:tc>
        <w:tc>
          <w:tcPr>
            <w:tcW w:w="1250" w:type="dxa"/>
            <w:vMerge w:val="restart"/>
            <w:vAlign w:val="center"/>
          </w:tcPr>
          <w:p>
            <w:pPr>
              <w:pStyle w:val="38"/>
              <w:rPr>
                <w:rFonts w:hint="default" w:eastAsia="宋体"/>
                <w:lang w:val="en-US" w:eastAsia="zh-CN"/>
              </w:rPr>
            </w:pPr>
            <w:r>
              <w:rPr>
                <w:rFonts w:hint="eastAsia"/>
                <w:lang w:val="en-US" w:eastAsia="zh-CN"/>
              </w:rPr>
              <w:t>80</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continue"/>
            <w:vAlign w:val="center"/>
          </w:tcPr>
          <w:p>
            <w:pPr>
              <w:pStyle w:val="38"/>
              <w:rPr>
                <w:rFonts w:hint="default"/>
              </w:rPr>
            </w:pPr>
          </w:p>
        </w:tc>
        <w:tc>
          <w:tcPr>
            <w:tcW w:w="1293" w:type="dxa"/>
            <w:vAlign w:val="center"/>
          </w:tcPr>
          <w:p>
            <w:pPr>
              <w:pStyle w:val="38"/>
              <w:ind w:firstLine="0" w:firstLineChars="0"/>
              <w:rPr>
                <w:rFonts w:hint="default"/>
              </w:rPr>
            </w:pPr>
            <w:r>
              <w:rPr>
                <w:rFonts w:hint="eastAsia"/>
                <w:color w:val="000000" w:themeColor="text1"/>
                <w:lang w:val="en-US" w:eastAsia="zh-CN"/>
                <w14:textFill>
                  <w14:solidFill>
                    <w14:schemeClr w14:val="tx1"/>
                  </w14:solidFill>
                </w14:textFill>
              </w:rPr>
              <w:t>5~6#车间生产废气</w:t>
            </w:r>
          </w:p>
        </w:tc>
        <w:tc>
          <w:tcPr>
            <w:tcW w:w="3406" w:type="dxa"/>
            <w:vAlign w:val="center"/>
          </w:tcPr>
          <w:p>
            <w:pPr>
              <w:pStyle w:val="38"/>
              <w:rPr>
                <w:rFonts w:hint="default"/>
              </w:rPr>
            </w:pPr>
            <w:r>
              <w:t>水喷淋洗涤塔+干式分离器+活性炭吸附箱+RCO废气处理工艺+</w:t>
            </w:r>
            <w:r>
              <w:rPr>
                <w:rFonts w:hint="eastAsia"/>
                <w:lang w:val="en-US" w:eastAsia="zh-CN"/>
              </w:rPr>
              <w:t>15</w:t>
            </w:r>
            <w:r>
              <w:t>m排气筒高空排放</w:t>
            </w:r>
            <w:r>
              <w:rPr>
                <w:rFonts w:hint="eastAsia"/>
                <w:lang w:val="en-US" w:eastAsia="zh-CN"/>
              </w:rPr>
              <w:t>DA002</w:t>
            </w:r>
          </w:p>
        </w:tc>
        <w:tc>
          <w:tcPr>
            <w:tcW w:w="1620" w:type="dxa"/>
            <w:vAlign w:val="center"/>
          </w:tcPr>
          <w:p>
            <w:pPr>
              <w:pStyle w:val="38"/>
              <w:rPr>
                <w:rFonts w:hint="default"/>
              </w:rPr>
            </w:pPr>
            <w:r>
              <w:t>1套</w:t>
            </w:r>
          </w:p>
        </w:tc>
        <w:tc>
          <w:tcPr>
            <w:tcW w:w="5400" w:type="dxa"/>
            <w:vAlign w:val="center"/>
          </w:tcPr>
          <w:p>
            <w:pPr>
              <w:pStyle w:val="38"/>
              <w:rPr>
                <w:rFonts w:hint="default"/>
              </w:rPr>
            </w:pPr>
            <w:r>
              <w:rPr>
                <w:color w:val="auto"/>
                <w:kern w:val="0"/>
              </w:rPr>
              <w:t>《合成树脂工业污染物排放标准》、《关于全省开展工业企业挥发性有机物专项治理工作中排放建议值的通知》（豫环攻坚办〔2017〕162号）限值要求、</w:t>
            </w:r>
            <w:r>
              <w:t>《恶臭污染物排放标准》（GB14554-93）</w:t>
            </w:r>
          </w:p>
        </w:tc>
        <w:tc>
          <w:tcPr>
            <w:tcW w:w="1250" w:type="dxa"/>
            <w:vAlign w:val="center"/>
          </w:tcPr>
          <w:p>
            <w:pPr>
              <w:pStyle w:val="38"/>
              <w:rPr>
                <w:rFonts w:hint="default"/>
              </w:rPr>
            </w:pPr>
            <w:r>
              <w:t>85</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continue"/>
            <w:vAlign w:val="center"/>
          </w:tcPr>
          <w:p>
            <w:pPr>
              <w:pStyle w:val="38"/>
              <w:rPr>
                <w:rFonts w:hint="default"/>
              </w:rPr>
            </w:pPr>
          </w:p>
        </w:tc>
        <w:tc>
          <w:tcPr>
            <w:tcW w:w="1293" w:type="dxa"/>
            <w:vAlign w:val="center"/>
          </w:tcPr>
          <w:p>
            <w:pPr>
              <w:pStyle w:val="38"/>
              <w:rPr>
                <w:rFonts w:hint="default"/>
              </w:rPr>
            </w:pPr>
            <w:r>
              <w:t>油烟废气</w:t>
            </w:r>
          </w:p>
        </w:tc>
        <w:tc>
          <w:tcPr>
            <w:tcW w:w="3406" w:type="dxa"/>
            <w:vAlign w:val="center"/>
          </w:tcPr>
          <w:p>
            <w:pPr>
              <w:pStyle w:val="38"/>
              <w:rPr>
                <w:rFonts w:hint="default"/>
              </w:rPr>
            </w:pPr>
            <w:r>
              <w:t>油烟净化器</w:t>
            </w:r>
          </w:p>
        </w:tc>
        <w:tc>
          <w:tcPr>
            <w:tcW w:w="1620" w:type="dxa"/>
            <w:vAlign w:val="center"/>
          </w:tcPr>
          <w:p>
            <w:pPr>
              <w:pStyle w:val="38"/>
              <w:rPr>
                <w:rFonts w:hint="default"/>
              </w:rPr>
            </w:pPr>
            <w:r>
              <w:t>1套</w:t>
            </w:r>
          </w:p>
        </w:tc>
        <w:tc>
          <w:tcPr>
            <w:tcW w:w="5400" w:type="dxa"/>
            <w:vAlign w:val="center"/>
          </w:tcPr>
          <w:p>
            <w:pPr>
              <w:pStyle w:val="38"/>
              <w:rPr>
                <w:rFonts w:hint="default"/>
              </w:rPr>
            </w:pPr>
            <w:r>
              <w:rPr>
                <w:spacing w:val="-6"/>
              </w:rPr>
              <w:t>《餐饮业油烟污染物排放标准》（DB41/1604-2018）表1</w:t>
            </w:r>
          </w:p>
        </w:tc>
        <w:tc>
          <w:tcPr>
            <w:tcW w:w="1250" w:type="dxa"/>
            <w:vAlign w:val="center"/>
          </w:tcPr>
          <w:p>
            <w:pPr>
              <w:pStyle w:val="38"/>
              <w:rPr>
                <w:rFonts w:hint="default"/>
              </w:rPr>
            </w:pPr>
            <w:r>
              <w:t>3</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continue"/>
            <w:vAlign w:val="center"/>
          </w:tcPr>
          <w:p>
            <w:pPr>
              <w:pStyle w:val="38"/>
              <w:rPr>
                <w:rFonts w:hint="default"/>
              </w:rPr>
            </w:pPr>
          </w:p>
        </w:tc>
        <w:tc>
          <w:tcPr>
            <w:tcW w:w="1293" w:type="dxa"/>
            <w:vAlign w:val="center"/>
          </w:tcPr>
          <w:p>
            <w:pPr>
              <w:pStyle w:val="38"/>
              <w:rPr>
                <w:rFonts w:hint="default"/>
              </w:rPr>
            </w:pPr>
            <w:r>
              <w:t>污水处理站</w:t>
            </w:r>
          </w:p>
        </w:tc>
        <w:tc>
          <w:tcPr>
            <w:tcW w:w="3406" w:type="dxa"/>
            <w:vAlign w:val="center"/>
          </w:tcPr>
          <w:p>
            <w:pPr>
              <w:pStyle w:val="38"/>
              <w:rPr>
                <w:rFonts w:hint="eastAsia" w:eastAsia="宋体"/>
                <w:lang w:eastAsia="zh-CN"/>
              </w:rPr>
            </w:pPr>
            <w:r>
              <w:t>二级活性炭吸附、加盖</w:t>
            </w:r>
            <w:r>
              <w:rPr>
                <w:rFonts w:hint="eastAsia"/>
                <w:lang w:eastAsia="zh-CN"/>
              </w:rPr>
              <w:t>密封</w:t>
            </w:r>
          </w:p>
        </w:tc>
        <w:tc>
          <w:tcPr>
            <w:tcW w:w="1620" w:type="dxa"/>
            <w:vAlign w:val="center"/>
          </w:tcPr>
          <w:p>
            <w:pPr>
              <w:pStyle w:val="38"/>
              <w:rPr>
                <w:rFonts w:hint="default"/>
              </w:rPr>
            </w:pPr>
            <w:r>
              <w:t>/</w:t>
            </w:r>
          </w:p>
        </w:tc>
        <w:tc>
          <w:tcPr>
            <w:tcW w:w="5400" w:type="dxa"/>
            <w:vAlign w:val="center"/>
          </w:tcPr>
          <w:p>
            <w:pPr>
              <w:pStyle w:val="38"/>
              <w:rPr>
                <w:rFonts w:hint="default"/>
              </w:rPr>
            </w:pPr>
            <w:r>
              <w:t>《恶臭污染物排放标准》（GB14554-93）</w:t>
            </w:r>
          </w:p>
        </w:tc>
        <w:tc>
          <w:tcPr>
            <w:tcW w:w="1250" w:type="dxa"/>
            <w:vAlign w:val="center"/>
          </w:tcPr>
          <w:p>
            <w:pPr>
              <w:pStyle w:val="38"/>
              <w:rPr>
                <w:rFonts w:hint="default"/>
              </w:rPr>
            </w:pPr>
            <w:r>
              <w:t>5</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Align w:val="center"/>
          </w:tcPr>
          <w:p>
            <w:pPr>
              <w:pStyle w:val="38"/>
              <w:rPr>
                <w:rFonts w:hint="default"/>
              </w:rPr>
            </w:pPr>
            <w:r>
              <w:t>噪声</w:t>
            </w:r>
          </w:p>
        </w:tc>
        <w:tc>
          <w:tcPr>
            <w:tcW w:w="1293" w:type="dxa"/>
            <w:vAlign w:val="center"/>
          </w:tcPr>
          <w:p>
            <w:pPr>
              <w:pStyle w:val="38"/>
              <w:rPr>
                <w:rFonts w:hint="default"/>
              </w:rPr>
            </w:pPr>
            <w:r>
              <w:t>噪声</w:t>
            </w:r>
          </w:p>
        </w:tc>
        <w:tc>
          <w:tcPr>
            <w:tcW w:w="3406" w:type="dxa"/>
            <w:vAlign w:val="center"/>
          </w:tcPr>
          <w:p>
            <w:pPr>
              <w:pStyle w:val="38"/>
              <w:rPr>
                <w:rFonts w:hint="default"/>
              </w:rPr>
            </w:pPr>
            <w:r>
              <w:rPr>
                <w:rFonts w:hint="eastAsia" w:ascii="宋体" w:hAnsi="宋体" w:cs="宋体"/>
                <w:color w:val="000000" w:themeColor="text1"/>
                <w:kern w:val="0"/>
                <w:u w:val="single"/>
                <w:lang w:eastAsia="zh-CN" w:bidi="ar"/>
                <w14:textFill>
                  <w14:solidFill>
                    <w14:schemeClr w14:val="tx1"/>
                  </w14:solidFill>
                </w14:textFill>
              </w:rPr>
              <w:t>选用低噪声型号设备，厂区采取“闹静分开”和合理布局的设置原则，尽量将高噪声源远离厂界，在设备连接处安装减震垫、车间内墙加装隔音棉，主排风管道增加消音器，厂区种植降噪绿植等治理措施</w:t>
            </w:r>
          </w:p>
        </w:tc>
        <w:tc>
          <w:tcPr>
            <w:tcW w:w="1620" w:type="dxa"/>
            <w:vAlign w:val="center"/>
          </w:tcPr>
          <w:p>
            <w:pPr>
              <w:pStyle w:val="38"/>
              <w:rPr>
                <w:rFonts w:hint="default"/>
              </w:rPr>
            </w:pPr>
            <w:r>
              <w:t>/</w:t>
            </w:r>
          </w:p>
        </w:tc>
        <w:tc>
          <w:tcPr>
            <w:tcW w:w="5400" w:type="dxa"/>
            <w:vAlign w:val="center"/>
          </w:tcPr>
          <w:p>
            <w:pPr>
              <w:pStyle w:val="38"/>
              <w:rPr>
                <w:rFonts w:hint="default"/>
              </w:rPr>
            </w:pPr>
            <w:r>
              <w:rPr>
                <w:rFonts w:hAnsi="宋体"/>
                <w:color w:val="auto"/>
              </w:rPr>
              <w:t>《工业企业厂界环境噪声排放标准》（</w:t>
            </w:r>
            <w:r>
              <w:rPr>
                <w:color w:val="auto"/>
              </w:rPr>
              <w:t>GB12348-2008</w:t>
            </w:r>
            <w:r>
              <w:rPr>
                <w:rFonts w:hAnsi="宋体"/>
                <w:color w:val="auto"/>
              </w:rPr>
              <w:t>）</w:t>
            </w:r>
            <w:r>
              <w:rPr>
                <w:color w:val="auto"/>
              </w:rPr>
              <w:t>3</w:t>
            </w:r>
            <w:r>
              <w:rPr>
                <w:rFonts w:hAnsi="宋体"/>
                <w:color w:val="auto"/>
              </w:rPr>
              <w:t>类标准</w:t>
            </w:r>
          </w:p>
        </w:tc>
        <w:tc>
          <w:tcPr>
            <w:tcW w:w="1250" w:type="dxa"/>
            <w:vAlign w:val="center"/>
          </w:tcPr>
          <w:p>
            <w:pPr>
              <w:pStyle w:val="38"/>
              <w:rPr>
                <w:rFonts w:hint="default"/>
              </w:rPr>
            </w:pPr>
            <w:r>
              <w:t>5</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restart"/>
            <w:vAlign w:val="center"/>
          </w:tcPr>
          <w:p>
            <w:pPr>
              <w:pStyle w:val="38"/>
              <w:rPr>
                <w:rFonts w:hint="default"/>
              </w:rPr>
            </w:pPr>
            <w:r>
              <w:t>固废</w:t>
            </w:r>
          </w:p>
        </w:tc>
        <w:tc>
          <w:tcPr>
            <w:tcW w:w="1293" w:type="dxa"/>
            <w:vAlign w:val="center"/>
          </w:tcPr>
          <w:p>
            <w:pPr>
              <w:pStyle w:val="38"/>
              <w:rPr>
                <w:rFonts w:hint="default"/>
              </w:rPr>
            </w:pPr>
            <w:r>
              <w:t>一般固废</w:t>
            </w:r>
          </w:p>
        </w:tc>
        <w:tc>
          <w:tcPr>
            <w:tcW w:w="3406" w:type="dxa"/>
            <w:vAlign w:val="center"/>
          </w:tcPr>
          <w:p>
            <w:pPr>
              <w:pStyle w:val="38"/>
              <w:rPr>
                <w:rFonts w:hint="default"/>
              </w:rPr>
            </w:pPr>
            <w:r>
              <w:t>设置100m</w:t>
            </w:r>
            <w:r>
              <w:rPr>
                <w:vertAlign w:val="superscript"/>
              </w:rPr>
              <w:t>2</w:t>
            </w:r>
            <w:r>
              <w:t>的一般固废暂存间，定期处理</w:t>
            </w:r>
          </w:p>
        </w:tc>
        <w:tc>
          <w:tcPr>
            <w:tcW w:w="1620" w:type="dxa"/>
            <w:vAlign w:val="center"/>
          </w:tcPr>
          <w:p>
            <w:pPr>
              <w:pStyle w:val="38"/>
              <w:rPr>
                <w:rFonts w:hint="default"/>
              </w:rPr>
            </w:pPr>
            <w:r>
              <w:t>/</w:t>
            </w:r>
          </w:p>
        </w:tc>
        <w:tc>
          <w:tcPr>
            <w:tcW w:w="5400" w:type="dxa"/>
            <w:vMerge w:val="restart"/>
            <w:vAlign w:val="center"/>
          </w:tcPr>
          <w:p>
            <w:pPr>
              <w:pStyle w:val="38"/>
              <w:rPr>
                <w:rFonts w:hint="default"/>
              </w:rPr>
            </w:pPr>
            <w:r>
              <w:rPr>
                <w:rFonts w:hAnsi="宋体"/>
                <w:color w:val="auto"/>
              </w:rPr>
              <w:t>《一般工业固体废物贮存、处置场污染控制标准》（</w:t>
            </w:r>
            <w:r>
              <w:rPr>
                <w:color w:val="auto"/>
              </w:rPr>
              <w:t>GB18599-2020</w:t>
            </w:r>
            <w:r>
              <w:rPr>
                <w:rFonts w:hAnsi="宋体"/>
                <w:color w:val="auto"/>
              </w:rPr>
              <w:t>）</w:t>
            </w:r>
          </w:p>
        </w:tc>
        <w:tc>
          <w:tcPr>
            <w:tcW w:w="1250" w:type="dxa"/>
            <w:vMerge w:val="restart"/>
            <w:vAlign w:val="center"/>
          </w:tcPr>
          <w:p>
            <w:pPr>
              <w:pStyle w:val="38"/>
              <w:rPr>
                <w:rFonts w:hint="default"/>
              </w:rPr>
            </w:pPr>
            <w:r>
              <w:t>3</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continue"/>
            <w:vAlign w:val="center"/>
          </w:tcPr>
          <w:p>
            <w:pPr>
              <w:pStyle w:val="38"/>
              <w:rPr>
                <w:rFonts w:hint="default"/>
              </w:rPr>
            </w:pPr>
          </w:p>
        </w:tc>
        <w:tc>
          <w:tcPr>
            <w:tcW w:w="1293" w:type="dxa"/>
            <w:vAlign w:val="center"/>
          </w:tcPr>
          <w:p>
            <w:pPr>
              <w:pStyle w:val="38"/>
              <w:rPr>
                <w:rFonts w:hint="default"/>
              </w:rPr>
            </w:pPr>
            <w:r>
              <w:t>生活垃圾</w:t>
            </w:r>
          </w:p>
        </w:tc>
        <w:tc>
          <w:tcPr>
            <w:tcW w:w="3406" w:type="dxa"/>
            <w:vAlign w:val="center"/>
          </w:tcPr>
          <w:p>
            <w:pPr>
              <w:pStyle w:val="38"/>
              <w:rPr>
                <w:rFonts w:hint="default"/>
              </w:rPr>
            </w:pPr>
            <w:r>
              <w:t>垃圾收集桶</w:t>
            </w:r>
          </w:p>
        </w:tc>
        <w:tc>
          <w:tcPr>
            <w:tcW w:w="1620" w:type="dxa"/>
            <w:vAlign w:val="center"/>
          </w:tcPr>
          <w:p>
            <w:pPr>
              <w:pStyle w:val="38"/>
              <w:rPr>
                <w:rFonts w:hint="default"/>
              </w:rPr>
            </w:pPr>
            <w:r>
              <w:t>若干</w:t>
            </w:r>
          </w:p>
        </w:tc>
        <w:tc>
          <w:tcPr>
            <w:tcW w:w="5400" w:type="dxa"/>
            <w:vMerge w:val="continue"/>
            <w:vAlign w:val="center"/>
          </w:tcPr>
          <w:p>
            <w:pPr>
              <w:pStyle w:val="38"/>
              <w:rPr>
                <w:rFonts w:hint="default"/>
              </w:rPr>
            </w:pPr>
          </w:p>
        </w:tc>
        <w:tc>
          <w:tcPr>
            <w:tcW w:w="1250" w:type="dxa"/>
            <w:vMerge w:val="continue"/>
            <w:vAlign w:val="center"/>
          </w:tcPr>
          <w:p>
            <w:pPr>
              <w:pStyle w:val="38"/>
              <w:rPr>
                <w:rFonts w:hint="default"/>
              </w:rPr>
            </w:pP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continue"/>
            <w:vAlign w:val="center"/>
          </w:tcPr>
          <w:p>
            <w:pPr>
              <w:pStyle w:val="38"/>
              <w:rPr>
                <w:rFonts w:hint="default"/>
              </w:rPr>
            </w:pPr>
          </w:p>
        </w:tc>
        <w:tc>
          <w:tcPr>
            <w:tcW w:w="1293" w:type="dxa"/>
            <w:vAlign w:val="center"/>
          </w:tcPr>
          <w:p>
            <w:pPr>
              <w:pStyle w:val="38"/>
              <w:rPr>
                <w:rFonts w:hint="default"/>
              </w:rPr>
            </w:pPr>
            <w:r>
              <w:t>危险固废</w:t>
            </w:r>
          </w:p>
        </w:tc>
        <w:tc>
          <w:tcPr>
            <w:tcW w:w="3406" w:type="dxa"/>
            <w:vAlign w:val="center"/>
          </w:tcPr>
          <w:p>
            <w:pPr>
              <w:pStyle w:val="38"/>
              <w:rPr>
                <w:rFonts w:hint="default"/>
              </w:rPr>
            </w:pPr>
            <w:r>
              <w:t>设置50m</w:t>
            </w:r>
            <w:r>
              <w:rPr>
                <w:vertAlign w:val="superscript"/>
              </w:rPr>
              <w:t>2</w:t>
            </w:r>
            <w:r>
              <w:t>的危废暂存间暂存后，交由有资质单位</w:t>
            </w:r>
          </w:p>
        </w:tc>
        <w:tc>
          <w:tcPr>
            <w:tcW w:w="1620" w:type="dxa"/>
            <w:vAlign w:val="center"/>
          </w:tcPr>
          <w:p>
            <w:pPr>
              <w:pStyle w:val="38"/>
              <w:rPr>
                <w:rFonts w:hint="default"/>
              </w:rPr>
            </w:pPr>
            <w:r>
              <w:t>/</w:t>
            </w:r>
          </w:p>
        </w:tc>
        <w:tc>
          <w:tcPr>
            <w:tcW w:w="5400" w:type="dxa"/>
            <w:vAlign w:val="center"/>
          </w:tcPr>
          <w:p>
            <w:pPr>
              <w:pStyle w:val="38"/>
              <w:rPr>
                <w:rFonts w:hint="default"/>
              </w:rPr>
            </w:pPr>
            <w:r>
              <w:rPr>
                <w:rFonts w:hAnsi="宋体"/>
                <w:color w:val="auto"/>
              </w:rPr>
              <w:t>《危险废物贮存污染控制标准》</w:t>
            </w:r>
            <w:r>
              <w:rPr>
                <w:color w:val="auto"/>
              </w:rPr>
              <w:t>（GB18597-2001）</w:t>
            </w:r>
            <w:r>
              <w:rPr>
                <w:rFonts w:hAnsi="宋体"/>
                <w:color w:val="auto"/>
              </w:rPr>
              <w:t>及</w:t>
            </w:r>
            <w:r>
              <w:rPr>
                <w:color w:val="auto"/>
              </w:rPr>
              <w:t>2013</w:t>
            </w:r>
            <w:r>
              <w:rPr>
                <w:rFonts w:hAnsi="宋体"/>
                <w:color w:val="auto"/>
              </w:rPr>
              <w:t>年修改单</w:t>
            </w:r>
          </w:p>
        </w:tc>
        <w:tc>
          <w:tcPr>
            <w:tcW w:w="1250" w:type="dxa"/>
            <w:vAlign w:val="center"/>
          </w:tcPr>
          <w:p>
            <w:pPr>
              <w:pStyle w:val="38"/>
              <w:rPr>
                <w:rFonts w:hint="default" w:eastAsia="宋体"/>
                <w:lang w:val="en-US" w:eastAsia="zh-CN"/>
              </w:rPr>
            </w:pPr>
            <w:r>
              <w:rPr>
                <w:rFonts w:hint="eastAsia"/>
                <w:lang w:val="en-US" w:eastAsia="zh-CN"/>
              </w:rPr>
              <w:t>20</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restart"/>
            <w:vAlign w:val="center"/>
          </w:tcPr>
          <w:p>
            <w:pPr>
              <w:pStyle w:val="38"/>
              <w:rPr>
                <w:rFonts w:hint="default"/>
              </w:rPr>
            </w:pPr>
            <w:r>
              <w:t>地下水</w:t>
            </w:r>
          </w:p>
        </w:tc>
        <w:tc>
          <w:tcPr>
            <w:tcW w:w="1293" w:type="dxa"/>
            <w:vAlign w:val="center"/>
          </w:tcPr>
          <w:p>
            <w:pPr>
              <w:pStyle w:val="38"/>
              <w:rPr>
                <w:rFonts w:hint="default"/>
              </w:rPr>
            </w:pPr>
            <w:r>
              <w:t>简单防渗区域</w:t>
            </w:r>
          </w:p>
        </w:tc>
        <w:tc>
          <w:tcPr>
            <w:tcW w:w="3406" w:type="dxa"/>
            <w:vAlign w:val="center"/>
          </w:tcPr>
          <w:p>
            <w:pPr>
              <w:pStyle w:val="38"/>
              <w:rPr>
                <w:rFonts w:hint="default"/>
              </w:rPr>
            </w:pPr>
            <w:r>
              <w:t>水泥硬化，防腐防渗</w:t>
            </w:r>
          </w:p>
        </w:tc>
        <w:tc>
          <w:tcPr>
            <w:tcW w:w="1620" w:type="dxa"/>
            <w:vAlign w:val="center"/>
          </w:tcPr>
          <w:p>
            <w:pPr>
              <w:pStyle w:val="38"/>
              <w:rPr>
                <w:rFonts w:hint="default"/>
              </w:rPr>
            </w:pPr>
            <w:r>
              <w:t>/</w:t>
            </w:r>
          </w:p>
        </w:tc>
        <w:tc>
          <w:tcPr>
            <w:tcW w:w="5400" w:type="dxa"/>
            <w:vAlign w:val="center"/>
          </w:tcPr>
          <w:p>
            <w:pPr>
              <w:pStyle w:val="38"/>
              <w:rPr>
                <w:rFonts w:hint="default"/>
              </w:rPr>
            </w:pPr>
            <w:r>
              <w:t>/</w:t>
            </w:r>
          </w:p>
        </w:tc>
        <w:tc>
          <w:tcPr>
            <w:tcW w:w="1250" w:type="dxa"/>
            <w:vAlign w:val="center"/>
          </w:tcPr>
          <w:p>
            <w:pPr>
              <w:pStyle w:val="38"/>
              <w:rPr>
                <w:rFonts w:hint="default"/>
              </w:rPr>
            </w:pPr>
            <w:r>
              <w:rPr>
                <w:rFonts w:hint="eastAsia"/>
                <w:lang w:val="en-US" w:eastAsia="zh-CN"/>
              </w:rPr>
              <w:t>5</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continue"/>
            <w:vAlign w:val="center"/>
          </w:tcPr>
          <w:p>
            <w:pPr>
              <w:pStyle w:val="38"/>
              <w:rPr>
                <w:rFonts w:hint="default"/>
              </w:rPr>
            </w:pPr>
          </w:p>
        </w:tc>
        <w:tc>
          <w:tcPr>
            <w:tcW w:w="1293" w:type="dxa"/>
            <w:vAlign w:val="center"/>
          </w:tcPr>
          <w:p>
            <w:pPr>
              <w:pStyle w:val="38"/>
              <w:rPr>
                <w:rFonts w:hint="default"/>
              </w:rPr>
            </w:pPr>
            <w:r>
              <w:t>一般防渗区域</w:t>
            </w:r>
          </w:p>
        </w:tc>
        <w:tc>
          <w:tcPr>
            <w:tcW w:w="3406" w:type="dxa"/>
            <w:vAlign w:val="center"/>
          </w:tcPr>
          <w:p>
            <w:pPr>
              <w:pStyle w:val="38"/>
              <w:rPr>
                <w:rFonts w:hint="default"/>
              </w:rPr>
            </w:pPr>
            <w:r>
              <w:t>等效粘土防渗层Mb≥1.5m，K≤1×10</w:t>
            </w:r>
            <w:r>
              <w:rPr>
                <w:vertAlign w:val="superscript"/>
              </w:rPr>
              <w:t>-7</w:t>
            </w:r>
            <w:r>
              <w:t>cm/s；或参照GB16889执行</w:t>
            </w:r>
          </w:p>
        </w:tc>
        <w:tc>
          <w:tcPr>
            <w:tcW w:w="1620" w:type="dxa"/>
            <w:vAlign w:val="center"/>
          </w:tcPr>
          <w:p>
            <w:pPr>
              <w:pStyle w:val="38"/>
              <w:rPr>
                <w:rFonts w:hint="default"/>
              </w:rPr>
            </w:pPr>
            <w:r>
              <w:t>/</w:t>
            </w:r>
          </w:p>
        </w:tc>
        <w:tc>
          <w:tcPr>
            <w:tcW w:w="5400" w:type="dxa"/>
            <w:vAlign w:val="center"/>
          </w:tcPr>
          <w:p>
            <w:pPr>
              <w:pStyle w:val="38"/>
              <w:rPr>
                <w:rFonts w:hint="default"/>
              </w:rPr>
            </w:pPr>
          </w:p>
        </w:tc>
        <w:tc>
          <w:tcPr>
            <w:tcW w:w="1250" w:type="dxa"/>
            <w:vAlign w:val="center"/>
          </w:tcPr>
          <w:p>
            <w:pPr>
              <w:pStyle w:val="38"/>
              <w:rPr>
                <w:rFonts w:hint="default" w:eastAsia="宋体"/>
                <w:lang w:val="en-US" w:eastAsia="zh-CN"/>
              </w:rPr>
            </w:pPr>
            <w:r>
              <w:rPr>
                <w:rFonts w:hint="eastAsia"/>
                <w:lang w:val="en-US" w:eastAsia="zh-CN"/>
              </w:rPr>
              <w:t>10</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Merge w:val="continue"/>
            <w:vAlign w:val="center"/>
          </w:tcPr>
          <w:p>
            <w:pPr>
              <w:pStyle w:val="38"/>
              <w:rPr>
                <w:rFonts w:hint="default"/>
              </w:rPr>
            </w:pPr>
          </w:p>
        </w:tc>
        <w:tc>
          <w:tcPr>
            <w:tcW w:w="1293" w:type="dxa"/>
            <w:vAlign w:val="center"/>
          </w:tcPr>
          <w:p>
            <w:pPr>
              <w:pStyle w:val="38"/>
              <w:rPr>
                <w:rFonts w:hint="default"/>
              </w:rPr>
            </w:pPr>
            <w:r>
              <w:t>重点防渗区域</w:t>
            </w:r>
          </w:p>
        </w:tc>
        <w:tc>
          <w:tcPr>
            <w:tcW w:w="3406" w:type="dxa"/>
            <w:vAlign w:val="center"/>
          </w:tcPr>
          <w:p>
            <w:pPr>
              <w:pStyle w:val="38"/>
              <w:rPr>
                <w:rFonts w:hint="default"/>
              </w:rPr>
            </w:pPr>
            <w:r>
              <w:t>防渗措施等效黏土防渗层Mb≥1.5m，K≤1.0×10</w:t>
            </w:r>
            <w:r>
              <w:rPr>
                <w:vertAlign w:val="superscript"/>
              </w:rPr>
              <w:t>-7</w:t>
            </w:r>
            <w:r>
              <w:t>cm/s；或参照GB16889，执行加强管理</w:t>
            </w:r>
          </w:p>
        </w:tc>
        <w:tc>
          <w:tcPr>
            <w:tcW w:w="1620" w:type="dxa"/>
            <w:vAlign w:val="center"/>
          </w:tcPr>
          <w:p>
            <w:pPr>
              <w:pStyle w:val="38"/>
              <w:rPr>
                <w:rFonts w:hint="default"/>
              </w:rPr>
            </w:pPr>
            <w:r>
              <w:t>/</w:t>
            </w:r>
          </w:p>
        </w:tc>
        <w:tc>
          <w:tcPr>
            <w:tcW w:w="5400" w:type="dxa"/>
            <w:vAlign w:val="center"/>
          </w:tcPr>
          <w:p>
            <w:pPr>
              <w:pStyle w:val="38"/>
              <w:rPr>
                <w:rFonts w:hint="default"/>
              </w:rPr>
            </w:pPr>
            <w:r>
              <w:t>/</w:t>
            </w:r>
          </w:p>
        </w:tc>
        <w:tc>
          <w:tcPr>
            <w:tcW w:w="1250" w:type="dxa"/>
            <w:vAlign w:val="center"/>
          </w:tcPr>
          <w:p>
            <w:pPr>
              <w:pStyle w:val="38"/>
              <w:rPr>
                <w:rFonts w:hint="default"/>
              </w:rPr>
            </w:pPr>
            <w:r>
              <w:rPr>
                <w:rFonts w:hint="eastAsia"/>
                <w:lang w:val="en-US" w:eastAsia="zh-CN"/>
              </w:rPr>
              <w:t>1</w:t>
            </w:r>
            <w:r>
              <w:t>50</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498" w:type="dxa"/>
            <w:vAlign w:val="center"/>
          </w:tcPr>
          <w:p>
            <w:pPr>
              <w:pStyle w:val="38"/>
              <w:rPr>
                <w:rFonts w:hint="default"/>
              </w:rPr>
            </w:pPr>
            <w:r>
              <w:t>环境风险</w:t>
            </w:r>
          </w:p>
        </w:tc>
        <w:tc>
          <w:tcPr>
            <w:tcW w:w="11719" w:type="dxa"/>
            <w:gridSpan w:val="4"/>
            <w:vAlign w:val="center"/>
          </w:tcPr>
          <w:p>
            <w:pPr>
              <w:pStyle w:val="38"/>
              <w:rPr>
                <w:rFonts w:hint="default"/>
              </w:rPr>
            </w:pPr>
            <w:r>
              <w:t>设置围堰，安装可燃及有毒气体泄漏报警仪；编制应急预案，加强演练等、1000m</w:t>
            </w:r>
            <w:r>
              <w:rPr>
                <w:vertAlign w:val="superscript"/>
              </w:rPr>
              <w:t>3</w:t>
            </w:r>
            <w:r>
              <w:t>应急事故池、300m</w:t>
            </w:r>
            <w:r>
              <w:rPr>
                <w:vertAlign w:val="superscript"/>
              </w:rPr>
              <w:t>3</w:t>
            </w:r>
            <w:r>
              <w:t>初期雨水池</w:t>
            </w:r>
          </w:p>
        </w:tc>
        <w:tc>
          <w:tcPr>
            <w:tcW w:w="1250" w:type="dxa"/>
            <w:vAlign w:val="center"/>
          </w:tcPr>
          <w:p>
            <w:pPr>
              <w:pStyle w:val="38"/>
              <w:rPr>
                <w:rFonts w:hint="default" w:eastAsia="宋体"/>
                <w:lang w:val="en-US" w:eastAsia="zh-CN"/>
              </w:rPr>
            </w:pPr>
            <w:r>
              <w:rPr>
                <w:rFonts w:hint="eastAsia"/>
                <w:lang w:val="en-US" w:eastAsia="zh-CN"/>
              </w:rPr>
              <w:t>120</w:t>
            </w:r>
          </w:p>
        </w:tc>
        <w:tc>
          <w:tcPr>
            <w:tcW w:w="753"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rPr>
        <w:tc>
          <w:tcPr>
            <w:tcW w:w="12217" w:type="dxa"/>
            <w:gridSpan w:val="5"/>
            <w:vAlign w:val="center"/>
          </w:tcPr>
          <w:p>
            <w:pPr>
              <w:pStyle w:val="38"/>
              <w:rPr>
                <w:rFonts w:hint="default"/>
              </w:rPr>
            </w:pPr>
            <w:r>
              <w:t>合计</w:t>
            </w:r>
          </w:p>
        </w:tc>
        <w:tc>
          <w:tcPr>
            <w:tcW w:w="1250" w:type="dxa"/>
            <w:vAlign w:val="center"/>
          </w:tcPr>
          <w:p>
            <w:pPr>
              <w:pStyle w:val="38"/>
              <w:rPr>
                <w:rFonts w:hint="eastAsia" w:eastAsia="宋体"/>
                <w:lang w:eastAsia="zh-CN"/>
              </w:rPr>
            </w:pPr>
            <w:r>
              <w:rPr>
                <w:rFonts w:hint="eastAsia"/>
                <w:lang w:eastAsia="zh-CN"/>
              </w:rPr>
              <w:t>651</w:t>
            </w:r>
          </w:p>
        </w:tc>
        <w:tc>
          <w:tcPr>
            <w:tcW w:w="753" w:type="dxa"/>
            <w:vMerge w:val="continue"/>
            <w:vAlign w:val="center"/>
          </w:tcPr>
          <w:p>
            <w:pPr>
              <w:pStyle w:val="38"/>
              <w:rPr>
                <w:rFonts w:hint="default"/>
              </w:rPr>
            </w:pPr>
          </w:p>
        </w:tc>
      </w:tr>
    </w:tbl>
    <w:p>
      <w:pPr>
        <w:ind w:left="480" w:leftChars="200" w:firstLine="0" w:firstLineChars="0"/>
        <w:sectPr>
          <w:pgSz w:w="16838" w:h="11906" w:orient="landscape"/>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pPr>
    </w:p>
    <w:p>
      <w:pPr>
        <w:pStyle w:val="5"/>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bookmarkStart w:id="307" w:name="_Toc9081"/>
      <w:bookmarkStart w:id="308" w:name="_Toc8683"/>
      <w:bookmarkStart w:id="309" w:name="_Toc1248"/>
      <w:bookmarkStart w:id="310" w:name="_Toc5888515"/>
      <w:bookmarkStart w:id="311" w:name="_Toc29778"/>
      <w:r>
        <w:t>第八章  环境影响经济损益分析</w:t>
      </w:r>
      <w:bookmarkEnd w:id="307"/>
      <w:bookmarkEnd w:id="308"/>
      <w:bookmarkEnd w:id="309"/>
      <w:bookmarkEnd w:id="310"/>
      <w:bookmarkEnd w:id="311"/>
    </w:p>
    <w:p>
      <w:pPr>
        <w:pStyle w:val="6"/>
        <w:ind w:firstLine="643"/>
      </w:pPr>
      <w:bookmarkStart w:id="312" w:name="_Toc452388602"/>
      <w:bookmarkStart w:id="313" w:name="_Toc30737"/>
      <w:bookmarkStart w:id="314" w:name="_Toc392081873"/>
      <w:bookmarkStart w:id="315" w:name="_Toc245114178"/>
      <w:bookmarkStart w:id="316" w:name="_Toc27377"/>
      <w:bookmarkStart w:id="317" w:name="_Toc380056417"/>
      <w:bookmarkStart w:id="318" w:name="_Toc380055418"/>
      <w:bookmarkStart w:id="319" w:name="_Toc5888516"/>
      <w:bookmarkStart w:id="320" w:name="_Toc6884"/>
      <w:bookmarkStart w:id="321" w:name="_Toc302663179"/>
      <w:bookmarkStart w:id="322" w:name="_Toc29938"/>
      <w:bookmarkStart w:id="323" w:name="_Toc252120060"/>
      <w:bookmarkStart w:id="324" w:name="_Toc334629901"/>
      <w:bookmarkStart w:id="325" w:name="_Toc376878927"/>
      <w:r>
        <w:rPr>
          <w:rFonts w:hint="eastAsia"/>
          <w:lang w:val="en-US"/>
        </w:rPr>
        <w:t xml:space="preserve">8.1 </w:t>
      </w:r>
      <w:r>
        <w:t>环境影响经济损益分析的目的</w:t>
      </w:r>
      <w:bookmarkEnd w:id="312"/>
      <w:bookmarkEnd w:id="313"/>
      <w:bookmarkEnd w:id="314"/>
      <w:bookmarkEnd w:id="315"/>
      <w:bookmarkEnd w:id="316"/>
      <w:bookmarkEnd w:id="317"/>
      <w:bookmarkEnd w:id="318"/>
      <w:bookmarkEnd w:id="319"/>
      <w:bookmarkEnd w:id="320"/>
      <w:bookmarkEnd w:id="321"/>
      <w:bookmarkEnd w:id="322"/>
      <w:bookmarkEnd w:id="323"/>
    </w:p>
    <w:p>
      <w:pPr>
        <w:ind w:firstLine="480"/>
      </w:pPr>
      <w:r>
        <w:t>建设项目环境影响评价有两个基本目标，一是要揭示建设项目所引起的环境影响，协调项目建设与环境目标一致的问题，二是要科学地评价建设项目所产生的经济效益和社会效益。因此在建设项目的环境影响评价工作中，除首先应注意那些由于污染对环境造成的影响，还应同时开展社会经济效益分析，把提高社会经济效益作为环境影响评价的一个出发点，把环境资源作为一种经济实体来对待，选择合理的开发方式、开发力度和环境保护措施，一方面尽可能使建设项目获得显著的经济效益，另一方面付出的环境代价要小。</w:t>
      </w:r>
    </w:p>
    <w:p>
      <w:pPr>
        <w:ind w:firstLine="480"/>
      </w:pPr>
      <w:r>
        <w:t>结合本项目的实际情况，采取相应的环境保护和切实可行的污染治理措施，使建设项目的经济效益、环境效益和社会效益三者得到有机统一，做到经济建设的可持续发展。</w:t>
      </w:r>
    </w:p>
    <w:p>
      <w:pPr>
        <w:pStyle w:val="6"/>
        <w:ind w:firstLine="643"/>
      </w:pPr>
      <w:bookmarkStart w:id="326" w:name="_Toc11764"/>
      <w:bookmarkStart w:id="327" w:name="_Toc392081874"/>
      <w:bookmarkStart w:id="328" w:name="_Toc452388603"/>
      <w:bookmarkStart w:id="329" w:name="_Toc380056418"/>
      <w:bookmarkStart w:id="330" w:name="_Toc5242"/>
      <w:bookmarkStart w:id="331" w:name="_Toc10881"/>
      <w:bookmarkStart w:id="332" w:name="_Toc31820"/>
      <w:bookmarkStart w:id="333" w:name="_Toc380055419"/>
      <w:bookmarkStart w:id="334" w:name="_Toc5888517"/>
      <w:r>
        <w:rPr>
          <w:rFonts w:hint="eastAsia"/>
          <w:lang w:val="en-US"/>
        </w:rPr>
        <w:t xml:space="preserve">8.2 </w:t>
      </w:r>
      <w:r>
        <w:t>经济损益分析</w:t>
      </w:r>
      <w:bookmarkEnd w:id="326"/>
      <w:bookmarkEnd w:id="327"/>
      <w:bookmarkEnd w:id="328"/>
      <w:bookmarkEnd w:id="329"/>
      <w:bookmarkEnd w:id="330"/>
      <w:bookmarkEnd w:id="331"/>
      <w:bookmarkEnd w:id="332"/>
      <w:bookmarkEnd w:id="333"/>
      <w:bookmarkEnd w:id="334"/>
    </w:p>
    <w:p>
      <w:pPr>
        <w:pStyle w:val="25"/>
        <w:widowControl/>
        <w:spacing w:beforeAutospacing="0" w:afterAutospacing="0"/>
        <w:ind w:firstLine="480"/>
        <w:jc w:val="both"/>
      </w:pPr>
      <w:bookmarkStart w:id="335" w:name="_Toc380055420"/>
      <w:bookmarkStart w:id="336" w:name="_Toc392081875"/>
      <w:bookmarkStart w:id="337" w:name="_Toc380056419"/>
      <w:r>
        <w:t>项目总投资</w:t>
      </w:r>
      <w:r>
        <w:rPr>
          <w:rFonts w:hint="eastAsia"/>
        </w:rPr>
        <w:t>20087.21万元</w:t>
      </w:r>
      <w:r>
        <w:t>，项目建成后</w:t>
      </w:r>
      <w:r>
        <w:rPr>
          <w:rFonts w:hint="eastAsia"/>
        </w:rPr>
        <w:t>，</w:t>
      </w:r>
      <w:r>
        <w:t>项目建成后年可实现年均销售收入</w:t>
      </w:r>
      <w:r>
        <w:rPr>
          <w:rFonts w:hint="eastAsia"/>
        </w:rPr>
        <w:t>4500</w:t>
      </w:r>
      <w:r>
        <w:t>万元，年实现净利润</w:t>
      </w:r>
      <w:r>
        <w:rPr>
          <w:rFonts w:hint="eastAsia"/>
        </w:rPr>
        <w:t>994</w:t>
      </w:r>
      <w:r>
        <w:t>万元。该项目财务分析的各项指标均好，其内部收益率、投资回收期、投资利润率、投资利税率等都优于基准值，投资回收较快。项目有一定的抗风险能力，项目在运营中项目获利能力强。本项目满足经济要求，因此从经济上分析是可行的。</w:t>
      </w:r>
    </w:p>
    <w:p>
      <w:pPr>
        <w:pStyle w:val="6"/>
        <w:tabs>
          <w:tab w:val="left" w:pos="360"/>
          <w:tab w:val="left" w:pos="578"/>
        </w:tabs>
        <w:ind w:firstLine="643"/>
      </w:pPr>
      <w:bookmarkStart w:id="338" w:name="_Toc452388604"/>
      <w:bookmarkStart w:id="339" w:name="_Toc11643"/>
      <w:bookmarkStart w:id="340" w:name="_Toc5888518"/>
      <w:bookmarkStart w:id="341" w:name="_Toc19994"/>
      <w:bookmarkStart w:id="342" w:name="_Toc8505"/>
      <w:bookmarkStart w:id="343" w:name="_Toc21183"/>
      <w:r>
        <w:rPr>
          <w:rFonts w:hint="eastAsia"/>
          <w:lang w:val="en-US"/>
        </w:rPr>
        <w:t xml:space="preserve">8.3 </w:t>
      </w:r>
      <w:r>
        <w:t>社会损益分析</w:t>
      </w:r>
      <w:bookmarkEnd w:id="324"/>
      <w:bookmarkEnd w:id="325"/>
      <w:bookmarkEnd w:id="335"/>
      <w:bookmarkEnd w:id="336"/>
      <w:bookmarkEnd w:id="337"/>
      <w:bookmarkEnd w:id="338"/>
      <w:bookmarkEnd w:id="339"/>
      <w:bookmarkEnd w:id="340"/>
      <w:bookmarkEnd w:id="341"/>
      <w:bookmarkEnd w:id="342"/>
      <w:bookmarkEnd w:id="343"/>
    </w:p>
    <w:p>
      <w:pPr>
        <w:ind w:firstLine="480"/>
      </w:pPr>
      <w:r>
        <w:t>（1）本项目在建设和运营过程中能够直接或间接地给本地区提供大量的就业岗位，使当地的一部分群众可以在家门口就业，如从事管理、生产、运输、保洁、水电维修、后勤服务等众多工种。</w:t>
      </w:r>
    </w:p>
    <w:p>
      <w:pPr>
        <w:ind w:firstLine="480"/>
      </w:pPr>
      <w:r>
        <w:t>（2）项目产品为</w:t>
      </w:r>
      <w:r>
        <w:rPr>
          <w:rFonts w:hint="eastAsia"/>
        </w:rPr>
        <w:t>体育用品配套基础原料产品</w:t>
      </w:r>
      <w:r>
        <w:t>等，在推动地区经济发展、社会进步、提高人民生活水平等方面发挥重要的作用。本项目产品的原材料供应来源充足，能保证正常生产的需要，市场前景广阔，国内外需求量不断增多，资金来源可靠，上缴的各项税金增加了地方税收收入，具有良好的社会效益。</w:t>
      </w:r>
    </w:p>
    <w:p>
      <w:pPr>
        <w:pStyle w:val="6"/>
        <w:ind w:firstLine="643"/>
      </w:pPr>
      <w:bookmarkStart w:id="344" w:name="_Toc21939"/>
      <w:bookmarkStart w:id="345" w:name="_Toc19775"/>
      <w:bookmarkStart w:id="346" w:name="_Toc14542"/>
      <w:r>
        <w:rPr>
          <w:rFonts w:hint="eastAsia"/>
          <w:lang w:val="en-US"/>
        </w:rPr>
        <w:t xml:space="preserve">8.4 </w:t>
      </w:r>
      <w:r>
        <w:t>环境损益分析</w:t>
      </w:r>
      <w:bookmarkEnd w:id="344"/>
      <w:bookmarkEnd w:id="345"/>
      <w:bookmarkEnd w:id="346"/>
    </w:p>
    <w:p>
      <w:pPr>
        <w:pStyle w:val="7"/>
        <w:ind w:firstLine="562"/>
      </w:pPr>
      <w:r>
        <w:rPr>
          <w:rFonts w:hint="eastAsia"/>
        </w:rPr>
        <w:t xml:space="preserve">8.4.1 </w:t>
      </w:r>
      <w:r>
        <w:t>环境代价</w:t>
      </w:r>
    </w:p>
    <w:p>
      <w:pPr>
        <w:ind w:firstLine="480"/>
      </w:pPr>
      <w:r>
        <w:t>环境代价主要体现在由于建构筑物、管道施工以及生产车间建设等将造成临时或永久性占地，造成地表植被破坏、气候环境改变等一系列环境经济损失。运行期间环境损失很小。</w:t>
      </w:r>
    </w:p>
    <w:p>
      <w:pPr>
        <w:pStyle w:val="7"/>
        <w:ind w:firstLine="562"/>
      </w:pPr>
      <w:r>
        <w:rPr>
          <w:rFonts w:hint="eastAsia"/>
        </w:rPr>
        <w:t xml:space="preserve">8.4.2 </w:t>
      </w:r>
      <w:r>
        <w:t>环境成本分析</w:t>
      </w:r>
    </w:p>
    <w:p>
      <w:pPr>
        <w:ind w:firstLine="480"/>
      </w:pPr>
      <w:r>
        <w:t>环境成本是指项目为防治生态破坏和环境污染，建设必要的生态保护工程和采取环境污染设备所折算的经济价值，初步估算本项目的环境代价如下。</w:t>
      </w:r>
    </w:p>
    <w:p>
      <w:pPr>
        <w:pStyle w:val="35"/>
        <w:spacing w:before="0"/>
        <w:ind w:firstLine="480"/>
        <w:rPr>
          <w:sz w:val="24"/>
        </w:rPr>
      </w:pPr>
      <w:r>
        <w:rPr>
          <w:sz w:val="24"/>
        </w:rPr>
        <w:t>（1）环保工程建设投资</w:t>
      </w:r>
    </w:p>
    <w:p>
      <w:pPr>
        <w:pStyle w:val="35"/>
        <w:spacing w:before="0"/>
        <w:ind w:firstLine="480"/>
        <w:rPr>
          <w:sz w:val="24"/>
        </w:rPr>
      </w:pPr>
      <w:r>
        <w:rPr>
          <w:sz w:val="24"/>
        </w:rPr>
        <w:t>项目环保总投资</w:t>
      </w:r>
      <w:r>
        <w:rPr>
          <w:rFonts w:hint="eastAsia"/>
          <w:sz w:val="24"/>
          <w:lang w:eastAsia="zh-CN"/>
        </w:rPr>
        <w:t>651</w:t>
      </w:r>
      <w:r>
        <w:rPr>
          <w:sz w:val="24"/>
        </w:rPr>
        <w:t>万元，按环保设备的使用寿命15年计算，则每年的环保工程建设投资为</w:t>
      </w:r>
      <w:r>
        <w:rPr>
          <w:rFonts w:hint="eastAsia"/>
          <w:sz w:val="24"/>
          <w:lang w:val="en-US" w:eastAsia="zh-CN"/>
        </w:rPr>
        <w:t>43.40</w:t>
      </w:r>
      <w:r>
        <w:rPr>
          <w:sz w:val="24"/>
        </w:rPr>
        <w:t>万元/a。</w:t>
      </w:r>
    </w:p>
    <w:p>
      <w:pPr>
        <w:ind w:firstLine="480"/>
      </w:pPr>
      <w:r>
        <w:t>（2）环保工程运行管理费用</w:t>
      </w:r>
    </w:p>
    <w:p>
      <w:pPr>
        <w:ind w:firstLine="480"/>
      </w:pPr>
      <w:r>
        <w:t>运行管理费用包括设备检修、能源、材料、环保工作人员工资、环境监测费、环境绿化管理费及排污费等，经估算得到该工程运行管理费为5万元/a。</w:t>
      </w:r>
    </w:p>
    <w:p>
      <w:pPr>
        <w:ind w:firstLine="480"/>
      </w:pPr>
      <w:r>
        <w:t>综合分析得出建设项目的环境成本为</w:t>
      </w:r>
      <w:r>
        <w:rPr>
          <w:rFonts w:hint="eastAsia"/>
          <w:lang w:val="en-US" w:eastAsia="zh-CN"/>
        </w:rPr>
        <w:t>656</w:t>
      </w:r>
      <w:r>
        <w:t>万元/a。</w:t>
      </w:r>
    </w:p>
    <w:p>
      <w:pPr>
        <w:pStyle w:val="7"/>
        <w:ind w:firstLine="562"/>
      </w:pPr>
      <w:r>
        <w:t>8.4.</w:t>
      </w:r>
      <w:r>
        <w:rPr>
          <w:rFonts w:hint="eastAsia"/>
        </w:rPr>
        <w:t>3</w:t>
      </w:r>
      <w:r>
        <w:t xml:space="preserve"> 项目环境代价分析</w:t>
      </w:r>
    </w:p>
    <w:p>
      <w:pPr>
        <w:widowControl/>
        <w:ind w:firstLine="480"/>
        <w:jc w:val="left"/>
      </w:pPr>
      <w:r>
        <w:rPr>
          <w:rFonts w:hint="eastAsia" w:ascii="宋体" w:hAnsi="宋体" w:cs="宋体"/>
          <w:color w:val="000000"/>
          <w:kern w:val="0"/>
          <w:lang w:bidi="ar"/>
        </w:rPr>
        <w:t>本项目建设会对周围环境造成一定程度的影响，评价对环境影响中的负面影响进行分析，并将其用经济价值的形式表现出来，反映项目建设造成的环境污染和破坏所造成的环境损失。由于对环境造成的影响层面不一，程度不同，并不能使所有的影响都实现量化或折算出来，评价便从以下方面进行环境影响代价分析：</w:t>
      </w:r>
    </w:p>
    <w:p>
      <w:pPr>
        <w:widowControl/>
        <w:ind w:firstLine="480"/>
        <w:jc w:val="left"/>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）未落实环保措施的环境代价</w:t>
      </w:r>
    </w:p>
    <w:p>
      <w:pPr>
        <w:widowControl/>
        <w:ind w:firstLine="480"/>
        <w:jc w:val="left"/>
      </w:pPr>
      <w:r>
        <w:rPr>
          <w:rFonts w:hint="eastAsia" w:ascii="宋体" w:hAnsi="宋体" w:cs="宋体"/>
          <w:color w:val="000000"/>
          <w:kern w:val="0"/>
          <w:lang w:bidi="ar"/>
        </w:rPr>
        <w:t>未落实环保措施时主要有以下三种情况：①项目建设单位未按照评价要求落实环保措施；②虽已建设环保设施，但并未开启运行或者运行效果不能满足要求；③环保设施发生故障不能正常运行或者生产设备引起的事故性排放。发生上述情况时，项目排放的污染物直接排入外环境，对外环境造成一定程度甚至有可能是不可恢复的影响，而这种影响的环境代价是不能用确定的经济价值估算的，因此要从环保审批、环保行政管理以及企业日常环境管理等方面严格落实，避免上述情况发生。</w:t>
      </w:r>
    </w:p>
    <w:p>
      <w:pPr>
        <w:widowControl/>
        <w:ind w:firstLine="480"/>
        <w:jc w:val="left"/>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）已经落实环保措施的环境代价</w:t>
      </w:r>
    </w:p>
    <w:p>
      <w:pPr>
        <w:widowControl/>
        <w:ind w:firstLine="480"/>
        <w:jc w:val="left"/>
      </w:pPr>
      <w:r>
        <w:rPr>
          <w:rFonts w:hint="eastAsia" w:ascii="宋体" w:hAnsi="宋体" w:cs="宋体"/>
          <w:color w:val="000000"/>
          <w:kern w:val="0"/>
          <w:lang w:bidi="ar"/>
        </w:rPr>
        <w:t>在认真落实环保措施的前提下，项目建设的环境代价主要考虑企业向环保主管部门缴纳的排污费，根据《排污费征收使用管理条例》、《排污费征收标准及计算方法》及本项目污染物收费类别，计算排污收费费用约</w:t>
      </w:r>
      <w:r>
        <w:rPr>
          <w:rFonts w:hint="eastAsia" w:cs="Times New Roman"/>
          <w:color w:val="000000"/>
          <w:kern w:val="0"/>
          <w:lang w:bidi="ar"/>
        </w:rPr>
        <w:t>2000</w:t>
      </w:r>
      <w:r>
        <w:rPr>
          <w:rFonts w:hint="eastAsia" w:ascii="宋体" w:hAnsi="宋体" w:cs="宋体"/>
          <w:color w:val="000000"/>
          <w:kern w:val="0"/>
          <w:lang w:bidi="ar"/>
        </w:rPr>
        <w:t>元</w:t>
      </w:r>
      <w:r>
        <w:rPr>
          <w:rFonts w:cs="Times New Roman"/>
          <w:color w:val="000000"/>
          <w:kern w:val="0"/>
          <w:lang w:bidi="ar"/>
        </w:rPr>
        <w:t>/</w:t>
      </w:r>
      <w:r>
        <w:rPr>
          <w:rFonts w:hint="eastAsia" w:ascii="宋体" w:hAnsi="宋体" w:cs="宋体"/>
          <w:color w:val="000000"/>
          <w:kern w:val="0"/>
          <w:lang w:bidi="ar"/>
        </w:rPr>
        <w:t>年。</w:t>
      </w:r>
    </w:p>
    <w:p>
      <w:pPr>
        <w:pStyle w:val="7"/>
        <w:ind w:firstLine="562"/>
      </w:pPr>
      <w:r>
        <w:t>8.4.</w:t>
      </w:r>
      <w:r>
        <w:rPr>
          <w:rFonts w:hint="eastAsia"/>
        </w:rPr>
        <w:t>4</w:t>
      </w:r>
      <w:r>
        <w:t xml:space="preserve"> 项目环境经济损益分析</w:t>
      </w:r>
    </w:p>
    <w:p>
      <w:pPr>
        <w:ind w:firstLine="480"/>
      </w:pPr>
      <w:r>
        <w:rPr>
          <w:rFonts w:hint="eastAsia"/>
        </w:rPr>
        <w:t>（</w:t>
      </w:r>
      <w:r>
        <w:t>1</w:t>
      </w:r>
      <w:r>
        <w:rPr>
          <w:rFonts w:hint="eastAsia"/>
        </w:rPr>
        <w:t>）环保建设费用占建设投资比例</w:t>
      </w:r>
    </w:p>
    <w:p>
      <w:pPr>
        <w:ind w:firstLine="480"/>
      </w:pPr>
      <w:r>
        <w:rPr>
          <w:rFonts w:hint="eastAsia"/>
        </w:rPr>
        <w:t>环保建设费用</w:t>
      </w:r>
      <w:r>
        <w:t>/</w:t>
      </w:r>
      <w:r>
        <w:rPr>
          <w:rFonts w:hint="eastAsia"/>
        </w:rPr>
        <w:t>总投资</w:t>
      </w:r>
      <w:r>
        <w:t>=</w:t>
      </w:r>
      <w:r>
        <w:rPr>
          <w:rFonts w:hint="eastAsia"/>
        </w:rPr>
        <w:t>（</w:t>
      </w:r>
      <w:r>
        <w:rPr>
          <w:rFonts w:hint="eastAsia"/>
          <w:lang w:eastAsia="zh-CN"/>
        </w:rPr>
        <w:t>651</w:t>
      </w:r>
      <w:r>
        <w:t>/</w:t>
      </w:r>
      <w:r>
        <w:rPr>
          <w:rFonts w:hint="eastAsia"/>
        </w:rPr>
        <w:t>20087.21）</w:t>
      </w:r>
      <w:r>
        <w:t>×100%</w:t>
      </w:r>
      <w:r>
        <w:rPr>
          <w:rFonts w:hint="eastAsia"/>
        </w:rPr>
        <w:t>＝</w:t>
      </w:r>
      <w:r>
        <w:rPr>
          <w:rFonts w:hint="eastAsia"/>
          <w:lang w:val="en-US" w:eastAsia="zh-CN"/>
        </w:rPr>
        <w:t>3.24</w:t>
      </w:r>
      <w:r>
        <w:rPr>
          <w:rFonts w:hint="eastAsia"/>
        </w:rPr>
        <w:t>%</w:t>
      </w:r>
    </w:p>
    <w:p>
      <w:pPr>
        <w:ind w:firstLine="480"/>
      </w:pPr>
      <w:r>
        <w:rPr>
          <w:rFonts w:hint="eastAsia"/>
        </w:rPr>
        <w:t>（</w:t>
      </w:r>
      <w:r>
        <w:t>2</w:t>
      </w:r>
      <w:r>
        <w:rPr>
          <w:rFonts w:hint="eastAsia"/>
        </w:rPr>
        <w:t>）环境成本率</w:t>
      </w:r>
    </w:p>
    <w:p>
      <w:pPr>
        <w:ind w:firstLine="480"/>
      </w:pPr>
      <w:r>
        <w:rPr>
          <w:rFonts w:hint="eastAsia"/>
        </w:rPr>
        <w:t>环境成本率是指工程单位经济效益所需的环保运行管理费用（工程总经济效益按税后利润计）：环境成本率</w:t>
      </w:r>
      <w:r>
        <w:t>=</w:t>
      </w:r>
      <w:r>
        <w:rPr>
          <w:rFonts w:hint="eastAsia"/>
        </w:rPr>
        <w:t>环保运行管理费用</w:t>
      </w:r>
      <w:r>
        <w:t>/</w:t>
      </w:r>
      <w:r>
        <w:rPr>
          <w:rFonts w:hint="eastAsia"/>
        </w:rPr>
        <w:t>工程总经济效益</w:t>
      </w:r>
      <w:r>
        <w:t>×100%=</w:t>
      </w:r>
      <w:r>
        <w:rPr>
          <w:rFonts w:hint="eastAsia"/>
        </w:rPr>
        <w:t>（</w:t>
      </w:r>
      <w:r>
        <w:rPr>
          <w:rFonts w:hint="eastAsia"/>
          <w:lang w:val="en-US" w:eastAsia="zh-CN"/>
        </w:rPr>
        <w:t>5</w:t>
      </w:r>
      <w:r>
        <w:t>/</w:t>
      </w:r>
      <w:r>
        <w:rPr>
          <w:rFonts w:hint="eastAsia"/>
        </w:rPr>
        <w:t>994）</w:t>
      </w:r>
      <w:r>
        <w:t>×100%</w:t>
      </w:r>
      <w:r>
        <w:rPr>
          <w:rFonts w:hint="eastAsia"/>
        </w:rPr>
        <w:t>＝</w:t>
      </w:r>
      <w:r>
        <w:rPr>
          <w:rFonts w:hint="eastAsia"/>
          <w:lang w:val="en-US" w:eastAsia="zh-CN"/>
        </w:rPr>
        <w:t>0.50</w:t>
      </w:r>
      <w:r>
        <w:t>%</w:t>
      </w:r>
    </w:p>
    <w:p>
      <w:pPr>
        <w:ind w:firstLine="480"/>
      </w:pPr>
      <w:r>
        <w:rPr>
          <w:rFonts w:hint="eastAsia"/>
        </w:rPr>
        <w:t>（</w:t>
      </w:r>
      <w:r>
        <w:t>3</w:t>
      </w:r>
      <w:r>
        <w:rPr>
          <w:rFonts w:hint="eastAsia"/>
        </w:rPr>
        <w:t>）环境系数</w:t>
      </w:r>
    </w:p>
    <w:p>
      <w:pPr>
        <w:ind w:firstLine="480"/>
      </w:pPr>
      <w:r>
        <w:rPr>
          <w:rFonts w:hint="eastAsia"/>
        </w:rPr>
        <w:t>环境系数指工程单位产值所需的环保运行管理费用：</w:t>
      </w:r>
    </w:p>
    <w:p>
      <w:pPr>
        <w:ind w:firstLine="480"/>
      </w:pPr>
      <w:r>
        <w:rPr>
          <w:rFonts w:hint="eastAsia"/>
        </w:rPr>
        <w:t>环境系数</w:t>
      </w:r>
      <w:r>
        <w:t>=</w:t>
      </w:r>
      <w:r>
        <w:rPr>
          <w:rFonts w:hint="eastAsia"/>
        </w:rPr>
        <w:t>环保运行管理费用</w:t>
      </w:r>
      <w:r>
        <w:t>/</w:t>
      </w:r>
      <w:r>
        <w:rPr>
          <w:rFonts w:hint="eastAsia"/>
        </w:rPr>
        <w:t>总投资</w:t>
      </w:r>
      <w:r>
        <w:t>×100%=</w:t>
      </w:r>
      <w:r>
        <w:rPr>
          <w:rFonts w:hint="eastAsia"/>
        </w:rPr>
        <w:t>（</w:t>
      </w:r>
      <w:r>
        <w:rPr>
          <w:rFonts w:hint="eastAsia"/>
          <w:lang w:val="en-US" w:eastAsia="zh-CN"/>
        </w:rPr>
        <w:t>5</w:t>
      </w:r>
      <w:r>
        <w:t>/</w:t>
      </w:r>
      <w:r>
        <w:rPr>
          <w:rFonts w:hint="eastAsia"/>
        </w:rPr>
        <w:t>20087.21）</w:t>
      </w:r>
      <w:r>
        <w:t>×100%</w:t>
      </w:r>
      <w:r>
        <w:rPr>
          <w:rFonts w:hint="eastAsia"/>
        </w:rPr>
        <w:t>＝</w:t>
      </w:r>
      <w:r>
        <w:rPr>
          <w:rFonts w:hint="eastAsia"/>
          <w:lang w:val="en-US" w:eastAsia="zh-CN"/>
        </w:rPr>
        <w:t>0.02</w:t>
      </w:r>
      <w:r>
        <w:t>%</w:t>
      </w:r>
    </w:p>
    <w:p>
      <w:pPr>
        <w:ind w:firstLine="480"/>
      </w:pPr>
      <w:r>
        <w:rPr>
          <w:rFonts w:hint="eastAsia"/>
        </w:rPr>
        <w:t>（</w:t>
      </w:r>
      <w:r>
        <w:t>4</w:t>
      </w:r>
      <w:r>
        <w:rPr>
          <w:rFonts w:hint="eastAsia"/>
        </w:rPr>
        <w:t>）环境代价率</w:t>
      </w:r>
    </w:p>
    <w:p>
      <w:pPr>
        <w:ind w:firstLine="480"/>
      </w:pPr>
      <w:r>
        <w:rPr>
          <w:rFonts w:hint="eastAsia"/>
        </w:rPr>
        <w:t>环境代价率指工程单位经济效益所需的环境代价：</w:t>
      </w:r>
    </w:p>
    <w:p>
      <w:pPr>
        <w:ind w:firstLine="480"/>
      </w:pPr>
      <w:r>
        <w:rPr>
          <w:rFonts w:hint="eastAsia"/>
        </w:rPr>
        <w:t>环境代价率</w:t>
      </w:r>
      <w:r>
        <w:t>=</w:t>
      </w:r>
      <w:r>
        <w:rPr>
          <w:rFonts w:hint="eastAsia"/>
        </w:rPr>
        <w:t>环境代价</w:t>
      </w:r>
      <w:r>
        <w:t>/</w:t>
      </w:r>
      <w:r>
        <w:rPr>
          <w:rFonts w:hint="eastAsia"/>
        </w:rPr>
        <w:t>工程总经济效益</w:t>
      </w:r>
      <w:r>
        <w:t>×100%=</w:t>
      </w:r>
      <w:r>
        <w:rPr>
          <w:rFonts w:hint="eastAsia"/>
        </w:rPr>
        <w:t>（0.2</w:t>
      </w:r>
      <w:r>
        <w:t>/</w:t>
      </w:r>
      <w:r>
        <w:rPr>
          <w:rFonts w:hint="eastAsia"/>
        </w:rPr>
        <w:t>994）</w:t>
      </w:r>
      <w:r>
        <w:t>×100%</w:t>
      </w:r>
      <w:r>
        <w:rPr>
          <w:rFonts w:hint="eastAsia"/>
        </w:rPr>
        <w:t>＝0.02</w:t>
      </w:r>
      <w:r>
        <w:t>%</w:t>
      </w:r>
      <w:r>
        <w:rPr>
          <w:rFonts w:hint="eastAsia"/>
        </w:rPr>
        <w:t>。</w:t>
      </w:r>
    </w:p>
    <w:p>
      <w:pPr>
        <w:ind w:firstLine="480"/>
      </w:pPr>
      <w:r>
        <w:rPr>
          <w:rFonts w:hint="eastAsia"/>
        </w:rPr>
        <w:t>（</w:t>
      </w:r>
      <w:r>
        <w:t>5</w:t>
      </w:r>
      <w:r>
        <w:rPr>
          <w:rFonts w:hint="eastAsia"/>
        </w:rPr>
        <w:t>）项目环境经济总体效益</w:t>
      </w:r>
    </w:p>
    <w:p>
      <w:pPr>
        <w:ind w:firstLine="480"/>
      </w:pPr>
      <w:r>
        <w:rPr>
          <w:rFonts w:hint="eastAsia"/>
        </w:rPr>
        <w:t>本项目环境经济总体效益</w:t>
      </w:r>
      <w:r>
        <w:t>=</w:t>
      </w:r>
      <w:r>
        <w:rPr>
          <w:rFonts w:hint="eastAsia"/>
        </w:rPr>
        <w:t>工程总经济效益</w:t>
      </w:r>
      <w:r>
        <w:t>-</w:t>
      </w:r>
      <w:r>
        <w:rPr>
          <w:rFonts w:hint="eastAsia"/>
        </w:rPr>
        <w:t>环境代价</w:t>
      </w:r>
      <w:r>
        <w:t>-</w:t>
      </w:r>
      <w:r>
        <w:rPr>
          <w:rFonts w:hint="eastAsia"/>
        </w:rPr>
        <w:t>环保设施运营管理费</w:t>
      </w:r>
      <w:r>
        <w:t>=</w:t>
      </w:r>
      <w:r>
        <w:rPr>
          <w:rFonts w:hint="eastAsia"/>
        </w:rPr>
        <w:t>994-0.2-</w:t>
      </w:r>
      <w:r>
        <w:rPr>
          <w:rFonts w:hint="eastAsia"/>
          <w:lang w:val="en-US" w:eastAsia="zh-CN"/>
        </w:rPr>
        <w:t>5</w:t>
      </w:r>
      <w:r>
        <w:rPr>
          <w:rFonts w:hint="eastAsia"/>
        </w:rPr>
        <w:t>＝</w:t>
      </w:r>
      <w:r>
        <w:rPr>
          <w:rFonts w:hint="eastAsia"/>
          <w:lang w:val="en-US" w:eastAsia="zh-CN"/>
        </w:rPr>
        <w:t>988.8</w:t>
      </w:r>
      <w:r>
        <w:rPr>
          <w:rFonts w:hint="eastAsia"/>
        </w:rPr>
        <w:t>（万元</w:t>
      </w:r>
      <w:r>
        <w:t>/</w:t>
      </w:r>
      <w:r>
        <w:rPr>
          <w:rFonts w:hint="eastAsia"/>
        </w:rPr>
        <w:t>年）</w:t>
      </w:r>
    </w:p>
    <w:p>
      <w:pPr>
        <w:ind w:firstLine="480"/>
      </w:pPr>
      <w:r>
        <w:rPr>
          <w:rFonts w:hint="eastAsia"/>
        </w:rPr>
        <w:t>由上述计算结果可以看出，本项目环境成本率为</w:t>
      </w:r>
      <w:r>
        <w:rPr>
          <w:rFonts w:hint="eastAsia"/>
          <w:lang w:val="en-US" w:eastAsia="zh-CN"/>
        </w:rPr>
        <w:t>0.50</w:t>
      </w:r>
      <w:r>
        <w:t>%</w:t>
      </w:r>
      <w:r>
        <w:rPr>
          <w:rFonts w:hint="eastAsia"/>
        </w:rPr>
        <w:t>，环境代价率为0.02</w:t>
      </w:r>
      <w:r>
        <w:t>%</w:t>
      </w:r>
      <w:r>
        <w:rPr>
          <w:rFonts w:hint="eastAsia"/>
        </w:rPr>
        <w:t>，</w:t>
      </w:r>
    </w:p>
    <w:p>
      <w:pPr>
        <w:ind w:firstLine="480"/>
      </w:pPr>
      <w:r>
        <w:rPr>
          <w:rFonts w:hint="eastAsia"/>
        </w:rPr>
        <w:t>项目环境经济总体效益为</w:t>
      </w:r>
      <w:r>
        <w:rPr>
          <w:rFonts w:hint="eastAsia"/>
          <w:lang w:val="en-US" w:eastAsia="zh-CN"/>
        </w:rPr>
        <w:t>988.8</w:t>
      </w:r>
      <w:r>
        <w:rPr>
          <w:rFonts w:hint="eastAsia"/>
        </w:rPr>
        <w:t>万元</w:t>
      </w:r>
      <w:r>
        <w:t>/</w:t>
      </w:r>
      <w:r>
        <w:rPr>
          <w:rFonts w:hint="eastAsia"/>
        </w:rPr>
        <w:t>年，从经济分析结果可以看出，本项目具有较高的环境经济效益。</w:t>
      </w:r>
    </w:p>
    <w:p>
      <w:pPr>
        <w:pStyle w:val="7"/>
        <w:ind w:firstLine="562"/>
      </w:pPr>
      <w:r>
        <w:t>8.4.</w:t>
      </w:r>
      <w:r>
        <w:rPr>
          <w:rFonts w:hint="eastAsia"/>
        </w:rPr>
        <w:t>5</w:t>
      </w:r>
      <w:r>
        <w:t xml:space="preserve"> 项目环境</w:t>
      </w:r>
      <w:r>
        <w:rPr>
          <w:rFonts w:hint="eastAsia"/>
        </w:rPr>
        <w:t>效益</w:t>
      </w:r>
      <w:r>
        <w:t>分析</w:t>
      </w:r>
    </w:p>
    <w:p>
      <w:pPr>
        <w:ind w:firstLine="480"/>
      </w:pPr>
      <w:r>
        <w:rPr>
          <w:rFonts w:hint="eastAsia"/>
        </w:rPr>
        <w:t>根据对建设项目的工程分析，本项目建成投产后，所产生的废水、废气和噪声等会对环境产生一定影响，因此必须采取相应的环保治理措施，以保证建设项目对环境的影响降低到最低程度，满足建设项目环境保护管理的要求。</w:t>
      </w:r>
    </w:p>
    <w:p>
      <w:pPr>
        <w:pStyle w:val="7"/>
        <w:ind w:firstLine="562"/>
      </w:pPr>
      <w:r>
        <w:rPr>
          <w:rFonts w:hint="eastAsia"/>
        </w:rPr>
        <w:t>8.4.6</w:t>
      </w:r>
      <w:r>
        <w:t xml:space="preserve"> 环境经济损益分析结论</w:t>
      </w:r>
    </w:p>
    <w:p>
      <w:pPr>
        <w:pStyle w:val="25"/>
        <w:widowControl/>
        <w:spacing w:beforeAutospacing="0" w:afterAutospacing="0"/>
        <w:ind w:firstLine="480"/>
        <w:rPr>
          <w:u w:val="single"/>
        </w:rPr>
      </w:pPr>
      <w:r>
        <w:rPr>
          <w:rFonts w:hint="eastAsia" w:ascii="宋体" w:hAnsi="宋体" w:cs="宋体"/>
          <w:color w:val="000000"/>
          <w:u w:val="single"/>
          <w:lang w:bidi="ar"/>
        </w:rPr>
        <w:t>本项目实施后年经济效益较好，在促进地方经济发展的同时，为社会提供就业岗位，具有良好的社会效益。同时</w:t>
      </w:r>
      <w:r>
        <w:rPr>
          <w:u w:val="single"/>
        </w:rPr>
        <w:t>本项目将</w:t>
      </w:r>
      <w:r>
        <w:rPr>
          <w:rFonts w:hint="eastAsia"/>
          <w:u w:val="single"/>
        </w:rPr>
        <w:t>厂区污染物处理达标排放</w:t>
      </w:r>
      <w:r>
        <w:rPr>
          <w:u w:val="single"/>
        </w:rPr>
        <w:t>，保护环境，又可以节约资源，项目满足可持续发展的要求。在落实本评价所提出各项污染防治措施的前提下，项目的建设能够达到经济效益、社会效益和环境效益相统一的要求，既为地方经济发展</w:t>
      </w:r>
      <w:r>
        <w:rPr>
          <w:rFonts w:hint="eastAsia"/>
          <w:u w:val="single"/>
        </w:rPr>
        <w:t>作出</w:t>
      </w:r>
      <w:r>
        <w:rPr>
          <w:u w:val="single"/>
        </w:rPr>
        <w:t>贡献，又通过环保投资治理污染，使污染物排放量在环境容量容许的范围内，不会对当地环境产生明显不利影响，项目建设是可行的。</w:t>
      </w:r>
    </w:p>
    <w:p>
      <w:pPr>
        <w:pStyle w:val="25"/>
        <w:widowControl/>
        <w:spacing w:beforeAutospacing="0" w:afterAutospacing="0"/>
        <w:ind w:firstLine="480"/>
        <w:rPr>
          <w:u w:val="single"/>
        </w:rPr>
        <w:sectPr>
          <w:pgSz w:w="11906" w:h="16838"/>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pPr>
    </w:p>
    <w:p>
      <w:pPr>
        <w:pStyle w:val="5"/>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bookmarkStart w:id="347" w:name="_Toc27308"/>
      <w:bookmarkStart w:id="348" w:name="_Toc19793"/>
      <w:bookmarkStart w:id="349" w:name="_Toc19461"/>
      <w:r>
        <w:t>第九章</w:t>
      </w:r>
      <w:r>
        <w:rPr>
          <w:rFonts w:hint="default"/>
        </w:rPr>
        <w:t xml:space="preserve"> </w:t>
      </w:r>
      <w:r>
        <w:t>环境管理与监测计划</w:t>
      </w:r>
      <w:bookmarkEnd w:id="347"/>
      <w:bookmarkEnd w:id="348"/>
      <w:bookmarkEnd w:id="349"/>
    </w:p>
    <w:p>
      <w:pPr>
        <w:ind w:firstLine="480"/>
      </w:pPr>
      <w:r>
        <w:rPr>
          <w:rFonts w:hint="eastAsia"/>
        </w:rPr>
        <w:t>环境管理是企业管理中一项重要的专业管理。加强环境监督、管理力度，是实现社会效益、经济效益、环境效益协调发展和走可持续发展道路的重要措施。环境监测是工业污染防治的依据和环境管理的耳目。加强污染监控工作，是了解和掌握企业排污特征，研究污染发展趋势，开展环保技术研究和综合利用能源的有效途径。随着人民生活水平的不断提高和环保意识的不断增强，对于建设项目所引起的周围生活环境质量影响日益受到普遍关注，这就要求企业领导者能够及时地掌握本企业的生产和排污状况，因此制定严格的环境管理与监控计划，并确保其认真落实，才能最大限度地减少污染物的产生与排放。</w:t>
      </w:r>
    </w:p>
    <w:p>
      <w:pPr>
        <w:pStyle w:val="6"/>
        <w:ind w:firstLine="0" w:firstLineChars="0"/>
      </w:pPr>
      <w:bookmarkStart w:id="350" w:name="_Toc24486"/>
      <w:bookmarkStart w:id="351" w:name="_Toc6736"/>
      <w:bookmarkStart w:id="352" w:name="_Toc12214"/>
      <w:r>
        <w:rPr>
          <w:lang w:val="en-US"/>
        </w:rPr>
        <w:t xml:space="preserve">9.1 </w:t>
      </w:r>
      <w:r>
        <w:rPr>
          <w:rFonts w:hint="eastAsia"/>
          <w:lang w:val="en-US"/>
        </w:rPr>
        <w:t>环境管理</w:t>
      </w:r>
      <w:bookmarkEnd w:id="350"/>
      <w:bookmarkEnd w:id="351"/>
      <w:bookmarkEnd w:id="352"/>
    </w:p>
    <w:p>
      <w:pPr>
        <w:pStyle w:val="7"/>
        <w:ind w:firstLine="562"/>
      </w:pPr>
      <w:r>
        <w:t>9.1.1 环境管理目的</w:t>
      </w:r>
    </w:p>
    <w:p>
      <w:pPr>
        <w:widowControl/>
        <w:ind w:firstLine="480"/>
        <w:jc w:val="left"/>
      </w:pPr>
      <w:r>
        <w:rPr>
          <w:rFonts w:hint="eastAsia" w:ascii="宋体" w:hAnsi="宋体" w:cs="宋体"/>
          <w:color w:val="000000"/>
          <w:kern w:val="0"/>
          <w:lang w:bidi="ar"/>
        </w:rPr>
        <w:t>环境管理计划可分为可行性研究阶段、初步设计阶段、施工阶段以及营运期环境管理计划，相应的环境管理机构一般包括管理机构、监督机构和监测机构。通过环境管理计划的实施，以达到如下目的：</w:t>
      </w:r>
    </w:p>
    <w:p>
      <w:pPr>
        <w:widowControl/>
        <w:ind w:firstLine="480"/>
        <w:jc w:val="left"/>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）使项目的建设符合国家经济建设和环境建设同时设计、同时施工和同时投产的</w:t>
      </w:r>
      <w:r>
        <w:rPr>
          <w:rFonts w:hint="eastAsia" w:cs="Times New Roman"/>
          <w:color w:val="000000"/>
          <w:kern w:val="0"/>
          <w:lang w:eastAsia="zh-CN" w:bidi="ar"/>
        </w:rPr>
        <w:t>“</w:t>
      </w:r>
      <w:r>
        <w:rPr>
          <w:rFonts w:hint="eastAsia" w:ascii="宋体" w:hAnsi="宋体" w:cs="宋体"/>
          <w:color w:val="000000"/>
          <w:kern w:val="0"/>
          <w:lang w:bidi="ar"/>
        </w:rPr>
        <w:t>三同时</w:t>
      </w:r>
      <w:r>
        <w:rPr>
          <w:rFonts w:hint="eastAsia" w:cs="Times New Roman"/>
          <w:color w:val="000000"/>
          <w:kern w:val="0"/>
          <w:lang w:eastAsia="zh-CN" w:bidi="ar"/>
        </w:rPr>
        <w:t>”</w:t>
      </w:r>
      <w:r>
        <w:rPr>
          <w:rFonts w:hint="eastAsia" w:ascii="宋体" w:hAnsi="宋体" w:cs="宋体"/>
          <w:color w:val="000000"/>
          <w:kern w:val="0"/>
          <w:lang w:bidi="ar"/>
        </w:rPr>
        <w:t>原则，为环保措施的落实及监督、为项目环境保护审批及环境保护竣工验收提供依据。</w:t>
      </w:r>
    </w:p>
    <w:p>
      <w:pPr>
        <w:widowControl/>
        <w:ind w:firstLine="480"/>
        <w:jc w:val="left"/>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）通过环境管理计划的实施，将项目对周围环境带来的不利影响减少至最低程度，使该项目的经济效益和环境效益得以协调发展。</w:t>
      </w:r>
    </w:p>
    <w:p>
      <w:pPr>
        <w:pStyle w:val="7"/>
        <w:ind w:firstLine="562"/>
      </w:pPr>
      <w:r>
        <w:t xml:space="preserve">9.1.2 </w:t>
      </w:r>
      <w:r>
        <w:rPr>
          <w:rFonts w:hint="eastAsia"/>
        </w:rPr>
        <w:t>环境管理机构的设置及职责</w:t>
      </w:r>
    </w:p>
    <w:p>
      <w:pPr>
        <w:widowControl/>
        <w:ind w:firstLine="480"/>
        <w:jc w:val="left"/>
        <w:rPr>
          <w:u w:val="single"/>
        </w:rPr>
      </w:pPr>
      <w:r>
        <w:rPr>
          <w:rFonts w:hint="eastAsia" w:ascii="宋体" w:hAnsi="宋体" w:cs="宋体"/>
          <w:color w:val="000000"/>
          <w:kern w:val="0"/>
          <w:u w:val="single"/>
          <w:lang w:bidi="ar"/>
        </w:rPr>
        <w:t>根据国家、河南省有关环保法规和建设项目环境管理的要求，为加强该工程施工期及运行期的环境保护工作，公司设置环境保护管理机构，该机构主要负责日常环境保护管理、环境污染防治设施运行和污染物达标排放、污染物排放日常监测等工作的监督考核工作。环境管理机构（安技环保部）中，有专职人员负责厂内废气、废水、噪声、固体废弃物以及其他环境管理工作；该人员是专业环保工作人员，有较强的环保知识和管理水平。本项目设置环境管理机构由专职人员进行管理。</w:t>
      </w:r>
    </w:p>
    <w:p>
      <w:pPr>
        <w:widowControl/>
        <w:ind w:firstLine="480"/>
        <w:jc w:val="left"/>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）施工期环境管理机构职责</w:t>
      </w:r>
    </w:p>
    <w:p>
      <w:pPr>
        <w:widowControl/>
        <w:ind w:firstLine="480"/>
        <w:jc w:val="left"/>
        <w:rPr>
          <w:u w:val="single"/>
        </w:rPr>
      </w:pPr>
      <w:r>
        <w:rPr>
          <w:rFonts w:hint="eastAsia" w:ascii="宋体" w:hAnsi="宋体" w:cs="宋体"/>
          <w:color w:val="000000"/>
          <w:kern w:val="0"/>
          <w:u w:val="single"/>
          <w:lang w:bidi="ar"/>
        </w:rPr>
        <w:t>①根据国家有关的施工管理条例和操作规范，结合拟建工程的具体施工计划和本报告提出的污染防治措施，制定有针对性的环境保护管理办法和详细的环保管理计划，特别是制定和实施环保设施知识及环境监测培训。</w:t>
      </w:r>
    </w:p>
    <w:p>
      <w:pPr>
        <w:widowControl/>
        <w:ind w:firstLine="480"/>
        <w:jc w:val="left"/>
      </w:pPr>
      <w:r>
        <w:rPr>
          <w:rFonts w:hint="eastAsia" w:ascii="宋体" w:hAnsi="宋体" w:cs="宋体"/>
          <w:color w:val="000000"/>
          <w:kern w:val="0"/>
          <w:lang w:bidi="ar"/>
        </w:rPr>
        <w:t>②定期对施工现场进行检查，监督施工单位对环境保护管理办法的执行情况，及时制止和纠正不符合管理办法的施工行为。</w:t>
      </w:r>
    </w:p>
    <w:p>
      <w:pPr>
        <w:widowControl/>
        <w:ind w:firstLine="480"/>
        <w:jc w:val="left"/>
      </w:pPr>
      <w:r>
        <w:rPr>
          <w:rFonts w:hint="eastAsia" w:ascii="宋体" w:hAnsi="宋体" w:cs="宋体"/>
          <w:color w:val="000000"/>
          <w:kern w:val="0"/>
          <w:lang w:bidi="ar"/>
        </w:rPr>
        <w:t>③调查、处理施工过程中出现的扰民或污染问题。</w:t>
      </w:r>
    </w:p>
    <w:p>
      <w:pPr>
        <w:widowControl/>
        <w:ind w:firstLine="480"/>
        <w:jc w:val="left"/>
      </w:pPr>
      <w:r>
        <w:rPr>
          <w:rFonts w:hint="eastAsia" w:ascii="宋体" w:hAnsi="宋体" w:cs="宋体"/>
          <w:color w:val="000000"/>
          <w:kern w:val="0"/>
          <w:lang w:bidi="ar"/>
        </w:rPr>
        <w:t>④为有效地控制工程施工期间的环境污染，项目在建设施工阶段，不但要对工程的施工质量、进度进行管理，同时必须对施工的文明程、环境影响减缓措施的落实情况，以及环境保护方面合同条款的执行情况进行监督检查。</w:t>
      </w:r>
    </w:p>
    <w:p>
      <w:pPr>
        <w:widowControl/>
        <w:ind w:firstLine="480"/>
        <w:jc w:val="left"/>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）营运期环境管理机构职责</w:t>
      </w:r>
    </w:p>
    <w:p>
      <w:pPr>
        <w:widowControl/>
        <w:ind w:firstLine="480"/>
        <w:jc w:val="left"/>
      </w:pPr>
      <w:r>
        <w:rPr>
          <w:rFonts w:hint="eastAsia" w:ascii="宋体" w:hAnsi="宋体" w:cs="宋体"/>
          <w:color w:val="000000"/>
          <w:kern w:val="0"/>
          <w:lang w:bidi="ar"/>
        </w:rPr>
        <w:t>为防治项目建成后运行过程中的污染问题，环境管理机构的职责，具体应包括以下方面：</w:t>
      </w:r>
    </w:p>
    <w:p>
      <w:pPr>
        <w:widowControl/>
        <w:ind w:firstLine="480"/>
        <w:jc w:val="left"/>
      </w:pPr>
      <w:r>
        <w:rPr>
          <w:rFonts w:hint="eastAsia" w:ascii="宋体" w:hAnsi="宋体" w:cs="宋体"/>
          <w:color w:val="000000"/>
          <w:kern w:val="0"/>
          <w:lang w:bidi="ar"/>
        </w:rPr>
        <w:t>①组织贯彻国家、河南省以及行业主管部门有关环境保护的法律法规、方针政策，配合当地环保部门做好本项目的环境管理工作。</w:t>
      </w:r>
    </w:p>
    <w:p>
      <w:pPr>
        <w:widowControl/>
        <w:ind w:firstLine="480"/>
        <w:jc w:val="left"/>
      </w:pPr>
      <w:r>
        <w:rPr>
          <w:rFonts w:hint="eastAsia" w:ascii="宋体" w:hAnsi="宋体" w:cs="宋体"/>
          <w:color w:val="000000"/>
          <w:kern w:val="0"/>
          <w:lang w:bidi="ar"/>
        </w:rPr>
        <w:t>②执行上级主管部门建立的各种环境管理制度，制定相关的管理计划并切实实施。</w:t>
      </w:r>
    </w:p>
    <w:p>
      <w:pPr>
        <w:widowControl/>
        <w:ind w:firstLine="480"/>
        <w:jc w:val="left"/>
      </w:pPr>
      <w:r>
        <w:rPr>
          <w:rFonts w:hint="eastAsia" w:ascii="宋体" w:hAnsi="宋体" w:cs="宋体"/>
          <w:color w:val="000000"/>
          <w:kern w:val="0"/>
          <w:lang w:bidi="ar"/>
        </w:rPr>
        <w:t>③定期检查、维护和保养环保设备，确保其正常通行，采取积极有效的环保措施防治污染，并对环保措施的执行情况和效果进行监督检查。</w:t>
      </w:r>
    </w:p>
    <w:p>
      <w:pPr>
        <w:widowControl/>
        <w:ind w:firstLine="480"/>
        <w:jc w:val="left"/>
      </w:pPr>
      <w:r>
        <w:rPr>
          <w:rFonts w:hint="eastAsia" w:ascii="宋体" w:hAnsi="宋体" w:cs="宋体"/>
          <w:color w:val="000000"/>
          <w:kern w:val="0"/>
          <w:lang w:bidi="ar"/>
        </w:rPr>
        <w:t>④组织有关单位或人员进行环境监测工作，建立污染源档案管理制度及监控档案制度。</w:t>
      </w:r>
    </w:p>
    <w:p>
      <w:pPr>
        <w:widowControl/>
        <w:ind w:firstLine="480"/>
        <w:jc w:val="left"/>
      </w:pPr>
      <w:r>
        <w:rPr>
          <w:rFonts w:hint="eastAsia" w:ascii="宋体" w:hAnsi="宋体" w:cs="宋体"/>
          <w:color w:val="000000"/>
          <w:kern w:val="0"/>
          <w:lang w:bidi="ar"/>
        </w:rPr>
        <w:t>⑤与环保部门配合，调查、处理与项目有关的污染事故和扰民纠纷。</w:t>
      </w:r>
    </w:p>
    <w:p>
      <w:pPr>
        <w:widowControl/>
        <w:ind w:firstLine="480"/>
        <w:jc w:val="left"/>
      </w:pPr>
      <w:r>
        <w:rPr>
          <w:rFonts w:hint="eastAsia" w:ascii="宋体" w:hAnsi="宋体" w:cs="宋体"/>
          <w:color w:val="000000"/>
          <w:kern w:val="0"/>
          <w:lang w:bidi="ar"/>
        </w:rPr>
        <w:t>⑥定期对工作人员进行培训，提高他们的能力，同时积极开展技术革新、技术交流活动，推广利用先进技术和经验，进一步改进环境管理工作。</w:t>
      </w:r>
    </w:p>
    <w:p>
      <w:pPr>
        <w:widowControl/>
        <w:ind w:firstLine="480"/>
        <w:jc w:val="left"/>
      </w:pPr>
      <w:r>
        <w:rPr>
          <w:rFonts w:hint="eastAsia" w:ascii="宋体" w:hAnsi="宋体" w:cs="宋体"/>
          <w:color w:val="000000"/>
          <w:kern w:val="0"/>
          <w:lang w:bidi="ar"/>
        </w:rPr>
        <w:t>⑦在企业内部建立强有力的环境管理体系，将环境管理落实到车间与岗位，制定相应的操作规程、监督管理制度和奖惩制度，以保证各项环境保护措施在生产经营的各个环节得到有效执行。</w:t>
      </w:r>
    </w:p>
    <w:p>
      <w:pPr>
        <w:widowControl/>
        <w:ind w:firstLine="480"/>
        <w:jc w:val="left"/>
      </w:pPr>
      <w:r>
        <w:rPr>
          <w:rFonts w:hint="eastAsia" w:ascii="宋体" w:hAnsi="宋体" w:cs="宋体"/>
          <w:color w:val="000000"/>
          <w:kern w:val="0"/>
          <w:lang w:bidi="ar"/>
        </w:rPr>
        <w:t>⑧企业应建设并完善日常和应急监测系统，配备大气、水环境特征污染物监控设备，编制日常和应急监测方案，建立完备的环境信息平台，定期向社会公布企业环境信息，接受公众监督。企业应制定环境事故应急预案，并将突发环境事件应急预案演练和应急物资管理作为日常工作任务，不断提升环境风险防范应急保障能力并积极配合当地政府建设和完善项目所在集聚区环境风险预警体系、环境风险防控工程、环境应急保障体系。</w:t>
      </w:r>
    </w:p>
    <w:p>
      <w:pPr>
        <w:pStyle w:val="7"/>
        <w:ind w:firstLine="562"/>
      </w:pPr>
      <w:r>
        <w:t xml:space="preserve">9.1.3 </w:t>
      </w:r>
      <w:r>
        <w:rPr>
          <w:rFonts w:hint="eastAsia"/>
        </w:rPr>
        <w:t>环境保护管理机构的任务</w:t>
      </w:r>
    </w:p>
    <w:p>
      <w:pPr>
        <w:widowControl/>
        <w:ind w:firstLine="480"/>
        <w:jc w:val="left"/>
      </w:pPr>
      <w:r>
        <w:rPr>
          <w:rFonts w:hint="eastAsia" w:ascii="宋体" w:hAnsi="宋体" w:cs="宋体"/>
          <w:color w:val="000000"/>
          <w:kern w:val="0"/>
          <w:lang w:bidi="ar"/>
        </w:rPr>
        <w:t>项目在生产运行过程中为保证环境管理系统的有效运行应制定环境管理方案。企业环境管理方案主要包括下列内容：</w:t>
      </w:r>
    </w:p>
    <w:p>
      <w:pPr>
        <w:widowControl/>
        <w:ind w:firstLine="480"/>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）组织贯彻国家及地方的有关环保方针、政策法令和条例，搞好环境教育和技术培训，提高公司职工的环保意识和技术水平，提高污染控制的责任心。</w:t>
      </w:r>
    </w:p>
    <w:p>
      <w:pPr>
        <w:widowControl/>
        <w:ind w:firstLine="480"/>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）制定并实施公司环境保护工作的长期规划及年度污染治理计划，严格控制</w:t>
      </w:r>
      <w:r>
        <w:rPr>
          <w:rFonts w:hint="eastAsia" w:cs="Times New Roman"/>
          <w:color w:val="000000"/>
          <w:kern w:val="0"/>
          <w:lang w:eastAsia="zh-CN" w:bidi="ar"/>
        </w:rPr>
        <w:t>“</w:t>
      </w:r>
      <w:r>
        <w:rPr>
          <w:rFonts w:hint="eastAsia" w:ascii="宋体" w:hAnsi="宋体" w:cs="宋体"/>
          <w:color w:val="000000"/>
          <w:kern w:val="0"/>
          <w:lang w:bidi="ar"/>
        </w:rPr>
        <w:t>三废</w:t>
      </w:r>
      <w:r>
        <w:rPr>
          <w:rFonts w:hint="eastAsia" w:cs="Times New Roman"/>
          <w:color w:val="000000"/>
          <w:kern w:val="0"/>
          <w:lang w:eastAsia="zh-CN" w:bidi="ar"/>
        </w:rPr>
        <w:t>”</w:t>
      </w:r>
      <w:r>
        <w:rPr>
          <w:rFonts w:hint="eastAsia" w:ascii="宋体" w:hAnsi="宋体" w:cs="宋体"/>
          <w:color w:val="000000"/>
          <w:kern w:val="0"/>
          <w:lang w:bidi="ar"/>
        </w:rPr>
        <w:t>的排放。</w:t>
      </w:r>
    </w:p>
    <w:p>
      <w:pPr>
        <w:widowControl/>
        <w:ind w:firstLine="480"/>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）负责督促建设项目与环保设施</w:t>
      </w:r>
      <w:r>
        <w:rPr>
          <w:rFonts w:hint="eastAsia" w:cs="Times New Roman"/>
          <w:color w:val="000000"/>
          <w:kern w:val="0"/>
          <w:lang w:eastAsia="zh-CN" w:bidi="ar"/>
        </w:rPr>
        <w:t>“</w:t>
      </w:r>
      <w:r>
        <w:rPr>
          <w:rFonts w:hint="eastAsia" w:ascii="宋体" w:hAnsi="宋体" w:cs="宋体"/>
          <w:color w:val="000000"/>
          <w:kern w:val="0"/>
          <w:lang w:bidi="ar"/>
        </w:rPr>
        <w:t>三同时</w:t>
      </w:r>
      <w:r>
        <w:rPr>
          <w:rFonts w:hint="eastAsia" w:ascii="宋体" w:hAnsi="宋体" w:cs="宋体"/>
          <w:color w:val="000000"/>
          <w:kern w:val="0"/>
          <w:lang w:eastAsia="zh-CN" w:bidi="ar"/>
        </w:rPr>
        <w:t>”</w:t>
      </w:r>
      <w:r>
        <w:rPr>
          <w:rFonts w:hint="eastAsia" w:ascii="宋体" w:hAnsi="宋体" w:cs="宋体"/>
          <w:color w:val="000000"/>
          <w:kern w:val="0"/>
          <w:lang w:bidi="ar"/>
        </w:rPr>
        <w:t>的执行情况，检查企业内部各环保设施的运行情况，并定期检查维护环保设施，杜绝不达标排放。</w:t>
      </w:r>
    </w:p>
    <w:p>
      <w:pPr>
        <w:widowControl/>
        <w:ind w:firstLine="480"/>
      </w:pPr>
      <w:r>
        <w:rPr>
          <w:rFonts w:hint="eastAsia" w:ascii="宋体" w:hAnsi="宋体" w:cs="宋体"/>
          <w:color w:val="000000"/>
          <w:kern w:val="0"/>
          <w:lang w:bidi="ar"/>
        </w:rPr>
        <w:t>（</w:t>
      </w:r>
      <w:r>
        <w:rPr>
          <w:rFonts w:cs="Times New Roman"/>
          <w:color w:val="000000"/>
          <w:kern w:val="0"/>
          <w:lang w:bidi="ar"/>
        </w:rPr>
        <w:t>4</w:t>
      </w:r>
      <w:r>
        <w:rPr>
          <w:rFonts w:hint="eastAsia" w:ascii="宋体" w:hAnsi="宋体" w:cs="宋体"/>
          <w:color w:val="000000"/>
          <w:kern w:val="0"/>
          <w:lang w:bidi="ar"/>
        </w:rPr>
        <w:t>）负责公司的所有环保设施操作规程的制定，监督环保设施的运转，对于违反操作规程而造成的环境污染事故及时进行处理，消除污染，调查事故发生原因，并对有关负责人及操作人员进行处罚，同时提出整治措施，杜绝事故再次发生。</w:t>
      </w:r>
    </w:p>
    <w:p>
      <w:pPr>
        <w:widowControl/>
        <w:ind w:firstLine="480"/>
      </w:pPr>
      <w:r>
        <w:rPr>
          <w:rFonts w:hint="eastAsia" w:ascii="宋体" w:hAnsi="宋体" w:cs="宋体"/>
          <w:color w:val="000000"/>
          <w:kern w:val="0"/>
          <w:lang w:bidi="ar"/>
        </w:rPr>
        <w:t>（</w:t>
      </w:r>
      <w:r>
        <w:rPr>
          <w:rFonts w:cs="Times New Roman"/>
          <w:color w:val="000000"/>
          <w:kern w:val="0"/>
          <w:lang w:bidi="ar"/>
        </w:rPr>
        <w:t>5</w:t>
      </w:r>
      <w:r>
        <w:rPr>
          <w:rFonts w:hint="eastAsia" w:ascii="宋体" w:hAnsi="宋体" w:cs="宋体"/>
          <w:color w:val="000000"/>
          <w:kern w:val="0"/>
          <w:lang w:bidi="ar"/>
        </w:rPr>
        <w:t>）领导并组织项目运行期间的环境监测工作，掌握污染动态，做好环境统计工作，建立环境监控档案。</w:t>
      </w:r>
    </w:p>
    <w:p>
      <w:pPr>
        <w:widowControl/>
        <w:ind w:firstLine="480"/>
      </w:pPr>
      <w:r>
        <w:rPr>
          <w:rFonts w:hint="eastAsia" w:ascii="宋体" w:hAnsi="宋体" w:cs="宋体"/>
          <w:color w:val="000000"/>
          <w:kern w:val="0"/>
          <w:lang w:bidi="ar"/>
        </w:rPr>
        <w:t>（</w:t>
      </w:r>
      <w:r>
        <w:rPr>
          <w:rFonts w:cs="Times New Roman"/>
          <w:color w:val="000000"/>
          <w:kern w:val="0"/>
          <w:lang w:bidi="ar"/>
        </w:rPr>
        <w:t>6</w:t>
      </w:r>
      <w:r>
        <w:rPr>
          <w:rFonts w:hint="eastAsia" w:ascii="宋体" w:hAnsi="宋体" w:cs="宋体"/>
          <w:color w:val="000000"/>
          <w:kern w:val="0"/>
          <w:lang w:bidi="ar"/>
        </w:rPr>
        <w:t>）负责提出、审查有关环境保护的技术改造方案和治理方案，负责提出、审查各项清洁生产方案和组织清洁生产方案的实施。</w:t>
      </w:r>
    </w:p>
    <w:p>
      <w:pPr>
        <w:widowControl/>
        <w:ind w:firstLine="480"/>
      </w:pPr>
      <w:r>
        <w:rPr>
          <w:rFonts w:hint="eastAsia" w:ascii="宋体" w:hAnsi="宋体" w:cs="宋体"/>
          <w:color w:val="000000"/>
          <w:kern w:val="0"/>
          <w:lang w:bidi="ar"/>
        </w:rPr>
        <w:t>（</w:t>
      </w:r>
      <w:r>
        <w:rPr>
          <w:rFonts w:cs="Times New Roman"/>
          <w:color w:val="000000"/>
          <w:kern w:val="0"/>
          <w:lang w:bidi="ar"/>
        </w:rPr>
        <w:t>7</w:t>
      </w:r>
      <w:r>
        <w:rPr>
          <w:rFonts w:hint="eastAsia" w:ascii="宋体" w:hAnsi="宋体" w:cs="宋体"/>
          <w:color w:val="000000"/>
          <w:kern w:val="0"/>
          <w:lang w:bidi="ar"/>
        </w:rPr>
        <w:t>）负责对企业废水、废气排污口的规范化管理工作。建立完善的污染源档案管理制度，在排放口处设置标志牌，并注明污染物名称以警示周围群众；如实填写《中华人民共和国规范化排污口登记证》的有关内容，由环保主管部门签发登记证；</w:t>
      </w:r>
    </w:p>
    <w:p>
      <w:pPr>
        <w:widowControl/>
        <w:ind w:firstLine="480"/>
      </w:pPr>
      <w:r>
        <w:rPr>
          <w:rFonts w:hint="eastAsia" w:ascii="宋体" w:hAnsi="宋体" w:cs="宋体"/>
          <w:color w:val="000000"/>
          <w:kern w:val="0"/>
          <w:lang w:bidi="ar"/>
        </w:rPr>
        <w:t>把有关排污情况（如排污口的性质、编号、排污口位置及排放的主要污染物种类、数量、浓度、排放规律、排放走向、污染治理措施的运行情况）建档管理，并报送环保主管部门备案。</w:t>
      </w:r>
    </w:p>
    <w:p>
      <w:pPr>
        <w:pStyle w:val="7"/>
        <w:ind w:firstLine="562"/>
      </w:pPr>
      <w:r>
        <w:t xml:space="preserve">9.1.4 </w:t>
      </w:r>
      <w:r>
        <w:rPr>
          <w:rFonts w:hint="eastAsia"/>
        </w:rPr>
        <w:t>环境管理的原则</w:t>
      </w:r>
    </w:p>
    <w:p>
      <w:pPr>
        <w:ind w:firstLine="480"/>
      </w:pPr>
      <w:r>
        <w:rPr>
          <w:rFonts w:hint="eastAsia"/>
        </w:rPr>
        <w:t>根据本公司自身特点和国家环境保护发展的要求，其遵循的环境管理原则是：</w:t>
      </w:r>
    </w:p>
    <w:p>
      <w:pPr>
        <w:widowControl/>
        <w:ind w:firstLine="480"/>
        <w:jc w:val="left"/>
      </w:pPr>
      <w:r>
        <w:rPr>
          <w:rFonts w:hint="eastAsia" w:ascii="宋体" w:hAnsi="宋体" w:cs="宋体"/>
          <w:color w:val="000000"/>
          <w:kern w:val="0"/>
          <w:lang w:bidi="ar"/>
        </w:rPr>
        <w:t>（</w:t>
      </w:r>
      <w:r>
        <w:rPr>
          <w:rFonts w:cs="Times New Roman"/>
          <w:color w:val="000000"/>
          <w:kern w:val="0"/>
          <w:lang w:bidi="ar"/>
        </w:rPr>
        <w:t>1</w:t>
      </w:r>
      <w:r>
        <w:rPr>
          <w:rFonts w:hint="eastAsia" w:ascii="宋体" w:hAnsi="宋体" w:cs="宋体"/>
          <w:color w:val="000000"/>
          <w:kern w:val="0"/>
          <w:lang w:bidi="ar"/>
        </w:rPr>
        <w:t>）经济效益、社会效益和环境效益高度统一，坚持可持续发展的原则。</w:t>
      </w:r>
    </w:p>
    <w:p>
      <w:pPr>
        <w:widowControl/>
        <w:ind w:firstLine="480"/>
        <w:jc w:val="left"/>
      </w:pPr>
      <w:r>
        <w:rPr>
          <w:rFonts w:hint="eastAsia" w:ascii="宋体" w:hAnsi="宋体" w:cs="宋体"/>
          <w:color w:val="000000"/>
          <w:kern w:val="0"/>
          <w:lang w:bidi="ar"/>
        </w:rPr>
        <w:t>（</w:t>
      </w:r>
      <w:r>
        <w:rPr>
          <w:rFonts w:cs="Times New Roman"/>
          <w:color w:val="000000"/>
          <w:kern w:val="0"/>
          <w:lang w:bidi="ar"/>
        </w:rPr>
        <w:t>2</w:t>
      </w:r>
      <w:r>
        <w:rPr>
          <w:rFonts w:hint="eastAsia" w:ascii="宋体" w:hAnsi="宋体" w:cs="宋体"/>
          <w:color w:val="000000"/>
          <w:kern w:val="0"/>
          <w:lang w:bidi="ar"/>
        </w:rPr>
        <w:t>）预防为主，管治结合的原则。</w:t>
      </w:r>
    </w:p>
    <w:p>
      <w:pPr>
        <w:widowControl/>
        <w:ind w:firstLine="480"/>
        <w:jc w:val="left"/>
      </w:pPr>
      <w:r>
        <w:rPr>
          <w:rFonts w:hint="eastAsia" w:ascii="宋体" w:hAnsi="宋体" w:cs="宋体"/>
          <w:color w:val="000000"/>
          <w:kern w:val="0"/>
          <w:lang w:bidi="ar"/>
        </w:rPr>
        <w:t>（</w:t>
      </w:r>
      <w:r>
        <w:rPr>
          <w:rFonts w:cs="Times New Roman"/>
          <w:color w:val="000000"/>
          <w:kern w:val="0"/>
          <w:lang w:bidi="ar"/>
        </w:rPr>
        <w:t>3</w:t>
      </w:r>
      <w:r>
        <w:rPr>
          <w:rFonts w:hint="eastAsia" w:ascii="宋体" w:hAnsi="宋体" w:cs="宋体"/>
          <w:color w:val="000000"/>
          <w:kern w:val="0"/>
          <w:lang w:bidi="ar"/>
        </w:rPr>
        <w:t>）环保优先的原则。主要工艺设施的改造，新工艺、新技术的采用，企业发展规划的制定，坚持统筹规划、合理布局、清洁生产、集中控制和治理污染。</w:t>
      </w:r>
    </w:p>
    <w:p>
      <w:pPr>
        <w:widowControl/>
        <w:ind w:firstLine="480"/>
        <w:jc w:val="left"/>
      </w:pPr>
      <w:r>
        <w:rPr>
          <w:rFonts w:hint="eastAsia" w:ascii="宋体" w:hAnsi="宋体" w:cs="宋体"/>
          <w:color w:val="000000"/>
          <w:kern w:val="0"/>
          <w:lang w:bidi="ar"/>
        </w:rPr>
        <w:t>（</w:t>
      </w:r>
      <w:r>
        <w:rPr>
          <w:rFonts w:cs="Times New Roman"/>
          <w:color w:val="000000"/>
          <w:kern w:val="0"/>
          <w:lang w:bidi="ar"/>
        </w:rPr>
        <w:t>4</w:t>
      </w:r>
      <w:r>
        <w:rPr>
          <w:rFonts w:hint="eastAsia" w:ascii="宋体" w:hAnsi="宋体" w:cs="宋体"/>
          <w:color w:val="000000"/>
          <w:kern w:val="0"/>
          <w:lang w:bidi="ar"/>
        </w:rPr>
        <w:t>）依靠科技进步，推进清洁生产，节能降耗，降低污染的原则。</w:t>
      </w:r>
    </w:p>
    <w:p>
      <w:pPr>
        <w:widowControl/>
        <w:ind w:firstLine="480"/>
        <w:jc w:val="left"/>
      </w:pPr>
      <w:r>
        <w:rPr>
          <w:rFonts w:hint="eastAsia" w:ascii="宋体" w:hAnsi="宋体" w:cs="宋体"/>
          <w:color w:val="000000"/>
          <w:kern w:val="0"/>
          <w:lang w:bidi="ar"/>
        </w:rPr>
        <w:t>（</w:t>
      </w:r>
      <w:r>
        <w:rPr>
          <w:rFonts w:cs="Times New Roman"/>
          <w:color w:val="000000"/>
          <w:kern w:val="0"/>
          <w:lang w:bidi="ar"/>
        </w:rPr>
        <w:t>5</w:t>
      </w:r>
      <w:r>
        <w:rPr>
          <w:rFonts w:hint="eastAsia" w:ascii="宋体" w:hAnsi="宋体" w:cs="宋体"/>
          <w:color w:val="000000"/>
          <w:kern w:val="0"/>
          <w:lang w:bidi="ar"/>
        </w:rPr>
        <w:t>）专业环保管理与公众参与相结合的原则。加强环保宣传，提高全体员工的环境保护意识，领导重视、公众参与、齐抓共管，推动公司的环境保护工作。</w:t>
      </w:r>
    </w:p>
    <w:p>
      <w:pPr>
        <w:ind w:firstLine="482"/>
        <w:jc w:val="center"/>
        <w:rPr>
          <w:b/>
          <w:bCs/>
        </w:rPr>
      </w:pPr>
      <w:r>
        <w:rPr>
          <w:rFonts w:hint="eastAsia"/>
          <w:b/>
          <w:bCs/>
        </w:rPr>
        <w:t>表</w:t>
      </w:r>
      <w:r>
        <w:rPr>
          <w:b/>
          <w:bCs/>
        </w:rPr>
        <w:t xml:space="preserve">9.1-1 </w:t>
      </w:r>
      <w:r>
        <w:rPr>
          <w:rFonts w:hint="eastAsia"/>
          <w:b/>
          <w:bCs/>
        </w:rPr>
        <w:t xml:space="preserve"> 项目全过程环境管理计划一览表</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59"/>
        <w:gridCol w:w="79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9" w:type="dxa"/>
            <w:vAlign w:val="center"/>
          </w:tcPr>
          <w:p>
            <w:pPr>
              <w:pStyle w:val="38"/>
              <w:rPr>
                <w:rFonts w:hint="default"/>
              </w:rPr>
            </w:pPr>
            <w:r>
              <w:t>运行时段</w:t>
            </w:r>
          </w:p>
        </w:tc>
        <w:tc>
          <w:tcPr>
            <w:tcW w:w="7929" w:type="dxa"/>
            <w:vAlign w:val="center"/>
          </w:tcPr>
          <w:p>
            <w:pPr>
              <w:pStyle w:val="38"/>
              <w:rPr>
                <w:rFonts w:hint="default"/>
              </w:rPr>
            </w:pPr>
            <w:r>
              <w:t>管理计划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9" w:type="dxa"/>
            <w:vAlign w:val="center"/>
          </w:tcPr>
          <w:p>
            <w:pPr>
              <w:pStyle w:val="38"/>
              <w:rPr>
                <w:rFonts w:hint="default"/>
              </w:rPr>
            </w:pPr>
            <w:r>
              <w:t>筹备期</w:t>
            </w:r>
          </w:p>
        </w:tc>
        <w:tc>
          <w:tcPr>
            <w:tcW w:w="7929" w:type="dxa"/>
            <w:vAlign w:val="center"/>
          </w:tcPr>
          <w:p>
            <w:pPr>
              <w:pStyle w:val="38"/>
              <w:rPr>
                <w:rFonts w:hint="default"/>
              </w:rPr>
            </w:pPr>
            <w:r>
              <w:t>熟悉环保法律法规。</w:t>
            </w:r>
          </w:p>
          <w:p>
            <w:pPr>
              <w:pStyle w:val="38"/>
              <w:rPr>
                <w:rFonts w:hint="default"/>
              </w:rPr>
            </w:pPr>
            <w:r>
              <w:t>审核项目准入条件，确定项目是否符合国家产业政策和环保准入条件。向环保管理部门申报建设项目，内容包括产品规模、生产工艺、采用设备，建设地点等。请有资质的正规单位进行可行性研究和初步设计，进行建设项目环境影响评价，待管理部门批准后进行建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9" w:type="dxa"/>
            <w:vAlign w:val="center"/>
          </w:tcPr>
          <w:p>
            <w:pPr>
              <w:pStyle w:val="38"/>
              <w:rPr>
                <w:rFonts w:hint="default"/>
              </w:rPr>
            </w:pPr>
            <w:r>
              <w:t>建设期</w:t>
            </w:r>
          </w:p>
        </w:tc>
        <w:tc>
          <w:tcPr>
            <w:tcW w:w="7929" w:type="dxa"/>
            <w:vAlign w:val="center"/>
          </w:tcPr>
          <w:p>
            <w:pPr>
              <w:pStyle w:val="38"/>
              <w:rPr>
                <w:rFonts w:hint="default"/>
              </w:rPr>
            </w:pPr>
            <w:r>
              <w:t>请有资质的正规单位按照设计图纸进行规范施工和全过程的施工监理、环境监理，认真执行环评提出的建设期污染治理措施。根据环评及批复的污染防治措施和</w:t>
            </w:r>
            <w:r>
              <w:rPr>
                <w:rFonts w:hint="eastAsia"/>
                <w:lang w:eastAsia="zh-CN"/>
              </w:rPr>
              <w:t>“</w:t>
            </w:r>
            <w:r>
              <w:t>三同时</w:t>
            </w:r>
            <w:r>
              <w:rPr>
                <w:rFonts w:hint="eastAsia"/>
                <w:lang w:eastAsia="zh-CN"/>
              </w:rPr>
              <w:t>”</w:t>
            </w:r>
            <w:r>
              <w:t>原则落实环保设施的建设。在工程投入试运行前，检查施工现场恢复情况，未恢复的及时恢复。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59" w:type="dxa"/>
            <w:vAlign w:val="center"/>
          </w:tcPr>
          <w:p>
            <w:pPr>
              <w:pStyle w:val="38"/>
              <w:rPr>
                <w:rFonts w:hint="default"/>
              </w:rPr>
            </w:pPr>
            <w:r>
              <w:t>竣工验收期</w:t>
            </w:r>
          </w:p>
        </w:tc>
        <w:tc>
          <w:tcPr>
            <w:tcW w:w="7929" w:type="dxa"/>
            <w:vAlign w:val="center"/>
          </w:tcPr>
          <w:p>
            <w:pPr>
              <w:pStyle w:val="38"/>
              <w:rPr>
                <w:rFonts w:hint="default"/>
              </w:rPr>
            </w:pPr>
            <w:r>
              <w:t>项目建成后，建设单位向当地环境主管部门申请建设项目排污许可证，方可进行开工作业。建设项目开车运行后，会同施工单位、设计单位、环评单位检查环保设施是否符合</w:t>
            </w:r>
            <w:r>
              <w:rPr>
                <w:rFonts w:hint="eastAsia"/>
                <w:lang w:eastAsia="zh-CN"/>
              </w:rPr>
              <w:t>“</w:t>
            </w:r>
            <w:r>
              <w:t>三同时</w:t>
            </w:r>
            <w:r>
              <w:rPr>
                <w:rFonts w:hint="eastAsia"/>
                <w:lang w:eastAsia="zh-CN"/>
              </w:rPr>
              <w:t>”</w:t>
            </w:r>
            <w:r>
              <w:t>原则，然后由建设单位组织建设项目竣工环保验收工作，并将建设项目竣工环保验收监测报告提交当地环境保护行政管理部门进行备案。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9" w:type="dxa"/>
            <w:vAlign w:val="center"/>
          </w:tcPr>
          <w:p>
            <w:pPr>
              <w:pStyle w:val="38"/>
              <w:rPr>
                <w:rFonts w:hint="default"/>
              </w:rPr>
            </w:pPr>
            <w:r>
              <w:t>运行期</w:t>
            </w:r>
          </w:p>
        </w:tc>
        <w:tc>
          <w:tcPr>
            <w:tcW w:w="7929" w:type="dxa"/>
            <w:vAlign w:val="center"/>
          </w:tcPr>
          <w:p>
            <w:pPr>
              <w:pStyle w:val="38"/>
              <w:rPr>
                <w:rFonts w:hint="default"/>
              </w:rPr>
            </w:pPr>
            <w:r>
              <w:t>制定切实可行的环保管理制度和条例。组织开展环保宣传教育培训。把污染源监督和</w:t>
            </w:r>
            <w:r>
              <w:rPr>
                <w:rFonts w:hint="eastAsia"/>
                <w:lang w:eastAsia="zh-CN"/>
              </w:rPr>
              <w:t>“</w:t>
            </w:r>
            <w:r>
              <w:t>三废</w:t>
            </w:r>
            <w:r>
              <w:rPr>
                <w:rFonts w:hint="eastAsia"/>
                <w:lang w:eastAsia="zh-CN"/>
              </w:rPr>
              <w:t>”</w:t>
            </w:r>
            <w:r>
              <w:t>排放纳入日常管理工作，并落实到车间班组和岗位，进行全方位管理。实施有效的</w:t>
            </w:r>
            <w:r>
              <w:rPr>
                <w:rFonts w:hint="eastAsia"/>
                <w:lang w:eastAsia="zh-CN"/>
              </w:rPr>
              <w:t>“</w:t>
            </w:r>
            <w:r>
              <w:t>三废</w:t>
            </w:r>
            <w:r>
              <w:rPr>
                <w:rFonts w:hint="eastAsia"/>
                <w:lang w:eastAsia="zh-CN"/>
              </w:rPr>
              <w:t>”</w:t>
            </w:r>
            <w:r>
              <w:t>综合利用开发措施。收集整理和推广环保技术经验，及时解决运行中出现的环保问题。按照责、权、利实施奖罚制度，对违反法规和制度的行为根据情节给予处罚，对有功者给予奖励。配合当地和上级环保主管部门，认真落实国家环保法规和行政主管部门的规定。接受环保管理部门的监督监测。经常性地组织对企业职工的清洁生产教育和培训，根据企业发展状况，推进清洁生产审计按照环评及批复要求制订全厂环境监测计划，定期进行污染源和环境监测，整理分析各项监测资料，填报环境监测统计报表、环境指标考核资料，建立环保档案，掌握污染排放情况，分析变化规律。</w:t>
            </w:r>
          </w:p>
        </w:tc>
      </w:tr>
    </w:tbl>
    <w:p>
      <w:pPr>
        <w:pStyle w:val="7"/>
        <w:ind w:firstLine="562"/>
      </w:pPr>
      <w:r>
        <w:t>9.1.5 污染物排放清单及排放管理要求</w:t>
      </w:r>
    </w:p>
    <w:p>
      <w:pPr>
        <w:widowControl/>
        <w:ind w:firstLine="480"/>
        <w:jc w:val="left"/>
        <w:rPr>
          <w:rFonts w:ascii="宋体" w:hAnsi="宋体" w:cs="宋体"/>
          <w:color w:val="000000"/>
          <w:kern w:val="0"/>
          <w:lang w:bidi="ar"/>
        </w:rPr>
        <w:sectPr>
          <w:pgSz w:w="11906" w:h="16838"/>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color w:val="000000" w:themeColor="text1"/>
          <w14:textFill>
            <w14:solidFill>
              <w14:schemeClr w14:val="tx1"/>
            </w14:solidFill>
          </w14:textFill>
        </w:rPr>
        <w:t>本项目建成后工程组成见表</w:t>
      </w:r>
      <w:r>
        <w:rPr>
          <w:color w:val="000000" w:themeColor="text1"/>
          <w14:textFill>
            <w14:solidFill>
              <w14:schemeClr w14:val="tx1"/>
            </w14:solidFill>
          </w14:textFill>
        </w:rPr>
        <w:t>9.1-2</w:t>
      </w:r>
      <w:r>
        <w:rPr>
          <w:rFonts w:hint="eastAsia"/>
          <w:color w:val="000000" w:themeColor="text1"/>
          <w14:textFill>
            <w14:solidFill>
              <w14:schemeClr w14:val="tx1"/>
            </w14:solidFill>
          </w14:textFill>
        </w:rPr>
        <w:t>，</w:t>
      </w:r>
      <w:r>
        <w:rPr>
          <w:rFonts w:hint="eastAsia" w:ascii="宋体" w:hAnsi="宋体" w:cs="宋体"/>
          <w:color w:val="000000"/>
          <w:kern w:val="0"/>
          <w:lang w:bidi="ar"/>
        </w:rPr>
        <w:t>污染物排放清单见表</w:t>
      </w:r>
      <w:r>
        <w:rPr>
          <w:rFonts w:cs="Times New Roman"/>
          <w:color w:val="000000"/>
          <w:kern w:val="0"/>
          <w:lang w:bidi="ar"/>
        </w:rPr>
        <w:t>9.1-3</w:t>
      </w:r>
      <w:r>
        <w:rPr>
          <w:rFonts w:hint="eastAsia" w:ascii="宋体" w:hAnsi="宋体" w:cs="宋体"/>
          <w:color w:val="000000"/>
          <w:kern w:val="0"/>
          <w:lang w:bidi="ar"/>
        </w:rPr>
        <w:t>。</w:t>
      </w:r>
    </w:p>
    <w:p>
      <w:pPr>
        <w:pStyle w:val="13"/>
        <w:ind w:firstLine="482"/>
        <w:jc w:val="center"/>
        <w:rPr>
          <w:rFonts w:ascii="Times New Roman" w:hAnsi="Times New Roman"/>
          <w:b/>
          <w:bCs/>
          <w:lang w:val="en-US"/>
        </w:rPr>
      </w:pPr>
      <w:r>
        <w:rPr>
          <w:rFonts w:hint="eastAsia" w:ascii="Times New Roman" w:hAnsi="Times New Roman"/>
          <w:b/>
          <w:bCs/>
          <w:lang w:val="en-US"/>
        </w:rPr>
        <w:t>表</w:t>
      </w:r>
      <w:r>
        <w:rPr>
          <w:rFonts w:ascii="Times New Roman" w:hAnsi="Times New Roman"/>
          <w:b/>
          <w:bCs/>
          <w:lang w:val="en-US"/>
        </w:rPr>
        <w:t xml:space="preserve">9.1-2 </w:t>
      </w:r>
      <w:r>
        <w:rPr>
          <w:rFonts w:hint="eastAsia" w:ascii="Times New Roman" w:hAnsi="Times New Roman"/>
          <w:b/>
          <w:bCs/>
          <w:lang w:val="en-US"/>
        </w:rPr>
        <w:t xml:space="preserve"> 本项目建成后工程组成及风险防范措施表</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1"/>
        <w:gridCol w:w="412"/>
        <w:gridCol w:w="351"/>
        <w:gridCol w:w="1468"/>
        <w:gridCol w:w="7434"/>
        <w:gridCol w:w="1969"/>
        <w:gridCol w:w="1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类别</w:t>
            </w: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项目名称</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工程建设内容</w:t>
            </w:r>
          </w:p>
        </w:tc>
        <w:tc>
          <w:tcPr>
            <w:tcW w:w="1969" w:type="dxa"/>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lang w:bidi="ar"/>
                <w14:textFill>
                  <w14:solidFill>
                    <w14:schemeClr w14:val="tx1"/>
                  </w14:solidFill>
                </w14:textFill>
              </w:rPr>
              <w:t>主要风险防范措施</w:t>
            </w:r>
          </w:p>
        </w:tc>
        <w:tc>
          <w:tcPr>
            <w:tcW w:w="1464" w:type="dxa"/>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cs="宋体"/>
                <w:color w:val="000000"/>
                <w:kern w:val="0"/>
                <w:sz w:val="21"/>
                <w:szCs w:val="21"/>
                <w:lang w:bidi="ar"/>
              </w:rPr>
            </w:pPr>
            <w:r>
              <w:rPr>
                <w:rFonts w:hint="eastAsia" w:cs="宋体"/>
                <w:color w:val="000000"/>
                <w:kern w:val="0"/>
                <w:sz w:val="21"/>
                <w:szCs w:val="21"/>
                <w:lang w:bidi="ar"/>
              </w:rPr>
              <w:t>向社会信息公开要求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restart"/>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主体工程</w:t>
            </w: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1#丙类厂房</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1F，占地面积1120.53m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，设置1条人造草坪生产线位于厂区北侧</w:t>
            </w:r>
          </w:p>
        </w:tc>
        <w:tc>
          <w:tcPr>
            <w:tcW w:w="1969"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color w:val="000000" w:themeColor="text1"/>
                <w:sz w:val="21"/>
                <w:szCs w:val="21"/>
                <w14:textFill>
                  <w14:solidFill>
                    <w14:schemeClr w14:val="tx1"/>
                  </w14:solidFill>
                </w14:textFill>
              </w:rPr>
            </w:pPr>
            <w:r>
              <w:rPr>
                <w:rFonts w:hint="eastAsia" w:cs="宋体"/>
                <w:color w:val="000000"/>
                <w:kern w:val="0"/>
                <w:sz w:val="21"/>
                <w:szCs w:val="21"/>
                <w:lang w:bidi="ar"/>
              </w:rPr>
              <w:t>1、在各功能区安装火灾报警系统；</w:t>
            </w:r>
            <w:r>
              <w:rPr>
                <w:rFonts w:cs="Times New Roman"/>
                <w:color w:val="000000"/>
                <w:kern w:val="0"/>
                <w:sz w:val="21"/>
                <w:szCs w:val="21"/>
                <w:lang w:bidi="ar"/>
              </w:rPr>
              <w:t>3</w:t>
            </w:r>
            <w:r>
              <w:rPr>
                <w:rFonts w:hint="eastAsia" w:cs="宋体"/>
                <w:color w:val="000000"/>
                <w:kern w:val="0"/>
                <w:sz w:val="21"/>
                <w:szCs w:val="21"/>
                <w:lang w:bidi="ar"/>
              </w:rPr>
              <w:t>、加强污水处理、废气收集处理设施、危险废物收集、贮存设施的日常维护与巡检，保证各污染防治设施正常运行，避免非正常排放；</w:t>
            </w:r>
            <w:r>
              <w:rPr>
                <w:rFonts w:cs="Times New Roman"/>
                <w:color w:val="000000"/>
                <w:kern w:val="0"/>
                <w:sz w:val="21"/>
                <w:szCs w:val="21"/>
                <w:lang w:bidi="ar"/>
              </w:rPr>
              <w:t>4</w:t>
            </w:r>
            <w:r>
              <w:rPr>
                <w:rFonts w:hint="eastAsia" w:cs="宋体"/>
                <w:color w:val="000000"/>
                <w:kern w:val="0"/>
                <w:sz w:val="21"/>
                <w:szCs w:val="21"/>
                <w:lang w:bidi="ar"/>
              </w:rPr>
              <w:t>、配备一定的环境风险应急处理物资，配备相关的设备及人员；</w:t>
            </w:r>
            <w:r>
              <w:rPr>
                <w:rFonts w:cs="Times New Roman"/>
                <w:color w:val="000000"/>
                <w:kern w:val="0"/>
                <w:sz w:val="21"/>
                <w:szCs w:val="21"/>
                <w:lang w:bidi="ar"/>
              </w:rPr>
              <w:t>5</w:t>
            </w:r>
            <w:r>
              <w:rPr>
                <w:rFonts w:hint="eastAsia" w:cs="宋体"/>
                <w:color w:val="000000"/>
                <w:kern w:val="0"/>
                <w:sz w:val="21"/>
                <w:szCs w:val="21"/>
                <w:lang w:bidi="ar"/>
              </w:rPr>
              <w:t>、应急预案应根据实际变化情况进行修订，并根据环保应急预案要求定期演练；</w:t>
            </w:r>
            <w:r>
              <w:rPr>
                <w:rFonts w:cs="Times New Roman"/>
                <w:color w:val="000000"/>
                <w:kern w:val="0"/>
                <w:sz w:val="21"/>
                <w:szCs w:val="21"/>
                <w:lang w:bidi="ar"/>
              </w:rPr>
              <w:t>6</w:t>
            </w:r>
            <w:r>
              <w:rPr>
                <w:rFonts w:hint="eastAsia" w:cs="宋体"/>
                <w:color w:val="000000"/>
                <w:kern w:val="0"/>
                <w:sz w:val="21"/>
                <w:szCs w:val="21"/>
                <w:lang w:bidi="ar"/>
              </w:rPr>
              <w:t>、发生环境事故时开展应急监测，根据事故类型和事故大小，确定监测布点，从发生事故开始，直至污染影响消除，方可解除监测。</w:t>
            </w:r>
          </w:p>
        </w:tc>
        <w:tc>
          <w:tcPr>
            <w:tcW w:w="1464"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auto"/>
              <w:rPr>
                <w:rFonts w:cs="宋体"/>
                <w:color w:val="000000"/>
                <w:kern w:val="0"/>
                <w:sz w:val="21"/>
                <w:szCs w:val="21"/>
                <w:lang w:bidi="ar"/>
              </w:rPr>
            </w:pPr>
            <w:r>
              <w:rPr>
                <w:rFonts w:hint="eastAsia" w:cs="宋体"/>
                <w:color w:val="000000"/>
                <w:kern w:val="0"/>
                <w:sz w:val="21"/>
                <w:szCs w:val="21"/>
                <w:lang w:bidi="ar"/>
              </w:rPr>
              <w:t>根据《环境信息公开办法（试行）》、《企业事业单位环境信息公开办法》要求向社会公开相关企业信息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2#丙类厂房</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1F，占地面积1120.53m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，设置1条人造草坪生产线位于厂区北侧</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3#丙类厂房</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2F，占地面积2883.67m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，设置3条EPDM颗粒生产线，位于厂区中部西侧</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5#丙类厂房</w:t>
            </w:r>
          </w:p>
        </w:tc>
        <w:tc>
          <w:tcPr>
            <w:tcW w:w="7434" w:type="dxa"/>
            <w:vAlign w:val="center"/>
          </w:tcPr>
          <w:p>
            <w:pPr>
              <w:pStyle w:val="38"/>
              <w:keepNext w:val="0"/>
              <w:keepLines w:val="0"/>
              <w:pageBreakBefore w:val="0"/>
              <w:widowControl/>
              <w:tabs>
                <w:tab w:val="center" w:pos="2623"/>
                <w:tab w:val="right" w:pos="5127"/>
              </w:tabs>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1F，占地面积1832.77m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，设置8条硅PU生产线，位于厂区南部西侧</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6#丙类厂房</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1F，占地面积1832.77m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，设置2条单组份胶水生产线和2条双组份胶水生产线，设置3条跑道专用漆生产线，</w:t>
            </w:r>
            <w:r>
              <w:rPr>
                <w:rFonts w:hint="eastAsia"/>
                <w:color w:val="000000" w:themeColor="text1"/>
                <w:sz w:val="21"/>
                <w:szCs w:val="21"/>
                <w:lang w:val="en-US" w:eastAsia="zh-CN"/>
                <w14:textFill>
                  <w14:solidFill>
                    <w14:schemeClr w14:val="tx1"/>
                  </w14:solidFill>
                </w14:textFill>
              </w:rPr>
              <w:t>2条水性树脂生产线，</w:t>
            </w:r>
            <w:r>
              <w:rPr>
                <w:color w:val="000000" w:themeColor="text1"/>
                <w:sz w:val="21"/>
                <w:szCs w:val="21"/>
                <w14:textFill>
                  <w14:solidFill>
                    <w14:schemeClr w14:val="tx1"/>
                  </w14:solidFill>
                </w14:textFill>
              </w:rPr>
              <w:t>位于厂区南部区东侧</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4#丙类仓库</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2F，占地面积2360.94m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，设置储罐区位于1层180m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，粉料区位于1层北部区占地1800m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，袋装及桶装原料位于2层，仓库位于厂区中部</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restart"/>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辅助工程</w:t>
            </w: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办公楼</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6F，厂区东北侧，建筑面积约3968.63m</w:t>
            </w:r>
            <w:r>
              <w:rPr>
                <w:color w:val="000000" w:themeColor="text1"/>
                <w:sz w:val="21"/>
                <w:szCs w:val="21"/>
                <w:vertAlign w:val="superscript"/>
                <w14:textFill>
                  <w14:solidFill>
                    <w14:schemeClr w14:val="tx1"/>
                  </w14:solidFill>
                </w14:textFill>
              </w:rPr>
              <w:t>2</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食堂</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2F，厂区东北侧，建筑面积552.96m</w:t>
            </w:r>
            <w:r>
              <w:rPr>
                <w:color w:val="000000" w:themeColor="text1"/>
                <w:sz w:val="21"/>
                <w:szCs w:val="21"/>
                <w:vertAlign w:val="superscript"/>
                <w14:textFill>
                  <w14:solidFill>
                    <w14:schemeClr w14:val="tx1"/>
                  </w14:solidFill>
                </w14:textFill>
              </w:rPr>
              <w:t>2</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门卫室</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厂区中部东侧大门，建筑面积47.74m</w:t>
            </w:r>
            <w:r>
              <w:rPr>
                <w:color w:val="000000" w:themeColor="text1"/>
                <w:sz w:val="21"/>
                <w:szCs w:val="21"/>
                <w:vertAlign w:val="superscript"/>
                <w14:textFill>
                  <w14:solidFill>
                    <w14:schemeClr w14:val="tx1"/>
                  </w14:solidFill>
                </w14:textFill>
              </w:rPr>
              <w:t>2</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restart"/>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公用工程</w:t>
            </w: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用水</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采用市政供水。</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排水</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rFonts w:hint="eastAsia"/>
                <w:color w:val="000000" w:themeColor="text1"/>
                <w:sz w:val="21"/>
                <w:szCs w:val="21"/>
                <w:u w:val="single"/>
                <w14:textFill>
                  <w14:solidFill>
                    <w14:schemeClr w14:val="tx1"/>
                  </w14:solidFill>
                </w14:textFill>
              </w:rPr>
              <w:t>生活污水经</w:t>
            </w:r>
            <w:r>
              <w:rPr>
                <w:rFonts w:hint="eastAsia"/>
                <w:color w:val="000000" w:themeColor="text1"/>
                <w:sz w:val="21"/>
                <w:szCs w:val="21"/>
                <w:u w:val="single"/>
                <w:lang w:eastAsia="zh-CN"/>
                <w14:textFill>
                  <w14:solidFill>
                    <w14:schemeClr w14:val="tx1"/>
                  </w14:solidFill>
                </w14:textFill>
              </w:rPr>
              <w:t>隔油池、</w:t>
            </w:r>
            <w:r>
              <w:rPr>
                <w:rFonts w:hint="eastAsia"/>
                <w:color w:val="000000" w:themeColor="text1"/>
                <w:sz w:val="21"/>
                <w:szCs w:val="21"/>
                <w:u w:val="single"/>
                <w14:textFill>
                  <w14:solidFill>
                    <w14:schemeClr w14:val="tx1"/>
                  </w14:solidFill>
                </w14:textFill>
              </w:rPr>
              <w:t>化粪池预处理后进入厂区污水处理站，厂区内设置1个50t/d污水站，</w:t>
            </w:r>
            <w:r>
              <w:rPr>
                <w:rFonts w:hint="eastAsia"/>
                <w:color w:val="000000" w:themeColor="text1"/>
                <w:sz w:val="21"/>
                <w:szCs w:val="21"/>
                <w:u w:val="single"/>
                <w:lang w:eastAsia="zh-CN"/>
                <w14:textFill>
                  <w14:solidFill>
                    <w14:schemeClr w14:val="tx1"/>
                  </w14:solidFill>
                </w14:textFill>
              </w:rPr>
              <w:t>汇同</w:t>
            </w:r>
            <w:r>
              <w:rPr>
                <w:rFonts w:hint="eastAsia"/>
                <w:color w:val="000000" w:themeColor="text1"/>
                <w:sz w:val="21"/>
                <w:szCs w:val="21"/>
                <w:u w:val="single"/>
                <w14:textFill>
                  <w14:solidFill>
                    <w14:schemeClr w14:val="tx1"/>
                  </w14:solidFill>
                </w14:textFill>
              </w:rPr>
              <w:t>项目生产废水经厂内污水站处置达标后排入平顶山第三污水处理厂</w:t>
            </w:r>
            <w:r>
              <w:rPr>
                <w:rFonts w:hint="eastAsia"/>
                <w:color w:val="000000" w:themeColor="text1"/>
                <w:sz w:val="21"/>
                <w:szCs w:val="21"/>
                <w:u w:val="single"/>
                <w:lang w:eastAsia="zh-CN"/>
                <w14:textFill>
                  <w14:solidFill>
                    <w14:schemeClr w14:val="tx1"/>
                  </w14:solidFill>
                </w14:textFill>
              </w:rPr>
              <w:t>处理；蒸汽冷凝水</w:t>
            </w:r>
            <w:r>
              <w:rPr>
                <w:rFonts w:hint="eastAsia"/>
                <w:sz w:val="21"/>
                <w:szCs w:val="21"/>
                <w:u w:val="single"/>
                <w:lang w:eastAsia="zh-CN"/>
              </w:rPr>
              <w:t>汇同生产废水</w:t>
            </w:r>
            <w:r>
              <w:rPr>
                <w:rFonts w:hint="eastAsia"/>
                <w:color w:val="000000" w:themeColor="text1"/>
                <w:sz w:val="21"/>
                <w:szCs w:val="21"/>
                <w:u w:val="single"/>
                <w14:textFill>
                  <w14:solidFill>
                    <w14:schemeClr w14:val="tx1"/>
                  </w14:solidFill>
                </w14:textFill>
              </w:rPr>
              <w:t>经厂内污水站处置达标后</w:t>
            </w:r>
            <w:r>
              <w:rPr>
                <w:rFonts w:hint="eastAsia"/>
                <w:sz w:val="21"/>
                <w:szCs w:val="21"/>
                <w:u w:val="single"/>
                <w:lang w:eastAsia="zh-CN"/>
              </w:rPr>
              <w:t>进入市政污水管网引至平顶山第三污水处理厂</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用电</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当地电网引入</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供热</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采用园区集中供热</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restart"/>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环保工程</w:t>
            </w:r>
          </w:p>
        </w:tc>
        <w:tc>
          <w:tcPr>
            <w:tcW w:w="763" w:type="dxa"/>
            <w:gridSpan w:val="2"/>
            <w:vMerge w:val="restart"/>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废气治理</w:t>
            </w:r>
          </w:p>
        </w:tc>
        <w:tc>
          <w:tcPr>
            <w:tcW w:w="1468"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eastAsia="宋体"/>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1~3#车间生产废气</w:t>
            </w:r>
          </w:p>
        </w:tc>
        <w:tc>
          <w:tcPr>
            <w:tcW w:w="7434"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硫化废气、上料、密炼和粉碎废气收集后先经袋式除尘器处理，排入1#</w:t>
            </w:r>
            <w:r>
              <w:rPr>
                <w:rFonts w:hint="eastAsia"/>
                <w:color w:val="000000" w:themeColor="text1"/>
                <w:sz w:val="21"/>
                <w:szCs w:val="21"/>
                <w:lang w:eastAsia="zh-CN"/>
                <w14:textFill>
                  <w14:solidFill>
                    <w14:schemeClr w14:val="tx1"/>
                  </w14:solidFill>
                </w14:textFill>
              </w:rPr>
              <w:t>“活性炭吸附箱+RCO废气处理工艺”</w:t>
            </w:r>
            <w:r>
              <w:rPr>
                <w:rFonts w:hint="eastAsia"/>
                <w:color w:val="000000" w:themeColor="text1"/>
                <w:sz w:val="21"/>
                <w:szCs w:val="21"/>
                <w14:textFill>
                  <w14:solidFill>
                    <w14:schemeClr w14:val="tx1"/>
                  </w14:solidFill>
                </w14:textFill>
              </w:rPr>
              <w:t>处置后经15米T1排气筒排放；</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763" w:type="dxa"/>
            <w:gridSpan w:val="2"/>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8"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5~6#车间生产废气</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eastAsia="宋体"/>
                <w:color w:val="000000" w:themeColor="text1"/>
                <w:sz w:val="21"/>
                <w:szCs w:val="21"/>
                <w:lang w:val="en-US" w:eastAsia="zh-CN"/>
                <w14:textFill>
                  <w14:solidFill>
                    <w14:schemeClr w14:val="tx1"/>
                  </w14:solidFill>
                </w14:textFill>
              </w:rPr>
            </w:pPr>
            <w:r>
              <w:rPr>
                <w:color w:val="000000" w:themeColor="text1"/>
                <w:sz w:val="21"/>
                <w:szCs w:val="21"/>
                <w14:textFill>
                  <w14:solidFill>
                    <w14:schemeClr w14:val="tx1"/>
                  </w14:solidFill>
                </w14:textFill>
              </w:rPr>
              <w:t>水喷淋洗涤塔+干湿分离器+活性炭吸附箱+RCO废气处理工艺+</w:t>
            </w:r>
            <w:r>
              <w:rPr>
                <w:rFonts w:hint="eastAsia"/>
                <w:color w:val="000000" w:themeColor="text1"/>
                <w:sz w:val="21"/>
                <w:szCs w:val="21"/>
                <w:lang w:val="en-US" w:eastAsia="zh-CN"/>
                <w14:textFill>
                  <w14:solidFill>
                    <w14:schemeClr w14:val="tx1"/>
                  </w14:solidFill>
                </w14:textFill>
              </w:rPr>
              <w:t>1</w:t>
            </w:r>
            <w:r>
              <w:rPr>
                <w:color w:val="000000" w:themeColor="text1"/>
                <w:sz w:val="21"/>
                <w:szCs w:val="21"/>
                <w14:textFill>
                  <w14:solidFill>
                    <w14:schemeClr w14:val="tx1"/>
                  </w14:solidFill>
                </w14:textFill>
              </w:rPr>
              <w:t>5m排气筒高空排放</w:t>
            </w:r>
            <w:r>
              <w:rPr>
                <w:rFonts w:hint="eastAsia"/>
                <w:color w:val="000000" w:themeColor="text1"/>
                <w:sz w:val="21"/>
                <w:szCs w:val="21"/>
                <w:lang w:val="en-US" w:eastAsia="zh-CN"/>
                <w14:textFill>
                  <w14:solidFill>
                    <w14:schemeClr w14:val="tx1"/>
                  </w14:solidFill>
                </w14:textFill>
              </w:rPr>
              <w:t>DA002</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763" w:type="dxa"/>
            <w:gridSpan w:val="2"/>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8"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食堂油烟</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安装油烟净化器，净化后经排气筒排放</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763" w:type="dxa"/>
            <w:gridSpan w:val="2"/>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8"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eastAsia" w:eastAsia="宋体"/>
                <w:color w:val="000000" w:themeColor="text1"/>
                <w:sz w:val="21"/>
                <w:szCs w:val="21"/>
                <w:lang w:eastAsia="zh-CN"/>
                <w14:textFill>
                  <w14:solidFill>
                    <w14:schemeClr w14:val="tx1"/>
                  </w14:solidFill>
                </w14:textFill>
              </w:rPr>
            </w:pPr>
            <w:r>
              <w:rPr>
                <w:sz w:val="21"/>
                <w:szCs w:val="21"/>
              </w:rPr>
              <w:t>污水处理站废气</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rFonts w:hint="eastAsia"/>
                <w:color w:val="000000" w:themeColor="text1"/>
                <w:sz w:val="21"/>
                <w:szCs w:val="21"/>
                <w:lang w:eastAsia="zh-CN"/>
                <w14:textFill>
                  <w14:solidFill>
                    <w14:schemeClr w14:val="tx1"/>
                  </w14:solidFill>
                </w14:textFill>
              </w:rPr>
              <w:t>密封</w:t>
            </w:r>
            <w:r>
              <w:rPr>
                <w:color w:val="000000" w:themeColor="text1"/>
                <w:sz w:val="21"/>
                <w:szCs w:val="21"/>
                <w14:textFill>
                  <w14:solidFill>
                    <w14:schemeClr w14:val="tx1"/>
                  </w14:solidFill>
                </w14:textFill>
              </w:rPr>
              <w:t>+二级活性炭吸附+15m排气筒高空排放</w:t>
            </w:r>
            <w:r>
              <w:rPr>
                <w:rFonts w:hint="eastAsia"/>
                <w:color w:val="000000" w:themeColor="text1"/>
                <w:sz w:val="21"/>
                <w:szCs w:val="21"/>
                <w:lang w:val="en-US" w:eastAsia="zh-CN"/>
                <w14:textFill>
                  <w14:solidFill>
                    <w14:schemeClr w14:val="tx1"/>
                  </w14:solidFill>
                </w14:textFill>
              </w:rPr>
              <w:t>DA003</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废水</w:t>
            </w:r>
          </w:p>
        </w:tc>
        <w:tc>
          <w:tcPr>
            <w:tcW w:w="7434" w:type="dxa"/>
            <w:vAlign w:val="center"/>
          </w:tcPr>
          <w:p>
            <w:pPr>
              <w:pStyle w:val="25"/>
              <w:keepNext w:val="0"/>
              <w:keepLines w:val="0"/>
              <w:pageBreakBefore w:val="0"/>
              <w:widowControl/>
              <w:kinsoku/>
              <w:wordWrap/>
              <w:overflowPunct/>
              <w:topLinePunct w:val="0"/>
              <w:autoSpaceDE/>
              <w:autoSpaceDN/>
              <w:bidi w:val="0"/>
              <w:adjustRightInd/>
              <w:snapToGrid/>
              <w:spacing w:beforeAutospacing="0" w:afterAutospacing="0" w:line="240" w:lineRule="auto"/>
              <w:ind w:firstLine="0" w:firstLineChars="0"/>
              <w:jc w:val="center"/>
              <w:textAlignment w:val="auto"/>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14:textFill>
                  <w14:solidFill>
                    <w14:schemeClr w14:val="tx1"/>
                  </w14:solidFill>
                </w14:textFill>
              </w:rPr>
              <w:t>厂区内设置1个50t/d污水站，</w:t>
            </w:r>
            <w:r>
              <w:rPr>
                <w:rFonts w:hint="eastAsia"/>
                <w:color w:val="000000" w:themeColor="text1"/>
                <w:sz w:val="21"/>
                <w:szCs w:val="21"/>
                <w:u w:val="single"/>
                <w14:textFill>
                  <w14:solidFill>
                    <w14:schemeClr w14:val="tx1"/>
                  </w14:solidFill>
                </w14:textFill>
              </w:rPr>
              <w:t>项目生产废水经厂内污水站处置达标后排入平顶山第三污水处理厂；生活污水经化粪池预处理后平顶山第三污水处理厂集中处理</w:t>
            </w:r>
            <w:r>
              <w:rPr>
                <w:rFonts w:hint="eastAsia"/>
                <w:color w:val="000000" w:themeColor="text1"/>
                <w:sz w:val="21"/>
                <w:szCs w:val="21"/>
                <w:u w:val="single"/>
                <w:lang w:eastAsia="zh-CN"/>
                <w14:textFill>
                  <w14:solidFill>
                    <w14:schemeClr w14:val="tx1"/>
                  </w14:solidFill>
                </w14:textFill>
              </w:rPr>
              <w:t>；蒸汽冷凝水</w:t>
            </w:r>
            <w:r>
              <w:rPr>
                <w:rFonts w:hint="eastAsia"/>
                <w:sz w:val="21"/>
                <w:szCs w:val="21"/>
                <w:u w:val="single"/>
                <w:lang w:eastAsia="zh-CN"/>
              </w:rPr>
              <w:t>汇同生产废水</w:t>
            </w:r>
            <w:r>
              <w:rPr>
                <w:rFonts w:hint="eastAsia"/>
                <w:color w:val="000000" w:themeColor="text1"/>
                <w:sz w:val="21"/>
                <w:szCs w:val="21"/>
                <w:u w:val="single"/>
                <w14:textFill>
                  <w14:solidFill>
                    <w14:schemeClr w14:val="tx1"/>
                  </w14:solidFill>
                </w14:textFill>
              </w:rPr>
              <w:t>经厂内污水站处置达标后</w:t>
            </w:r>
            <w:r>
              <w:rPr>
                <w:rFonts w:hint="eastAsia"/>
                <w:sz w:val="21"/>
                <w:szCs w:val="21"/>
                <w:u w:val="single"/>
                <w:lang w:eastAsia="zh-CN"/>
              </w:rPr>
              <w:t>进入市政污水管网引至平顶山第三污水处理厂</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763" w:type="dxa"/>
            <w:gridSpan w:val="2"/>
            <w:vMerge w:val="restart"/>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固废</w:t>
            </w:r>
          </w:p>
        </w:tc>
        <w:tc>
          <w:tcPr>
            <w:tcW w:w="1468"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生活垃圾</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垃圾桶</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763" w:type="dxa"/>
            <w:gridSpan w:val="2"/>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8"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一般固废</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100m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一般固废暂存间</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763" w:type="dxa"/>
            <w:gridSpan w:val="2"/>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8"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危险废物</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50m</w:t>
            </w:r>
            <w:r>
              <w:rPr>
                <w:color w:val="000000" w:themeColor="text1"/>
                <w:sz w:val="21"/>
                <w:szCs w:val="21"/>
                <w:vertAlign w:val="superscript"/>
                <w14:textFill>
                  <w14:solidFill>
                    <w14:schemeClr w14:val="tx1"/>
                  </w14:solidFill>
                </w14:textFill>
              </w:rPr>
              <w:t>2</w:t>
            </w:r>
            <w:r>
              <w:rPr>
                <w:color w:val="000000" w:themeColor="text1"/>
                <w:sz w:val="21"/>
                <w:szCs w:val="21"/>
                <w14:textFill>
                  <w14:solidFill>
                    <w14:schemeClr w14:val="tx1"/>
                  </w14:solidFill>
                </w14:textFill>
              </w:rPr>
              <w:t>危废暂存间暂存后定期交有资质单位处理</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噪声</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rFonts w:hint="eastAsia" w:ascii="宋体" w:hAnsi="宋体" w:cs="宋体"/>
                <w:color w:val="000000" w:themeColor="text1"/>
                <w:kern w:val="0"/>
                <w:sz w:val="21"/>
                <w:szCs w:val="21"/>
                <w:u w:val="single"/>
                <w:lang w:eastAsia="zh-CN" w:bidi="ar"/>
                <w14:textFill>
                  <w14:solidFill>
                    <w14:schemeClr w14:val="tx1"/>
                  </w14:solidFill>
                </w14:textFill>
              </w:rPr>
              <w:t>选用低噪声型号设备，厂区采取“闹静分开”和合理布局的设置原则，尽量将高噪声源远离厂界，在设备连接处安装减震垫、车间内墙加装隔音棉，主排风管道增加消音器，厂区种植降噪绿植等治理措施</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412" w:type="dxa"/>
            <w:vMerge w:val="restart"/>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地下水</w:t>
            </w:r>
          </w:p>
        </w:tc>
        <w:tc>
          <w:tcPr>
            <w:tcW w:w="1819" w:type="dxa"/>
            <w:gridSpan w:val="2"/>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sz w:val="21"/>
                <w:szCs w:val="21"/>
              </w:rPr>
              <w:t>简单防渗区域</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sz w:val="21"/>
                <w:szCs w:val="21"/>
              </w:rPr>
              <w:t>水泥硬化，防腐防渗</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412"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819" w:type="dxa"/>
            <w:gridSpan w:val="2"/>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sz w:val="21"/>
                <w:szCs w:val="21"/>
              </w:rPr>
              <w:t>一般防渗区域</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r>
              <w:rPr>
                <w:sz w:val="21"/>
                <w:szCs w:val="21"/>
              </w:rPr>
              <w:t>等效粘土防渗层Mb≥1.5m，K≤1×10</w:t>
            </w:r>
            <w:r>
              <w:rPr>
                <w:sz w:val="21"/>
                <w:szCs w:val="21"/>
                <w:vertAlign w:val="superscript"/>
              </w:rPr>
              <w:t>-7</w:t>
            </w:r>
            <w:r>
              <w:rPr>
                <w:sz w:val="21"/>
                <w:szCs w:val="21"/>
              </w:rPr>
              <w:t>cm/s；或参照GB16889执行</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412"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819" w:type="dxa"/>
            <w:gridSpan w:val="2"/>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sz w:val="21"/>
                <w:szCs w:val="21"/>
              </w:rPr>
            </w:pPr>
            <w:r>
              <w:rPr>
                <w:sz w:val="21"/>
                <w:szCs w:val="21"/>
              </w:rPr>
              <w:t>重点防渗区域</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sz w:val="21"/>
                <w:szCs w:val="21"/>
              </w:rPr>
            </w:pPr>
            <w:r>
              <w:rPr>
                <w:sz w:val="21"/>
                <w:szCs w:val="21"/>
              </w:rPr>
              <w:t>防渗措施等效黏土防渗层Mb≥1.5m，K≤1.0×10</w:t>
            </w:r>
            <w:r>
              <w:rPr>
                <w:sz w:val="21"/>
                <w:szCs w:val="21"/>
                <w:vertAlign w:val="superscript"/>
              </w:rPr>
              <w:t>-7</w:t>
            </w:r>
            <w:r>
              <w:rPr>
                <w:sz w:val="21"/>
                <w:szCs w:val="21"/>
              </w:rPr>
              <w:t>cm/s；或参照GB16889，执行加强管理</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11"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2231" w:type="dxa"/>
            <w:gridSpan w:val="3"/>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sz w:val="21"/>
                <w:szCs w:val="21"/>
              </w:rPr>
            </w:pPr>
            <w:r>
              <w:rPr>
                <w:color w:val="000000" w:themeColor="text1"/>
                <w:sz w:val="21"/>
                <w:szCs w:val="21"/>
                <w14:textFill>
                  <w14:solidFill>
                    <w14:schemeClr w14:val="tx1"/>
                  </w14:solidFill>
                </w14:textFill>
              </w:rPr>
              <w:t>环境风险</w:t>
            </w:r>
          </w:p>
        </w:tc>
        <w:tc>
          <w:tcPr>
            <w:tcW w:w="7434" w:type="dxa"/>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sz w:val="21"/>
                <w:szCs w:val="21"/>
              </w:rPr>
            </w:pPr>
            <w:r>
              <w:rPr>
                <w:sz w:val="21"/>
                <w:szCs w:val="21"/>
              </w:rPr>
              <w:t>设置围堰，安装可燃及有毒气体泄漏报警仪；编制应急预案，加强演练等、1000m</w:t>
            </w:r>
            <w:r>
              <w:rPr>
                <w:sz w:val="21"/>
                <w:szCs w:val="21"/>
                <w:vertAlign w:val="superscript"/>
              </w:rPr>
              <w:t>3</w:t>
            </w:r>
            <w:r>
              <w:rPr>
                <w:sz w:val="21"/>
                <w:szCs w:val="21"/>
              </w:rPr>
              <w:t>应急事故池、300m</w:t>
            </w:r>
            <w:r>
              <w:rPr>
                <w:sz w:val="21"/>
                <w:szCs w:val="21"/>
                <w:vertAlign w:val="superscript"/>
              </w:rPr>
              <w:t>3</w:t>
            </w:r>
            <w:r>
              <w:rPr>
                <w:sz w:val="21"/>
                <w:szCs w:val="21"/>
              </w:rPr>
              <w:t>初期雨水池</w:t>
            </w:r>
          </w:p>
        </w:tc>
        <w:tc>
          <w:tcPr>
            <w:tcW w:w="1969"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c>
          <w:tcPr>
            <w:tcW w:w="1464" w:type="dxa"/>
            <w:vMerge w:val="continue"/>
            <w:vAlign w:val="center"/>
          </w:tcPr>
          <w:p>
            <w:pPr>
              <w:pStyle w:val="38"/>
              <w:keepNext w:val="0"/>
              <w:keepLines w:val="0"/>
              <w:pageBreakBefore w:val="0"/>
              <w:widowControl/>
              <w:kinsoku/>
              <w:wordWrap/>
              <w:overflowPunct/>
              <w:topLinePunct w:val="0"/>
              <w:autoSpaceDE/>
              <w:autoSpaceDN/>
              <w:bidi w:val="0"/>
              <w:adjustRightInd/>
              <w:snapToGrid/>
              <w:spacing w:line="240" w:lineRule="auto"/>
              <w:textAlignment w:val="auto"/>
              <w:rPr>
                <w:rFonts w:hint="default"/>
                <w:color w:val="000000" w:themeColor="text1"/>
                <w:sz w:val="21"/>
                <w:szCs w:val="21"/>
                <w14:textFill>
                  <w14:solidFill>
                    <w14:schemeClr w14:val="tx1"/>
                  </w14:solidFill>
                </w14:textFill>
              </w:rPr>
            </w:pPr>
          </w:p>
        </w:tc>
      </w:tr>
    </w:tbl>
    <w:p>
      <w:pPr>
        <w:ind w:firstLine="482"/>
        <w:jc w:val="center"/>
        <w:rPr>
          <w:b/>
          <w:bCs/>
        </w:rPr>
      </w:pPr>
      <w:r>
        <w:rPr>
          <w:b/>
          <w:bCs/>
        </w:rPr>
        <w:t>表9.</w:t>
      </w:r>
      <w:r>
        <w:rPr>
          <w:rFonts w:hint="eastAsia"/>
          <w:b/>
          <w:bCs/>
        </w:rPr>
        <w:t>1</w:t>
      </w:r>
      <w:r>
        <w:rPr>
          <w:b/>
          <w:bCs/>
        </w:rPr>
        <w:t>-</w:t>
      </w:r>
      <w:r>
        <w:rPr>
          <w:rFonts w:hint="eastAsia"/>
          <w:b/>
          <w:bCs/>
        </w:rPr>
        <w:t>3  本项目污染源排放清单</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3"/>
        <w:gridCol w:w="1640"/>
        <w:gridCol w:w="160"/>
        <w:gridCol w:w="3057"/>
        <w:gridCol w:w="2185"/>
        <w:gridCol w:w="2500"/>
        <w:gridCol w:w="25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污染源</w:t>
            </w:r>
          </w:p>
        </w:tc>
        <w:tc>
          <w:tcPr>
            <w:tcW w:w="1709" w:type="pct"/>
            <w:gridSpan w:val="3"/>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污染物</w:t>
            </w:r>
          </w:p>
        </w:tc>
        <w:tc>
          <w:tcPr>
            <w:tcW w:w="768"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产生量t/a</w:t>
            </w:r>
          </w:p>
        </w:tc>
        <w:tc>
          <w:tcPr>
            <w:tcW w:w="879"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削减量t/a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废气</w:t>
            </w:r>
          </w:p>
        </w:tc>
        <w:tc>
          <w:tcPr>
            <w:tcW w:w="577"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有组织废气</w:t>
            </w:r>
          </w:p>
        </w:tc>
        <w:tc>
          <w:tcPr>
            <w:tcW w:w="1131" w:type="pct"/>
            <w:gridSpan w:val="2"/>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sz w:val="21"/>
                <w:szCs w:val="21"/>
              </w:rPr>
            </w:pPr>
            <w:r>
              <w:rPr>
                <w:rFonts w:hint="eastAsia" w:ascii="Times New Roman" w:hAnsi="Times New Roman" w:cs="Times New Roman"/>
                <w:sz w:val="21"/>
                <w:szCs w:val="21"/>
                <w:lang w:val="en-US"/>
              </w:rPr>
              <w:t>粉尘</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sz w:val="21"/>
                <w:szCs w:val="21"/>
                <w:lang w:val="en-US"/>
              </w:rPr>
            </w:pPr>
            <w:r>
              <w:rPr>
                <w:rFonts w:hint="eastAsia" w:ascii="Times New Roman" w:hAnsi="Times New Roman" w:cs="Times New Roman"/>
                <w:sz w:val="21"/>
                <w:szCs w:val="21"/>
                <w:lang w:val="en-US" w:eastAsia="zh-CN"/>
              </w:rPr>
              <w:t>1.32</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1.308</w:t>
            </w:r>
          </w:p>
        </w:tc>
        <w:tc>
          <w:tcPr>
            <w:tcW w:w="891"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cs="Times New Roman"/>
                <w:sz w:val="21"/>
                <w:szCs w:val="21"/>
              </w:rPr>
            </w:pPr>
            <w:r>
              <w:rPr>
                <w:rFonts w:hint="eastAsia" w:ascii="Times New Roman" w:hAnsi="Times New Roman" w:cs="Times New Roman"/>
                <w:sz w:val="21"/>
                <w:szCs w:val="21"/>
                <w:lang w:val="en-US" w:eastAsia="zh-CN"/>
              </w:rPr>
              <w:t>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sz w:val="21"/>
                <w:szCs w:val="21"/>
              </w:rPr>
            </w:pPr>
            <w:r>
              <w:rPr>
                <w:rFonts w:hint="eastAsia" w:ascii="Times New Roman" w:cs="Times New Roman"/>
                <w:sz w:val="21"/>
                <w:szCs w:val="21"/>
                <w:lang w:val="en-US"/>
              </w:rPr>
              <w:t>非甲烷总烃</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sz w:val="21"/>
                <w:szCs w:val="21"/>
                <w:lang w:val="en-US"/>
              </w:rPr>
            </w:pPr>
            <w:r>
              <w:rPr>
                <w:rFonts w:hint="eastAsia" w:ascii="Times New Roman" w:hAnsi="Times New Roman" w:cs="Times New Roman"/>
                <w:sz w:val="21"/>
                <w:szCs w:val="21"/>
                <w:lang w:val="en-US" w:eastAsia="zh-CN"/>
              </w:rPr>
              <w:t>25.522</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default" w:ascii="Times New Roman" w:hAnsi="Times New Roman" w:cs="Times New Roman"/>
                <w:sz w:val="21"/>
                <w:szCs w:val="21"/>
                <w:lang w:val="en-US"/>
              </w:rPr>
            </w:pPr>
            <w:r>
              <w:rPr>
                <w:rFonts w:hint="eastAsia" w:ascii="Times New Roman" w:hAnsi="Times New Roman" w:cs="Times New Roman"/>
                <w:sz w:val="21"/>
                <w:szCs w:val="21"/>
                <w:lang w:val="en-US" w:eastAsia="zh-CN"/>
              </w:rPr>
              <w:t>24.2826</w:t>
            </w:r>
          </w:p>
        </w:tc>
        <w:tc>
          <w:tcPr>
            <w:tcW w:w="891"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cs="Times New Roman"/>
                <w:sz w:val="21"/>
                <w:szCs w:val="21"/>
              </w:rPr>
            </w:pPr>
            <w:r>
              <w:rPr>
                <w:rFonts w:hint="eastAsia" w:ascii="Times New Roman" w:hAnsi="Times New Roman" w:cs="Times New Roman"/>
                <w:sz w:val="21"/>
                <w:szCs w:val="21"/>
                <w:lang w:val="en-US" w:eastAsia="zh-CN"/>
              </w:rPr>
              <w:t>1.2394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color w:val="000000" w:themeColor="text1"/>
                <w:sz w:val="21"/>
                <w:szCs w:val="21"/>
                <w14:textFill>
                  <w14:solidFill>
                    <w14:schemeClr w14:val="tx1"/>
                  </w14:solidFill>
                </w14:textFill>
              </w:rPr>
              <w:t>丙烯酸</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sz w:val="21"/>
                <w:szCs w:val="21"/>
              </w:rPr>
            </w:pPr>
            <w:r>
              <w:rPr>
                <w:rFonts w:hint="eastAsia" w:ascii="Times New Roman" w:hAnsi="Times New Roman" w:cs="Times New Roman"/>
                <w:sz w:val="21"/>
                <w:szCs w:val="21"/>
                <w:lang w:val="en-US"/>
              </w:rPr>
              <w:t>0.051</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0.0486</w:t>
            </w:r>
          </w:p>
        </w:tc>
        <w:tc>
          <w:tcPr>
            <w:tcW w:w="891"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cs="Times New Roman"/>
                <w:sz w:val="21"/>
                <w:szCs w:val="21"/>
              </w:rPr>
            </w:pPr>
            <w:r>
              <w:rPr>
                <w:rFonts w:hint="eastAsia" w:ascii="Times New Roman" w:hAnsi="Times New Roman" w:cs="Times New Roman"/>
                <w:sz w:val="21"/>
                <w:szCs w:val="21"/>
                <w:lang w:val="en-US" w:eastAsia="zh-CN"/>
              </w:rPr>
              <w:t>0.0024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丙烯酸丁酯</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sz w:val="21"/>
                <w:szCs w:val="21"/>
                <w:lang w:val="en-US"/>
              </w:rPr>
            </w:pPr>
            <w:r>
              <w:rPr>
                <w:rFonts w:hint="eastAsia" w:ascii="Times New Roman" w:hAnsi="Times New Roman" w:cs="Times New Roman"/>
                <w:sz w:val="21"/>
                <w:szCs w:val="21"/>
                <w:lang w:val="en-US"/>
              </w:rPr>
              <w:t>0.47</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0.4477</w:t>
            </w:r>
          </w:p>
        </w:tc>
        <w:tc>
          <w:tcPr>
            <w:tcW w:w="891"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cs="Times New Roman"/>
                <w:sz w:val="21"/>
                <w:szCs w:val="21"/>
              </w:rPr>
            </w:pPr>
            <w:r>
              <w:rPr>
                <w:rFonts w:hint="eastAsia" w:ascii="Times New Roman" w:hAnsi="Times New Roman" w:cs="Times New Roman"/>
                <w:sz w:val="21"/>
                <w:szCs w:val="21"/>
                <w:lang w:val="en-US" w:eastAsia="zh-CN"/>
              </w:rPr>
              <w:t>0.0223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甲基丙烯酸甲酯</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sz w:val="21"/>
                <w:szCs w:val="21"/>
                <w:lang w:val="en-US"/>
              </w:rPr>
            </w:pPr>
            <w:r>
              <w:rPr>
                <w:rFonts w:hint="eastAsia" w:ascii="Times New Roman" w:hAnsi="Times New Roman" w:cs="Times New Roman"/>
                <w:sz w:val="21"/>
                <w:szCs w:val="21"/>
                <w:lang w:val="en-US"/>
              </w:rPr>
              <w:t>0.</w:t>
            </w:r>
            <w:r>
              <w:rPr>
                <w:rFonts w:hint="eastAsia" w:ascii="Times New Roman" w:hAnsi="Times New Roman" w:cs="Times New Roman"/>
                <w:sz w:val="21"/>
                <w:szCs w:val="21"/>
                <w:lang w:val="en-US" w:eastAsia="zh-CN"/>
              </w:rPr>
              <w:t>47</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0.4477</w:t>
            </w:r>
          </w:p>
        </w:tc>
        <w:tc>
          <w:tcPr>
            <w:tcW w:w="891"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cs="Times New Roman"/>
                <w:sz w:val="21"/>
                <w:szCs w:val="21"/>
              </w:rPr>
            </w:pPr>
            <w:r>
              <w:rPr>
                <w:rFonts w:hint="eastAsia" w:ascii="Times New Roman" w:hAnsi="Times New Roman" w:cs="Times New Roman"/>
                <w:sz w:val="21"/>
                <w:szCs w:val="21"/>
                <w:lang w:val="en-US" w:eastAsia="zh-CN"/>
              </w:rPr>
              <w:t>0.0223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cs="Times New Roman"/>
                <w:sz w:val="21"/>
                <w:szCs w:val="21"/>
              </w:rPr>
            </w:pPr>
            <w:r>
              <w:rPr>
                <w:rFonts w:hint="eastAsia" w:ascii="Times New Roman" w:hAnsi="Times New Roman" w:cs="Times New Roman"/>
                <w:sz w:val="21"/>
                <w:szCs w:val="21"/>
                <w:lang w:val="en-US"/>
              </w:rPr>
              <w:t>油烟</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default" w:eastAsia="宋体"/>
                <w:sz w:val="21"/>
                <w:szCs w:val="21"/>
                <w:lang w:val="en-US" w:eastAsia="zh-CN"/>
              </w:rPr>
            </w:pPr>
            <w:r>
              <w:rPr>
                <w:rFonts w:hint="eastAsia" w:ascii="Times New Roman" w:hAnsi="Times New Roman" w:cs="Times New Roman"/>
                <w:sz w:val="21"/>
                <w:szCs w:val="21"/>
                <w:lang w:val="en-US"/>
              </w:rPr>
              <w:t>0.</w:t>
            </w:r>
            <w:r>
              <w:rPr>
                <w:rFonts w:hint="eastAsia" w:ascii="Times New Roman" w:hAnsi="Times New Roman" w:cs="Times New Roman"/>
                <w:sz w:val="21"/>
                <w:szCs w:val="21"/>
                <w:lang w:val="en-US" w:eastAsia="zh-CN"/>
              </w:rPr>
              <w:t>108</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default" w:ascii="Times New Roman" w:hAnsi="Times New Roman" w:cs="Times New Roman"/>
                <w:sz w:val="21"/>
                <w:szCs w:val="21"/>
                <w:lang w:val="en-US"/>
              </w:rPr>
            </w:pPr>
            <w:r>
              <w:rPr>
                <w:rFonts w:hint="eastAsia" w:ascii="Times New Roman" w:hAnsi="Times New Roman" w:cs="Times New Roman"/>
                <w:sz w:val="21"/>
                <w:szCs w:val="21"/>
                <w:lang w:val="en-US" w:eastAsia="zh-CN"/>
              </w:rPr>
              <w:t>0.098</w:t>
            </w:r>
          </w:p>
        </w:tc>
        <w:tc>
          <w:tcPr>
            <w:tcW w:w="891"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eastAsia="宋体" w:cs="Times New Roman"/>
                <w:sz w:val="21"/>
                <w:szCs w:val="21"/>
                <w:lang w:eastAsia="zh-CN"/>
              </w:rPr>
            </w:pPr>
            <w:r>
              <w:rPr>
                <w:rFonts w:hint="eastAsia" w:ascii="Times New Roman" w:hAnsi="Times New Roman" w:cs="Times New Roman"/>
                <w:sz w:val="21"/>
                <w:szCs w:val="21"/>
                <w:lang w:val="en-US"/>
              </w:rPr>
              <w:t>0.0</w:t>
            </w:r>
            <w:r>
              <w:rPr>
                <w:rFonts w:hint="eastAsia" w:ascii="Times New Roman" w:hAnsi="Times New Roman" w:cs="Times New Roman"/>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cs="Times New Roman"/>
                <w:sz w:val="21"/>
                <w:szCs w:val="21"/>
              </w:rPr>
            </w:pPr>
            <w:r>
              <w:rPr>
                <w:rFonts w:hint="eastAsia" w:cs="Times New Roman"/>
                <w:snapToGrid w:val="0"/>
                <w:kern w:val="18"/>
                <w:sz w:val="21"/>
                <w:szCs w:val="21"/>
              </w:rPr>
              <w:t>硫化氢</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sz w:val="21"/>
                <w:szCs w:val="21"/>
                <w:lang w:val="en-US"/>
              </w:rPr>
            </w:pPr>
            <w:r>
              <w:rPr>
                <w:rFonts w:hint="eastAsia" w:ascii="Times New Roman" w:hAnsi="Times New Roman" w:cs="Times New Roman"/>
                <w:sz w:val="21"/>
                <w:szCs w:val="21"/>
                <w:lang w:val="en-US"/>
              </w:rPr>
              <w:t>0.8641</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0.8446</w:t>
            </w:r>
          </w:p>
        </w:tc>
        <w:tc>
          <w:tcPr>
            <w:tcW w:w="891"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cs="Times New Roman"/>
                <w:sz w:val="21"/>
                <w:szCs w:val="21"/>
              </w:rPr>
            </w:pPr>
            <w:r>
              <w:rPr>
                <w:rFonts w:hint="eastAsia" w:ascii="Times New Roman" w:hAnsi="Times New Roman" w:cs="Times New Roman"/>
                <w:sz w:val="21"/>
                <w:szCs w:val="21"/>
                <w:lang w:val="en-US"/>
              </w:rPr>
              <w:t>0.0</w:t>
            </w:r>
            <w:r>
              <w:rPr>
                <w:rFonts w:hint="eastAsia" w:ascii="Times New Roman" w:hAnsi="Times New Roman" w:cs="Times New Roman"/>
                <w:sz w:val="21"/>
                <w:szCs w:val="21"/>
                <w:lang w:val="en-US" w:eastAsia="zh-CN"/>
              </w:rPr>
              <w:t>195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cs="Times New Roman"/>
                <w:sz w:val="21"/>
                <w:szCs w:val="21"/>
              </w:rPr>
            </w:pPr>
            <w:r>
              <w:rPr>
                <w:rFonts w:hint="eastAsia" w:cs="Times New Roman"/>
                <w:snapToGrid w:val="0"/>
                <w:kern w:val="18"/>
                <w:sz w:val="21"/>
                <w:szCs w:val="21"/>
              </w:rPr>
              <w:t>氨</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sz w:val="21"/>
                <w:szCs w:val="21"/>
                <w:lang w:val="en-US"/>
              </w:rPr>
            </w:pPr>
            <w:r>
              <w:rPr>
                <w:rFonts w:hint="eastAsia" w:ascii="Times New Roman" w:hAnsi="Times New Roman" w:cs="Times New Roman"/>
                <w:sz w:val="21"/>
                <w:szCs w:val="21"/>
                <w:lang w:val="en-US"/>
              </w:rPr>
              <w:t>0.3218</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0.3037</w:t>
            </w:r>
          </w:p>
        </w:tc>
        <w:tc>
          <w:tcPr>
            <w:tcW w:w="891" w:type="pct"/>
            <w:vAlign w:val="center"/>
          </w:tcPr>
          <w:p>
            <w:pPr>
              <w:pStyle w:val="39"/>
              <w:keepNext w:val="0"/>
              <w:keepLines w:val="0"/>
              <w:pageBreakBefore w:val="0"/>
              <w:kinsoku/>
              <w:wordWrap/>
              <w:overflowPunct/>
              <w:topLinePunct w:val="0"/>
              <w:autoSpaceDE/>
              <w:autoSpaceDN/>
              <w:bidi w:val="0"/>
              <w:adjustRightInd/>
              <w:snapToGrid/>
              <w:spacing w:line="240" w:lineRule="auto"/>
              <w:ind w:firstLine="0" w:firstLineChars="0"/>
              <w:rPr>
                <w:rFonts w:hint="eastAsia" w:cs="Times New Roman"/>
                <w:sz w:val="21"/>
                <w:szCs w:val="21"/>
              </w:rPr>
            </w:pPr>
            <w:r>
              <w:rPr>
                <w:rFonts w:hint="eastAsia" w:ascii="Times New Roman" w:hAnsi="Times New Roman" w:cs="Times New Roman"/>
                <w:sz w:val="21"/>
                <w:szCs w:val="21"/>
                <w:lang w:val="en-US"/>
              </w:rPr>
              <w:t>0.0181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无组织废气</w:t>
            </w:r>
          </w:p>
        </w:tc>
        <w:tc>
          <w:tcPr>
            <w:tcW w:w="1131" w:type="pct"/>
            <w:gridSpan w:val="2"/>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r>
              <w:rPr>
                <w:rFonts w:hint="eastAsia" w:cs="Times New Roman"/>
                <w:snapToGrid w:val="0"/>
                <w:kern w:val="18"/>
                <w:sz w:val="21"/>
                <w:szCs w:val="21"/>
              </w:rPr>
              <w:t>颗粒物</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r>
              <w:rPr>
                <w:rFonts w:hint="eastAsia" w:cs="Times New Roman"/>
                <w:sz w:val="21"/>
                <w:szCs w:val="21"/>
                <w:lang w:val="en-US" w:eastAsia="zh-CN"/>
              </w:rPr>
              <w:t>0.066</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lang w:val="en-US" w:eastAsia="zh-CN"/>
              </w:rPr>
              <w:t>0</w:t>
            </w:r>
          </w:p>
        </w:tc>
        <w:tc>
          <w:tcPr>
            <w:tcW w:w="891"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lang w:val="en-US" w:eastAsia="zh-CN"/>
              </w:rPr>
              <w:t>0.066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r>
              <w:rPr>
                <w:rFonts w:hint="eastAsia" w:cs="Times New Roman"/>
                <w:snapToGrid w:val="0"/>
                <w:kern w:val="18"/>
                <w:sz w:val="21"/>
                <w:szCs w:val="21"/>
              </w:rPr>
              <w:t>非甲烷总烃</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r>
              <w:rPr>
                <w:rFonts w:hint="eastAsia" w:cs="Times New Roman"/>
                <w:sz w:val="21"/>
                <w:szCs w:val="21"/>
                <w:lang w:val="en-US" w:eastAsia="zh-CN"/>
              </w:rPr>
              <w:t>1.2657</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lang w:val="en-US" w:eastAsia="zh-CN"/>
              </w:rPr>
              <w:t>0</w:t>
            </w:r>
          </w:p>
        </w:tc>
        <w:tc>
          <w:tcPr>
            <w:tcW w:w="891"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lang w:val="en-US" w:eastAsia="zh-CN"/>
              </w:rPr>
              <w:t>1.2657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color w:val="000000" w:themeColor="text1"/>
                <w:sz w:val="21"/>
                <w:szCs w:val="21"/>
                <w14:textFill>
                  <w14:solidFill>
                    <w14:schemeClr w14:val="tx1"/>
                  </w14:solidFill>
                </w14:textFill>
              </w:rPr>
              <w:t>丙烯酸</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r>
              <w:rPr>
                <w:rFonts w:hint="default" w:cs="Times New Roman"/>
                <w:kern w:val="0"/>
                <w:sz w:val="21"/>
                <w:szCs w:val="21"/>
                <w:lang w:val="en-US" w:eastAsia="zh-CN"/>
              </w:rPr>
              <w:t>0.0026</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lang w:val="en-US" w:eastAsia="zh-CN"/>
              </w:rPr>
              <w:t>0</w:t>
            </w:r>
          </w:p>
        </w:tc>
        <w:tc>
          <w:tcPr>
            <w:tcW w:w="891"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default" w:cs="Times New Roman"/>
                <w:kern w:val="0"/>
                <w:sz w:val="21"/>
                <w:szCs w:val="21"/>
                <w:lang w:val="en-US" w:eastAsia="zh-CN"/>
              </w:rPr>
              <w:t>0.0026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color w:val="000000" w:themeColor="text1"/>
                <w:sz w:val="21"/>
                <w:szCs w:val="21"/>
                <w14:textFill>
                  <w14:solidFill>
                    <w14:schemeClr w14:val="tx1"/>
                  </w14:solidFill>
                </w14:textFill>
              </w:rPr>
              <w:t>丙烯酸丁酯</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r>
              <w:rPr>
                <w:rFonts w:hint="default" w:cs="Times New Roman"/>
                <w:kern w:val="0"/>
                <w:sz w:val="21"/>
                <w:szCs w:val="21"/>
                <w:lang w:val="en-US" w:eastAsia="zh-CN"/>
              </w:rPr>
              <w:t>0.0235</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lang w:val="en-US" w:eastAsia="zh-CN"/>
              </w:rPr>
              <w:t>0</w:t>
            </w:r>
          </w:p>
        </w:tc>
        <w:tc>
          <w:tcPr>
            <w:tcW w:w="891"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color w:val="000000" w:themeColor="text1"/>
                <w:sz w:val="21"/>
                <w:szCs w:val="21"/>
                <w14:textFill>
                  <w14:solidFill>
                    <w14:schemeClr w14:val="tx1"/>
                  </w14:solidFill>
                </w14:textFill>
              </w:rPr>
              <w:t>甲基丙烯酸甲酯</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r>
              <w:rPr>
                <w:rFonts w:hint="default" w:cs="Times New Roman"/>
                <w:kern w:val="0"/>
                <w:sz w:val="21"/>
                <w:szCs w:val="21"/>
                <w:lang w:val="en-US" w:eastAsia="zh-CN"/>
              </w:rPr>
              <w:t>0.0235</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lang w:val="en-US" w:eastAsia="zh-CN"/>
              </w:rPr>
              <w:t>0</w:t>
            </w:r>
          </w:p>
        </w:tc>
        <w:tc>
          <w:tcPr>
            <w:tcW w:w="891"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r>
              <w:rPr>
                <w:rFonts w:hint="eastAsia" w:cs="Times New Roman"/>
                <w:snapToGrid w:val="0"/>
                <w:kern w:val="18"/>
                <w:sz w:val="21"/>
                <w:szCs w:val="21"/>
              </w:rPr>
              <w:t>硫化氢</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sz w:val="21"/>
                <w:szCs w:val="21"/>
              </w:rPr>
            </w:pPr>
            <w:r>
              <w:rPr>
                <w:rFonts w:hint="eastAsia" w:cs="Times New Roman"/>
                <w:sz w:val="21"/>
                <w:szCs w:val="21"/>
              </w:rPr>
              <w:t>0.8045</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lang w:val="en-US" w:eastAsia="zh-CN"/>
              </w:rPr>
              <w:t>0</w:t>
            </w:r>
          </w:p>
        </w:tc>
        <w:tc>
          <w:tcPr>
            <w:tcW w:w="891"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cs="Times New Roman"/>
                <w:sz w:val="21"/>
                <w:szCs w:val="21"/>
              </w:rPr>
            </w:pPr>
            <w:r>
              <w:rPr>
                <w:rFonts w:hint="eastAsia" w:cs="Times New Roman"/>
                <w:sz w:val="21"/>
                <w:szCs w:val="21"/>
              </w:rPr>
              <w:t>0.8045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577"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1131" w:type="pct"/>
            <w:gridSpan w:val="2"/>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r>
              <w:rPr>
                <w:rFonts w:hint="eastAsia" w:cs="Times New Roman"/>
                <w:snapToGrid w:val="0"/>
                <w:kern w:val="18"/>
                <w:sz w:val="21"/>
                <w:szCs w:val="21"/>
              </w:rPr>
              <w:t>氨</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sz w:val="21"/>
                <w:szCs w:val="21"/>
              </w:rPr>
            </w:pPr>
            <w:r>
              <w:rPr>
                <w:rFonts w:hint="eastAsia" w:cs="Times New Roman"/>
                <w:sz w:val="21"/>
                <w:szCs w:val="21"/>
              </w:rPr>
              <w:t>0.2011</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lang w:val="en-US" w:eastAsia="zh-CN"/>
              </w:rPr>
              <w:t>0</w:t>
            </w:r>
          </w:p>
        </w:tc>
        <w:tc>
          <w:tcPr>
            <w:tcW w:w="891"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textAlignment w:val="center"/>
              <w:rPr>
                <w:rFonts w:hint="eastAsia" w:cs="Times New Roman"/>
                <w:sz w:val="21"/>
                <w:szCs w:val="21"/>
              </w:rPr>
            </w:pPr>
            <w:r>
              <w:rPr>
                <w:rFonts w:hint="eastAsia" w:cs="Times New Roman"/>
                <w:sz w:val="21"/>
                <w:szCs w:val="21"/>
              </w:rPr>
              <w:t>0.2011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rPr>
                <w:rFonts w:hint="eastAsia" w:eastAsia="宋体"/>
                <w:color w:val="000000" w:themeColor="text1"/>
                <w:sz w:val="21"/>
                <w:szCs w:val="21"/>
                <w:lang w:eastAsia="zh-CN"/>
                <w14:textFill>
                  <w14:solidFill>
                    <w14:schemeClr w14:val="tx1"/>
                  </w14:solidFill>
                </w14:textFill>
              </w:rPr>
            </w:pPr>
            <w:r>
              <w:rPr>
                <w:color w:val="000000" w:themeColor="text1"/>
                <w:sz w:val="21"/>
                <w:szCs w:val="21"/>
                <w14:textFill>
                  <w14:solidFill>
                    <w14:schemeClr w14:val="tx1"/>
                  </w14:solidFill>
                </w14:textFill>
              </w:rPr>
              <w:t>废水（</w:t>
            </w:r>
            <w:r>
              <w:rPr>
                <w:rFonts w:hint="eastAsia"/>
                <w:color w:val="000000" w:themeColor="text1"/>
                <w:sz w:val="21"/>
                <w:szCs w:val="21"/>
                <w:lang w:eastAsia="zh-CN"/>
                <w14:textFill>
                  <w14:solidFill>
                    <w14:schemeClr w14:val="tx1"/>
                  </w14:solidFill>
                </w14:textFill>
              </w:rPr>
              <w:t>11910.0508</w:t>
            </w:r>
          </w:p>
          <w:p>
            <w:pPr>
              <w:pStyle w:val="38"/>
              <w:keepNext w:val="0"/>
              <w:keepLines w:val="0"/>
              <w:pageBreakBefore w:val="0"/>
              <w:kinsoku/>
              <w:wordWrap/>
              <w:overflowPunct/>
              <w:topLinePunct w:val="0"/>
              <w:autoSpaceDE/>
              <w:autoSpaceDN/>
              <w:bidi w:val="0"/>
              <w:adjustRightInd/>
              <w:snapToGrid/>
              <w:spacing w:line="240" w:lineRule="auto"/>
              <w:rPr>
                <w:rFonts w:hint="default"/>
                <w:color w:val="FF0000"/>
                <w:sz w:val="21"/>
                <w:szCs w:val="21"/>
              </w:rPr>
            </w:pPr>
            <w:r>
              <w:rPr>
                <w:color w:val="000000" w:themeColor="text1"/>
                <w:sz w:val="21"/>
                <w:szCs w:val="21"/>
                <w14:textFill>
                  <w14:solidFill>
                    <w14:schemeClr w14:val="tx1"/>
                  </w14:solidFill>
                </w14:textFill>
              </w:rPr>
              <w:t>m</w:t>
            </w:r>
            <w:r>
              <w:rPr>
                <w:color w:val="000000" w:themeColor="text1"/>
                <w:sz w:val="21"/>
                <w:szCs w:val="21"/>
                <w:vertAlign w:val="superscript"/>
                <w14:textFill>
                  <w14:solidFill>
                    <w14:schemeClr w14:val="tx1"/>
                  </w14:solidFill>
                </w14:textFill>
              </w:rPr>
              <w:t>3</w:t>
            </w:r>
            <w:r>
              <w:rPr>
                <w:color w:val="000000" w:themeColor="text1"/>
                <w:sz w:val="21"/>
                <w:szCs w:val="21"/>
                <w14:textFill>
                  <w14:solidFill>
                    <w14:schemeClr w14:val="tx1"/>
                  </w14:solidFill>
                </w14:textFill>
              </w:rPr>
              <w:t>/a）</w:t>
            </w:r>
          </w:p>
        </w:tc>
        <w:tc>
          <w:tcPr>
            <w:tcW w:w="1709" w:type="pct"/>
            <w:gridSpan w:val="3"/>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auto"/>
                <w:sz w:val="21"/>
                <w:szCs w:val="21"/>
              </w:rPr>
            </w:pPr>
            <w:r>
              <w:rPr>
                <w:rFonts w:hint="default"/>
                <w:color w:val="auto"/>
                <w:sz w:val="21"/>
                <w:szCs w:val="21"/>
              </w:rPr>
              <w:t>COD</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eastAsia="宋体"/>
                <w:color w:val="auto"/>
                <w:sz w:val="21"/>
                <w:szCs w:val="21"/>
                <w:lang w:val="en-US" w:eastAsia="zh-CN"/>
              </w:rPr>
            </w:pPr>
            <w:r>
              <w:rPr>
                <w:rFonts w:hint="eastAsia"/>
                <w:color w:val="auto"/>
                <w:sz w:val="21"/>
                <w:szCs w:val="21"/>
                <w:lang w:val="en-US" w:eastAsia="zh-CN"/>
              </w:rPr>
              <w:t>2.047</w:t>
            </w:r>
          </w:p>
        </w:tc>
        <w:tc>
          <w:tcPr>
            <w:tcW w:w="879" w:type="pct"/>
            <w:vAlign w:val="bottom"/>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1.4</w:t>
            </w:r>
            <w:r>
              <w:rPr>
                <w:rFonts w:hint="eastAsia" w:cs="Times New Roman"/>
                <w:kern w:val="0"/>
                <w:sz w:val="21"/>
                <w:szCs w:val="21"/>
                <w:lang w:val="en-US" w:eastAsia="zh-CN"/>
              </w:rPr>
              <w:t>1</w:t>
            </w:r>
          </w:p>
        </w:tc>
        <w:tc>
          <w:tcPr>
            <w:tcW w:w="891" w:type="pct"/>
            <w:vAlign w:val="bottom"/>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lang w:val="en-US" w:eastAsia="zh-CN"/>
              </w:rPr>
            </w:pPr>
            <w:r>
              <w:rPr>
                <w:rFonts w:hint="default"/>
                <w:sz w:val="21"/>
                <w:szCs w:val="21"/>
                <w:lang w:val="en-US" w:eastAsia="zh-CN"/>
              </w:rPr>
              <w:t>0.637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FF0000"/>
                <w:sz w:val="21"/>
                <w:szCs w:val="21"/>
              </w:rPr>
            </w:pPr>
          </w:p>
        </w:tc>
        <w:tc>
          <w:tcPr>
            <w:tcW w:w="1709" w:type="pct"/>
            <w:gridSpan w:val="3"/>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auto"/>
                <w:sz w:val="21"/>
                <w:szCs w:val="21"/>
              </w:rPr>
            </w:pPr>
            <w:r>
              <w:rPr>
                <w:rFonts w:hint="default"/>
                <w:color w:val="auto"/>
                <w:sz w:val="21"/>
                <w:szCs w:val="21"/>
              </w:rPr>
              <w:t>BOD</w:t>
            </w:r>
            <w:r>
              <w:rPr>
                <w:rFonts w:hint="default"/>
                <w:color w:val="auto"/>
                <w:sz w:val="21"/>
                <w:szCs w:val="21"/>
                <w:vertAlign w:val="subscript"/>
              </w:rPr>
              <w:t>5</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eastAsia="宋体"/>
                <w:color w:val="auto"/>
                <w:sz w:val="21"/>
                <w:szCs w:val="21"/>
                <w:lang w:val="en-US" w:eastAsia="zh-CN"/>
              </w:rPr>
            </w:pPr>
            <w:r>
              <w:rPr>
                <w:rFonts w:hint="eastAsia"/>
                <w:color w:val="auto"/>
                <w:sz w:val="21"/>
                <w:szCs w:val="21"/>
                <w:lang w:val="en-US" w:eastAsia="zh-CN"/>
              </w:rPr>
              <w:t>0.7</w:t>
            </w:r>
          </w:p>
        </w:tc>
        <w:tc>
          <w:tcPr>
            <w:tcW w:w="879" w:type="pct"/>
            <w:vAlign w:val="bottom"/>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0.61</w:t>
            </w:r>
          </w:p>
        </w:tc>
        <w:tc>
          <w:tcPr>
            <w:tcW w:w="891" w:type="pct"/>
            <w:vAlign w:val="bottom"/>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lang w:val="en-US" w:eastAsia="zh-CN"/>
              </w:rPr>
            </w:pPr>
            <w:r>
              <w:rPr>
                <w:rFonts w:hint="default"/>
                <w:sz w:val="21"/>
                <w:szCs w:val="21"/>
                <w:lang w:val="en-US" w:eastAsia="zh-CN"/>
              </w:rPr>
              <w:t>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FF0000"/>
                <w:sz w:val="21"/>
                <w:szCs w:val="21"/>
              </w:rPr>
            </w:pPr>
          </w:p>
        </w:tc>
        <w:tc>
          <w:tcPr>
            <w:tcW w:w="1709" w:type="pct"/>
            <w:gridSpan w:val="3"/>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auto"/>
                <w:sz w:val="21"/>
                <w:szCs w:val="21"/>
              </w:rPr>
            </w:pPr>
            <w:r>
              <w:rPr>
                <w:rFonts w:hint="default"/>
                <w:color w:val="auto"/>
                <w:sz w:val="21"/>
                <w:szCs w:val="21"/>
              </w:rPr>
              <w:t>SS</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eastAsia="宋体"/>
                <w:color w:val="auto"/>
                <w:sz w:val="21"/>
                <w:szCs w:val="21"/>
                <w:lang w:val="en-US" w:eastAsia="zh-CN"/>
              </w:rPr>
            </w:pPr>
            <w:r>
              <w:rPr>
                <w:rFonts w:hint="eastAsia"/>
                <w:color w:val="auto"/>
                <w:sz w:val="21"/>
                <w:szCs w:val="21"/>
                <w:lang w:val="en-US" w:eastAsia="zh-CN"/>
              </w:rPr>
              <w:t>1.28</w:t>
            </w:r>
          </w:p>
        </w:tc>
        <w:tc>
          <w:tcPr>
            <w:tcW w:w="879" w:type="pct"/>
            <w:vAlign w:val="bottom"/>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cs="Times New Roman"/>
                <w:kern w:val="0"/>
                <w:sz w:val="21"/>
                <w:szCs w:val="21"/>
                <w:lang w:val="en-US" w:eastAsia="zh-CN"/>
              </w:rPr>
            </w:pPr>
            <w:r>
              <w:rPr>
                <w:rFonts w:hint="eastAsia" w:cs="Times New Roman"/>
                <w:kern w:val="0"/>
                <w:sz w:val="21"/>
                <w:szCs w:val="21"/>
                <w:lang w:val="en-US" w:eastAsia="zh-CN"/>
              </w:rPr>
              <w:t>0.823</w:t>
            </w:r>
          </w:p>
        </w:tc>
        <w:tc>
          <w:tcPr>
            <w:tcW w:w="891" w:type="pct"/>
            <w:vAlign w:val="bottom"/>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lang w:val="en-US" w:eastAsia="zh-CN"/>
              </w:rPr>
            </w:pPr>
            <w:r>
              <w:rPr>
                <w:rFonts w:hint="default"/>
                <w:sz w:val="21"/>
                <w:szCs w:val="21"/>
                <w:lang w:val="en-US" w:eastAsia="zh-CN"/>
              </w:rPr>
              <w:t>0.457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FF0000"/>
                <w:sz w:val="21"/>
                <w:szCs w:val="21"/>
              </w:rPr>
            </w:pPr>
          </w:p>
        </w:tc>
        <w:tc>
          <w:tcPr>
            <w:tcW w:w="1709" w:type="pct"/>
            <w:gridSpan w:val="3"/>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auto"/>
                <w:sz w:val="21"/>
                <w:szCs w:val="21"/>
              </w:rPr>
            </w:pPr>
            <w:r>
              <w:rPr>
                <w:rFonts w:hint="default"/>
                <w:color w:val="auto"/>
                <w:sz w:val="21"/>
                <w:szCs w:val="21"/>
              </w:rPr>
              <w:t>NH</w:t>
            </w:r>
            <w:r>
              <w:rPr>
                <w:rFonts w:hint="default"/>
                <w:color w:val="auto"/>
                <w:sz w:val="21"/>
                <w:szCs w:val="21"/>
                <w:vertAlign w:val="subscript"/>
              </w:rPr>
              <w:t>3</w:t>
            </w:r>
            <w:r>
              <w:rPr>
                <w:rFonts w:hint="default"/>
                <w:color w:val="auto"/>
                <w:sz w:val="21"/>
                <w:szCs w:val="21"/>
              </w:rPr>
              <w:t>-N</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eastAsia="宋体"/>
                <w:color w:val="auto"/>
                <w:sz w:val="21"/>
                <w:szCs w:val="21"/>
                <w:lang w:val="en-US" w:eastAsia="zh-CN"/>
              </w:rPr>
            </w:pPr>
            <w:r>
              <w:rPr>
                <w:rFonts w:hint="eastAsia"/>
                <w:color w:val="auto"/>
                <w:sz w:val="21"/>
                <w:szCs w:val="21"/>
                <w:lang w:val="en-US" w:eastAsia="zh-CN"/>
              </w:rPr>
              <w:t>0.19</w:t>
            </w:r>
          </w:p>
        </w:tc>
        <w:tc>
          <w:tcPr>
            <w:tcW w:w="879" w:type="pct"/>
            <w:vAlign w:val="bottom"/>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0.13</w:t>
            </w:r>
          </w:p>
        </w:tc>
        <w:tc>
          <w:tcPr>
            <w:tcW w:w="891" w:type="pct"/>
            <w:vAlign w:val="bottom"/>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lang w:val="en-US" w:eastAsia="zh-CN"/>
              </w:rPr>
            </w:pPr>
            <w:r>
              <w:rPr>
                <w:rFonts w:hint="default"/>
                <w:sz w:val="21"/>
                <w:szCs w:val="21"/>
                <w:lang w:val="en-US" w:eastAsia="zh-CN"/>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FF0000"/>
                <w:sz w:val="21"/>
                <w:szCs w:val="21"/>
              </w:rPr>
            </w:pPr>
          </w:p>
        </w:tc>
        <w:tc>
          <w:tcPr>
            <w:tcW w:w="1709" w:type="pct"/>
            <w:gridSpan w:val="3"/>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auto"/>
                <w:sz w:val="21"/>
                <w:szCs w:val="21"/>
              </w:rPr>
            </w:pPr>
            <w:r>
              <w:rPr>
                <w:color w:val="auto"/>
                <w:sz w:val="21"/>
                <w:szCs w:val="21"/>
              </w:rPr>
              <w:t>动植物油</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eastAsia="宋体"/>
                <w:color w:val="auto"/>
                <w:sz w:val="21"/>
                <w:szCs w:val="21"/>
                <w:lang w:val="en-US" w:eastAsia="zh-CN"/>
              </w:rPr>
            </w:pPr>
            <w:r>
              <w:rPr>
                <w:rFonts w:hint="eastAsia"/>
                <w:color w:val="auto"/>
                <w:sz w:val="21"/>
                <w:szCs w:val="21"/>
                <w:lang w:val="en-US" w:eastAsia="zh-CN"/>
              </w:rPr>
              <w:t>0.1</w:t>
            </w:r>
          </w:p>
        </w:tc>
        <w:tc>
          <w:tcPr>
            <w:tcW w:w="879" w:type="pct"/>
            <w:vAlign w:val="bottom"/>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0.03</w:t>
            </w:r>
          </w:p>
        </w:tc>
        <w:tc>
          <w:tcPr>
            <w:tcW w:w="891" w:type="pct"/>
            <w:vAlign w:val="bottom"/>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lang w:val="en-US" w:eastAsia="zh-CN"/>
              </w:rPr>
            </w:pPr>
            <w:r>
              <w:rPr>
                <w:rFonts w:hint="default"/>
                <w:sz w:val="21"/>
                <w:szCs w:val="21"/>
                <w:lang w:val="en-US" w:eastAsia="zh-CN"/>
              </w:rPr>
              <w:t>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FF0000"/>
                <w:sz w:val="21"/>
                <w:szCs w:val="21"/>
              </w:rPr>
            </w:pPr>
          </w:p>
        </w:tc>
        <w:tc>
          <w:tcPr>
            <w:tcW w:w="1709" w:type="pct"/>
            <w:gridSpan w:val="3"/>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eastAsia="宋体"/>
                <w:color w:val="auto"/>
                <w:sz w:val="21"/>
                <w:szCs w:val="21"/>
                <w:lang w:val="en-US" w:eastAsia="zh-CN"/>
              </w:rPr>
            </w:pPr>
            <w:r>
              <w:rPr>
                <w:rFonts w:hint="eastAsia"/>
                <w:color w:val="auto"/>
                <w:sz w:val="21"/>
                <w:szCs w:val="21"/>
                <w:lang w:val="en-US" w:eastAsia="zh-CN"/>
              </w:rPr>
              <w:t>TN</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eastAsia="宋体"/>
                <w:color w:val="auto"/>
                <w:sz w:val="21"/>
                <w:szCs w:val="21"/>
                <w:lang w:val="en-US" w:eastAsia="zh-CN"/>
              </w:rPr>
            </w:pPr>
            <w:r>
              <w:rPr>
                <w:rFonts w:hint="eastAsia"/>
                <w:color w:val="auto"/>
                <w:sz w:val="21"/>
                <w:szCs w:val="21"/>
                <w:lang w:val="en-US" w:eastAsia="zh-CN"/>
              </w:rPr>
              <w:t>0.11</w:t>
            </w:r>
          </w:p>
        </w:tc>
        <w:tc>
          <w:tcPr>
            <w:tcW w:w="879" w:type="pct"/>
            <w:vAlign w:val="bottom"/>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0.06</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eastAsia"/>
                <w:sz w:val="21"/>
                <w:szCs w:val="21"/>
                <w:lang w:val="en-US" w:eastAsia="zh-CN"/>
              </w:rPr>
            </w:pPr>
            <w:r>
              <w:rPr>
                <w:rFonts w:hint="default"/>
                <w:sz w:val="21"/>
                <w:szCs w:val="21"/>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color w:val="FF0000"/>
                <w:sz w:val="21"/>
                <w:szCs w:val="21"/>
              </w:rPr>
            </w:pPr>
          </w:p>
        </w:tc>
        <w:tc>
          <w:tcPr>
            <w:tcW w:w="1709" w:type="pct"/>
            <w:gridSpan w:val="3"/>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eastAsia="宋体"/>
                <w:color w:val="auto"/>
                <w:sz w:val="21"/>
                <w:szCs w:val="21"/>
                <w:lang w:val="en-US" w:eastAsia="zh-CN"/>
              </w:rPr>
            </w:pPr>
            <w:r>
              <w:rPr>
                <w:rFonts w:hint="eastAsia"/>
                <w:color w:val="auto"/>
                <w:sz w:val="21"/>
                <w:szCs w:val="21"/>
                <w:lang w:val="en-US" w:eastAsia="zh-CN"/>
              </w:rPr>
              <w:t>TP</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default" w:eastAsia="宋体"/>
                <w:color w:val="auto"/>
                <w:sz w:val="21"/>
                <w:szCs w:val="21"/>
                <w:lang w:val="en-US" w:eastAsia="zh-CN"/>
              </w:rPr>
            </w:pPr>
            <w:r>
              <w:rPr>
                <w:rFonts w:hint="eastAsia"/>
                <w:color w:val="auto"/>
                <w:sz w:val="21"/>
                <w:szCs w:val="21"/>
                <w:lang w:val="en-US" w:eastAsia="zh-CN"/>
              </w:rPr>
              <w:t>0.07</w:t>
            </w:r>
          </w:p>
        </w:tc>
        <w:tc>
          <w:tcPr>
            <w:tcW w:w="879" w:type="pct"/>
            <w:vAlign w:val="bottom"/>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0.05</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eastAsia"/>
                <w:sz w:val="21"/>
                <w:szCs w:val="21"/>
                <w:lang w:val="en-US" w:eastAsia="zh-CN"/>
              </w:rPr>
            </w:pPr>
            <w:r>
              <w:rPr>
                <w:rFonts w:hint="default"/>
                <w:sz w:val="21"/>
                <w:szCs w:val="21"/>
                <w:lang w:val="en-US" w:eastAsia="zh-CN"/>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噪声</w:t>
            </w:r>
          </w:p>
        </w:tc>
        <w:tc>
          <w:tcPr>
            <w:tcW w:w="1709" w:type="pct"/>
            <w:gridSpan w:val="3"/>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破碎机、密炼机、真空泵、空压机、搅拌机</w:t>
            </w:r>
          </w:p>
        </w:tc>
        <w:tc>
          <w:tcPr>
            <w:tcW w:w="768"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80-85dB（A）</w:t>
            </w:r>
          </w:p>
        </w:tc>
        <w:tc>
          <w:tcPr>
            <w:tcW w:w="879"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60-70dB（A）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restar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固废</w:t>
            </w:r>
          </w:p>
        </w:tc>
        <w:tc>
          <w:tcPr>
            <w:tcW w:w="633" w:type="pct"/>
            <w:gridSpan w:val="2"/>
            <w:vMerge w:val="restar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sz w:val="21"/>
                <w:szCs w:val="21"/>
                <w:lang w:eastAsia="zh-CN"/>
              </w:rPr>
              <w:t>一般固废</w:t>
            </w: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kern w:val="0"/>
                <w:sz w:val="21"/>
                <w:szCs w:val="21"/>
              </w:rPr>
            </w:pPr>
            <w:r>
              <w:rPr>
                <w:rFonts w:hint="eastAsia"/>
                <w:kern w:val="0"/>
                <w:sz w:val="21"/>
                <w:szCs w:val="21"/>
              </w:rPr>
              <w:t>废弃边角料</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lang w:val="en-US" w:eastAsia="zh-CN"/>
              </w:rPr>
              <w:t>26.25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lang w:val="en-US" w:eastAsia="zh-CN"/>
              </w:rPr>
              <w:t>26.25</w:t>
            </w:r>
            <w:r>
              <w:rPr>
                <w:kern w:val="0"/>
                <w:sz w:val="21"/>
                <w:szCs w:val="21"/>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kern w:val="0"/>
                <w:sz w:val="21"/>
                <w:szCs w:val="21"/>
              </w:rPr>
            </w:pPr>
            <w:r>
              <w:rPr>
                <w:rFonts w:hint="eastAsia"/>
                <w:kern w:val="0"/>
                <w:sz w:val="21"/>
                <w:szCs w:val="21"/>
                <w:lang w:eastAsia="zh-CN"/>
              </w:rPr>
              <w:t>一般废包装</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lang w:val="en-US" w:eastAsia="zh-CN"/>
              </w:rPr>
              <w:t>7.5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lang w:val="en-US" w:eastAsia="zh-CN"/>
              </w:rPr>
              <w:t>7.5</w:t>
            </w:r>
            <w:r>
              <w:rPr>
                <w:kern w:val="0"/>
                <w:sz w:val="21"/>
                <w:szCs w:val="21"/>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rFonts w:hint="default"/>
                <w:sz w:val="21"/>
                <w:szCs w:val="21"/>
              </w:rPr>
            </w:pP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kern w:val="0"/>
                <w:sz w:val="21"/>
                <w:szCs w:val="21"/>
              </w:rPr>
            </w:pPr>
            <w:r>
              <w:rPr>
                <w:rFonts w:hint="eastAsia"/>
                <w:kern w:val="0"/>
                <w:sz w:val="21"/>
                <w:szCs w:val="21"/>
              </w:rPr>
              <w:t>除尘器卸灰</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lang w:val="en-US" w:eastAsia="zh-CN"/>
              </w:rPr>
              <w:t>1.1</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lang w:val="en-US" w:eastAsia="zh-CN"/>
              </w:rPr>
              <w:t>1.1</w:t>
            </w:r>
            <w:r>
              <w:rPr>
                <w:kern w:val="0"/>
                <w:sz w:val="21"/>
                <w:szCs w:val="21"/>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kern w:val="0"/>
                <w:sz w:val="21"/>
                <w:szCs w:val="21"/>
              </w:rPr>
            </w:pPr>
            <w:r>
              <w:rPr>
                <w:kern w:val="0"/>
                <w:sz w:val="21"/>
                <w:szCs w:val="21"/>
              </w:rPr>
              <w:t>生活垃圾</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lang w:val="en-US" w:eastAsia="zh-CN"/>
              </w:rPr>
              <w:t>15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lang w:val="en-US" w:eastAsia="zh-CN"/>
              </w:rPr>
              <w:t>15</w:t>
            </w:r>
            <w:r>
              <w:rPr>
                <w:kern w:val="0"/>
                <w:sz w:val="21"/>
                <w:szCs w:val="21"/>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restar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lang w:eastAsia="zh-CN"/>
              </w:rPr>
              <w:t>危险固废</w:t>
            </w: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kern w:val="0"/>
                <w:sz w:val="21"/>
                <w:szCs w:val="21"/>
                <w:u w:val="single"/>
              </w:rPr>
            </w:pPr>
            <w:r>
              <w:rPr>
                <w:rFonts w:hint="eastAsia"/>
                <w:kern w:val="0"/>
                <w:sz w:val="21"/>
                <w:szCs w:val="21"/>
                <w:u w:val="single"/>
              </w:rPr>
              <w:t>废催化剂</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kern w:val="0"/>
                <w:sz w:val="21"/>
                <w:szCs w:val="21"/>
                <w:u w:val="single"/>
              </w:rPr>
            </w:pPr>
            <w:r>
              <w:rPr>
                <w:rFonts w:hint="eastAsia"/>
                <w:kern w:val="0"/>
                <w:sz w:val="21"/>
                <w:szCs w:val="21"/>
                <w:u w:val="single"/>
              </w:rPr>
              <w:t>5</w:t>
            </w:r>
            <w:r>
              <w:rPr>
                <w:kern w:val="0"/>
                <w:sz w:val="21"/>
                <w:szCs w:val="21"/>
                <w:u w:val="single"/>
              </w:rPr>
              <w:t>t/</w:t>
            </w:r>
            <w:r>
              <w:rPr>
                <w:rFonts w:hint="eastAsia"/>
                <w:kern w:val="0"/>
                <w:sz w:val="21"/>
                <w:szCs w:val="21"/>
                <w:u w:val="single"/>
              </w:rPr>
              <w:t>（4~5）</w:t>
            </w:r>
            <w:r>
              <w:rPr>
                <w:kern w:val="0"/>
                <w:sz w:val="21"/>
                <w:szCs w:val="21"/>
                <w:u w:val="single"/>
              </w:rPr>
              <w: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kern w:val="0"/>
                <w:sz w:val="21"/>
                <w:szCs w:val="21"/>
                <w:u w:val="single"/>
              </w:rPr>
            </w:pPr>
            <w:r>
              <w:rPr>
                <w:rFonts w:hint="eastAsia"/>
                <w:kern w:val="0"/>
                <w:sz w:val="21"/>
                <w:szCs w:val="21"/>
                <w:u w:val="single"/>
              </w:rPr>
              <w:t>5</w:t>
            </w:r>
            <w:r>
              <w:rPr>
                <w:kern w:val="0"/>
                <w:sz w:val="21"/>
                <w:szCs w:val="21"/>
                <w:u w:val="single"/>
              </w:rPr>
              <w:t>t/</w:t>
            </w:r>
            <w:r>
              <w:rPr>
                <w:rFonts w:hint="eastAsia"/>
                <w:kern w:val="0"/>
                <w:sz w:val="21"/>
                <w:szCs w:val="21"/>
                <w:u w:val="single"/>
              </w:rPr>
              <w:t>（4~5）</w:t>
            </w:r>
            <w:r>
              <w:rPr>
                <w:kern w:val="0"/>
                <w:sz w:val="21"/>
                <w:szCs w:val="21"/>
                <w:u w:val="single"/>
              </w:rPr>
              <w: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rFonts w:hint="default"/>
                <w:sz w:val="21"/>
                <w:szCs w:val="21"/>
                <w:u w:val="single"/>
              </w:rPr>
            </w:pPr>
            <w:r>
              <w:rPr>
                <w:sz w:val="21"/>
                <w:szCs w:val="21"/>
                <w:u w:val="singl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kern w:val="0"/>
                <w:sz w:val="21"/>
                <w:szCs w:val="21"/>
              </w:rPr>
            </w:pPr>
            <w:r>
              <w:rPr>
                <w:kern w:val="0"/>
                <w:sz w:val="21"/>
                <w:szCs w:val="21"/>
              </w:rPr>
              <w:t>废</w:t>
            </w:r>
            <w:r>
              <w:rPr>
                <w:rFonts w:hint="eastAsia"/>
                <w:kern w:val="0"/>
                <w:sz w:val="21"/>
                <w:szCs w:val="21"/>
              </w:rPr>
              <w:t>机油</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kern w:val="0"/>
                <w:sz w:val="21"/>
                <w:szCs w:val="21"/>
              </w:rPr>
              <w:t>0.</w:t>
            </w:r>
            <w:r>
              <w:rPr>
                <w:rFonts w:hint="eastAsia"/>
                <w:kern w:val="0"/>
                <w:sz w:val="21"/>
                <w:szCs w:val="21"/>
              </w:rPr>
              <w:t>01</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kern w:val="0"/>
                <w:sz w:val="21"/>
                <w:szCs w:val="21"/>
              </w:rPr>
              <w:t>0.</w:t>
            </w:r>
            <w:r>
              <w:rPr>
                <w:rFonts w:hint="eastAsia"/>
                <w:kern w:val="0"/>
                <w:sz w:val="21"/>
                <w:szCs w:val="21"/>
              </w:rPr>
              <w:t>01</w:t>
            </w:r>
            <w:r>
              <w:rPr>
                <w:kern w:val="0"/>
                <w:sz w:val="21"/>
                <w:szCs w:val="21"/>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cs="Times New Roman"/>
                <w:sz w:val="21"/>
                <w:szCs w:val="21"/>
              </w:rPr>
            </w:pPr>
            <w:r>
              <w:rPr>
                <w:kern w:val="0"/>
                <w:sz w:val="21"/>
                <w:szCs w:val="21"/>
              </w:rPr>
              <w:t>废活性炭</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rPr>
              <w:t>1.325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sz w:val="21"/>
                <w:szCs w:val="21"/>
              </w:rPr>
            </w:pPr>
            <w:r>
              <w:rPr>
                <w:rFonts w:hint="eastAsia"/>
                <w:kern w:val="0"/>
                <w:sz w:val="21"/>
                <w:szCs w:val="21"/>
              </w:rPr>
              <w:t>1.325</w:t>
            </w:r>
            <w:r>
              <w:rPr>
                <w:kern w:val="0"/>
                <w:sz w:val="21"/>
                <w:szCs w:val="21"/>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continue"/>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rPr>
            </w:pP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cs="Times New Roman"/>
                <w:sz w:val="21"/>
                <w:szCs w:val="21"/>
                <w:u w:val="single"/>
              </w:rPr>
            </w:pPr>
            <w:r>
              <w:rPr>
                <w:rFonts w:cs="Times New Roman"/>
                <w:sz w:val="21"/>
                <w:szCs w:val="21"/>
                <w:u w:val="single"/>
              </w:rPr>
              <w:t>污水处理站污泥</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u w:val="single"/>
              </w:rPr>
            </w:pPr>
            <w:r>
              <w:rPr>
                <w:rFonts w:hint="eastAsia" w:cs="Times New Roman"/>
                <w:sz w:val="21"/>
                <w:szCs w:val="21"/>
                <w:u w:val="single"/>
                <w:lang w:val="en-US" w:eastAsia="zh-CN"/>
              </w:rPr>
              <w:t>9.273</w:t>
            </w:r>
            <w:r>
              <w:rPr>
                <w:kern w:val="0"/>
                <w:sz w:val="21"/>
                <w:szCs w:val="21"/>
                <w:u w:val="single"/>
              </w:rPr>
              <w:t>t/a</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sz w:val="21"/>
                <w:szCs w:val="21"/>
                <w:u w:val="single"/>
              </w:rPr>
            </w:pPr>
            <w:r>
              <w:rPr>
                <w:rFonts w:hint="eastAsia" w:cs="Times New Roman"/>
                <w:sz w:val="21"/>
                <w:szCs w:val="21"/>
                <w:u w:val="single"/>
                <w:lang w:val="en-US" w:eastAsia="zh-CN"/>
              </w:rPr>
              <w:t>9.273</w:t>
            </w:r>
            <w:r>
              <w:rPr>
                <w:kern w:val="0"/>
                <w:sz w:val="21"/>
                <w:szCs w:val="21"/>
                <w:u w:val="single"/>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rFonts w:hint="default"/>
                <w:sz w:val="21"/>
                <w:szCs w:val="21"/>
                <w:u w:val="single"/>
              </w:rPr>
            </w:pPr>
            <w:r>
              <w:rPr>
                <w:sz w:val="21"/>
                <w:szCs w:val="21"/>
                <w:u w:val="singl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kern w:val="0"/>
                <w:sz w:val="21"/>
                <w:szCs w:val="21"/>
              </w:rPr>
            </w:pPr>
          </w:p>
        </w:tc>
        <w:tc>
          <w:tcPr>
            <w:tcW w:w="1075"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cs="Times New Roman"/>
                <w:sz w:val="21"/>
                <w:szCs w:val="21"/>
              </w:rPr>
            </w:pPr>
            <w:r>
              <w:rPr>
                <w:rFonts w:cs="Times New Roman"/>
                <w:sz w:val="21"/>
                <w:szCs w:val="21"/>
              </w:rPr>
              <w:t>产品滤渣</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kern w:val="0"/>
                <w:sz w:val="21"/>
                <w:szCs w:val="21"/>
              </w:rPr>
            </w:pPr>
            <w:r>
              <w:rPr>
                <w:rFonts w:hint="eastAsia"/>
                <w:kern w:val="0"/>
                <w:sz w:val="21"/>
                <w:szCs w:val="21"/>
                <w:lang w:val="en-US" w:eastAsia="zh-CN"/>
              </w:rPr>
              <w:t>45.715</w:t>
            </w:r>
            <w:r>
              <w:rPr>
                <w:kern w:val="0"/>
                <w:sz w:val="21"/>
                <w:szCs w:val="21"/>
              </w:rPr>
              <w:t>t/a</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kern w:val="0"/>
                <w:sz w:val="21"/>
                <w:szCs w:val="21"/>
              </w:rPr>
            </w:pPr>
            <w:r>
              <w:rPr>
                <w:rFonts w:hint="eastAsia"/>
                <w:kern w:val="0"/>
                <w:sz w:val="21"/>
                <w:szCs w:val="21"/>
                <w:lang w:val="en-US" w:eastAsia="zh-CN"/>
              </w:rPr>
              <w:t>45.715</w:t>
            </w:r>
            <w:r>
              <w:rPr>
                <w:kern w:val="0"/>
                <w:sz w:val="21"/>
                <w:szCs w:val="21"/>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kern w:val="0"/>
                <w:sz w:val="21"/>
                <w:szCs w:val="21"/>
              </w:rPr>
            </w:pP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cs="Times New Roman"/>
                <w:sz w:val="21"/>
                <w:szCs w:val="21"/>
              </w:rPr>
              <w:t>废原材料包装</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kern w:val="0"/>
                <w:sz w:val="21"/>
                <w:szCs w:val="21"/>
              </w:rPr>
            </w:pPr>
            <w:r>
              <w:rPr>
                <w:rFonts w:hint="eastAsia" w:cs="Times New Roman"/>
                <w:sz w:val="21"/>
                <w:szCs w:val="21"/>
              </w:rPr>
              <w:t>3.2</w:t>
            </w:r>
            <w:r>
              <w:rPr>
                <w:kern w:val="0"/>
                <w:sz w:val="21"/>
                <w:szCs w:val="21"/>
              </w:rPr>
              <w:t>t/a</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kern w:val="0"/>
                <w:sz w:val="21"/>
                <w:szCs w:val="21"/>
              </w:rPr>
            </w:pPr>
            <w:r>
              <w:rPr>
                <w:rFonts w:hint="eastAsia" w:cs="Times New Roman"/>
                <w:sz w:val="21"/>
                <w:szCs w:val="21"/>
              </w:rPr>
              <w:t>3.2</w:t>
            </w:r>
            <w:r>
              <w:rPr>
                <w:kern w:val="0"/>
                <w:sz w:val="21"/>
                <w:szCs w:val="21"/>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240" w:lineRule="auto"/>
              <w:rPr>
                <w:rFonts w:hint="default"/>
                <w:sz w:val="21"/>
                <w:szCs w:val="21"/>
              </w:rPr>
            </w:pPr>
          </w:p>
        </w:tc>
        <w:tc>
          <w:tcPr>
            <w:tcW w:w="633"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p>
        </w:tc>
        <w:tc>
          <w:tcPr>
            <w:tcW w:w="1075" w:type="pct"/>
            <w:vAlign w:val="center"/>
          </w:tcPr>
          <w:p>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cs="Times New Roman"/>
                <w:sz w:val="21"/>
                <w:szCs w:val="21"/>
              </w:rPr>
            </w:pPr>
            <w:r>
              <w:rPr>
                <w:rFonts w:hint="eastAsia" w:cs="Times New Roman"/>
                <w:sz w:val="21"/>
                <w:szCs w:val="21"/>
              </w:rPr>
              <w:t>喷淋塔沉渣</w:t>
            </w:r>
          </w:p>
        </w:tc>
        <w:tc>
          <w:tcPr>
            <w:tcW w:w="768"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lang w:val="en-US" w:eastAsia="zh-CN"/>
              </w:rPr>
            </w:pPr>
            <w:r>
              <w:rPr>
                <w:rFonts w:hint="eastAsia" w:cs="Times New Roman"/>
                <w:sz w:val="21"/>
                <w:szCs w:val="21"/>
                <w:lang w:val="en-US" w:eastAsia="zh-CN"/>
              </w:rPr>
              <w:t>1.27</w:t>
            </w:r>
            <w:r>
              <w:rPr>
                <w:kern w:val="0"/>
                <w:sz w:val="21"/>
                <w:szCs w:val="21"/>
              </w:rPr>
              <w:t>t/a</w:t>
            </w:r>
          </w:p>
        </w:tc>
        <w:tc>
          <w:tcPr>
            <w:tcW w:w="879" w:type="pct"/>
            <w:vAlign w:val="center"/>
          </w:tcPr>
          <w:p>
            <w:pPr>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cs="Times New Roman"/>
                <w:sz w:val="21"/>
                <w:szCs w:val="21"/>
                <w:lang w:val="en-US" w:eastAsia="zh-CN"/>
              </w:rPr>
            </w:pPr>
            <w:r>
              <w:rPr>
                <w:rFonts w:hint="eastAsia" w:cs="Times New Roman"/>
                <w:sz w:val="21"/>
                <w:szCs w:val="21"/>
                <w:lang w:val="en-US" w:eastAsia="zh-CN"/>
              </w:rPr>
              <w:t>1.27</w:t>
            </w:r>
            <w:r>
              <w:rPr>
                <w:kern w:val="0"/>
                <w:sz w:val="21"/>
                <w:szCs w:val="21"/>
              </w:rPr>
              <w:t>t/a</w:t>
            </w:r>
          </w:p>
        </w:tc>
        <w:tc>
          <w:tcPr>
            <w:tcW w:w="891" w:type="pct"/>
            <w:vAlign w:val="center"/>
          </w:tcPr>
          <w:p>
            <w:pPr>
              <w:pStyle w:val="38"/>
              <w:keepNext w:val="0"/>
              <w:keepLines w:val="0"/>
              <w:pageBreakBefore w:val="0"/>
              <w:kinsoku/>
              <w:wordWrap/>
              <w:overflowPunct/>
              <w:topLinePunct w:val="0"/>
              <w:autoSpaceDE/>
              <w:autoSpaceDN/>
              <w:bidi w:val="0"/>
              <w:adjustRightInd/>
              <w:snapToGrid/>
              <w:spacing w:line="240" w:lineRule="auto"/>
              <w:ind w:firstLine="0" w:firstLineChars="0"/>
              <w:rPr>
                <w:sz w:val="21"/>
                <w:szCs w:val="21"/>
              </w:rPr>
            </w:pPr>
            <w:r>
              <w:rPr>
                <w:sz w:val="21"/>
                <w:szCs w:val="21"/>
              </w:rPr>
              <w:t>0</w:t>
            </w:r>
          </w:p>
        </w:tc>
      </w:tr>
    </w:tbl>
    <w:p>
      <w:pPr>
        <w:pStyle w:val="25"/>
        <w:widowControl/>
        <w:spacing w:beforeAutospacing="0" w:afterAutospacing="0"/>
        <w:ind w:firstLine="480"/>
        <w:sectPr>
          <w:pgSz w:w="16838" w:h="11906" w:orient="landscape"/>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pPr>
    </w:p>
    <w:p>
      <w:pPr>
        <w:pStyle w:val="6"/>
        <w:ind w:firstLine="643"/>
      </w:pPr>
      <w:bookmarkStart w:id="353" w:name="_Toc21420"/>
      <w:bookmarkStart w:id="354" w:name="_Toc20299"/>
      <w:bookmarkStart w:id="355" w:name="_Toc32636"/>
      <w:r>
        <w:rPr>
          <w:lang w:val="en-US"/>
        </w:rPr>
        <w:t>9.</w:t>
      </w:r>
      <w:r>
        <w:rPr>
          <w:rFonts w:hint="eastAsia"/>
          <w:lang w:val="en-US"/>
        </w:rPr>
        <w:t>2</w:t>
      </w:r>
      <w:r>
        <w:rPr>
          <w:lang w:val="en-US"/>
        </w:rPr>
        <w:t xml:space="preserve"> 环境管理制度</w:t>
      </w:r>
      <w:bookmarkEnd w:id="353"/>
      <w:bookmarkEnd w:id="354"/>
      <w:bookmarkEnd w:id="355"/>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bookmarkStart w:id="356" w:name="_Toc4536"/>
      <w:bookmarkStart w:id="357" w:name="_Toc5213"/>
      <w:r>
        <w:rPr>
          <w:rFonts w:hint="default" w:ascii="Times New Roman" w:hAnsi="Times New Roman" w:eastAsia="宋体" w:cs="Times New Roman"/>
          <w:color w:val="auto"/>
          <w:sz w:val="24"/>
          <w:szCs w:val="24"/>
        </w:rPr>
        <w:t>（1）贯彻执行“三同时”制度</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项目建设过程中必须认真贯彻执行“三同时”制度。设计单位必须将本报告所确定的环境保护设施与主体工程同时设计，工程建设单位必须保证防治污染与主体工程项目同时施工、同时投入运行，工程竣工后，应提交有环保内容的竣工验收报告或专项竣工验收报告，经环保主管部门验收合格后，方可投入运行。</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（2）执行排污申报登记</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按照国家和地方环境保护规定，企业应及时向当地环境保护主管部门申报登记污染物排放情况。经环保部门批准后，方可按分配的指标排放。</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（3）环保设施运行管理制度</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应建立环保设施定期检查制度和污染治理措施岗位责任制，实行污染治理岗位运行记录制度，以确保污染治理设施稳定高效运行。当污染治理设施发生故障时，应及时组织抢修，并根据实际情况采取相应措施（包括减产和停止生产），防止污染事故的发生。</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（4）执行排污申报登记</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按照国家和地方环境保护规定，企业应及时向当地环境保护主管部门申报登记污染物排放情况。经环保部门批准后，方可按分配的指标排放。</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（5）建立企业环保档案</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企业应对废水、废气处理设施等进行定期监测，建立污染源档案，发现污染物非正常排放时，应分析原因并及时采取相应措施，以控制污染影响的范围和程度。</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（6）危险废物管理制度</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应设置危险废物专用场地对危险废物进行管理，加强管理，危险废物储存点不得放置其它物品，应配备相关的消防器材及危险废物</w:t>
      </w:r>
      <w:r>
        <w:rPr>
          <w:rFonts w:hint="eastAsia" w:ascii="Times New Roman" w:hAnsi="Times New Roman" w:eastAsia="宋体" w:cs="Times New Roman"/>
          <w:color w:val="auto"/>
          <w:sz w:val="24"/>
          <w:szCs w:val="24"/>
          <w:lang w:eastAsia="zh-CN"/>
        </w:rPr>
        <w:t>标识</w:t>
      </w:r>
      <w:r>
        <w:rPr>
          <w:rFonts w:hint="default" w:ascii="Times New Roman" w:hAnsi="Times New Roman" w:eastAsia="宋体" w:cs="Times New Roman"/>
          <w:color w:val="auto"/>
          <w:sz w:val="24"/>
          <w:szCs w:val="24"/>
        </w:rPr>
        <w:t>，同时，应保持储存点场地的清洁，危险废物堆放整洁。跟踪记录危险废物在生产单位内部运转的整个流程，与生产记录相结合，建立危险废物台账，如实记载产生危险废物的种类、数量、利用、贮存、处置、流向等信息。制定危险废物事故报告制度及环境保护岗位责任制，如出现危险废物事故应及时上报，报告有关确切数据、事故发生的原因、过程及采取的应急措施、处理事故的措施、过程和结果，事故潜在或间接的危害、社会影响、处理后的遗留问题、参加处理工作的有关部门和工作内容、出具有关危害与损失的证明文件等详细情况；组织制定、修订并完善本企业职业安全卫生管理制度和安全技术规程、各项环境保护制度，编制安全（环保）技术措施计划，并监督检查执行情况，确保环境保护责任到人。</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（7）制定各类环保规章制度</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制定全公司的环境方针、环境管理手册及一系列作业指导书以促进全公司的环境保护工作，使环境保护工作规范化和程序化，通过重要环境因素识别、提出持续改进措施，将全公司环境污染的影响逐年降低。制定各类环保规章制度包括：环境保护职责管理条例、建设项目“三同时”管理制度、排污情况报告制度、污染事故处理制度、地下排水管网管理制度、环保教育制度、固体废弃物的管理与处置制度。</w:t>
      </w:r>
    </w:p>
    <w:p>
      <w:pPr>
        <w:pStyle w:val="6"/>
        <w:ind w:firstLine="643"/>
        <w:rPr>
          <w:rFonts w:ascii="Times New Roman" w:hAnsi="Times New Roman"/>
          <w:lang w:val="en-US"/>
        </w:rPr>
      </w:pPr>
      <w:bookmarkStart w:id="358" w:name="_Toc17802"/>
      <w:r>
        <w:rPr>
          <w:rFonts w:ascii="Times New Roman" w:hAnsi="Times New Roman"/>
          <w:lang w:val="en-US"/>
        </w:rPr>
        <w:t>9.</w:t>
      </w:r>
      <w:r>
        <w:rPr>
          <w:rFonts w:hint="eastAsia" w:ascii="Times New Roman" w:hAnsi="Times New Roman"/>
          <w:lang w:val="en-US"/>
        </w:rPr>
        <w:t>3</w:t>
      </w:r>
      <w:r>
        <w:rPr>
          <w:rFonts w:ascii="Times New Roman" w:hAnsi="Times New Roman"/>
          <w:lang w:val="en-US"/>
        </w:rPr>
        <w:t xml:space="preserve"> 排污口规范化要求</w:t>
      </w:r>
      <w:bookmarkEnd w:id="356"/>
      <w:bookmarkEnd w:id="357"/>
      <w:bookmarkEnd w:id="358"/>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bookmarkStart w:id="359" w:name="_Toc9095"/>
      <w:bookmarkStart w:id="360" w:name="_Toc26241"/>
      <w:r>
        <w:rPr>
          <w:rFonts w:hint="default" w:ascii="Times New Roman" w:hAnsi="Times New Roman" w:cs="Times New Roman"/>
          <w:color w:val="auto"/>
        </w:rPr>
        <w:t>根据国家对于排污口规范化设置的要求，废气、废水排放口应进行规范化设计，具备采样、监测条件，排放口附近</w:t>
      </w:r>
      <w:r>
        <w:rPr>
          <w:rFonts w:hint="eastAsia" w:ascii="Times New Roman" w:hAnsi="Times New Roman" w:cs="Times New Roman"/>
          <w:color w:val="auto"/>
          <w:lang w:eastAsia="zh-CN"/>
        </w:rPr>
        <w:t>设立</w:t>
      </w:r>
      <w:r>
        <w:rPr>
          <w:rFonts w:hint="default" w:ascii="Times New Roman" w:hAnsi="Times New Roman" w:cs="Times New Roman"/>
          <w:color w:val="auto"/>
        </w:rPr>
        <w:t>环保图形标志牌。排污口应符合“一明显、二合理、三便于”的要求，即环保标志明显，排污口设置合理，排污去向合理，便于采集样品，便于监测计量，便于公众监督管理。按照国家环境保护部制定的《〈环境保护图形标志〉实施细则（试行）》（环监</w:t>
      </w:r>
      <w:r>
        <w:rPr>
          <w:rFonts w:hint="eastAsia" w:ascii="宋体" w:hAnsi="宋体" w:eastAsia="宋体" w:cs="宋体"/>
          <w:color w:val="auto"/>
        </w:rPr>
        <w:t>〔</w:t>
      </w:r>
      <w:r>
        <w:rPr>
          <w:rFonts w:hint="default" w:ascii="Times New Roman" w:hAnsi="Times New Roman" w:cs="Times New Roman"/>
          <w:color w:val="auto"/>
        </w:rPr>
        <w:t>1996</w:t>
      </w:r>
      <w:r>
        <w:rPr>
          <w:rFonts w:hint="eastAsia" w:ascii="宋体" w:hAnsi="宋体" w:eastAsia="宋体" w:cs="宋体"/>
          <w:color w:val="auto"/>
        </w:rPr>
        <w:t>〕</w:t>
      </w:r>
      <w:r>
        <w:rPr>
          <w:rFonts w:hint="default" w:ascii="Times New Roman" w:hAnsi="Times New Roman" w:cs="Times New Roman"/>
          <w:color w:val="auto"/>
        </w:rPr>
        <w:t>463号）的规定，在各排污口设立相应的环境保护图形标志牌。</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（1）污水排放口规范化</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①按照清污分流、雨污分流的原则，只设</w:t>
      </w:r>
      <w:r>
        <w:rPr>
          <w:rFonts w:hint="eastAsia" w:hAnsi="Times New Roman" w:cs="Times New Roman"/>
          <w:color w:val="auto"/>
          <w:lang w:eastAsia="zh-CN"/>
        </w:rPr>
        <w:t>“</w:t>
      </w:r>
      <w:r>
        <w:rPr>
          <w:rFonts w:hint="default" w:ascii="Times New Roman" w:hAnsi="Times New Roman" w:cs="Times New Roman"/>
          <w:color w:val="auto"/>
        </w:rPr>
        <w:t>污水</w:t>
      </w:r>
      <w:r>
        <w:rPr>
          <w:rFonts w:hint="eastAsia" w:hAnsi="Times New Roman" w:cs="Times New Roman"/>
          <w:color w:val="auto"/>
          <w:lang w:eastAsia="zh-CN"/>
        </w:rPr>
        <w:t>”</w:t>
      </w:r>
      <w:r>
        <w:rPr>
          <w:rFonts w:hint="default" w:ascii="Times New Roman" w:hAnsi="Times New Roman" w:cs="Times New Roman"/>
          <w:color w:val="auto"/>
        </w:rPr>
        <w:t>和</w:t>
      </w:r>
      <w:r>
        <w:rPr>
          <w:rFonts w:hint="eastAsia" w:hAnsi="Times New Roman" w:cs="Times New Roman"/>
          <w:color w:val="auto"/>
          <w:lang w:eastAsia="zh-CN"/>
        </w:rPr>
        <w:t>“</w:t>
      </w:r>
      <w:r>
        <w:rPr>
          <w:rFonts w:hint="default" w:ascii="Times New Roman" w:hAnsi="Times New Roman" w:cs="Times New Roman"/>
          <w:color w:val="auto"/>
        </w:rPr>
        <w:t>雨水</w:t>
      </w:r>
      <w:r>
        <w:rPr>
          <w:rFonts w:hint="eastAsia" w:hAnsi="Times New Roman" w:cs="Times New Roman"/>
          <w:color w:val="auto"/>
          <w:lang w:eastAsia="zh-CN"/>
        </w:rPr>
        <w:t>”</w:t>
      </w:r>
      <w:r>
        <w:rPr>
          <w:rFonts w:hint="default" w:ascii="Times New Roman" w:hAnsi="Times New Roman" w:cs="Times New Roman"/>
          <w:color w:val="auto"/>
        </w:rPr>
        <w:t>排放口各一个。</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②污水排放口位置应根据实际地形和排放污染物的种类情况确定，原则应设置一段长度不小于1m长的明渠。</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③排污口须满足采样监测要求。经环保部门批准允许用暗管或暗渠排污的，要设置能满足采样条件的采样井或采样渠。压力管道式排污口应安装取样阀门。</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本项目选址位于平顶山尼龙新材料产业集聚区，项目营运后全厂设置1个废水排放口，1个雨水排放口。</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（2）废气排放口规范化设置</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①排放同类污染物的两个或两个以上的排污口（不论其是否属同一生产设备），在不影响生产、技术上可行的条件下，应合并成一个排污口。</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②有组织排放废气的排气筒（烟囱）高度应符合国家大气污染物综合排放标准的有关规定。</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③排气筒（烟囱）应设置便于采样、监测的采样口和采样监测平台。有净化设施的，应在其进出口分别设置采样口及采样监测平台。采样孔、点数目和位置应按《固定污染源排气中颗粒物测定与气态污染物采样方法》（GB/T16157-1996）和《污染源监测技术规范》的规定设置。采样口位置无法满足规定要求的，必须报环保部门认可。</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（3）固体废物贮存（处置）场所规范化设置</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产生或处置固体废物的单位的固体废物贮存处置场所应符合</w:t>
      </w:r>
      <w:r>
        <w:rPr>
          <w:rFonts w:hint="default" w:ascii="Times New Roman" w:hAnsi="Times New Roman" w:cs="Times New Roman"/>
          <w:bCs/>
          <w:color w:val="auto"/>
        </w:rPr>
        <w:t>《一般工业固体废物贮存和填埋污染控制标准》（GB18599-2020）</w:t>
      </w:r>
      <w:r>
        <w:rPr>
          <w:rFonts w:hint="default" w:ascii="Times New Roman" w:hAnsi="Times New Roman" w:cs="Times New Roman"/>
          <w:color w:val="auto"/>
        </w:rPr>
        <w:t>或《危险废物贮存污染控制标准》（GB18597-2001）及修改单的要求。</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固体废物堆放场所，必须有防火、防腐蚀、防流失、防渗等措施，并应设置标志牌。建设项目周围防火距离范围内必须有明显的防火标志。</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bookmarkStart w:id="361" w:name="_Toc484097061"/>
      <w:r>
        <w:rPr>
          <w:rFonts w:hint="default" w:ascii="Times New Roman" w:hAnsi="Times New Roman" w:cs="Times New Roman"/>
          <w:color w:val="auto"/>
        </w:rPr>
        <w:t>（4）排污口标志牌设置与制作</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1）排污口标志设置的基本要求。</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①一切排污者的排污口（源）和固体废物贮存、处置场所，必须按照国家标准《环境保护图形标志》（GB15562.1-1995、GB15562.2-1995）的规定，设置与之相适应的环境保护图形标志牌。标志牌按标准制作，各地可按管理需求设置辅助内容，辅助内容由当地环保部门规定。</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②环境保护图形标志牌应设置在距排污口（源）及固体废物贮存（处置）场所或采样点较近且醒目处，并能长久保留。设置高度一般为：环境保护图形标志牌上缘距离地面2m。</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2）排污口标志设置的特别要求</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①噪声排放源的标志牌应设置在距选定监测点较近且醒目处。固定噪声污染源对边界影响最大处，须按《工业企业厂界噪声测量方法》（GB12349）的规定，设置环境噪声监测点，并在该处附近醒目处设置环境保护图形标志牌。边界上有若干个在声环境中相对独立的固定噪声污染源，应分别设置环境噪声监测点和环境保护图形标志牌。</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②一般固体废物贮存（处置）场所占用土地</w:t>
      </w:r>
      <w:r>
        <w:rPr>
          <w:rFonts w:hint="eastAsia" w:ascii="Times New Roman" w:hAnsi="Times New Roman" w:cs="Times New Roman"/>
          <w:color w:val="auto"/>
          <w:lang w:eastAsia="zh-CN"/>
        </w:rPr>
        <w:t>面积</w:t>
      </w:r>
      <w:r>
        <w:rPr>
          <w:rFonts w:hint="default" w:ascii="Times New Roman" w:hAnsi="Times New Roman" w:cs="Times New Roman"/>
          <w:color w:val="auto"/>
        </w:rPr>
        <w:t>大于100m</w:t>
      </w:r>
      <w:r>
        <w:rPr>
          <w:rFonts w:hint="default" w:ascii="Times New Roman" w:hAnsi="Times New Roman" w:cs="Times New Roman"/>
          <w:color w:val="auto"/>
          <w:vertAlign w:val="superscript"/>
        </w:rPr>
        <w:t>2</w:t>
      </w:r>
      <w:r>
        <w:rPr>
          <w:rFonts w:hint="default" w:ascii="Times New Roman" w:hAnsi="Times New Roman" w:cs="Times New Roman"/>
          <w:color w:val="auto"/>
        </w:rPr>
        <w:t>、小于1km</w:t>
      </w:r>
      <w:r>
        <w:rPr>
          <w:rFonts w:hint="default" w:ascii="Times New Roman" w:hAnsi="Times New Roman" w:cs="Times New Roman"/>
          <w:color w:val="auto"/>
          <w:vertAlign w:val="superscript"/>
        </w:rPr>
        <w:t>2</w:t>
      </w:r>
      <w:r>
        <w:rPr>
          <w:rFonts w:hint="default" w:ascii="Times New Roman" w:hAnsi="Times New Roman" w:cs="Times New Roman"/>
          <w:color w:val="auto"/>
        </w:rPr>
        <w:t>的，应在其边界主要路口设置标志牌。危险废物贮存（处置）场所，无论面积大小，其边界都应采用墙体或铁丝网封闭，并在其边界各进出路口设置标志牌。</w:t>
      </w:r>
    </w:p>
    <w:p>
      <w:pPr>
        <w:pStyle w:val="53"/>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color w:val="auto"/>
        </w:rPr>
      </w:pPr>
      <w:r>
        <w:rPr>
          <w:rFonts w:hint="default" w:ascii="Times New Roman" w:hAnsi="Times New Roman" w:cs="Times New Roman"/>
          <w:color w:val="auto"/>
        </w:rPr>
        <w:t>③一般性污染物排污口（源）或固体废物贮存、处置场所，设置提示性环境保护图形标志牌。排放剧毒、致癌物及对人体有严重危害物质的排污口（源）或危险废物贮存、处置场所，设置警告性环境保护图形标志牌。</w:t>
      </w:r>
    </w:p>
    <w:bookmarkEnd w:id="361"/>
    <w:p>
      <w:pPr>
        <w:pStyle w:val="6"/>
        <w:ind w:firstLine="643"/>
      </w:pPr>
      <w:bookmarkStart w:id="362" w:name="_Toc22822"/>
      <w:r>
        <w:rPr>
          <w:rFonts w:hint="eastAsia"/>
          <w:lang w:val="en-US"/>
        </w:rPr>
        <w:t>9.4</w:t>
      </w:r>
      <w:r>
        <w:rPr>
          <w:lang w:val="en-US"/>
        </w:rPr>
        <w:t xml:space="preserve"> 环境监测计划</w:t>
      </w:r>
      <w:bookmarkEnd w:id="359"/>
      <w:bookmarkEnd w:id="360"/>
      <w:bookmarkEnd w:id="362"/>
    </w:p>
    <w:p>
      <w:pPr>
        <w:widowControl/>
        <w:ind w:firstLine="480"/>
        <w:jc w:val="left"/>
      </w:pPr>
      <w:r>
        <w:rPr>
          <w:rFonts w:hint="eastAsia" w:ascii="宋体" w:hAnsi="宋体" w:cs="宋体"/>
          <w:color w:val="000000"/>
          <w:kern w:val="0"/>
          <w:lang w:bidi="ar"/>
        </w:rPr>
        <w:t>环境监测计划是环境管理的重要组成部分。通过监测计划的制定与实施，及时发现环保措施的不足，进行修正和改进，确保环保设施长期高效稳定运行。</w:t>
      </w:r>
    </w:p>
    <w:p>
      <w:pPr>
        <w:pStyle w:val="7"/>
        <w:ind w:firstLine="562"/>
      </w:pPr>
      <w:r>
        <w:t>9.</w:t>
      </w:r>
      <w:r>
        <w:rPr>
          <w:rFonts w:hint="eastAsia"/>
        </w:rPr>
        <w:t>4</w:t>
      </w:r>
      <w:r>
        <w:t>.1 环境监测的目的</w:t>
      </w:r>
    </w:p>
    <w:p>
      <w:pPr>
        <w:widowControl/>
        <w:ind w:firstLine="480"/>
        <w:jc w:val="left"/>
      </w:pPr>
      <w:r>
        <w:rPr>
          <w:rFonts w:hint="eastAsia" w:ascii="宋体" w:hAnsi="宋体" w:cs="宋体"/>
          <w:color w:val="000000"/>
          <w:kern w:val="0"/>
          <w:lang w:bidi="ar"/>
        </w:rPr>
        <w:t>环境监测是为环境管理提供科学依据不可缺少的基础性工作，同时是执行环保法规，判别环境质量、评价环境治理设施运行效果的重要手段，在环境管理中起着重要作用。</w:t>
      </w:r>
    </w:p>
    <w:p>
      <w:pPr>
        <w:pStyle w:val="7"/>
        <w:ind w:firstLine="562"/>
      </w:pPr>
      <w:r>
        <w:t>9.</w:t>
      </w:r>
      <w:r>
        <w:rPr>
          <w:rFonts w:hint="eastAsia"/>
        </w:rPr>
        <w:t>4.</w:t>
      </w:r>
      <w:r>
        <w:rPr>
          <w:rFonts w:hint="eastAsia"/>
          <w:lang w:val="en-US" w:eastAsia="zh-CN"/>
        </w:rPr>
        <w:t>2</w:t>
      </w:r>
      <w:r>
        <w:t xml:space="preserve"> 监测计划</w:t>
      </w:r>
    </w:p>
    <w:p>
      <w:pPr>
        <w:ind w:firstLine="480"/>
        <w:rPr>
          <w:u w:val="single"/>
        </w:rPr>
      </w:pPr>
      <w:r>
        <w:rPr>
          <w:rFonts w:hint="eastAsia"/>
          <w:u w:val="single"/>
        </w:rPr>
        <w:t>根据《排污许可证申请与核发技术规范 专用化学产品制造工业》（HJ1103-2020）和《排污许可证申请与核发技术规范</w:t>
      </w:r>
      <w:r>
        <w:rPr>
          <w:u w:val="single"/>
        </w:rPr>
        <w:t>橡胶和塑料制品工业</w:t>
      </w:r>
      <w:r>
        <w:rPr>
          <w:rFonts w:hint="eastAsia"/>
          <w:u w:val="single"/>
        </w:rPr>
        <w:t>》（HJ</w:t>
      </w:r>
      <w:r>
        <w:rPr>
          <w:u w:val="single"/>
        </w:rPr>
        <w:t>1122—2020</w:t>
      </w:r>
      <w:r>
        <w:rPr>
          <w:rFonts w:hint="eastAsia"/>
          <w:u w:val="single"/>
        </w:rPr>
        <w:t>），本项目制定监测计划见表</w:t>
      </w:r>
      <w:r>
        <w:rPr>
          <w:u w:val="single"/>
        </w:rPr>
        <w:t>9.</w:t>
      </w:r>
      <w:r>
        <w:rPr>
          <w:rFonts w:hint="eastAsia"/>
          <w:u w:val="single"/>
        </w:rPr>
        <w:t>4</w:t>
      </w:r>
      <w:r>
        <w:rPr>
          <w:u w:val="single"/>
        </w:rPr>
        <w:t>-</w:t>
      </w:r>
      <w:r>
        <w:rPr>
          <w:rFonts w:hint="eastAsia"/>
          <w:u w:val="single"/>
        </w:rPr>
        <w:t>1。</w:t>
      </w:r>
    </w:p>
    <w:p>
      <w:pPr>
        <w:ind w:firstLine="482"/>
        <w:jc w:val="center"/>
        <w:rPr>
          <w:b/>
          <w:bCs/>
          <w:lang w:val="en-GB"/>
        </w:rPr>
      </w:pPr>
      <w:r>
        <w:rPr>
          <w:rFonts w:hint="eastAsia"/>
          <w:b/>
          <w:bCs/>
          <w:lang w:val="en-GB"/>
        </w:rPr>
        <w:t>表</w:t>
      </w:r>
      <w:r>
        <w:rPr>
          <w:rFonts w:hint="eastAsia"/>
          <w:b/>
          <w:bCs/>
        </w:rPr>
        <w:t>9.4</w:t>
      </w:r>
      <w:r>
        <w:rPr>
          <w:rFonts w:hint="eastAsia"/>
          <w:b/>
          <w:bCs/>
          <w:lang w:val="en-GB"/>
        </w:rPr>
        <w:t>-</w:t>
      </w:r>
      <w:r>
        <w:rPr>
          <w:rFonts w:hint="eastAsia"/>
          <w:b/>
          <w:bCs/>
        </w:rPr>
        <w:t xml:space="preserve">1 </w:t>
      </w:r>
      <w:r>
        <w:rPr>
          <w:rFonts w:hint="eastAsia"/>
          <w:b/>
          <w:bCs/>
          <w:lang w:val="en-GB"/>
        </w:rPr>
        <w:t xml:space="preserve"> 本项目运营期环境监测计划明细表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665"/>
        <w:gridCol w:w="1270"/>
        <w:gridCol w:w="1121"/>
        <w:gridCol w:w="1275"/>
        <w:gridCol w:w="4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3" w:type="dxa"/>
            <w:vAlign w:val="center"/>
          </w:tcPr>
          <w:p>
            <w:pPr>
              <w:spacing w:line="240" w:lineRule="auto"/>
              <w:ind w:firstLine="0" w:firstLineChars="0"/>
              <w:jc w:val="center"/>
              <w:rPr>
                <w:sz w:val="21"/>
                <w:szCs w:val="21"/>
              </w:rPr>
            </w:pPr>
            <w:r>
              <w:rPr>
                <w:sz w:val="21"/>
                <w:szCs w:val="21"/>
              </w:rPr>
              <w:t>监测类别</w:t>
            </w:r>
          </w:p>
        </w:tc>
        <w:tc>
          <w:tcPr>
            <w:tcW w:w="665" w:type="dxa"/>
            <w:vAlign w:val="center"/>
          </w:tcPr>
          <w:p>
            <w:pPr>
              <w:spacing w:line="240" w:lineRule="auto"/>
              <w:ind w:firstLine="0" w:firstLineChars="0"/>
              <w:jc w:val="center"/>
              <w:rPr>
                <w:sz w:val="21"/>
                <w:szCs w:val="21"/>
              </w:rPr>
            </w:pPr>
            <w:r>
              <w:rPr>
                <w:sz w:val="21"/>
                <w:szCs w:val="21"/>
              </w:rPr>
              <w:t>污染源</w:t>
            </w:r>
          </w:p>
        </w:tc>
        <w:tc>
          <w:tcPr>
            <w:tcW w:w="1270" w:type="dxa"/>
            <w:vAlign w:val="center"/>
          </w:tcPr>
          <w:p>
            <w:pPr>
              <w:spacing w:line="240" w:lineRule="auto"/>
              <w:ind w:firstLine="0" w:firstLineChars="0"/>
              <w:jc w:val="center"/>
              <w:rPr>
                <w:sz w:val="21"/>
                <w:szCs w:val="21"/>
              </w:rPr>
            </w:pPr>
            <w:r>
              <w:rPr>
                <w:sz w:val="21"/>
                <w:szCs w:val="21"/>
              </w:rPr>
              <w:t>监测项目</w:t>
            </w:r>
          </w:p>
        </w:tc>
        <w:tc>
          <w:tcPr>
            <w:tcW w:w="1121" w:type="dxa"/>
            <w:vAlign w:val="center"/>
          </w:tcPr>
          <w:p>
            <w:pPr>
              <w:spacing w:line="240" w:lineRule="auto"/>
              <w:ind w:firstLine="0" w:firstLineChars="0"/>
              <w:jc w:val="center"/>
              <w:rPr>
                <w:sz w:val="21"/>
                <w:szCs w:val="21"/>
              </w:rPr>
            </w:pPr>
            <w:r>
              <w:rPr>
                <w:sz w:val="21"/>
                <w:szCs w:val="21"/>
              </w:rPr>
              <w:t>监测点位</w:t>
            </w:r>
          </w:p>
        </w:tc>
        <w:tc>
          <w:tcPr>
            <w:tcW w:w="1275" w:type="dxa"/>
            <w:vAlign w:val="center"/>
          </w:tcPr>
          <w:p>
            <w:pPr>
              <w:spacing w:line="240" w:lineRule="auto"/>
              <w:ind w:firstLine="0" w:firstLineChars="0"/>
              <w:jc w:val="center"/>
              <w:rPr>
                <w:sz w:val="21"/>
                <w:szCs w:val="21"/>
              </w:rPr>
            </w:pPr>
            <w:r>
              <w:rPr>
                <w:sz w:val="21"/>
                <w:szCs w:val="21"/>
              </w:rPr>
              <w:t>监测频率</w:t>
            </w:r>
          </w:p>
        </w:tc>
        <w:tc>
          <w:tcPr>
            <w:tcW w:w="4254" w:type="dxa"/>
            <w:vAlign w:val="center"/>
          </w:tcPr>
          <w:p>
            <w:pPr>
              <w:spacing w:line="240" w:lineRule="auto"/>
              <w:ind w:firstLine="0" w:firstLineChars="0"/>
              <w:jc w:val="center"/>
              <w:rPr>
                <w:sz w:val="21"/>
                <w:szCs w:val="21"/>
              </w:rPr>
            </w:pPr>
            <w:r>
              <w:rPr>
                <w:sz w:val="21"/>
                <w:szCs w:val="21"/>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3" w:type="dxa"/>
            <w:vMerge w:val="restart"/>
            <w:vAlign w:val="center"/>
          </w:tcPr>
          <w:p>
            <w:pPr>
              <w:spacing w:line="240" w:lineRule="auto"/>
              <w:ind w:firstLine="0" w:firstLineChars="0"/>
              <w:jc w:val="center"/>
              <w:rPr>
                <w:sz w:val="21"/>
                <w:szCs w:val="21"/>
              </w:rPr>
            </w:pPr>
            <w:r>
              <w:rPr>
                <w:sz w:val="21"/>
                <w:szCs w:val="21"/>
              </w:rPr>
              <w:t>废气</w:t>
            </w:r>
          </w:p>
        </w:tc>
        <w:tc>
          <w:tcPr>
            <w:tcW w:w="665" w:type="dxa"/>
            <w:vMerge w:val="restart"/>
            <w:vAlign w:val="center"/>
          </w:tcPr>
          <w:p>
            <w:pPr>
              <w:spacing w:line="240" w:lineRule="auto"/>
              <w:ind w:firstLine="0" w:firstLineChars="0"/>
              <w:jc w:val="center"/>
              <w:rPr>
                <w:sz w:val="21"/>
                <w:szCs w:val="21"/>
              </w:rPr>
            </w:pPr>
            <w:r>
              <w:rPr>
                <w:bCs/>
                <w:sz w:val="21"/>
                <w:szCs w:val="21"/>
                <w:lang w:val="en-GB"/>
              </w:rPr>
              <w:t>生产车间</w:t>
            </w:r>
          </w:p>
        </w:tc>
        <w:tc>
          <w:tcPr>
            <w:tcW w:w="1270" w:type="dxa"/>
            <w:vAlign w:val="center"/>
          </w:tcPr>
          <w:p>
            <w:pPr>
              <w:spacing w:line="240" w:lineRule="auto"/>
              <w:ind w:firstLine="0" w:firstLineChars="0"/>
              <w:jc w:val="center"/>
              <w:rPr>
                <w:sz w:val="21"/>
                <w:szCs w:val="21"/>
              </w:rPr>
            </w:pPr>
            <w:r>
              <w:rPr>
                <w:rFonts w:hint="eastAsia"/>
                <w:sz w:val="21"/>
                <w:szCs w:val="21"/>
              </w:rPr>
              <w:t>颗粒物、非甲烷总烃、硫化氢</w:t>
            </w:r>
          </w:p>
        </w:tc>
        <w:tc>
          <w:tcPr>
            <w:tcW w:w="1121" w:type="dxa"/>
            <w:vAlign w:val="center"/>
          </w:tcPr>
          <w:p>
            <w:pPr>
              <w:spacing w:line="240" w:lineRule="auto"/>
              <w:ind w:firstLine="0" w:firstLineChars="0"/>
              <w:jc w:val="center"/>
              <w:rPr>
                <w:sz w:val="21"/>
                <w:szCs w:val="21"/>
              </w:rPr>
            </w:pPr>
            <w:r>
              <w:rPr>
                <w:rFonts w:hint="eastAsia"/>
                <w:bCs/>
                <w:sz w:val="21"/>
                <w:szCs w:val="21"/>
              </w:rPr>
              <w:t>DA001</w:t>
            </w:r>
            <w:r>
              <w:rPr>
                <w:bCs/>
                <w:sz w:val="21"/>
                <w:szCs w:val="21"/>
              </w:rPr>
              <w:t>排气筒</w:t>
            </w:r>
          </w:p>
        </w:tc>
        <w:tc>
          <w:tcPr>
            <w:tcW w:w="1275" w:type="dxa"/>
            <w:vAlign w:val="center"/>
          </w:tcPr>
          <w:p>
            <w:pPr>
              <w:spacing w:line="240" w:lineRule="auto"/>
              <w:ind w:firstLine="0" w:firstLineChars="0"/>
              <w:jc w:val="center"/>
              <w:rPr>
                <w:sz w:val="21"/>
                <w:szCs w:val="21"/>
              </w:rPr>
            </w:pPr>
            <w:r>
              <w:rPr>
                <w:rFonts w:hint="eastAsia"/>
                <w:sz w:val="21"/>
                <w:szCs w:val="21"/>
              </w:rPr>
              <w:t>1次/半年</w:t>
            </w:r>
          </w:p>
        </w:tc>
        <w:tc>
          <w:tcPr>
            <w:tcW w:w="4254" w:type="dxa"/>
            <w:vAlign w:val="center"/>
          </w:tcPr>
          <w:p>
            <w:pPr>
              <w:spacing w:line="240" w:lineRule="auto"/>
              <w:ind w:firstLine="0" w:firstLineChars="0"/>
              <w:jc w:val="center"/>
              <w:rPr>
                <w:sz w:val="21"/>
                <w:szCs w:val="21"/>
              </w:rPr>
            </w:pPr>
            <w:r>
              <w:rPr>
                <w:rFonts w:hint="eastAsia" w:cs="Times New Roman"/>
                <w:kern w:val="0"/>
                <w:sz w:val="21"/>
                <w:szCs w:val="21"/>
              </w:rPr>
              <w:t>《大气污染物综合排放标准》（GB16297-1996）、《关于全省开展工业企业挥发性有机物专项治理工作中排放建议值的通知》（豫环攻坚办〔2017〕162号）限值要求、</w:t>
            </w:r>
            <w:r>
              <w:rPr>
                <w:rFonts w:hint="eastAsia" w:cs="Times New Roman"/>
                <w:sz w:val="21"/>
                <w:szCs w:val="21"/>
              </w:rPr>
              <w:t>《恶臭污染物排放标准》（GB14554-93）</w:t>
            </w:r>
            <w:r>
              <w:rPr>
                <w:rFonts w:hint="eastAsia" w:cs="Times New Roman"/>
                <w:kern w:val="0"/>
                <w:sz w:val="21"/>
                <w:szCs w:val="21"/>
              </w:rPr>
              <w:t>（</w:t>
            </w:r>
            <w:r>
              <w:rPr>
                <w:rFonts w:cs="Times New Roman"/>
                <w:kern w:val="0"/>
                <w:sz w:val="21"/>
                <w:szCs w:val="21"/>
              </w:rPr>
              <w:t>GB37822-2019</w:t>
            </w:r>
            <w:r>
              <w:rPr>
                <w:rFonts w:hint="eastAsia" w:cs="Times New Roman"/>
                <w:kern w:val="0"/>
                <w:sz w:val="21"/>
                <w:szCs w:val="21"/>
              </w:rPr>
              <w:t>）限值要求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3" w:type="dxa"/>
            <w:vMerge w:val="continue"/>
            <w:vAlign w:val="center"/>
          </w:tcPr>
          <w:p>
            <w:pPr>
              <w:spacing w:line="240" w:lineRule="auto"/>
              <w:ind w:firstLine="0" w:firstLineChars="0"/>
              <w:jc w:val="center"/>
            </w:pPr>
          </w:p>
        </w:tc>
        <w:tc>
          <w:tcPr>
            <w:tcW w:w="665" w:type="dxa"/>
            <w:vMerge w:val="continue"/>
            <w:vAlign w:val="center"/>
          </w:tcPr>
          <w:p>
            <w:pPr>
              <w:spacing w:line="240" w:lineRule="auto"/>
              <w:ind w:firstLine="0" w:firstLineChars="0"/>
              <w:jc w:val="center"/>
            </w:pPr>
          </w:p>
        </w:tc>
        <w:tc>
          <w:tcPr>
            <w:tcW w:w="1270" w:type="dxa"/>
            <w:vAlign w:val="center"/>
          </w:tcPr>
          <w:p>
            <w:pPr>
              <w:spacing w:line="240" w:lineRule="auto"/>
              <w:ind w:firstLine="0" w:firstLineChars="0"/>
              <w:jc w:val="center"/>
            </w:pPr>
            <w:r>
              <w:rPr>
                <w:rFonts w:hint="eastAsia"/>
                <w:sz w:val="21"/>
                <w:szCs w:val="21"/>
              </w:rPr>
              <w:t>非甲烷总烃、颗粒物</w:t>
            </w:r>
          </w:p>
        </w:tc>
        <w:tc>
          <w:tcPr>
            <w:tcW w:w="1121" w:type="dxa"/>
            <w:vAlign w:val="center"/>
          </w:tcPr>
          <w:p>
            <w:pPr>
              <w:spacing w:line="240" w:lineRule="auto"/>
              <w:ind w:firstLine="0" w:firstLineChars="0"/>
              <w:jc w:val="center"/>
              <w:rPr>
                <w:bCs/>
                <w:sz w:val="21"/>
                <w:szCs w:val="21"/>
              </w:rPr>
            </w:pPr>
            <w:r>
              <w:rPr>
                <w:rFonts w:hint="eastAsia"/>
                <w:bCs/>
                <w:sz w:val="21"/>
                <w:szCs w:val="21"/>
              </w:rPr>
              <w:t>DA002</w:t>
            </w:r>
            <w:r>
              <w:rPr>
                <w:bCs/>
                <w:sz w:val="21"/>
                <w:szCs w:val="21"/>
              </w:rPr>
              <w:t>排气筒</w:t>
            </w:r>
          </w:p>
        </w:tc>
        <w:tc>
          <w:tcPr>
            <w:tcW w:w="1275" w:type="dxa"/>
            <w:vAlign w:val="center"/>
          </w:tcPr>
          <w:p>
            <w:pPr>
              <w:spacing w:line="240" w:lineRule="auto"/>
              <w:ind w:firstLine="0" w:firstLineChars="0"/>
              <w:jc w:val="center"/>
              <w:rPr>
                <w:bCs/>
                <w:sz w:val="21"/>
                <w:szCs w:val="21"/>
              </w:rPr>
            </w:pPr>
            <w:r>
              <w:rPr>
                <w:rFonts w:hint="eastAsia"/>
                <w:sz w:val="21"/>
                <w:szCs w:val="21"/>
              </w:rPr>
              <w:t>1次/半年</w:t>
            </w:r>
          </w:p>
        </w:tc>
        <w:tc>
          <w:tcPr>
            <w:tcW w:w="4254" w:type="dxa"/>
            <w:vMerge w:val="restart"/>
            <w:vAlign w:val="center"/>
          </w:tcPr>
          <w:p>
            <w:pPr>
              <w:spacing w:line="240" w:lineRule="auto"/>
              <w:ind w:firstLine="0" w:firstLineChars="0"/>
              <w:jc w:val="center"/>
              <w:rPr>
                <w:bCs/>
                <w:sz w:val="21"/>
                <w:szCs w:val="21"/>
              </w:rPr>
            </w:pPr>
            <w:r>
              <w:rPr>
                <w:rFonts w:hint="eastAsia" w:cs="Times New Roman"/>
                <w:kern w:val="0"/>
                <w:sz w:val="21"/>
                <w:szCs w:val="21"/>
              </w:rPr>
              <w:t>《合成树脂工业污染物排放标准》、《大气污染物综合排放标准》（GB16297-1996）、《关于全省开展工业企业挥发性有机物专项治理工作中排放建议值的通知》（豫环攻坚办〔2017〕162号）限值要求、《挥发性有机物无组织排放控制标准》、</w:t>
            </w:r>
            <w:r>
              <w:rPr>
                <w:rFonts w:hint="eastAsia" w:cs="Times New Roman"/>
                <w:sz w:val="21"/>
                <w:szCs w:val="21"/>
              </w:rPr>
              <w:t>《恶臭污染物排放标准》（GB14554-93）</w:t>
            </w:r>
            <w:r>
              <w:rPr>
                <w:rFonts w:hint="eastAsia" w:cs="Times New Roman"/>
                <w:kern w:val="0"/>
                <w:sz w:val="21"/>
                <w:szCs w:val="21"/>
              </w:rPr>
              <w:t>（</w:t>
            </w:r>
            <w:r>
              <w:rPr>
                <w:rFonts w:cs="Times New Roman"/>
                <w:kern w:val="0"/>
                <w:sz w:val="21"/>
                <w:szCs w:val="21"/>
              </w:rPr>
              <w:t>GB37822-2019</w:t>
            </w:r>
            <w:r>
              <w:rPr>
                <w:rFonts w:hint="eastAsia" w:cs="Times New Roman"/>
                <w:kern w:val="0"/>
                <w:sz w:val="21"/>
                <w:szCs w:val="21"/>
              </w:rPr>
              <w:t>）限值要求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jc w:val="center"/>
        </w:trPr>
        <w:tc>
          <w:tcPr>
            <w:tcW w:w="703" w:type="dxa"/>
            <w:vMerge w:val="continue"/>
            <w:vAlign w:val="center"/>
          </w:tcPr>
          <w:p>
            <w:pPr>
              <w:spacing w:line="240" w:lineRule="auto"/>
              <w:ind w:firstLine="0" w:firstLineChars="0"/>
              <w:jc w:val="center"/>
              <w:rPr>
                <w:bCs/>
                <w:sz w:val="21"/>
                <w:szCs w:val="21"/>
              </w:rPr>
            </w:pPr>
          </w:p>
        </w:tc>
        <w:tc>
          <w:tcPr>
            <w:tcW w:w="665" w:type="dxa"/>
            <w:vAlign w:val="center"/>
          </w:tcPr>
          <w:p>
            <w:pPr>
              <w:spacing w:line="240" w:lineRule="auto"/>
              <w:ind w:firstLine="0" w:firstLineChars="0"/>
              <w:jc w:val="center"/>
              <w:rPr>
                <w:bCs/>
                <w:sz w:val="21"/>
                <w:szCs w:val="21"/>
              </w:rPr>
            </w:pPr>
            <w:r>
              <w:rPr>
                <w:rFonts w:hint="eastAsia"/>
                <w:bCs/>
                <w:sz w:val="21"/>
                <w:szCs w:val="21"/>
              </w:rPr>
              <w:t>污水处理站</w:t>
            </w:r>
          </w:p>
        </w:tc>
        <w:tc>
          <w:tcPr>
            <w:tcW w:w="1270" w:type="dxa"/>
            <w:vAlign w:val="center"/>
          </w:tcPr>
          <w:p>
            <w:pPr>
              <w:spacing w:line="240" w:lineRule="auto"/>
              <w:ind w:firstLine="0" w:firstLineChars="0"/>
              <w:jc w:val="center"/>
              <w:rPr>
                <w:sz w:val="21"/>
                <w:szCs w:val="21"/>
              </w:rPr>
            </w:pPr>
            <w:r>
              <w:rPr>
                <w:rFonts w:hint="eastAsia"/>
                <w:sz w:val="21"/>
                <w:szCs w:val="21"/>
              </w:rPr>
              <w:t>氨、硫化氢</w:t>
            </w:r>
          </w:p>
        </w:tc>
        <w:tc>
          <w:tcPr>
            <w:tcW w:w="1121" w:type="dxa"/>
            <w:vAlign w:val="center"/>
          </w:tcPr>
          <w:p>
            <w:pPr>
              <w:spacing w:line="240" w:lineRule="auto"/>
              <w:ind w:firstLine="0" w:firstLineChars="0"/>
              <w:jc w:val="center"/>
              <w:rPr>
                <w:bCs/>
                <w:sz w:val="21"/>
                <w:szCs w:val="21"/>
              </w:rPr>
            </w:pPr>
            <w:r>
              <w:rPr>
                <w:rFonts w:hint="eastAsia"/>
                <w:bCs/>
                <w:sz w:val="21"/>
                <w:szCs w:val="21"/>
              </w:rPr>
              <w:t>DA00</w:t>
            </w:r>
            <w:r>
              <w:rPr>
                <w:rFonts w:hint="eastAsia"/>
                <w:bCs/>
                <w:sz w:val="21"/>
                <w:szCs w:val="21"/>
                <w:lang w:val="en-US" w:eastAsia="zh-CN"/>
              </w:rPr>
              <w:t>3</w:t>
            </w:r>
            <w:r>
              <w:rPr>
                <w:bCs/>
                <w:sz w:val="21"/>
                <w:szCs w:val="21"/>
              </w:rPr>
              <w:t>排气筒</w:t>
            </w:r>
          </w:p>
        </w:tc>
        <w:tc>
          <w:tcPr>
            <w:tcW w:w="1275" w:type="dxa"/>
            <w:vAlign w:val="center"/>
          </w:tcPr>
          <w:p>
            <w:pPr>
              <w:spacing w:line="240" w:lineRule="auto"/>
              <w:ind w:firstLine="0" w:firstLineChars="0"/>
              <w:jc w:val="center"/>
              <w:rPr>
                <w:sz w:val="21"/>
                <w:szCs w:val="21"/>
              </w:rPr>
            </w:pPr>
            <w:r>
              <w:rPr>
                <w:rFonts w:hint="eastAsia"/>
                <w:sz w:val="21"/>
                <w:szCs w:val="21"/>
              </w:rPr>
              <w:t>1次/年</w:t>
            </w:r>
          </w:p>
        </w:tc>
        <w:tc>
          <w:tcPr>
            <w:tcW w:w="4254" w:type="dxa"/>
            <w:vMerge w:val="continue"/>
            <w:vAlign w:val="center"/>
          </w:tcPr>
          <w:p>
            <w:pPr>
              <w:spacing w:line="240" w:lineRule="auto"/>
              <w:ind w:firstLine="0" w:firstLineChars="0"/>
              <w:jc w:val="center"/>
              <w:rPr>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3" w:type="dxa"/>
            <w:vMerge w:val="continue"/>
            <w:vAlign w:val="center"/>
          </w:tcPr>
          <w:p>
            <w:pPr>
              <w:spacing w:line="240" w:lineRule="auto"/>
              <w:ind w:firstLine="0" w:firstLineChars="0"/>
              <w:jc w:val="center"/>
              <w:rPr>
                <w:bCs/>
                <w:sz w:val="21"/>
                <w:szCs w:val="21"/>
              </w:rPr>
            </w:pPr>
          </w:p>
        </w:tc>
        <w:tc>
          <w:tcPr>
            <w:tcW w:w="665" w:type="dxa"/>
            <w:vAlign w:val="center"/>
          </w:tcPr>
          <w:p>
            <w:pPr>
              <w:spacing w:line="240" w:lineRule="auto"/>
              <w:ind w:firstLine="0" w:firstLineChars="0"/>
              <w:jc w:val="center"/>
              <w:rPr>
                <w:bCs/>
                <w:sz w:val="21"/>
                <w:szCs w:val="21"/>
              </w:rPr>
            </w:pPr>
            <w:r>
              <w:rPr>
                <w:rFonts w:hint="eastAsia"/>
                <w:bCs/>
                <w:sz w:val="21"/>
                <w:szCs w:val="21"/>
              </w:rPr>
              <w:t>食堂</w:t>
            </w:r>
          </w:p>
        </w:tc>
        <w:tc>
          <w:tcPr>
            <w:tcW w:w="1270" w:type="dxa"/>
            <w:vAlign w:val="center"/>
          </w:tcPr>
          <w:p>
            <w:pPr>
              <w:spacing w:line="240" w:lineRule="auto"/>
              <w:ind w:firstLine="0" w:firstLineChars="0"/>
              <w:jc w:val="center"/>
              <w:rPr>
                <w:sz w:val="21"/>
                <w:szCs w:val="21"/>
              </w:rPr>
            </w:pPr>
            <w:r>
              <w:rPr>
                <w:rFonts w:hint="eastAsia"/>
                <w:sz w:val="21"/>
                <w:szCs w:val="21"/>
              </w:rPr>
              <w:t>油烟</w:t>
            </w:r>
          </w:p>
        </w:tc>
        <w:tc>
          <w:tcPr>
            <w:tcW w:w="1121" w:type="dxa"/>
            <w:vAlign w:val="center"/>
          </w:tcPr>
          <w:p>
            <w:pPr>
              <w:spacing w:line="240" w:lineRule="auto"/>
              <w:ind w:firstLine="0" w:firstLineChars="0"/>
              <w:jc w:val="center"/>
              <w:rPr>
                <w:bCs/>
                <w:sz w:val="21"/>
                <w:szCs w:val="21"/>
              </w:rPr>
            </w:pPr>
            <w:r>
              <w:rPr>
                <w:rFonts w:hint="eastAsia"/>
                <w:bCs/>
                <w:sz w:val="21"/>
                <w:szCs w:val="21"/>
              </w:rPr>
              <w:t>油烟排气筒</w:t>
            </w:r>
          </w:p>
        </w:tc>
        <w:tc>
          <w:tcPr>
            <w:tcW w:w="1275" w:type="dxa"/>
            <w:vAlign w:val="center"/>
          </w:tcPr>
          <w:p>
            <w:pPr>
              <w:spacing w:line="240" w:lineRule="auto"/>
              <w:ind w:firstLine="0" w:firstLineChars="0"/>
              <w:jc w:val="center"/>
              <w:rPr>
                <w:bCs/>
                <w:sz w:val="21"/>
                <w:szCs w:val="21"/>
              </w:rPr>
            </w:pPr>
            <w:r>
              <w:rPr>
                <w:rFonts w:hint="eastAsia"/>
                <w:sz w:val="21"/>
                <w:szCs w:val="21"/>
              </w:rPr>
              <w:t>1次/年</w:t>
            </w:r>
          </w:p>
        </w:tc>
        <w:tc>
          <w:tcPr>
            <w:tcW w:w="4254" w:type="dxa"/>
            <w:vAlign w:val="center"/>
          </w:tcPr>
          <w:p>
            <w:pPr>
              <w:spacing w:line="240" w:lineRule="auto"/>
              <w:ind w:firstLine="0" w:firstLineChars="0"/>
              <w:jc w:val="center"/>
              <w:rPr>
                <w:bCs/>
                <w:sz w:val="21"/>
                <w:szCs w:val="21"/>
              </w:rPr>
            </w:pPr>
            <w:r>
              <w:rPr>
                <w:rFonts w:hint="eastAsia"/>
                <w:spacing w:val="-6"/>
                <w:sz w:val="21"/>
                <w:szCs w:val="21"/>
              </w:rPr>
              <w:t>《餐饮业油烟污染物排放标准》（D</w:t>
            </w:r>
            <w:r>
              <w:rPr>
                <w:spacing w:val="-6"/>
                <w:sz w:val="21"/>
                <w:szCs w:val="21"/>
              </w:rPr>
              <w:t>B</w:t>
            </w:r>
            <w:r>
              <w:rPr>
                <w:rFonts w:hint="eastAsia"/>
                <w:spacing w:val="-6"/>
                <w:sz w:val="21"/>
                <w:szCs w:val="21"/>
              </w:rPr>
              <w:t>41/1604</w:t>
            </w:r>
            <w:r>
              <w:rPr>
                <w:spacing w:val="-6"/>
                <w:sz w:val="21"/>
                <w:szCs w:val="21"/>
              </w:rPr>
              <w:t>-20</w:t>
            </w:r>
            <w:r>
              <w:rPr>
                <w:rFonts w:hint="eastAsia"/>
                <w:spacing w:val="-6"/>
                <w:sz w:val="21"/>
                <w:szCs w:val="21"/>
              </w:rPr>
              <w:t>18）表1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3" w:type="dxa"/>
            <w:vMerge w:val="continue"/>
            <w:vAlign w:val="center"/>
          </w:tcPr>
          <w:p>
            <w:pPr>
              <w:spacing w:line="240" w:lineRule="auto"/>
              <w:ind w:firstLine="0" w:firstLineChars="0"/>
              <w:jc w:val="center"/>
              <w:rPr>
                <w:sz w:val="21"/>
                <w:szCs w:val="21"/>
              </w:rPr>
            </w:pPr>
          </w:p>
        </w:tc>
        <w:tc>
          <w:tcPr>
            <w:tcW w:w="665" w:type="dxa"/>
            <w:vAlign w:val="center"/>
          </w:tcPr>
          <w:p>
            <w:pPr>
              <w:spacing w:line="240" w:lineRule="auto"/>
              <w:ind w:firstLine="0" w:firstLineChars="0"/>
              <w:jc w:val="center"/>
              <w:rPr>
                <w:sz w:val="21"/>
                <w:szCs w:val="21"/>
              </w:rPr>
            </w:pPr>
            <w:r>
              <w:rPr>
                <w:bCs/>
                <w:sz w:val="21"/>
                <w:szCs w:val="21"/>
                <w:lang w:val="en-GB"/>
              </w:rPr>
              <w:t>厂界</w:t>
            </w:r>
          </w:p>
        </w:tc>
        <w:tc>
          <w:tcPr>
            <w:tcW w:w="1270" w:type="dxa"/>
            <w:vAlign w:val="center"/>
          </w:tcPr>
          <w:p>
            <w:pPr>
              <w:spacing w:line="240" w:lineRule="auto"/>
              <w:ind w:firstLine="0" w:firstLineChars="0"/>
              <w:jc w:val="center"/>
              <w:rPr>
                <w:sz w:val="21"/>
                <w:szCs w:val="21"/>
              </w:rPr>
            </w:pPr>
            <w:r>
              <w:rPr>
                <w:sz w:val="21"/>
                <w:szCs w:val="21"/>
              </w:rPr>
              <w:t>NMHC</w:t>
            </w:r>
            <w:r>
              <w:rPr>
                <w:rFonts w:hint="eastAsia"/>
                <w:sz w:val="21"/>
                <w:szCs w:val="21"/>
              </w:rPr>
              <w:t>、氨、硫化氢、颗粒物</w:t>
            </w:r>
          </w:p>
        </w:tc>
        <w:tc>
          <w:tcPr>
            <w:tcW w:w="1121" w:type="dxa"/>
            <w:vAlign w:val="center"/>
          </w:tcPr>
          <w:p>
            <w:pPr>
              <w:spacing w:line="240" w:lineRule="auto"/>
              <w:ind w:firstLine="0" w:firstLineChars="0"/>
              <w:jc w:val="center"/>
              <w:rPr>
                <w:sz w:val="21"/>
                <w:szCs w:val="21"/>
              </w:rPr>
            </w:pPr>
            <w:r>
              <w:rPr>
                <w:sz w:val="21"/>
                <w:szCs w:val="21"/>
              </w:rPr>
              <w:t>厂区上风向设1个点，下风向设3个</w:t>
            </w:r>
          </w:p>
        </w:tc>
        <w:tc>
          <w:tcPr>
            <w:tcW w:w="1275" w:type="dxa"/>
            <w:vMerge w:val="restart"/>
            <w:vAlign w:val="center"/>
          </w:tcPr>
          <w:p>
            <w:pPr>
              <w:spacing w:line="240" w:lineRule="auto"/>
              <w:ind w:firstLine="0" w:firstLineChars="0"/>
              <w:jc w:val="center"/>
              <w:rPr>
                <w:sz w:val="21"/>
                <w:szCs w:val="21"/>
              </w:rPr>
            </w:pPr>
            <w:r>
              <w:rPr>
                <w:rFonts w:hint="eastAsia"/>
                <w:sz w:val="21"/>
                <w:szCs w:val="21"/>
              </w:rPr>
              <w:t>1次/年</w:t>
            </w:r>
          </w:p>
        </w:tc>
        <w:tc>
          <w:tcPr>
            <w:tcW w:w="4254" w:type="dxa"/>
            <w:vAlign w:val="center"/>
          </w:tcPr>
          <w:p>
            <w:pPr>
              <w:spacing w:line="240" w:lineRule="auto"/>
              <w:ind w:firstLine="0" w:firstLineChars="0"/>
              <w:jc w:val="center"/>
              <w:rPr>
                <w:sz w:val="21"/>
                <w:szCs w:val="21"/>
              </w:rPr>
            </w:pPr>
            <w:r>
              <w:rPr>
                <w:rFonts w:hint="eastAsia" w:cs="Times New Roman"/>
                <w:kern w:val="0"/>
                <w:sz w:val="21"/>
                <w:szCs w:val="21"/>
              </w:rPr>
              <w:t>《合成树脂工业污染物排放标准》、《大气污染物综合排放标准》（GB16297-1996）、《关于全省开展工业企业挥发性有机物专项治理工作中排放建议值的通知》（豫环攻坚办〔2017〕162号）限值要求、</w:t>
            </w:r>
            <w:r>
              <w:rPr>
                <w:rFonts w:hint="eastAsia" w:cs="Times New Roman"/>
                <w:sz w:val="21"/>
                <w:szCs w:val="21"/>
              </w:rPr>
              <w:t>《恶臭污染物排放标准》（GB14554-93）</w:t>
            </w:r>
            <w:r>
              <w:rPr>
                <w:rFonts w:hint="eastAsia" w:cs="Times New Roman"/>
                <w:kern w:val="0"/>
                <w:sz w:val="21"/>
                <w:szCs w:val="21"/>
              </w:rPr>
              <w:t>（</w:t>
            </w:r>
            <w:r>
              <w:rPr>
                <w:rFonts w:cs="Times New Roman"/>
                <w:kern w:val="0"/>
                <w:sz w:val="21"/>
                <w:szCs w:val="21"/>
              </w:rPr>
              <w:t>GB37822-2019</w:t>
            </w:r>
            <w:r>
              <w:rPr>
                <w:rFonts w:hint="eastAsia" w:cs="Times New Roman"/>
                <w:kern w:val="0"/>
                <w:sz w:val="21"/>
                <w:szCs w:val="21"/>
              </w:rPr>
              <w:t>）限值要求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3" w:type="dxa"/>
            <w:vMerge w:val="continue"/>
            <w:vAlign w:val="center"/>
          </w:tcPr>
          <w:p>
            <w:pPr>
              <w:spacing w:line="240" w:lineRule="auto"/>
              <w:ind w:firstLine="0" w:firstLineChars="0"/>
              <w:jc w:val="center"/>
              <w:rPr>
                <w:sz w:val="21"/>
                <w:szCs w:val="21"/>
              </w:rPr>
            </w:pPr>
          </w:p>
        </w:tc>
        <w:tc>
          <w:tcPr>
            <w:tcW w:w="665" w:type="dxa"/>
            <w:vAlign w:val="center"/>
          </w:tcPr>
          <w:p>
            <w:pPr>
              <w:spacing w:line="240" w:lineRule="auto"/>
              <w:ind w:firstLine="0" w:firstLineChars="0"/>
              <w:jc w:val="center"/>
              <w:rPr>
                <w:bCs/>
                <w:sz w:val="21"/>
                <w:szCs w:val="21"/>
              </w:rPr>
            </w:pPr>
            <w:r>
              <w:rPr>
                <w:rFonts w:hint="eastAsia"/>
                <w:bCs/>
                <w:sz w:val="21"/>
                <w:szCs w:val="21"/>
                <w:lang w:val="en-GB"/>
              </w:rPr>
              <w:t>厂内</w:t>
            </w:r>
          </w:p>
        </w:tc>
        <w:tc>
          <w:tcPr>
            <w:tcW w:w="1270" w:type="dxa"/>
            <w:vAlign w:val="center"/>
          </w:tcPr>
          <w:p>
            <w:pPr>
              <w:spacing w:line="240" w:lineRule="auto"/>
              <w:ind w:firstLine="0" w:firstLineChars="0"/>
              <w:jc w:val="center"/>
              <w:rPr>
                <w:sz w:val="21"/>
                <w:szCs w:val="21"/>
              </w:rPr>
            </w:pPr>
            <w:r>
              <w:rPr>
                <w:rFonts w:hint="eastAsia"/>
                <w:sz w:val="21"/>
                <w:szCs w:val="21"/>
              </w:rPr>
              <w:t>NMHC</w:t>
            </w:r>
          </w:p>
        </w:tc>
        <w:tc>
          <w:tcPr>
            <w:tcW w:w="1121" w:type="dxa"/>
            <w:vAlign w:val="center"/>
          </w:tcPr>
          <w:p>
            <w:pPr>
              <w:spacing w:line="240" w:lineRule="auto"/>
              <w:ind w:firstLine="0" w:firstLineChars="0"/>
              <w:jc w:val="center"/>
              <w:rPr>
                <w:sz w:val="21"/>
                <w:szCs w:val="21"/>
              </w:rPr>
            </w:pPr>
            <w:r>
              <w:rPr>
                <w:rFonts w:hint="eastAsia"/>
                <w:sz w:val="21"/>
                <w:szCs w:val="21"/>
              </w:rPr>
              <w:t>厂内下风向1个监测点位</w:t>
            </w:r>
          </w:p>
        </w:tc>
        <w:tc>
          <w:tcPr>
            <w:tcW w:w="1275" w:type="dxa"/>
            <w:vMerge w:val="continue"/>
            <w:vAlign w:val="center"/>
          </w:tcPr>
          <w:p>
            <w:pPr>
              <w:spacing w:line="240" w:lineRule="auto"/>
              <w:ind w:firstLine="0" w:firstLineChars="0"/>
              <w:jc w:val="center"/>
              <w:rPr>
                <w:sz w:val="21"/>
                <w:szCs w:val="21"/>
              </w:rPr>
            </w:pPr>
          </w:p>
        </w:tc>
        <w:tc>
          <w:tcPr>
            <w:tcW w:w="4254" w:type="dxa"/>
            <w:vAlign w:val="center"/>
          </w:tcPr>
          <w:p>
            <w:pPr>
              <w:spacing w:line="240" w:lineRule="auto"/>
              <w:ind w:firstLine="0" w:firstLineChars="0"/>
              <w:jc w:val="center"/>
              <w:rPr>
                <w:sz w:val="21"/>
                <w:szCs w:val="21"/>
              </w:rPr>
            </w:pPr>
            <w:r>
              <w:rPr>
                <w:rFonts w:hint="eastAsia" w:cs="Times New Roman"/>
                <w:kern w:val="0"/>
                <w:sz w:val="21"/>
                <w:szCs w:val="21"/>
              </w:rPr>
              <w:t>《挥发性有机物无组织排放控制标准》（</w:t>
            </w:r>
            <w:r>
              <w:rPr>
                <w:rFonts w:cs="Times New Roman"/>
                <w:kern w:val="0"/>
                <w:sz w:val="21"/>
                <w:szCs w:val="21"/>
              </w:rPr>
              <w:t>GB37822-2019</w:t>
            </w:r>
            <w:r>
              <w:rPr>
                <w:rFonts w:hint="eastAsia" w:cs="Times New Roman"/>
                <w:kern w:val="0"/>
                <w:sz w:val="21"/>
                <w:szCs w:val="21"/>
              </w:rPr>
              <w:t>）限值要求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3" w:type="dxa"/>
            <w:vMerge w:val="restart"/>
            <w:vAlign w:val="center"/>
          </w:tcPr>
          <w:p>
            <w:pPr>
              <w:spacing w:line="240" w:lineRule="auto"/>
              <w:ind w:firstLine="0" w:firstLineChars="0"/>
              <w:jc w:val="center"/>
              <w:rPr>
                <w:sz w:val="21"/>
                <w:szCs w:val="21"/>
              </w:rPr>
            </w:pPr>
            <w:r>
              <w:rPr>
                <w:sz w:val="21"/>
                <w:szCs w:val="21"/>
              </w:rPr>
              <w:t>噪声</w:t>
            </w:r>
          </w:p>
        </w:tc>
        <w:tc>
          <w:tcPr>
            <w:tcW w:w="665" w:type="dxa"/>
            <w:vAlign w:val="center"/>
          </w:tcPr>
          <w:p>
            <w:pPr>
              <w:spacing w:line="240" w:lineRule="auto"/>
              <w:ind w:firstLine="0" w:firstLineChars="0"/>
              <w:jc w:val="center"/>
              <w:rPr>
                <w:bCs/>
                <w:sz w:val="21"/>
                <w:szCs w:val="21"/>
              </w:rPr>
            </w:pPr>
            <w:r>
              <w:rPr>
                <w:bCs/>
                <w:sz w:val="21"/>
                <w:szCs w:val="21"/>
              </w:rPr>
              <w:t>设备</w:t>
            </w:r>
          </w:p>
          <w:p>
            <w:pPr>
              <w:spacing w:line="240" w:lineRule="auto"/>
              <w:ind w:firstLine="0" w:firstLineChars="0"/>
              <w:jc w:val="center"/>
              <w:rPr>
                <w:sz w:val="21"/>
                <w:szCs w:val="21"/>
              </w:rPr>
            </w:pPr>
            <w:r>
              <w:rPr>
                <w:bCs/>
                <w:sz w:val="21"/>
                <w:szCs w:val="21"/>
              </w:rPr>
              <w:t>噪声</w:t>
            </w:r>
          </w:p>
        </w:tc>
        <w:tc>
          <w:tcPr>
            <w:tcW w:w="1270" w:type="dxa"/>
            <w:vMerge w:val="restart"/>
            <w:vAlign w:val="center"/>
          </w:tcPr>
          <w:p>
            <w:pPr>
              <w:spacing w:line="240" w:lineRule="auto"/>
              <w:ind w:firstLine="0" w:firstLineChars="0"/>
              <w:jc w:val="center"/>
              <w:rPr>
                <w:sz w:val="21"/>
                <w:szCs w:val="21"/>
              </w:rPr>
            </w:pPr>
            <w:r>
              <w:rPr>
                <w:sz w:val="21"/>
                <w:szCs w:val="21"/>
              </w:rPr>
              <w:t>等效A声级</w:t>
            </w:r>
          </w:p>
        </w:tc>
        <w:tc>
          <w:tcPr>
            <w:tcW w:w="1121" w:type="dxa"/>
            <w:vMerge w:val="restart"/>
            <w:vAlign w:val="center"/>
          </w:tcPr>
          <w:p>
            <w:pPr>
              <w:spacing w:line="240" w:lineRule="auto"/>
              <w:ind w:firstLine="0" w:firstLineChars="0"/>
              <w:jc w:val="center"/>
              <w:rPr>
                <w:sz w:val="21"/>
                <w:szCs w:val="21"/>
              </w:rPr>
            </w:pPr>
            <w:r>
              <w:rPr>
                <w:sz w:val="21"/>
                <w:szCs w:val="21"/>
              </w:rPr>
              <w:t>厂界四周1m4个点</w:t>
            </w:r>
          </w:p>
        </w:tc>
        <w:tc>
          <w:tcPr>
            <w:tcW w:w="1275" w:type="dxa"/>
            <w:vMerge w:val="restart"/>
            <w:vAlign w:val="center"/>
          </w:tcPr>
          <w:p>
            <w:pPr>
              <w:spacing w:line="240" w:lineRule="auto"/>
              <w:ind w:firstLine="0" w:firstLineChars="0"/>
              <w:jc w:val="center"/>
              <w:rPr>
                <w:sz w:val="21"/>
                <w:szCs w:val="21"/>
              </w:rPr>
            </w:pPr>
            <w:r>
              <w:rPr>
                <w:sz w:val="21"/>
                <w:szCs w:val="21"/>
              </w:rPr>
              <w:t>每年一次，每次测两天，每天昼夜各1次。</w:t>
            </w:r>
          </w:p>
        </w:tc>
        <w:tc>
          <w:tcPr>
            <w:tcW w:w="4254" w:type="dxa"/>
            <w:vMerge w:val="restart"/>
            <w:vAlign w:val="center"/>
          </w:tcPr>
          <w:p>
            <w:pPr>
              <w:spacing w:line="240" w:lineRule="auto"/>
              <w:ind w:firstLine="0" w:firstLineChars="0"/>
              <w:jc w:val="center"/>
              <w:rPr>
                <w:sz w:val="21"/>
                <w:szCs w:val="21"/>
              </w:rPr>
            </w:pPr>
            <w:r>
              <w:rPr>
                <w:sz w:val="21"/>
                <w:szCs w:val="21"/>
              </w:rPr>
              <w:t>《工业企业厂界环境噪声排放标准》（GB12348-2008）</w:t>
            </w:r>
            <w:r>
              <w:rPr>
                <w:rFonts w:hint="eastAsia"/>
                <w:sz w:val="21"/>
                <w:szCs w:val="21"/>
              </w:rPr>
              <w:t>3</w:t>
            </w:r>
            <w:r>
              <w:rPr>
                <w:sz w:val="21"/>
                <w:szCs w:val="21"/>
              </w:rPr>
              <w:t>类标准要求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3" w:type="dxa"/>
            <w:vMerge w:val="continue"/>
            <w:vAlign w:val="center"/>
          </w:tcPr>
          <w:p>
            <w:pPr>
              <w:spacing w:line="240" w:lineRule="auto"/>
              <w:ind w:firstLine="0" w:firstLineChars="0"/>
              <w:jc w:val="center"/>
              <w:rPr>
                <w:sz w:val="21"/>
                <w:szCs w:val="21"/>
              </w:rPr>
            </w:pPr>
          </w:p>
        </w:tc>
        <w:tc>
          <w:tcPr>
            <w:tcW w:w="665" w:type="dxa"/>
            <w:vAlign w:val="center"/>
          </w:tcPr>
          <w:p>
            <w:pPr>
              <w:spacing w:line="240" w:lineRule="auto"/>
              <w:ind w:firstLine="0" w:firstLineChars="0"/>
              <w:jc w:val="center"/>
              <w:rPr>
                <w:bCs/>
                <w:sz w:val="21"/>
                <w:szCs w:val="21"/>
              </w:rPr>
            </w:pPr>
            <w:r>
              <w:rPr>
                <w:rFonts w:hint="eastAsia"/>
                <w:bCs/>
                <w:sz w:val="21"/>
                <w:szCs w:val="21"/>
              </w:rPr>
              <w:t>环境噪声</w:t>
            </w:r>
          </w:p>
        </w:tc>
        <w:tc>
          <w:tcPr>
            <w:tcW w:w="1270" w:type="dxa"/>
            <w:vMerge w:val="continue"/>
            <w:vAlign w:val="center"/>
          </w:tcPr>
          <w:p>
            <w:pPr>
              <w:spacing w:line="240" w:lineRule="auto"/>
              <w:ind w:firstLine="0" w:firstLineChars="0"/>
              <w:jc w:val="center"/>
              <w:rPr>
                <w:sz w:val="21"/>
                <w:szCs w:val="21"/>
              </w:rPr>
            </w:pPr>
          </w:p>
        </w:tc>
        <w:tc>
          <w:tcPr>
            <w:tcW w:w="1121" w:type="dxa"/>
            <w:vMerge w:val="continue"/>
            <w:vAlign w:val="center"/>
          </w:tcPr>
          <w:p>
            <w:pPr>
              <w:spacing w:line="240" w:lineRule="auto"/>
              <w:ind w:firstLine="0" w:firstLineChars="0"/>
              <w:jc w:val="center"/>
              <w:rPr>
                <w:sz w:val="21"/>
                <w:szCs w:val="21"/>
              </w:rPr>
            </w:pPr>
          </w:p>
        </w:tc>
        <w:tc>
          <w:tcPr>
            <w:tcW w:w="1275" w:type="dxa"/>
            <w:vMerge w:val="continue"/>
            <w:vAlign w:val="center"/>
          </w:tcPr>
          <w:p>
            <w:pPr>
              <w:spacing w:line="240" w:lineRule="auto"/>
              <w:ind w:firstLine="0" w:firstLineChars="0"/>
              <w:jc w:val="center"/>
              <w:rPr>
                <w:sz w:val="21"/>
                <w:szCs w:val="21"/>
              </w:rPr>
            </w:pPr>
          </w:p>
        </w:tc>
        <w:tc>
          <w:tcPr>
            <w:tcW w:w="4254" w:type="dxa"/>
            <w:vMerge w:val="continue"/>
            <w:vAlign w:val="center"/>
          </w:tcPr>
          <w:p>
            <w:pPr>
              <w:spacing w:line="240" w:lineRule="auto"/>
              <w:ind w:firstLine="0" w:firstLineChars="0"/>
              <w:jc w:val="cente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3" w:type="dxa"/>
            <w:vAlign w:val="center"/>
          </w:tcPr>
          <w:p>
            <w:pPr>
              <w:spacing w:line="240" w:lineRule="auto"/>
              <w:ind w:firstLine="0" w:firstLineChars="0"/>
              <w:jc w:val="center"/>
              <w:rPr>
                <w:sz w:val="21"/>
                <w:szCs w:val="21"/>
              </w:rPr>
            </w:pPr>
            <w:r>
              <w:rPr>
                <w:sz w:val="21"/>
                <w:szCs w:val="21"/>
              </w:rPr>
              <w:t>地下水</w:t>
            </w:r>
          </w:p>
        </w:tc>
        <w:tc>
          <w:tcPr>
            <w:tcW w:w="665" w:type="dxa"/>
            <w:vAlign w:val="center"/>
          </w:tcPr>
          <w:p>
            <w:pPr>
              <w:spacing w:line="240" w:lineRule="auto"/>
              <w:ind w:firstLine="0" w:firstLineChars="0"/>
              <w:jc w:val="center"/>
              <w:rPr>
                <w:sz w:val="21"/>
                <w:szCs w:val="21"/>
              </w:rPr>
            </w:pPr>
            <w:r>
              <w:rPr>
                <w:sz w:val="21"/>
                <w:szCs w:val="21"/>
              </w:rPr>
              <w:t>厂区</w:t>
            </w:r>
          </w:p>
        </w:tc>
        <w:tc>
          <w:tcPr>
            <w:tcW w:w="1270" w:type="dxa"/>
            <w:vAlign w:val="center"/>
          </w:tcPr>
          <w:p>
            <w:pPr>
              <w:spacing w:line="240" w:lineRule="auto"/>
              <w:ind w:firstLine="0" w:firstLineChars="0"/>
              <w:jc w:val="center"/>
              <w:rPr>
                <w:sz w:val="21"/>
                <w:szCs w:val="21"/>
              </w:rPr>
            </w:pPr>
            <w:r>
              <w:rPr>
                <w:bCs/>
                <w:sz w:val="21"/>
                <w:szCs w:val="21"/>
              </w:rPr>
              <w:t>COD、NH</w:t>
            </w:r>
            <w:r>
              <w:rPr>
                <w:bCs/>
                <w:sz w:val="21"/>
                <w:szCs w:val="21"/>
                <w:vertAlign w:val="subscript"/>
              </w:rPr>
              <w:t>3</w:t>
            </w:r>
            <w:r>
              <w:rPr>
                <w:bCs/>
                <w:sz w:val="21"/>
                <w:szCs w:val="21"/>
              </w:rPr>
              <w:t>-N</w:t>
            </w:r>
            <w:r>
              <w:rPr>
                <w:rFonts w:hint="eastAsia"/>
                <w:bCs/>
                <w:sz w:val="21"/>
                <w:szCs w:val="21"/>
              </w:rPr>
              <w:t>、SS、总氮、总磷</w:t>
            </w:r>
          </w:p>
        </w:tc>
        <w:tc>
          <w:tcPr>
            <w:tcW w:w="1121" w:type="dxa"/>
            <w:vAlign w:val="center"/>
          </w:tcPr>
          <w:p>
            <w:pPr>
              <w:spacing w:line="240" w:lineRule="auto"/>
              <w:ind w:firstLine="0" w:firstLineChars="0"/>
              <w:jc w:val="center"/>
              <w:rPr>
                <w:sz w:val="21"/>
                <w:szCs w:val="21"/>
              </w:rPr>
            </w:pPr>
            <w:r>
              <w:rPr>
                <w:sz w:val="21"/>
                <w:szCs w:val="21"/>
              </w:rPr>
              <w:t>项目厂区北侧（场地下游）设置1个监控井</w:t>
            </w:r>
          </w:p>
        </w:tc>
        <w:tc>
          <w:tcPr>
            <w:tcW w:w="1275" w:type="dxa"/>
            <w:vAlign w:val="center"/>
          </w:tcPr>
          <w:p>
            <w:pPr>
              <w:spacing w:line="240" w:lineRule="auto"/>
              <w:ind w:firstLine="0" w:firstLineChars="0"/>
              <w:jc w:val="center"/>
              <w:rPr>
                <w:sz w:val="21"/>
                <w:szCs w:val="21"/>
              </w:rPr>
            </w:pPr>
            <w:r>
              <w:rPr>
                <w:sz w:val="21"/>
                <w:szCs w:val="21"/>
              </w:rPr>
              <w:t>每年枯水期采样一次</w:t>
            </w:r>
          </w:p>
        </w:tc>
        <w:tc>
          <w:tcPr>
            <w:tcW w:w="4254" w:type="dxa"/>
            <w:vAlign w:val="center"/>
          </w:tcPr>
          <w:p>
            <w:pPr>
              <w:spacing w:line="240" w:lineRule="auto"/>
              <w:ind w:firstLine="0" w:firstLineChars="0"/>
              <w:jc w:val="center"/>
              <w:rPr>
                <w:sz w:val="21"/>
                <w:szCs w:val="21"/>
              </w:rPr>
            </w:pPr>
            <w:r>
              <w:rPr>
                <w:sz w:val="21"/>
                <w:szCs w:val="21"/>
              </w:rPr>
              <w:t>《地下水质量标准》（GB/T14848-2017）</w:t>
            </w:r>
            <w:r>
              <w:rPr>
                <w:rFonts w:hint="eastAsia" w:ascii="宋体" w:hAnsi="宋体" w:cs="宋体"/>
                <w:sz w:val="21"/>
                <w:szCs w:val="21"/>
              </w:rPr>
              <w:t>Ⅲ</w:t>
            </w:r>
            <w:r>
              <w:rPr>
                <w:sz w:val="21"/>
                <w:szCs w:val="21"/>
              </w:rPr>
              <w:t>类标准</w:t>
            </w:r>
          </w:p>
        </w:tc>
      </w:tr>
    </w:tbl>
    <w:p>
      <w:pPr>
        <w:pStyle w:val="7"/>
        <w:ind w:firstLine="562"/>
      </w:pPr>
      <w:r>
        <w:t>9.</w:t>
      </w:r>
      <w:r>
        <w:rPr>
          <w:rFonts w:hint="eastAsia"/>
        </w:rPr>
        <w:t xml:space="preserve">4.4 </w:t>
      </w:r>
      <w:r>
        <w:t>信息公开</w:t>
      </w:r>
    </w:p>
    <w:p>
      <w:pPr>
        <w:ind w:firstLine="480"/>
      </w:pPr>
      <w:r>
        <w:rPr>
          <w:rFonts w:hint="eastAsia"/>
        </w:rPr>
        <w:t>1、</w:t>
      </w:r>
      <w:r>
        <w:t>公开内容</w:t>
      </w:r>
    </w:p>
    <w:p>
      <w:pPr>
        <w:ind w:firstLine="480"/>
      </w:pPr>
      <w:r>
        <w:rPr>
          <w:rFonts w:hint="eastAsia"/>
        </w:rPr>
        <w:t>企业应将自行监测工作开展情况及监测结果向社会公众公开，公开内容应包括：</w:t>
      </w:r>
    </w:p>
    <w:p>
      <w:pPr>
        <w:ind w:firstLine="480"/>
      </w:pPr>
      <w:r>
        <w:rPr>
          <w:rFonts w:hint="eastAsia"/>
        </w:rPr>
        <w:t>（</w:t>
      </w:r>
      <w:r>
        <w:t>1</w:t>
      </w:r>
      <w:r>
        <w:rPr>
          <w:rFonts w:hint="eastAsia"/>
        </w:rPr>
        <w:t>）基础信息：企业名称、</w:t>
      </w:r>
      <w:r>
        <w:rPr>
          <w:rFonts w:hint="eastAsia"/>
          <w:lang w:eastAsia="zh-CN"/>
        </w:rPr>
        <w:t>法定代表人</w:t>
      </w:r>
      <w:r>
        <w:rPr>
          <w:rFonts w:hint="eastAsia"/>
        </w:rPr>
        <w:t>、所属行业、地理位置、生产周期、联系方式、委托监测机构名称等；</w:t>
      </w:r>
    </w:p>
    <w:p>
      <w:pPr>
        <w:ind w:firstLine="480"/>
      </w:pPr>
      <w:r>
        <w:rPr>
          <w:rFonts w:hint="eastAsia"/>
        </w:rPr>
        <w:t>（</w:t>
      </w:r>
      <w:r>
        <w:t>2</w:t>
      </w:r>
      <w:r>
        <w:rPr>
          <w:rFonts w:hint="eastAsia"/>
        </w:rPr>
        <w:t>）自行监测方案；</w:t>
      </w:r>
    </w:p>
    <w:p>
      <w:pPr>
        <w:ind w:firstLine="480"/>
      </w:pPr>
      <w:r>
        <w:rPr>
          <w:rFonts w:hint="eastAsia"/>
        </w:rPr>
        <w:t>（</w:t>
      </w:r>
      <w:r>
        <w:t>3</w:t>
      </w:r>
      <w:r>
        <w:rPr>
          <w:rFonts w:hint="eastAsia"/>
        </w:rPr>
        <w:t>）自行监测结果：全部监测点位、监测时间、污染物种类及浓度、标准限值、达标情况、超标倍数、污染物排放方式及排放去向；</w:t>
      </w:r>
    </w:p>
    <w:p>
      <w:pPr>
        <w:ind w:firstLine="480"/>
      </w:pPr>
      <w:r>
        <w:rPr>
          <w:rFonts w:hint="eastAsia"/>
        </w:rPr>
        <w:t>（</w:t>
      </w:r>
      <w:r>
        <w:t>4</w:t>
      </w:r>
      <w:r>
        <w:rPr>
          <w:rFonts w:hint="eastAsia"/>
        </w:rPr>
        <w:t>）未开展自行监测的原因；</w:t>
      </w:r>
    </w:p>
    <w:p>
      <w:pPr>
        <w:ind w:firstLine="480"/>
      </w:pPr>
      <w:r>
        <w:rPr>
          <w:rFonts w:hint="eastAsia"/>
        </w:rPr>
        <w:t>（</w:t>
      </w:r>
      <w:r>
        <w:t>5</w:t>
      </w:r>
      <w:r>
        <w:rPr>
          <w:rFonts w:hint="eastAsia"/>
        </w:rPr>
        <w:t>）污染源监测年度报告。</w:t>
      </w:r>
    </w:p>
    <w:p>
      <w:pPr>
        <w:ind w:firstLine="480"/>
      </w:pPr>
      <w:r>
        <w:rPr>
          <w:rFonts w:hint="eastAsia"/>
        </w:rPr>
        <w:t>2、</w:t>
      </w:r>
      <w:r>
        <w:t>公开方式</w:t>
      </w:r>
    </w:p>
    <w:p>
      <w:pPr>
        <w:ind w:firstLine="480"/>
      </w:pPr>
      <w:r>
        <w:rPr>
          <w:rFonts w:hint="eastAsia"/>
        </w:rPr>
        <w:t>企业可通过对外网站、报纸、广播、电视等便于公众知晓的方式公开自行监测信息。</w:t>
      </w:r>
    </w:p>
    <w:p>
      <w:pPr>
        <w:ind w:firstLine="480"/>
      </w:pPr>
      <w:r>
        <w:rPr>
          <w:rFonts w:hint="eastAsia"/>
        </w:rPr>
        <w:t>3、公开时限</w:t>
      </w:r>
    </w:p>
    <w:p>
      <w:pPr>
        <w:ind w:firstLine="480"/>
      </w:pPr>
      <w:r>
        <w:rPr>
          <w:rFonts w:hint="eastAsia"/>
        </w:rPr>
        <w:t>企业自行监测信息按以下要求的时限公开：</w:t>
      </w:r>
    </w:p>
    <w:p>
      <w:pPr>
        <w:ind w:firstLine="480"/>
      </w:pPr>
      <w:r>
        <w:rPr>
          <w:rFonts w:hint="eastAsia"/>
        </w:rPr>
        <w:t>（</w:t>
      </w:r>
      <w:r>
        <w:t>1</w:t>
      </w:r>
      <w:r>
        <w:rPr>
          <w:rFonts w:hint="eastAsia"/>
        </w:rPr>
        <w:t>）企业基础信息应随监测数据一并公布，基础信息、自行监测方案如有调整变化时，应于变更后的五日内公布最新内容；</w:t>
      </w:r>
    </w:p>
    <w:p>
      <w:pPr>
        <w:ind w:firstLine="480"/>
      </w:pPr>
      <w:r>
        <w:rPr>
          <w:rFonts w:hint="eastAsia"/>
        </w:rPr>
        <w:t>（</w:t>
      </w:r>
      <w:r>
        <w:t>2</w:t>
      </w:r>
      <w:r>
        <w:rPr>
          <w:rFonts w:hint="eastAsia"/>
        </w:rPr>
        <w:t>）手工监测数据应于每次监测完成后的次日公布；</w:t>
      </w:r>
    </w:p>
    <w:p>
      <w:pPr>
        <w:ind w:firstLine="480"/>
      </w:pPr>
      <w:r>
        <w:rPr>
          <w:rFonts w:hint="eastAsia"/>
        </w:rPr>
        <w:t>（</w:t>
      </w:r>
      <w:r>
        <w:t>3</w:t>
      </w:r>
      <w:r>
        <w:rPr>
          <w:rFonts w:hint="eastAsia"/>
        </w:rPr>
        <w:t>）自动监测数据应实时公布监测结果；</w:t>
      </w:r>
    </w:p>
    <w:p>
      <w:pPr>
        <w:ind w:firstLine="480"/>
      </w:pPr>
      <w:r>
        <w:rPr>
          <w:rFonts w:hint="eastAsia"/>
        </w:rPr>
        <w:t>（</w:t>
      </w:r>
      <w:r>
        <w:t>4</w:t>
      </w:r>
      <w:r>
        <w:rPr>
          <w:rFonts w:hint="eastAsia"/>
        </w:rPr>
        <w:t>）每年</w:t>
      </w:r>
      <w:r>
        <w:t>1</w:t>
      </w:r>
      <w:r>
        <w:rPr>
          <w:rFonts w:hint="eastAsia"/>
        </w:rPr>
        <w:t>月底前公布上年度自行监测年度报告。</w:t>
      </w:r>
    </w:p>
    <w:p>
      <w:pPr>
        <w:pStyle w:val="6"/>
        <w:ind w:firstLine="643"/>
      </w:pPr>
      <w:bookmarkStart w:id="363" w:name="_Toc13292"/>
      <w:bookmarkStart w:id="364" w:name="_Toc11075"/>
      <w:bookmarkStart w:id="365" w:name="_Toc7006"/>
      <w:r>
        <w:rPr>
          <w:lang w:val="en-US"/>
        </w:rPr>
        <w:t>9.</w:t>
      </w:r>
      <w:r>
        <w:rPr>
          <w:rFonts w:hint="eastAsia"/>
          <w:lang w:val="en-US"/>
        </w:rPr>
        <w:t>5</w:t>
      </w:r>
      <w:r>
        <w:rPr>
          <w:lang w:val="en-US"/>
        </w:rPr>
        <w:t xml:space="preserve"> 建设项目竣工环保验收内容</w:t>
      </w:r>
      <w:bookmarkEnd w:id="363"/>
      <w:bookmarkEnd w:id="364"/>
      <w:bookmarkEnd w:id="365"/>
    </w:p>
    <w:p>
      <w:pPr>
        <w:ind w:firstLine="480"/>
      </w:pPr>
      <w:r>
        <w:rPr>
          <w:rFonts w:hint="eastAsia"/>
        </w:rPr>
        <w:t>本项目</w:t>
      </w:r>
      <w:r>
        <w:rPr>
          <w:rFonts w:hint="eastAsia"/>
          <w:lang w:eastAsia="zh-CN"/>
        </w:rPr>
        <w:t>“</w:t>
      </w:r>
      <w:r>
        <w:rPr>
          <w:rFonts w:hint="eastAsia"/>
        </w:rPr>
        <w:t>三同时</w:t>
      </w:r>
      <w:r>
        <w:rPr>
          <w:rFonts w:hint="eastAsia"/>
          <w:lang w:eastAsia="zh-CN"/>
        </w:rPr>
        <w:t>”</w:t>
      </w:r>
      <w:r>
        <w:rPr>
          <w:rFonts w:hint="eastAsia"/>
        </w:rPr>
        <w:t>验收一览表如表</w:t>
      </w:r>
      <w:r>
        <w:t>9.</w:t>
      </w:r>
      <w:r>
        <w:rPr>
          <w:rFonts w:hint="eastAsia"/>
        </w:rPr>
        <w:t>5</w:t>
      </w:r>
      <w:r>
        <w:t>-1</w:t>
      </w:r>
      <w:r>
        <w:rPr>
          <w:rFonts w:hint="eastAsia"/>
        </w:rPr>
        <w:t>所示。</w:t>
      </w:r>
    </w:p>
    <w:p>
      <w:pPr>
        <w:ind w:firstLine="482"/>
        <w:jc w:val="center"/>
        <w:rPr>
          <w:rFonts w:hint="eastAsia"/>
          <w:b/>
          <w:bCs/>
        </w:rPr>
      </w:pPr>
    </w:p>
    <w:p>
      <w:pPr>
        <w:ind w:firstLine="482"/>
        <w:jc w:val="center"/>
        <w:rPr>
          <w:b/>
          <w:bCs/>
        </w:rPr>
      </w:pPr>
      <w:r>
        <w:rPr>
          <w:rFonts w:hint="eastAsia"/>
          <w:b/>
          <w:bCs/>
        </w:rPr>
        <w:t>表</w:t>
      </w:r>
      <w:r>
        <w:rPr>
          <w:b/>
          <w:bCs/>
        </w:rPr>
        <w:t>9.</w:t>
      </w:r>
      <w:r>
        <w:rPr>
          <w:rFonts w:hint="eastAsia"/>
          <w:b/>
          <w:bCs/>
        </w:rPr>
        <w:t>5</w:t>
      </w:r>
      <w:r>
        <w:rPr>
          <w:b/>
          <w:bCs/>
        </w:rPr>
        <w:t xml:space="preserve">-1 </w:t>
      </w:r>
      <w:r>
        <w:rPr>
          <w:rFonts w:hint="eastAsia"/>
          <w:b/>
          <w:bCs/>
        </w:rPr>
        <w:t xml:space="preserve"> 本项目</w:t>
      </w:r>
      <w:r>
        <w:rPr>
          <w:rFonts w:hint="eastAsia"/>
          <w:b/>
          <w:bCs/>
          <w:lang w:eastAsia="zh-CN"/>
        </w:rPr>
        <w:t>“</w:t>
      </w:r>
      <w:r>
        <w:rPr>
          <w:rFonts w:hint="eastAsia"/>
          <w:b/>
          <w:bCs/>
        </w:rPr>
        <w:t>三同时</w:t>
      </w:r>
      <w:r>
        <w:rPr>
          <w:rFonts w:hint="eastAsia"/>
          <w:b/>
          <w:bCs/>
          <w:lang w:eastAsia="zh-CN"/>
        </w:rPr>
        <w:t>”</w:t>
      </w:r>
      <w:r>
        <w:rPr>
          <w:rFonts w:hint="eastAsia"/>
          <w:b/>
          <w:bCs/>
        </w:rPr>
        <w:t>验收一览表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409"/>
        <w:gridCol w:w="906"/>
        <w:gridCol w:w="1254"/>
        <w:gridCol w:w="2121"/>
        <w:gridCol w:w="3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tblHeader/>
          <w:jc w:val="center"/>
        </w:trPr>
        <w:tc>
          <w:tcPr>
            <w:tcW w:w="656" w:type="dxa"/>
            <w:vAlign w:val="center"/>
          </w:tcPr>
          <w:p>
            <w:pPr>
              <w:pStyle w:val="38"/>
              <w:rPr>
                <w:rFonts w:hint="default"/>
              </w:rPr>
            </w:pPr>
            <w:r>
              <w:t>项目</w:t>
            </w:r>
          </w:p>
        </w:tc>
        <w:tc>
          <w:tcPr>
            <w:tcW w:w="1315" w:type="dxa"/>
            <w:gridSpan w:val="2"/>
            <w:vAlign w:val="center"/>
          </w:tcPr>
          <w:p>
            <w:pPr>
              <w:pStyle w:val="38"/>
              <w:rPr>
                <w:rFonts w:hint="default"/>
              </w:rPr>
            </w:pPr>
            <w:r>
              <w:t>污染物</w:t>
            </w:r>
          </w:p>
        </w:tc>
        <w:tc>
          <w:tcPr>
            <w:tcW w:w="3375" w:type="dxa"/>
            <w:gridSpan w:val="2"/>
            <w:vAlign w:val="center"/>
          </w:tcPr>
          <w:p>
            <w:pPr>
              <w:pStyle w:val="38"/>
              <w:rPr>
                <w:rFonts w:hint="default"/>
              </w:rPr>
            </w:pPr>
            <w:r>
              <w:t>治理设施</w:t>
            </w:r>
          </w:p>
        </w:tc>
        <w:tc>
          <w:tcPr>
            <w:tcW w:w="3942" w:type="dxa"/>
            <w:vAlign w:val="center"/>
          </w:tcPr>
          <w:p>
            <w:pPr>
              <w:pStyle w:val="38"/>
              <w:rPr>
                <w:rFonts w:hint="default"/>
                <w:b/>
                <w:bCs/>
              </w:rPr>
            </w:pPr>
            <w:r>
              <w:rPr>
                <w:lang w:bidi="ar"/>
              </w:rPr>
              <w:t>处理效果、执行标准或拟达要求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1" w:hRule="atLeast"/>
          <w:jc w:val="center"/>
        </w:trPr>
        <w:tc>
          <w:tcPr>
            <w:tcW w:w="656" w:type="dxa"/>
            <w:vMerge w:val="restart"/>
            <w:vAlign w:val="center"/>
          </w:tcPr>
          <w:p>
            <w:pPr>
              <w:pStyle w:val="38"/>
              <w:rPr>
                <w:rFonts w:hint="default"/>
              </w:rPr>
            </w:pPr>
            <w:r>
              <w:t>废水</w:t>
            </w:r>
          </w:p>
        </w:tc>
        <w:tc>
          <w:tcPr>
            <w:tcW w:w="1315" w:type="dxa"/>
            <w:gridSpan w:val="2"/>
            <w:vAlign w:val="center"/>
          </w:tcPr>
          <w:p>
            <w:pPr>
              <w:pStyle w:val="38"/>
              <w:rPr>
                <w:rFonts w:hint="default"/>
              </w:rPr>
            </w:pPr>
            <w:r>
              <w:t>生活污水</w:t>
            </w:r>
          </w:p>
        </w:tc>
        <w:tc>
          <w:tcPr>
            <w:tcW w:w="3375" w:type="dxa"/>
            <w:gridSpan w:val="2"/>
            <w:vMerge w:val="restart"/>
            <w:vAlign w:val="center"/>
          </w:tcPr>
          <w:p>
            <w:pPr>
              <w:pStyle w:val="38"/>
              <w:rPr>
                <w:rFonts w:hint="default"/>
              </w:rPr>
            </w:pPr>
            <w:r>
              <w:rPr>
                <w:rFonts w:hint="default"/>
              </w:rPr>
              <w:t>生活污水经隔油池、化粪池预处理后排入污水站与生产废水一同经污水站处理，然后经市政污水管网引至平顶山第三污水处理厂</w:t>
            </w:r>
          </w:p>
        </w:tc>
        <w:tc>
          <w:tcPr>
            <w:tcW w:w="3942" w:type="dxa"/>
            <w:vMerge w:val="restart"/>
            <w:vAlign w:val="center"/>
          </w:tcPr>
          <w:p>
            <w:pPr>
              <w:spacing w:line="360" w:lineRule="exact"/>
              <w:ind w:firstLine="0" w:firstLineChars="0"/>
              <w:jc w:val="center"/>
              <w:rPr>
                <w:rFonts w:ascii="宋体" w:hAnsi="宋体" w:cs="宋体"/>
                <w:sz w:val="21"/>
                <w:szCs w:val="21"/>
              </w:rPr>
            </w:pPr>
            <w:r>
              <w:rPr>
                <w:rFonts w:ascii="宋体" w:hAnsi="宋体" w:cs="宋体"/>
                <w:sz w:val="21"/>
                <w:szCs w:val="21"/>
              </w:rPr>
              <w:t>《化工行业水污染物间接排放标准》</w:t>
            </w:r>
          </w:p>
          <w:p>
            <w:pPr>
              <w:spacing w:line="360" w:lineRule="exact"/>
              <w:ind w:firstLine="0" w:firstLineChars="0"/>
              <w:jc w:val="center"/>
            </w:pPr>
            <w:r>
              <w:rPr>
                <w:rFonts w:ascii="宋体" w:hAnsi="宋体" w:cs="宋体"/>
                <w:sz w:val="21"/>
                <w:szCs w:val="21"/>
              </w:rPr>
              <w:t>（</w:t>
            </w:r>
            <w:r>
              <w:rPr>
                <w:rFonts w:eastAsia="Times New Roman" w:cs="Times New Roman"/>
                <w:sz w:val="21"/>
                <w:szCs w:val="21"/>
              </w:rPr>
              <w:t>DB41/1135-2016</w:t>
            </w:r>
            <w:r>
              <w:rPr>
                <w:rFonts w:ascii="宋体" w:hAnsi="宋体" w:cs="宋体"/>
                <w:sz w:val="21"/>
                <w:szCs w:val="21"/>
              </w:rPr>
              <w:t>）</w:t>
            </w:r>
            <w:r>
              <w:rPr>
                <w:rFonts w:hint="eastAsia" w:ascii="宋体" w:hAnsi="宋体" w:cs="宋体"/>
                <w:sz w:val="21"/>
                <w:szCs w:val="21"/>
              </w:rPr>
              <w:t>、</w:t>
            </w:r>
            <w:r>
              <w:rPr>
                <w:rFonts w:ascii="宋体" w:hAnsi="宋体" w:cs="宋体"/>
                <w:sz w:val="21"/>
                <w:szCs w:val="21"/>
              </w:rPr>
              <w:t>《合成树脂工业污染物排放标准》（</w:t>
            </w:r>
            <w:r>
              <w:rPr>
                <w:rFonts w:eastAsia="Times New Roman" w:cs="Times New Roman"/>
                <w:sz w:val="21"/>
                <w:szCs w:val="21"/>
              </w:rPr>
              <w:t>GB31572-2015</w:t>
            </w:r>
            <w:r>
              <w:rPr>
                <w:rFonts w:ascii="宋体" w:hAnsi="宋体" w:cs="宋体"/>
                <w:sz w:val="21"/>
                <w:szCs w:val="21"/>
              </w:rPr>
              <w:t>）</w:t>
            </w:r>
            <w:r>
              <w:rPr>
                <w:rFonts w:hint="eastAsia" w:ascii="宋体" w:hAnsi="宋体" w:cs="宋体"/>
                <w:sz w:val="21"/>
                <w:szCs w:val="21"/>
              </w:rPr>
              <w:t>、平顶山第三污水处理厂收水标准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6"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t>餐饮废水</w:t>
            </w:r>
          </w:p>
        </w:tc>
        <w:tc>
          <w:tcPr>
            <w:tcW w:w="3375" w:type="dxa"/>
            <w:gridSpan w:val="2"/>
            <w:vMerge w:val="continue"/>
            <w:vAlign w:val="center"/>
          </w:tcPr>
          <w:p>
            <w:pPr>
              <w:pStyle w:val="38"/>
              <w:rPr>
                <w:rFonts w:hint="default"/>
              </w:rPr>
            </w:pP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1"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rPr>
                <w:rFonts w:hint="eastAsia"/>
                <w:sz w:val="21"/>
                <w:szCs w:val="21"/>
              </w:rPr>
              <w:t>冷却循环水</w:t>
            </w:r>
          </w:p>
        </w:tc>
        <w:tc>
          <w:tcPr>
            <w:tcW w:w="3375" w:type="dxa"/>
            <w:gridSpan w:val="2"/>
            <w:vMerge w:val="restart"/>
            <w:vAlign w:val="center"/>
          </w:tcPr>
          <w:p>
            <w:pPr>
              <w:pStyle w:val="38"/>
              <w:rPr>
                <w:rFonts w:hint="eastAsia" w:eastAsia="宋体"/>
                <w:lang w:val="en-US" w:eastAsia="zh-CN"/>
              </w:rPr>
            </w:pPr>
            <w:r>
              <w:rPr>
                <w:rFonts w:hint="eastAsia"/>
                <w:u w:val="single"/>
                <w:lang w:eastAsia="zh-CN"/>
              </w:rPr>
              <w:t>进入厂区内设置1个50t/d污水站，经“预曝气调节池+厌氧反应器+水解酸化池+沉淀池</w:t>
            </w:r>
            <w:r>
              <w:rPr>
                <w:rFonts w:hint="eastAsia"/>
                <w:u w:val="single"/>
                <w:lang w:val="en-US" w:eastAsia="zh-CN"/>
              </w:rPr>
              <w:t>”</w:t>
            </w:r>
            <w:r>
              <w:rPr>
                <w:rFonts w:hint="default"/>
              </w:rPr>
              <w:t>处理，然后经市政污水管网引至平顶山第三污水处理厂</w:t>
            </w: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0"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rPr>
                <w:rFonts w:hint="eastAsia"/>
                <w:sz w:val="21"/>
                <w:szCs w:val="21"/>
              </w:rPr>
              <w:t>纯水制备废水</w:t>
            </w:r>
          </w:p>
        </w:tc>
        <w:tc>
          <w:tcPr>
            <w:tcW w:w="3375" w:type="dxa"/>
            <w:gridSpan w:val="2"/>
            <w:vMerge w:val="continue"/>
            <w:vAlign w:val="center"/>
          </w:tcPr>
          <w:p>
            <w:pPr>
              <w:pStyle w:val="38"/>
              <w:rPr>
                <w:rFonts w:hint="eastAsia"/>
                <w:u w:val="single"/>
                <w:lang w:eastAsia="zh-CN"/>
              </w:rPr>
            </w:pP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2"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rPr>
                <w:rFonts w:hint="eastAsia"/>
                <w:sz w:val="21"/>
                <w:szCs w:val="21"/>
                <w:lang w:eastAsia="zh-CN"/>
              </w:rPr>
              <w:t>设备清洗水</w:t>
            </w:r>
          </w:p>
        </w:tc>
        <w:tc>
          <w:tcPr>
            <w:tcW w:w="3375" w:type="dxa"/>
            <w:gridSpan w:val="2"/>
            <w:vMerge w:val="continue"/>
            <w:vAlign w:val="center"/>
          </w:tcPr>
          <w:p>
            <w:pPr>
              <w:pStyle w:val="38"/>
              <w:rPr>
                <w:rFonts w:hint="eastAsia"/>
                <w:u w:val="single"/>
                <w:lang w:eastAsia="zh-CN"/>
              </w:rPr>
            </w:pP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2"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rPr>
                <w:rFonts w:hint="eastAsia"/>
                <w:sz w:val="21"/>
                <w:szCs w:val="21"/>
                <w:lang w:eastAsia="zh-CN"/>
              </w:rPr>
              <w:t>地面清洗水</w:t>
            </w:r>
          </w:p>
        </w:tc>
        <w:tc>
          <w:tcPr>
            <w:tcW w:w="3375" w:type="dxa"/>
            <w:gridSpan w:val="2"/>
            <w:vMerge w:val="continue"/>
            <w:vAlign w:val="center"/>
          </w:tcPr>
          <w:p>
            <w:pPr>
              <w:pStyle w:val="38"/>
              <w:rPr>
                <w:rFonts w:hint="eastAsia"/>
                <w:u w:val="single"/>
                <w:lang w:eastAsia="zh-CN"/>
              </w:rPr>
            </w:pP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eastAsia"/>
                <w:sz w:val="21"/>
                <w:szCs w:val="21"/>
                <w:lang w:eastAsia="zh-CN"/>
              </w:rPr>
            </w:pPr>
            <w:r>
              <w:rPr>
                <w:rFonts w:hint="eastAsia"/>
                <w:sz w:val="21"/>
                <w:szCs w:val="21"/>
              </w:rPr>
              <w:t>喷淋塔废水</w:t>
            </w:r>
          </w:p>
        </w:tc>
        <w:tc>
          <w:tcPr>
            <w:tcW w:w="3375" w:type="dxa"/>
            <w:gridSpan w:val="2"/>
            <w:vMerge w:val="continue"/>
            <w:vAlign w:val="center"/>
          </w:tcPr>
          <w:p>
            <w:pPr>
              <w:pStyle w:val="38"/>
              <w:rPr>
                <w:rFonts w:hint="eastAsia"/>
                <w:u w:val="single"/>
                <w:lang w:eastAsia="zh-CN"/>
              </w:rPr>
            </w:pP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7"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rPr>
                <w:rFonts w:hint="eastAsia"/>
                <w:sz w:val="21"/>
                <w:szCs w:val="21"/>
                <w:u w:val="single"/>
                <w:lang w:val="en-US" w:eastAsia="zh-CN"/>
              </w:rPr>
              <w:t>蒸汽冷凝水</w:t>
            </w:r>
          </w:p>
        </w:tc>
        <w:tc>
          <w:tcPr>
            <w:tcW w:w="3375" w:type="dxa"/>
            <w:gridSpan w:val="2"/>
            <w:vAlign w:val="center"/>
          </w:tcPr>
          <w:p>
            <w:pPr>
              <w:pStyle w:val="38"/>
              <w:rPr>
                <w:rFonts w:hint="eastAsia"/>
                <w:u w:val="single"/>
                <w:lang w:eastAsia="zh-CN"/>
              </w:rPr>
            </w:pPr>
            <w:r>
              <w:rPr>
                <w:rFonts w:hint="eastAsia"/>
                <w:color w:val="000000" w:themeColor="text1"/>
                <w:sz w:val="21"/>
                <w:szCs w:val="21"/>
                <w:u w:val="single"/>
                <w:lang w:eastAsia="zh-CN"/>
                <w14:textFill>
                  <w14:solidFill>
                    <w14:schemeClr w14:val="tx1"/>
                  </w14:solidFill>
                </w14:textFill>
              </w:rPr>
              <w:t>蒸汽冷凝水</w:t>
            </w:r>
            <w:r>
              <w:rPr>
                <w:rFonts w:hint="eastAsia"/>
                <w:sz w:val="21"/>
                <w:szCs w:val="21"/>
                <w:u w:val="single"/>
                <w:lang w:eastAsia="zh-CN"/>
              </w:rPr>
              <w:t>汇同生产废水</w:t>
            </w:r>
            <w:r>
              <w:rPr>
                <w:rFonts w:hint="eastAsia"/>
                <w:color w:val="000000" w:themeColor="text1"/>
                <w:sz w:val="21"/>
                <w:szCs w:val="21"/>
                <w:u w:val="single"/>
                <w14:textFill>
                  <w14:solidFill>
                    <w14:schemeClr w14:val="tx1"/>
                  </w14:solidFill>
                </w14:textFill>
              </w:rPr>
              <w:t>经厂内污水站处置达标后</w:t>
            </w:r>
            <w:r>
              <w:rPr>
                <w:rFonts w:hint="eastAsia"/>
                <w:sz w:val="21"/>
                <w:szCs w:val="21"/>
                <w:u w:val="single"/>
                <w:lang w:eastAsia="zh-CN"/>
              </w:rPr>
              <w:t>进入市政污水管网引至平顶山第三污水处理厂</w:t>
            </w: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56" w:type="dxa"/>
            <w:vMerge w:val="restart"/>
            <w:vAlign w:val="center"/>
          </w:tcPr>
          <w:p>
            <w:pPr>
              <w:pStyle w:val="38"/>
              <w:rPr>
                <w:rFonts w:hint="default"/>
              </w:rPr>
            </w:pPr>
            <w:r>
              <w:t>废气</w:t>
            </w:r>
          </w:p>
        </w:tc>
        <w:tc>
          <w:tcPr>
            <w:tcW w:w="1315" w:type="dxa"/>
            <w:gridSpan w:val="2"/>
            <w:vAlign w:val="center"/>
          </w:tcPr>
          <w:p>
            <w:pPr>
              <w:pStyle w:val="38"/>
              <w:rPr>
                <w:rFonts w:hint="default" w:eastAsia="宋体"/>
                <w:lang w:val="en-US" w:eastAsia="zh-CN"/>
              </w:rPr>
            </w:pPr>
            <w:r>
              <w:rPr>
                <w:rFonts w:hint="eastAsia"/>
                <w:lang w:val="en-US" w:eastAsia="zh-CN"/>
              </w:rPr>
              <w:t>1~3#车间生产废气</w:t>
            </w:r>
          </w:p>
        </w:tc>
        <w:tc>
          <w:tcPr>
            <w:tcW w:w="3375" w:type="dxa"/>
            <w:gridSpan w:val="2"/>
            <w:vAlign w:val="center"/>
          </w:tcPr>
          <w:p>
            <w:pPr>
              <w:pStyle w:val="38"/>
              <w:rPr>
                <w:rFonts w:hint="default"/>
              </w:rPr>
            </w:pPr>
            <w:r>
              <w:t>硫化废气、上料、密炼和粉碎废气收集后先经袋式除尘器处理，排入1#</w:t>
            </w:r>
            <w:r>
              <w:rPr>
                <w:rFonts w:hint="eastAsia"/>
                <w:lang w:eastAsia="zh-CN"/>
              </w:rPr>
              <w:t>“活性炭吸附箱+RCO废气处理工艺”</w:t>
            </w:r>
            <w:r>
              <w:t>处置后经15米</w:t>
            </w:r>
            <w:r>
              <w:rPr>
                <w:rFonts w:hint="eastAsia"/>
                <w:lang w:val="en-US" w:eastAsia="zh-CN"/>
              </w:rPr>
              <w:t>DA001</w:t>
            </w:r>
            <w:r>
              <w:t>排气筒排放</w:t>
            </w:r>
          </w:p>
        </w:tc>
        <w:tc>
          <w:tcPr>
            <w:tcW w:w="3942" w:type="dxa"/>
            <w:vMerge w:val="restart"/>
            <w:vAlign w:val="center"/>
          </w:tcPr>
          <w:p>
            <w:pPr>
              <w:pStyle w:val="38"/>
              <w:rPr>
                <w:rFonts w:hint="default"/>
              </w:rPr>
            </w:pPr>
            <w:r>
              <w:rPr>
                <w:color w:val="auto"/>
                <w:kern w:val="0"/>
                <w:u w:val="single"/>
              </w:rPr>
              <w:t>《大气污染物综合排放标准》（GB16297-1996）、《关于全省开展工业企业挥发性有机物专项治理工作中排放建议值的通知》（豫环攻坚办〔2017〕162号）限值要求、</w:t>
            </w:r>
            <w:r>
              <w:rPr>
                <w:rFonts w:hint="eastAsia"/>
                <w:color w:val="auto"/>
                <w:kern w:val="0"/>
                <w:u w:val="single"/>
              </w:rPr>
              <w:t>《涂料、油墨及胶粘剂工业大气污染物排放标准》（GB37824—2019）</w:t>
            </w:r>
            <w:r>
              <w:rPr>
                <w:rFonts w:hint="eastAsia"/>
                <w:color w:val="auto"/>
                <w:kern w:val="0"/>
                <w:u w:val="single"/>
                <w:lang w:eastAsia="zh-CN"/>
              </w:rPr>
              <w:t>、</w:t>
            </w:r>
            <w:r>
              <w:rPr>
                <w:u w:val="single"/>
              </w:rPr>
              <w:t>《恶臭污染物排放标准》（GB14554-93）</w:t>
            </w:r>
            <w:r>
              <w:rPr>
                <w:color w:val="auto"/>
                <w:kern w:val="0"/>
                <w:u w:val="single"/>
              </w:rPr>
              <w:t>（</w:t>
            </w:r>
            <w:r>
              <w:rPr>
                <w:rFonts w:hint="default"/>
                <w:color w:val="auto"/>
                <w:kern w:val="0"/>
                <w:u w:val="single"/>
              </w:rPr>
              <w:t>GB37822-2019</w:t>
            </w:r>
            <w:r>
              <w:rPr>
                <w:color w:val="auto"/>
                <w:kern w:val="0"/>
                <w:u w:val="single"/>
              </w:rPr>
              <w:t>）限值要求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rPr>
                <w:rFonts w:hint="eastAsia"/>
                <w:lang w:val="en-US" w:eastAsia="zh-CN"/>
              </w:rPr>
              <w:t>5~6#车间生产废气</w:t>
            </w:r>
          </w:p>
        </w:tc>
        <w:tc>
          <w:tcPr>
            <w:tcW w:w="3375" w:type="dxa"/>
            <w:gridSpan w:val="2"/>
            <w:vAlign w:val="center"/>
          </w:tcPr>
          <w:p>
            <w:pPr>
              <w:pStyle w:val="38"/>
              <w:rPr>
                <w:rFonts w:hint="default" w:eastAsia="宋体"/>
                <w:lang w:val="en-US" w:eastAsia="zh-CN"/>
              </w:rPr>
            </w:pPr>
            <w:r>
              <w:t>水喷淋洗涤塔+干式分离器+活性炭吸附箱+RCO废气处理工艺+</w:t>
            </w:r>
            <w:r>
              <w:rPr>
                <w:rFonts w:hint="eastAsia"/>
                <w:lang w:val="en-US" w:eastAsia="zh-CN"/>
              </w:rPr>
              <w:t>1</w:t>
            </w:r>
            <w:r>
              <w:t>5m排气筒高空排放</w:t>
            </w:r>
            <w:r>
              <w:rPr>
                <w:rFonts w:hint="eastAsia"/>
                <w:lang w:val="en-US" w:eastAsia="zh-CN"/>
              </w:rPr>
              <w:t>DA002</w:t>
            </w: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9"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t>油烟废气</w:t>
            </w:r>
          </w:p>
        </w:tc>
        <w:tc>
          <w:tcPr>
            <w:tcW w:w="3375" w:type="dxa"/>
            <w:gridSpan w:val="2"/>
            <w:vAlign w:val="center"/>
          </w:tcPr>
          <w:p>
            <w:pPr>
              <w:pStyle w:val="38"/>
              <w:rPr>
                <w:rFonts w:hint="default"/>
              </w:rPr>
            </w:pPr>
            <w:r>
              <w:t>油烟净化器</w:t>
            </w:r>
          </w:p>
        </w:tc>
        <w:tc>
          <w:tcPr>
            <w:tcW w:w="3942" w:type="dxa"/>
            <w:vAlign w:val="center"/>
          </w:tcPr>
          <w:p>
            <w:pPr>
              <w:pStyle w:val="38"/>
              <w:rPr>
                <w:rFonts w:hint="default"/>
              </w:rPr>
            </w:pPr>
            <w:r>
              <w:rPr>
                <w:spacing w:val="-6"/>
              </w:rPr>
              <w:t>《餐饮业油烟污染物排放标准》（DB41/1604-2018）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eastAsia" w:eastAsia="宋体"/>
                <w:lang w:eastAsia="zh-CN"/>
              </w:rPr>
            </w:pPr>
            <w:r>
              <w:t>污水站废气</w:t>
            </w:r>
          </w:p>
        </w:tc>
        <w:tc>
          <w:tcPr>
            <w:tcW w:w="3375" w:type="dxa"/>
            <w:gridSpan w:val="2"/>
            <w:vAlign w:val="center"/>
          </w:tcPr>
          <w:p>
            <w:pPr>
              <w:pStyle w:val="38"/>
              <w:rPr>
                <w:rFonts w:hint="default" w:eastAsia="宋体"/>
                <w:lang w:val="en-US" w:eastAsia="zh-CN"/>
              </w:rPr>
            </w:pPr>
            <w:r>
              <w:rPr>
                <w:rFonts w:hint="eastAsia"/>
                <w:lang w:eastAsia="zh-CN"/>
              </w:rPr>
              <w:t>密封</w:t>
            </w:r>
            <w:r>
              <w:rPr>
                <w:rFonts w:hint="eastAsia"/>
                <w:lang w:val="en-US" w:eastAsia="zh-CN"/>
              </w:rPr>
              <w:t>+</w:t>
            </w:r>
            <w:r>
              <w:t>二级活性炭吸附</w:t>
            </w:r>
            <w:r>
              <w:rPr>
                <w:rFonts w:hint="eastAsia"/>
                <w:lang w:val="en-US" w:eastAsia="zh-CN"/>
              </w:rPr>
              <w:t>+1</w:t>
            </w:r>
            <w:r>
              <w:t>5m排气筒高空排放</w:t>
            </w:r>
            <w:r>
              <w:rPr>
                <w:rFonts w:hint="eastAsia"/>
                <w:lang w:val="en-US" w:eastAsia="zh-CN"/>
              </w:rPr>
              <w:t>DA003</w:t>
            </w:r>
          </w:p>
        </w:tc>
        <w:tc>
          <w:tcPr>
            <w:tcW w:w="3942" w:type="dxa"/>
            <w:vAlign w:val="center"/>
          </w:tcPr>
          <w:p>
            <w:pPr>
              <w:pStyle w:val="38"/>
              <w:rPr>
                <w:rFonts w:hint="default"/>
              </w:rPr>
            </w:pPr>
            <w:r>
              <w:t>《恶臭污染物排放标准》（GB14554-93）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56" w:type="dxa"/>
            <w:vAlign w:val="center"/>
          </w:tcPr>
          <w:p>
            <w:pPr>
              <w:pStyle w:val="38"/>
              <w:rPr>
                <w:rFonts w:hint="default"/>
              </w:rPr>
            </w:pPr>
            <w:r>
              <w:t>噪声</w:t>
            </w:r>
          </w:p>
        </w:tc>
        <w:tc>
          <w:tcPr>
            <w:tcW w:w="1315" w:type="dxa"/>
            <w:gridSpan w:val="2"/>
            <w:vAlign w:val="center"/>
          </w:tcPr>
          <w:p>
            <w:pPr>
              <w:pStyle w:val="38"/>
              <w:rPr>
                <w:rFonts w:hint="default"/>
              </w:rPr>
            </w:pPr>
            <w:r>
              <w:t>噪声</w:t>
            </w:r>
          </w:p>
        </w:tc>
        <w:tc>
          <w:tcPr>
            <w:tcW w:w="3375" w:type="dxa"/>
            <w:gridSpan w:val="2"/>
            <w:vAlign w:val="center"/>
          </w:tcPr>
          <w:p>
            <w:pPr>
              <w:pStyle w:val="38"/>
              <w:rPr>
                <w:rFonts w:hint="default"/>
              </w:rPr>
            </w:pPr>
            <w:r>
              <w:rPr>
                <w:rFonts w:hint="default"/>
                <w:u w:val="single"/>
                <w:lang w:eastAsia="zh-CN"/>
              </w:rPr>
              <w:t>选用低噪声型号设备，厂区采取“闹静分开”和合理布局的设置原则，尽量将高噪声源远离厂界，在设备连接处安装减震垫、车间内墙加装隔音棉，主排风管道增加消音器，厂区种植降噪绿植等治理措施</w:t>
            </w:r>
          </w:p>
        </w:tc>
        <w:tc>
          <w:tcPr>
            <w:tcW w:w="3942" w:type="dxa"/>
            <w:vAlign w:val="center"/>
          </w:tcPr>
          <w:p>
            <w:pPr>
              <w:pStyle w:val="38"/>
              <w:rPr>
                <w:rFonts w:hint="default"/>
              </w:rPr>
            </w:pPr>
            <w:r>
              <w:rPr>
                <w:rFonts w:hAnsi="宋体"/>
                <w:color w:val="auto"/>
              </w:rPr>
              <w:t>《工业企业厂界环境噪声排放标准》（</w:t>
            </w:r>
            <w:r>
              <w:rPr>
                <w:color w:val="auto"/>
              </w:rPr>
              <w:t>GB12348-2008</w:t>
            </w:r>
            <w:r>
              <w:rPr>
                <w:rFonts w:hAnsi="宋体"/>
                <w:color w:val="auto"/>
              </w:rPr>
              <w:t>）</w:t>
            </w:r>
            <w:r>
              <w:rPr>
                <w:color w:val="auto"/>
              </w:rPr>
              <w:t>3</w:t>
            </w:r>
            <w:r>
              <w:rPr>
                <w:rFonts w:hAnsi="宋体"/>
                <w:color w:val="auto"/>
              </w:rPr>
              <w:t>类标准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2" w:hRule="atLeast"/>
          <w:jc w:val="center"/>
        </w:trPr>
        <w:tc>
          <w:tcPr>
            <w:tcW w:w="656" w:type="dxa"/>
            <w:vMerge w:val="restart"/>
            <w:vAlign w:val="center"/>
          </w:tcPr>
          <w:p>
            <w:pPr>
              <w:pStyle w:val="38"/>
              <w:rPr>
                <w:rFonts w:hint="default"/>
              </w:rPr>
            </w:pPr>
            <w:r>
              <w:t>固废</w:t>
            </w:r>
          </w:p>
        </w:tc>
        <w:tc>
          <w:tcPr>
            <w:tcW w:w="1315" w:type="dxa"/>
            <w:gridSpan w:val="2"/>
            <w:vAlign w:val="center"/>
          </w:tcPr>
          <w:p>
            <w:pPr>
              <w:pStyle w:val="38"/>
            </w:pPr>
            <w:r>
              <w:t>生活垃圾</w:t>
            </w:r>
          </w:p>
        </w:tc>
        <w:tc>
          <w:tcPr>
            <w:tcW w:w="3375" w:type="dxa"/>
            <w:gridSpan w:val="2"/>
            <w:vAlign w:val="center"/>
          </w:tcPr>
          <w:p>
            <w:pPr>
              <w:pStyle w:val="38"/>
              <w:rPr>
                <w:rFonts w:hint="default"/>
              </w:rPr>
            </w:pPr>
            <w:r>
              <w:t>垃圾收集桶</w:t>
            </w:r>
          </w:p>
        </w:tc>
        <w:tc>
          <w:tcPr>
            <w:tcW w:w="3942" w:type="dxa"/>
            <w:vMerge w:val="restart"/>
            <w:vAlign w:val="center"/>
          </w:tcPr>
          <w:p>
            <w:pPr>
              <w:pStyle w:val="38"/>
              <w:rPr>
                <w:rFonts w:hint="default"/>
              </w:rPr>
            </w:pPr>
            <w:r>
              <w:rPr>
                <w:rFonts w:hAnsi="宋体"/>
                <w:color w:val="auto"/>
              </w:rPr>
              <w:t>《一般工业固体废物贮存、处置场污染控制标准》（</w:t>
            </w:r>
            <w:r>
              <w:rPr>
                <w:color w:val="auto"/>
              </w:rPr>
              <w:t>GB 18599-2020</w:t>
            </w:r>
            <w:r>
              <w:rPr>
                <w:rFonts w:hAnsi="宋体"/>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6" w:hRule="atLeast"/>
          <w:jc w:val="center"/>
        </w:trPr>
        <w:tc>
          <w:tcPr>
            <w:tcW w:w="656" w:type="dxa"/>
            <w:vMerge w:val="continue"/>
            <w:vAlign w:val="center"/>
          </w:tcPr>
          <w:p>
            <w:pPr>
              <w:pStyle w:val="38"/>
              <w:rPr>
                <w:rFonts w:hint="default"/>
              </w:rPr>
            </w:pPr>
          </w:p>
        </w:tc>
        <w:tc>
          <w:tcPr>
            <w:tcW w:w="409" w:type="dxa"/>
            <w:vMerge w:val="restart"/>
            <w:vAlign w:val="center"/>
          </w:tcPr>
          <w:p>
            <w:pPr>
              <w:pStyle w:val="38"/>
              <w:rPr>
                <w:rFonts w:hint="default"/>
              </w:rPr>
            </w:pPr>
            <w:r>
              <w:t>一般固废</w:t>
            </w:r>
          </w:p>
        </w:tc>
        <w:tc>
          <w:tcPr>
            <w:tcW w:w="2160" w:type="dxa"/>
            <w:gridSpan w:val="2"/>
            <w:vAlign w:val="center"/>
          </w:tcPr>
          <w:p>
            <w:pPr>
              <w:pStyle w:val="38"/>
              <w:rPr>
                <w:rFonts w:hint="default"/>
              </w:rPr>
            </w:pPr>
            <w:r>
              <w:rPr>
                <w:rFonts w:hint="eastAsia"/>
                <w:kern w:val="0"/>
                <w:sz w:val="21"/>
                <w:szCs w:val="21"/>
              </w:rPr>
              <w:t>废弃边角料</w:t>
            </w:r>
          </w:p>
        </w:tc>
        <w:tc>
          <w:tcPr>
            <w:tcW w:w="2121" w:type="dxa"/>
            <w:vMerge w:val="restart"/>
            <w:vAlign w:val="center"/>
          </w:tcPr>
          <w:p>
            <w:pPr>
              <w:pStyle w:val="38"/>
              <w:ind w:firstLine="0" w:firstLineChars="0"/>
            </w:pPr>
            <w:r>
              <w:t>设置100m</w:t>
            </w:r>
            <w:r>
              <w:rPr>
                <w:vertAlign w:val="superscript"/>
              </w:rPr>
              <w:t>2</w:t>
            </w:r>
            <w:r>
              <w:t>的一般固废暂存间，定期处理</w:t>
            </w: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jc w:val="center"/>
        </w:trPr>
        <w:tc>
          <w:tcPr>
            <w:tcW w:w="656" w:type="dxa"/>
            <w:vMerge w:val="continue"/>
            <w:vAlign w:val="center"/>
          </w:tcPr>
          <w:p>
            <w:pPr>
              <w:pStyle w:val="38"/>
              <w:rPr>
                <w:rFonts w:hint="default"/>
              </w:rPr>
            </w:pPr>
          </w:p>
        </w:tc>
        <w:tc>
          <w:tcPr>
            <w:tcW w:w="409" w:type="dxa"/>
            <w:vMerge w:val="continue"/>
            <w:vAlign w:val="center"/>
          </w:tcPr>
          <w:p>
            <w:pPr>
              <w:pStyle w:val="38"/>
            </w:pPr>
          </w:p>
        </w:tc>
        <w:tc>
          <w:tcPr>
            <w:tcW w:w="2160" w:type="dxa"/>
            <w:gridSpan w:val="2"/>
            <w:vAlign w:val="center"/>
          </w:tcPr>
          <w:p>
            <w:pPr>
              <w:pStyle w:val="38"/>
            </w:pPr>
            <w:r>
              <w:rPr>
                <w:rFonts w:hint="eastAsia"/>
                <w:kern w:val="0"/>
                <w:sz w:val="21"/>
                <w:szCs w:val="21"/>
                <w:lang w:eastAsia="zh-CN"/>
              </w:rPr>
              <w:t>一般废包装</w:t>
            </w:r>
          </w:p>
        </w:tc>
        <w:tc>
          <w:tcPr>
            <w:tcW w:w="2121" w:type="dxa"/>
            <w:vMerge w:val="continue"/>
            <w:vAlign w:val="center"/>
          </w:tcPr>
          <w:p>
            <w:pPr>
              <w:pStyle w:val="38"/>
            </w:pP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 w:hRule="atLeast"/>
          <w:jc w:val="center"/>
        </w:trPr>
        <w:tc>
          <w:tcPr>
            <w:tcW w:w="656" w:type="dxa"/>
            <w:vMerge w:val="continue"/>
            <w:vAlign w:val="center"/>
          </w:tcPr>
          <w:p>
            <w:pPr>
              <w:pStyle w:val="38"/>
              <w:rPr>
                <w:rFonts w:hint="default"/>
              </w:rPr>
            </w:pPr>
          </w:p>
        </w:tc>
        <w:tc>
          <w:tcPr>
            <w:tcW w:w="409" w:type="dxa"/>
            <w:vMerge w:val="continue"/>
            <w:vAlign w:val="center"/>
          </w:tcPr>
          <w:p>
            <w:pPr>
              <w:pStyle w:val="38"/>
            </w:pPr>
          </w:p>
        </w:tc>
        <w:tc>
          <w:tcPr>
            <w:tcW w:w="2160" w:type="dxa"/>
            <w:gridSpan w:val="2"/>
            <w:vAlign w:val="center"/>
          </w:tcPr>
          <w:p>
            <w:pPr>
              <w:pStyle w:val="38"/>
            </w:pPr>
            <w:r>
              <w:rPr>
                <w:rFonts w:hint="eastAsia"/>
                <w:kern w:val="0"/>
                <w:sz w:val="21"/>
                <w:szCs w:val="21"/>
              </w:rPr>
              <w:t>除尘器卸灰</w:t>
            </w:r>
          </w:p>
        </w:tc>
        <w:tc>
          <w:tcPr>
            <w:tcW w:w="2121" w:type="dxa"/>
            <w:vMerge w:val="continue"/>
            <w:vAlign w:val="center"/>
          </w:tcPr>
          <w:p>
            <w:pPr>
              <w:pStyle w:val="38"/>
            </w:pPr>
          </w:p>
        </w:tc>
        <w:tc>
          <w:tcPr>
            <w:tcW w:w="3942" w:type="dxa"/>
            <w:vMerge w:val="continue"/>
            <w:vAlign w:val="center"/>
          </w:tcPr>
          <w:p>
            <w:pPr>
              <w:pStyle w:val="38"/>
              <w:rPr>
                <w:rFonts w:hint="default"/>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 w:hRule="atLeast"/>
          <w:jc w:val="center"/>
        </w:trPr>
        <w:tc>
          <w:tcPr>
            <w:tcW w:w="656" w:type="dxa"/>
            <w:vMerge w:val="continue"/>
            <w:vAlign w:val="center"/>
          </w:tcPr>
          <w:p>
            <w:pPr>
              <w:pStyle w:val="38"/>
              <w:rPr>
                <w:rFonts w:hint="default"/>
              </w:rPr>
            </w:pPr>
          </w:p>
        </w:tc>
        <w:tc>
          <w:tcPr>
            <w:tcW w:w="409" w:type="dxa"/>
            <w:vMerge w:val="restart"/>
            <w:vAlign w:val="center"/>
          </w:tcPr>
          <w:p>
            <w:pPr>
              <w:pStyle w:val="38"/>
              <w:rPr>
                <w:rFonts w:hint="default"/>
              </w:rPr>
            </w:pPr>
            <w:r>
              <w:t>危险固废</w:t>
            </w:r>
          </w:p>
        </w:tc>
        <w:tc>
          <w:tcPr>
            <w:tcW w:w="2160" w:type="dxa"/>
            <w:gridSpan w:val="2"/>
            <w:vAlign w:val="center"/>
          </w:tcPr>
          <w:p>
            <w:pPr>
              <w:pStyle w:val="38"/>
              <w:rPr>
                <w:rFonts w:hint="default"/>
              </w:rPr>
            </w:pPr>
            <w:r>
              <w:rPr>
                <w:rFonts w:hint="eastAsia"/>
                <w:kern w:val="0"/>
                <w:sz w:val="21"/>
                <w:szCs w:val="21"/>
                <w:u w:val="single"/>
              </w:rPr>
              <w:t>废催化剂</w:t>
            </w:r>
          </w:p>
        </w:tc>
        <w:tc>
          <w:tcPr>
            <w:tcW w:w="2121" w:type="dxa"/>
            <w:vMerge w:val="restart"/>
            <w:vAlign w:val="center"/>
          </w:tcPr>
          <w:p>
            <w:pPr>
              <w:pStyle w:val="38"/>
              <w:ind w:firstLine="0" w:firstLineChars="0"/>
            </w:pPr>
            <w:r>
              <w:t>设置50m</w:t>
            </w:r>
            <w:r>
              <w:rPr>
                <w:vertAlign w:val="superscript"/>
              </w:rPr>
              <w:t>2</w:t>
            </w:r>
            <w:r>
              <w:t>的危废暂存间暂存后，交由有资质单位</w:t>
            </w:r>
          </w:p>
        </w:tc>
        <w:tc>
          <w:tcPr>
            <w:tcW w:w="3942" w:type="dxa"/>
            <w:vMerge w:val="restart"/>
            <w:vAlign w:val="center"/>
          </w:tcPr>
          <w:p>
            <w:pPr>
              <w:pStyle w:val="38"/>
              <w:rPr>
                <w:rFonts w:hint="default"/>
              </w:rPr>
            </w:pPr>
            <w:r>
              <w:rPr>
                <w:rFonts w:hAnsi="宋体"/>
                <w:color w:val="auto"/>
              </w:rPr>
              <w:t>《危险废物贮存污染控制标准》</w:t>
            </w:r>
            <w:r>
              <w:rPr>
                <w:color w:val="auto"/>
              </w:rPr>
              <w:t>（GB18597-2001）</w:t>
            </w:r>
            <w:r>
              <w:rPr>
                <w:rFonts w:hAnsi="宋体"/>
                <w:color w:val="auto"/>
              </w:rPr>
              <w:t>及</w:t>
            </w:r>
            <w:r>
              <w:rPr>
                <w:color w:val="auto"/>
              </w:rPr>
              <w:t>2013</w:t>
            </w:r>
            <w:r>
              <w:rPr>
                <w:rFonts w:hAnsi="宋体"/>
                <w:color w:val="auto"/>
              </w:rPr>
              <w:t>年修改单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jc w:val="center"/>
        </w:trPr>
        <w:tc>
          <w:tcPr>
            <w:tcW w:w="656" w:type="dxa"/>
            <w:vMerge w:val="continue"/>
            <w:vAlign w:val="center"/>
          </w:tcPr>
          <w:p>
            <w:pPr>
              <w:pStyle w:val="38"/>
              <w:rPr>
                <w:rFonts w:hint="default"/>
              </w:rPr>
            </w:pPr>
          </w:p>
        </w:tc>
        <w:tc>
          <w:tcPr>
            <w:tcW w:w="409" w:type="dxa"/>
            <w:vMerge w:val="continue"/>
            <w:vAlign w:val="center"/>
          </w:tcPr>
          <w:p>
            <w:pPr>
              <w:pStyle w:val="38"/>
            </w:pPr>
          </w:p>
        </w:tc>
        <w:tc>
          <w:tcPr>
            <w:tcW w:w="2160" w:type="dxa"/>
            <w:gridSpan w:val="2"/>
            <w:vAlign w:val="center"/>
          </w:tcPr>
          <w:p>
            <w:pPr>
              <w:pStyle w:val="38"/>
            </w:pPr>
            <w:r>
              <w:rPr>
                <w:kern w:val="0"/>
                <w:sz w:val="21"/>
                <w:szCs w:val="21"/>
              </w:rPr>
              <w:t>废活性炭</w:t>
            </w:r>
          </w:p>
        </w:tc>
        <w:tc>
          <w:tcPr>
            <w:tcW w:w="2121" w:type="dxa"/>
            <w:vMerge w:val="continue"/>
            <w:vAlign w:val="center"/>
          </w:tcPr>
          <w:p>
            <w:pPr>
              <w:pStyle w:val="38"/>
            </w:pPr>
          </w:p>
        </w:tc>
        <w:tc>
          <w:tcPr>
            <w:tcW w:w="3942" w:type="dxa"/>
            <w:vMerge w:val="continue"/>
            <w:vAlign w:val="center"/>
          </w:tcPr>
          <w:p>
            <w:pPr>
              <w:pStyle w:val="38"/>
              <w:rPr>
                <w:rFonts w:hAnsi="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jc w:val="center"/>
        </w:trPr>
        <w:tc>
          <w:tcPr>
            <w:tcW w:w="656" w:type="dxa"/>
            <w:vMerge w:val="continue"/>
            <w:vAlign w:val="center"/>
          </w:tcPr>
          <w:p>
            <w:pPr>
              <w:pStyle w:val="38"/>
              <w:rPr>
                <w:rFonts w:hint="default"/>
              </w:rPr>
            </w:pPr>
          </w:p>
        </w:tc>
        <w:tc>
          <w:tcPr>
            <w:tcW w:w="409" w:type="dxa"/>
            <w:vMerge w:val="continue"/>
            <w:vAlign w:val="center"/>
          </w:tcPr>
          <w:p>
            <w:pPr>
              <w:pStyle w:val="38"/>
            </w:pPr>
          </w:p>
        </w:tc>
        <w:tc>
          <w:tcPr>
            <w:tcW w:w="2160" w:type="dxa"/>
            <w:gridSpan w:val="2"/>
            <w:vAlign w:val="center"/>
          </w:tcPr>
          <w:p>
            <w:pPr>
              <w:pStyle w:val="38"/>
            </w:pPr>
            <w:r>
              <w:rPr>
                <w:rFonts w:cs="Times New Roman"/>
                <w:sz w:val="21"/>
                <w:szCs w:val="21"/>
              </w:rPr>
              <w:t>污水处理站污泥</w:t>
            </w:r>
          </w:p>
        </w:tc>
        <w:tc>
          <w:tcPr>
            <w:tcW w:w="2121" w:type="dxa"/>
            <w:vMerge w:val="continue"/>
            <w:vAlign w:val="center"/>
          </w:tcPr>
          <w:p>
            <w:pPr>
              <w:pStyle w:val="38"/>
            </w:pPr>
          </w:p>
        </w:tc>
        <w:tc>
          <w:tcPr>
            <w:tcW w:w="3942" w:type="dxa"/>
            <w:vMerge w:val="continue"/>
            <w:vAlign w:val="center"/>
          </w:tcPr>
          <w:p>
            <w:pPr>
              <w:pStyle w:val="38"/>
              <w:rPr>
                <w:rFonts w:hAnsi="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 w:hRule="atLeast"/>
          <w:jc w:val="center"/>
        </w:trPr>
        <w:tc>
          <w:tcPr>
            <w:tcW w:w="656" w:type="dxa"/>
            <w:vMerge w:val="continue"/>
            <w:vAlign w:val="center"/>
          </w:tcPr>
          <w:p>
            <w:pPr>
              <w:pStyle w:val="38"/>
              <w:rPr>
                <w:rFonts w:hint="default"/>
              </w:rPr>
            </w:pPr>
          </w:p>
        </w:tc>
        <w:tc>
          <w:tcPr>
            <w:tcW w:w="409" w:type="dxa"/>
            <w:vMerge w:val="continue"/>
            <w:vAlign w:val="center"/>
          </w:tcPr>
          <w:p>
            <w:pPr>
              <w:pStyle w:val="38"/>
            </w:pPr>
          </w:p>
        </w:tc>
        <w:tc>
          <w:tcPr>
            <w:tcW w:w="2160" w:type="dxa"/>
            <w:gridSpan w:val="2"/>
            <w:vAlign w:val="center"/>
          </w:tcPr>
          <w:p>
            <w:pPr>
              <w:pStyle w:val="38"/>
            </w:pPr>
            <w:r>
              <w:rPr>
                <w:rFonts w:cs="Times New Roman"/>
                <w:sz w:val="21"/>
                <w:szCs w:val="21"/>
              </w:rPr>
              <w:t>产品滤渣</w:t>
            </w:r>
          </w:p>
        </w:tc>
        <w:tc>
          <w:tcPr>
            <w:tcW w:w="2121" w:type="dxa"/>
            <w:vMerge w:val="continue"/>
            <w:vAlign w:val="center"/>
          </w:tcPr>
          <w:p>
            <w:pPr>
              <w:pStyle w:val="38"/>
            </w:pPr>
          </w:p>
        </w:tc>
        <w:tc>
          <w:tcPr>
            <w:tcW w:w="3942" w:type="dxa"/>
            <w:vMerge w:val="continue"/>
            <w:vAlign w:val="center"/>
          </w:tcPr>
          <w:p>
            <w:pPr>
              <w:pStyle w:val="38"/>
              <w:rPr>
                <w:rFonts w:hAnsi="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 w:hRule="atLeast"/>
          <w:jc w:val="center"/>
        </w:trPr>
        <w:tc>
          <w:tcPr>
            <w:tcW w:w="656" w:type="dxa"/>
            <w:vMerge w:val="continue"/>
            <w:vAlign w:val="center"/>
          </w:tcPr>
          <w:p>
            <w:pPr>
              <w:pStyle w:val="38"/>
              <w:rPr>
                <w:rFonts w:hint="default"/>
              </w:rPr>
            </w:pPr>
          </w:p>
        </w:tc>
        <w:tc>
          <w:tcPr>
            <w:tcW w:w="409" w:type="dxa"/>
            <w:vMerge w:val="continue"/>
            <w:vAlign w:val="center"/>
          </w:tcPr>
          <w:p>
            <w:pPr>
              <w:pStyle w:val="38"/>
            </w:pPr>
          </w:p>
        </w:tc>
        <w:tc>
          <w:tcPr>
            <w:tcW w:w="2160" w:type="dxa"/>
            <w:gridSpan w:val="2"/>
            <w:vAlign w:val="center"/>
          </w:tcPr>
          <w:p>
            <w:pPr>
              <w:pStyle w:val="38"/>
            </w:pPr>
            <w:r>
              <w:rPr>
                <w:rFonts w:cs="Times New Roman"/>
                <w:sz w:val="21"/>
                <w:szCs w:val="21"/>
              </w:rPr>
              <w:t>废原材料包装</w:t>
            </w:r>
          </w:p>
        </w:tc>
        <w:tc>
          <w:tcPr>
            <w:tcW w:w="2121" w:type="dxa"/>
            <w:vMerge w:val="continue"/>
            <w:vAlign w:val="center"/>
          </w:tcPr>
          <w:p>
            <w:pPr>
              <w:pStyle w:val="38"/>
            </w:pPr>
          </w:p>
        </w:tc>
        <w:tc>
          <w:tcPr>
            <w:tcW w:w="3942" w:type="dxa"/>
            <w:vMerge w:val="continue"/>
            <w:vAlign w:val="center"/>
          </w:tcPr>
          <w:p>
            <w:pPr>
              <w:pStyle w:val="38"/>
              <w:rPr>
                <w:rFonts w:hAnsi="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3" w:hRule="atLeast"/>
          <w:jc w:val="center"/>
        </w:trPr>
        <w:tc>
          <w:tcPr>
            <w:tcW w:w="656" w:type="dxa"/>
            <w:vMerge w:val="continue"/>
            <w:vAlign w:val="center"/>
          </w:tcPr>
          <w:p>
            <w:pPr>
              <w:pStyle w:val="38"/>
              <w:rPr>
                <w:rFonts w:hint="default"/>
              </w:rPr>
            </w:pPr>
          </w:p>
        </w:tc>
        <w:tc>
          <w:tcPr>
            <w:tcW w:w="409" w:type="dxa"/>
            <w:vMerge w:val="continue"/>
            <w:vAlign w:val="center"/>
          </w:tcPr>
          <w:p>
            <w:pPr>
              <w:pStyle w:val="38"/>
            </w:pPr>
          </w:p>
        </w:tc>
        <w:tc>
          <w:tcPr>
            <w:tcW w:w="2160" w:type="dxa"/>
            <w:gridSpan w:val="2"/>
            <w:vAlign w:val="center"/>
          </w:tcPr>
          <w:p>
            <w:pPr>
              <w:pStyle w:val="38"/>
            </w:pPr>
            <w:r>
              <w:rPr>
                <w:rFonts w:hint="eastAsia" w:cs="Times New Roman"/>
                <w:sz w:val="21"/>
                <w:szCs w:val="21"/>
              </w:rPr>
              <w:t>喷淋塔沉渣</w:t>
            </w:r>
          </w:p>
        </w:tc>
        <w:tc>
          <w:tcPr>
            <w:tcW w:w="2121" w:type="dxa"/>
            <w:vMerge w:val="continue"/>
            <w:vAlign w:val="center"/>
          </w:tcPr>
          <w:p>
            <w:pPr>
              <w:pStyle w:val="38"/>
            </w:pPr>
          </w:p>
        </w:tc>
        <w:tc>
          <w:tcPr>
            <w:tcW w:w="3942" w:type="dxa"/>
            <w:vMerge w:val="continue"/>
            <w:vAlign w:val="center"/>
          </w:tcPr>
          <w:p>
            <w:pPr>
              <w:pStyle w:val="38"/>
              <w:rPr>
                <w:rFonts w:hAnsi="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56" w:type="dxa"/>
            <w:vMerge w:val="continue"/>
            <w:vAlign w:val="center"/>
          </w:tcPr>
          <w:p>
            <w:pPr>
              <w:pStyle w:val="38"/>
              <w:rPr>
                <w:rFonts w:hint="default"/>
              </w:rPr>
            </w:pPr>
          </w:p>
        </w:tc>
        <w:tc>
          <w:tcPr>
            <w:tcW w:w="409" w:type="dxa"/>
            <w:vMerge w:val="continue"/>
            <w:vAlign w:val="center"/>
          </w:tcPr>
          <w:p>
            <w:pPr>
              <w:pStyle w:val="38"/>
            </w:pPr>
          </w:p>
        </w:tc>
        <w:tc>
          <w:tcPr>
            <w:tcW w:w="2160" w:type="dxa"/>
            <w:gridSpan w:val="2"/>
            <w:vAlign w:val="center"/>
          </w:tcPr>
          <w:p>
            <w:pPr>
              <w:pStyle w:val="38"/>
            </w:pPr>
            <w:r>
              <w:rPr>
                <w:kern w:val="0"/>
                <w:sz w:val="21"/>
                <w:szCs w:val="21"/>
              </w:rPr>
              <w:t>废</w:t>
            </w:r>
            <w:r>
              <w:rPr>
                <w:rFonts w:hint="eastAsia"/>
                <w:kern w:val="0"/>
                <w:sz w:val="21"/>
                <w:szCs w:val="21"/>
              </w:rPr>
              <w:t>机油</w:t>
            </w:r>
          </w:p>
        </w:tc>
        <w:tc>
          <w:tcPr>
            <w:tcW w:w="2121" w:type="dxa"/>
            <w:vMerge w:val="continue"/>
            <w:vAlign w:val="center"/>
          </w:tcPr>
          <w:p>
            <w:pPr>
              <w:pStyle w:val="38"/>
            </w:pPr>
          </w:p>
        </w:tc>
        <w:tc>
          <w:tcPr>
            <w:tcW w:w="3942" w:type="dxa"/>
            <w:vMerge w:val="continue"/>
            <w:vAlign w:val="center"/>
          </w:tcPr>
          <w:p>
            <w:pPr>
              <w:pStyle w:val="38"/>
              <w:rPr>
                <w:rFonts w:hAnsi="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56" w:type="dxa"/>
            <w:vMerge w:val="restart"/>
            <w:vAlign w:val="center"/>
          </w:tcPr>
          <w:p>
            <w:pPr>
              <w:pStyle w:val="38"/>
              <w:rPr>
                <w:rFonts w:hint="default"/>
              </w:rPr>
            </w:pPr>
            <w:r>
              <w:t>地下水</w:t>
            </w:r>
          </w:p>
        </w:tc>
        <w:tc>
          <w:tcPr>
            <w:tcW w:w="1315" w:type="dxa"/>
            <w:gridSpan w:val="2"/>
            <w:vAlign w:val="center"/>
          </w:tcPr>
          <w:p>
            <w:pPr>
              <w:pStyle w:val="38"/>
              <w:rPr>
                <w:rFonts w:hint="default"/>
              </w:rPr>
            </w:pPr>
            <w:r>
              <w:t>简单防渗区域</w:t>
            </w:r>
          </w:p>
        </w:tc>
        <w:tc>
          <w:tcPr>
            <w:tcW w:w="3375" w:type="dxa"/>
            <w:gridSpan w:val="2"/>
            <w:vAlign w:val="center"/>
          </w:tcPr>
          <w:p>
            <w:pPr>
              <w:pStyle w:val="38"/>
              <w:rPr>
                <w:rFonts w:hint="default"/>
              </w:rPr>
            </w:pPr>
            <w:r>
              <w:t>水泥硬化，防腐防渗</w:t>
            </w:r>
          </w:p>
        </w:tc>
        <w:tc>
          <w:tcPr>
            <w:tcW w:w="3942" w:type="dxa"/>
            <w:vAlign w:val="center"/>
          </w:tcPr>
          <w:p>
            <w:pPr>
              <w:pStyle w:val="38"/>
              <w:rPr>
                <w:rFonts w:hint="default"/>
              </w:rPr>
            </w:pP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7"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t>一般防渗区域</w:t>
            </w:r>
          </w:p>
        </w:tc>
        <w:tc>
          <w:tcPr>
            <w:tcW w:w="3375" w:type="dxa"/>
            <w:gridSpan w:val="2"/>
            <w:vAlign w:val="center"/>
          </w:tcPr>
          <w:p>
            <w:pPr>
              <w:pStyle w:val="38"/>
              <w:rPr>
                <w:rFonts w:hint="default"/>
              </w:rPr>
            </w:pPr>
            <w:r>
              <w:t>等效粘土防渗层Mb≥1.5m，K≤1×10</w:t>
            </w:r>
            <w:r>
              <w:rPr>
                <w:vertAlign w:val="superscript"/>
              </w:rPr>
              <w:t>-7</w:t>
            </w:r>
            <w:r>
              <w:t>cm/s；或参照GB16889执行</w:t>
            </w:r>
          </w:p>
        </w:tc>
        <w:tc>
          <w:tcPr>
            <w:tcW w:w="3942" w:type="dxa"/>
            <w:vAlign w:val="center"/>
          </w:tcPr>
          <w:p>
            <w:pPr>
              <w:pStyle w:val="38"/>
              <w:rPr>
                <w:rFonts w:hint="default"/>
              </w:rPr>
            </w:pP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656" w:type="dxa"/>
            <w:vMerge w:val="continue"/>
            <w:vAlign w:val="center"/>
          </w:tcPr>
          <w:p>
            <w:pPr>
              <w:pStyle w:val="38"/>
              <w:rPr>
                <w:rFonts w:hint="default"/>
              </w:rPr>
            </w:pPr>
          </w:p>
        </w:tc>
        <w:tc>
          <w:tcPr>
            <w:tcW w:w="1315" w:type="dxa"/>
            <w:gridSpan w:val="2"/>
            <w:vAlign w:val="center"/>
          </w:tcPr>
          <w:p>
            <w:pPr>
              <w:pStyle w:val="38"/>
              <w:rPr>
                <w:rFonts w:hint="default"/>
              </w:rPr>
            </w:pPr>
            <w:r>
              <w:t>重点防渗区域</w:t>
            </w:r>
          </w:p>
        </w:tc>
        <w:tc>
          <w:tcPr>
            <w:tcW w:w="3375" w:type="dxa"/>
            <w:gridSpan w:val="2"/>
            <w:vAlign w:val="center"/>
          </w:tcPr>
          <w:p>
            <w:pPr>
              <w:pStyle w:val="38"/>
              <w:rPr>
                <w:rFonts w:hint="default"/>
              </w:rPr>
            </w:pPr>
            <w:r>
              <w:t>防渗措施等效黏土防渗层Mb≥1.5m，K≤1.0×10</w:t>
            </w:r>
            <w:r>
              <w:rPr>
                <w:vertAlign w:val="superscript"/>
              </w:rPr>
              <w:t>-7</w:t>
            </w:r>
            <w:r>
              <w:t>cm/s；或参照GB16889，执行加强管理</w:t>
            </w:r>
          </w:p>
        </w:tc>
        <w:tc>
          <w:tcPr>
            <w:tcW w:w="3942" w:type="dxa"/>
            <w:vAlign w:val="center"/>
          </w:tcPr>
          <w:p>
            <w:pPr>
              <w:pStyle w:val="38"/>
              <w:rPr>
                <w:rFonts w:hint="default"/>
              </w:rPr>
            </w:pP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656" w:type="dxa"/>
            <w:vAlign w:val="center"/>
          </w:tcPr>
          <w:p>
            <w:pPr>
              <w:pStyle w:val="38"/>
              <w:rPr>
                <w:rFonts w:hint="default"/>
              </w:rPr>
            </w:pPr>
            <w:r>
              <w:t>环境风险</w:t>
            </w:r>
          </w:p>
        </w:tc>
        <w:tc>
          <w:tcPr>
            <w:tcW w:w="8632" w:type="dxa"/>
            <w:gridSpan w:val="5"/>
            <w:vAlign w:val="center"/>
          </w:tcPr>
          <w:p>
            <w:pPr>
              <w:pStyle w:val="38"/>
              <w:rPr>
                <w:rFonts w:hint="default"/>
              </w:rPr>
            </w:pPr>
            <w:r>
              <w:t>设置围堰，安装可燃及有毒气体泄漏报警仪；编制应急预案，加强演练等、1000m</w:t>
            </w:r>
            <w:r>
              <w:rPr>
                <w:vertAlign w:val="superscript"/>
              </w:rPr>
              <w:t>3</w:t>
            </w:r>
            <w:r>
              <w:t>应急事故池、300m</w:t>
            </w:r>
            <w:r>
              <w:rPr>
                <w:vertAlign w:val="superscript"/>
              </w:rPr>
              <w:t>3</w:t>
            </w:r>
            <w:r>
              <w:t>初期雨水池</w:t>
            </w:r>
          </w:p>
        </w:tc>
      </w:tr>
    </w:tbl>
    <w:p>
      <w:pPr>
        <w:pStyle w:val="6"/>
        <w:ind w:firstLine="643"/>
      </w:pPr>
      <w:bookmarkStart w:id="366" w:name="_Toc23953"/>
      <w:bookmarkStart w:id="367" w:name="_Toc29566"/>
      <w:bookmarkStart w:id="368" w:name="_Toc17219"/>
      <w:r>
        <w:rPr>
          <w:lang w:val="en-US"/>
        </w:rPr>
        <w:t>9.</w:t>
      </w:r>
      <w:r>
        <w:rPr>
          <w:rFonts w:hint="eastAsia"/>
          <w:lang w:val="en-US"/>
        </w:rPr>
        <w:t>6</w:t>
      </w:r>
      <w:r>
        <w:rPr>
          <w:lang w:val="en-US"/>
        </w:rPr>
        <w:t xml:space="preserve"> 总量控制</w:t>
      </w:r>
      <w:bookmarkEnd w:id="366"/>
      <w:bookmarkEnd w:id="367"/>
      <w:bookmarkEnd w:id="368"/>
    </w:p>
    <w:p>
      <w:pPr>
        <w:pStyle w:val="7"/>
        <w:ind w:firstLine="562"/>
      </w:pPr>
      <w:r>
        <w:t>9.</w:t>
      </w:r>
      <w:r>
        <w:rPr>
          <w:rFonts w:hint="eastAsia"/>
        </w:rPr>
        <w:t>6</w:t>
      </w:r>
      <w:r>
        <w:t>.1 总量控制因子</w:t>
      </w:r>
    </w:p>
    <w:p>
      <w:pPr>
        <w:widowControl/>
        <w:ind w:firstLine="480"/>
        <w:jc w:val="left"/>
        <w:rPr>
          <w:rFonts w:cs="Times New Roman"/>
          <w:color w:val="000000"/>
          <w:kern w:val="0"/>
          <w:lang w:bidi="ar"/>
        </w:rPr>
      </w:pPr>
      <w:r>
        <w:rPr>
          <w:rFonts w:cs="Times New Roman"/>
          <w:color w:val="000000"/>
          <w:kern w:val="0"/>
          <w:lang w:bidi="ar"/>
        </w:rPr>
        <w:t>总量控制是</w:t>
      </w:r>
      <w:r>
        <w:rPr>
          <w:rFonts w:hint="eastAsia" w:cs="Times New Roman"/>
          <w:color w:val="000000"/>
          <w:kern w:val="0"/>
          <w:lang w:bidi="ar"/>
        </w:rPr>
        <w:t>环保部</w:t>
      </w:r>
      <w:r>
        <w:rPr>
          <w:rFonts w:cs="Times New Roman"/>
          <w:color w:val="000000"/>
          <w:kern w:val="0"/>
          <w:lang w:bidi="ar"/>
        </w:rPr>
        <w:t>对我国各个地市污染物控制的一项指令性指标，总量控制制度对我国污染物排放的限制起了一定作用。</w:t>
      </w:r>
      <w:r>
        <w:rPr>
          <w:rFonts w:hint="eastAsia" w:cs="Times New Roman"/>
          <w:color w:val="000000"/>
          <w:kern w:val="0"/>
          <w:lang w:bidi="ar"/>
        </w:rPr>
        <w:t>环保部</w:t>
      </w:r>
      <w:r>
        <w:rPr>
          <w:rFonts w:cs="Times New Roman"/>
          <w:color w:val="000000"/>
          <w:kern w:val="0"/>
          <w:lang w:bidi="ar"/>
        </w:rPr>
        <w:t>根据实际污染物排放情况在每一个</w:t>
      </w:r>
      <w:r>
        <w:rPr>
          <w:rFonts w:hint="eastAsia" w:cs="Times New Roman"/>
          <w:color w:val="000000"/>
          <w:kern w:val="0"/>
          <w:lang w:eastAsia="zh-CN" w:bidi="ar"/>
        </w:rPr>
        <w:t>“</w:t>
      </w:r>
      <w:r>
        <w:rPr>
          <w:rFonts w:cs="Times New Roman"/>
          <w:color w:val="000000"/>
          <w:kern w:val="0"/>
          <w:lang w:bidi="ar"/>
        </w:rPr>
        <w:t>五年</w:t>
      </w:r>
      <w:r>
        <w:rPr>
          <w:rFonts w:hint="eastAsia" w:cs="Times New Roman"/>
          <w:color w:val="000000"/>
          <w:kern w:val="0"/>
          <w:lang w:eastAsia="zh-CN" w:bidi="ar"/>
        </w:rPr>
        <w:t>”</w:t>
      </w:r>
      <w:r>
        <w:rPr>
          <w:rFonts w:cs="Times New Roman"/>
          <w:color w:val="000000"/>
          <w:kern w:val="0"/>
          <w:lang w:bidi="ar"/>
        </w:rPr>
        <w:t>计划下达不同的污染物总量控制指标。现行总量控制指标为COD、NH</w:t>
      </w:r>
      <w:r>
        <w:rPr>
          <w:rFonts w:cs="Times New Roman"/>
          <w:color w:val="000000"/>
          <w:kern w:val="0"/>
          <w:vertAlign w:val="subscript"/>
          <w:lang w:bidi="ar"/>
        </w:rPr>
        <w:t>3</w:t>
      </w:r>
      <w:r>
        <w:rPr>
          <w:rFonts w:cs="Times New Roman"/>
          <w:color w:val="000000"/>
          <w:kern w:val="0"/>
          <w:lang w:bidi="ar"/>
        </w:rPr>
        <w:t>-N、SO</w:t>
      </w:r>
      <w:r>
        <w:rPr>
          <w:rFonts w:hint="eastAsia" w:cs="Times New Roman"/>
          <w:color w:val="000000"/>
          <w:kern w:val="0"/>
          <w:vertAlign w:val="subscript"/>
          <w:lang w:bidi="ar"/>
        </w:rPr>
        <w:t>2</w:t>
      </w:r>
      <w:r>
        <w:rPr>
          <w:rFonts w:cs="Times New Roman"/>
          <w:color w:val="000000"/>
          <w:kern w:val="0"/>
          <w:lang w:bidi="ar"/>
        </w:rPr>
        <w:t>和NOx，当地环保部门要求总量控制指标为颗粒物和VOCs。</w:t>
      </w:r>
    </w:p>
    <w:p>
      <w:pPr>
        <w:widowControl/>
        <w:ind w:firstLine="480"/>
        <w:jc w:val="left"/>
        <w:rPr>
          <w:rFonts w:cs="Times New Roman"/>
          <w:color w:val="000000"/>
          <w:kern w:val="0"/>
          <w:lang w:bidi="ar"/>
        </w:rPr>
      </w:pPr>
      <w:r>
        <w:rPr>
          <w:rFonts w:hint="eastAsia" w:cs="Times New Roman"/>
          <w:color w:val="000000"/>
          <w:kern w:val="0"/>
          <w:lang w:bidi="ar"/>
        </w:rPr>
        <w:t>本项目生产过程中产生颗粒物、</w:t>
      </w:r>
      <w:r>
        <w:rPr>
          <w:rFonts w:cs="Times New Roman"/>
          <w:color w:val="000000"/>
          <w:kern w:val="0"/>
          <w:lang w:bidi="ar"/>
        </w:rPr>
        <w:t>VOCs</w:t>
      </w:r>
      <w:r>
        <w:rPr>
          <w:rFonts w:hint="eastAsia" w:cs="Times New Roman"/>
          <w:color w:val="000000"/>
          <w:kern w:val="0"/>
          <w:lang w:bidi="ar"/>
        </w:rPr>
        <w:t>废气污染物，属于大气污染物总量控制因子。本项目厂区自建废水处理站，对生产过程中产生的废水进行处理达标后排入集聚区污水处理厂集中处理，总量控制指标为水污染物</w:t>
      </w:r>
      <w:r>
        <w:rPr>
          <w:rFonts w:cs="Times New Roman"/>
          <w:color w:val="000000"/>
          <w:kern w:val="0"/>
          <w:lang w:bidi="ar"/>
        </w:rPr>
        <w:t>COD</w:t>
      </w:r>
      <w:r>
        <w:rPr>
          <w:rFonts w:hint="eastAsia" w:cs="Times New Roman"/>
          <w:color w:val="000000"/>
          <w:kern w:val="0"/>
          <w:lang w:bidi="ar"/>
        </w:rPr>
        <w:t>和</w:t>
      </w:r>
      <w:r>
        <w:rPr>
          <w:rFonts w:cs="Times New Roman"/>
          <w:color w:val="000000"/>
          <w:kern w:val="0"/>
          <w:lang w:bidi="ar"/>
        </w:rPr>
        <w:t>NH</w:t>
      </w:r>
      <w:r>
        <w:rPr>
          <w:rFonts w:cs="Times New Roman"/>
          <w:color w:val="000000"/>
          <w:kern w:val="0"/>
          <w:vertAlign w:val="subscript"/>
          <w:lang w:bidi="ar"/>
        </w:rPr>
        <w:t>3</w:t>
      </w:r>
      <w:r>
        <w:rPr>
          <w:rFonts w:cs="Times New Roman"/>
          <w:color w:val="000000"/>
          <w:kern w:val="0"/>
          <w:lang w:bidi="ar"/>
        </w:rPr>
        <w:t>-N</w:t>
      </w:r>
      <w:r>
        <w:rPr>
          <w:rFonts w:hint="eastAsia" w:cs="Times New Roman"/>
          <w:color w:val="000000"/>
          <w:kern w:val="0"/>
          <w:lang w:bidi="ar"/>
        </w:rPr>
        <w:t>。</w:t>
      </w:r>
    </w:p>
    <w:p>
      <w:pPr>
        <w:pStyle w:val="7"/>
        <w:ind w:firstLine="562"/>
      </w:pPr>
      <w:r>
        <w:t>9.</w:t>
      </w:r>
      <w:r>
        <w:rPr>
          <w:rFonts w:hint="eastAsia"/>
        </w:rPr>
        <w:t>6</w:t>
      </w:r>
      <w:r>
        <w:t xml:space="preserve">.2 </w:t>
      </w:r>
      <w:r>
        <w:rPr>
          <w:rFonts w:hint="eastAsia"/>
        </w:rPr>
        <w:t>本项目总量控制指标分析及建议总量控制指标</w:t>
      </w:r>
    </w:p>
    <w:p>
      <w:pPr>
        <w:widowControl/>
        <w:ind w:firstLine="480"/>
        <w:jc w:val="left"/>
        <w:rPr>
          <w:rFonts w:cs="Times New Roman"/>
          <w:color w:val="000000"/>
          <w:kern w:val="0"/>
          <w:lang w:bidi="ar"/>
        </w:rPr>
      </w:pPr>
      <w:r>
        <w:rPr>
          <w:rFonts w:hint="eastAsia" w:cs="Times New Roman"/>
          <w:color w:val="000000"/>
          <w:kern w:val="0"/>
          <w:lang w:bidi="ar"/>
        </w:rPr>
        <w:t>根据原环保部《关于印发〈建设项目主要污染物排放总量控制指标审核及管理暂行办法〉的通知》（环发〔</w:t>
      </w:r>
      <w:r>
        <w:rPr>
          <w:rFonts w:cs="Times New Roman"/>
          <w:color w:val="000000"/>
          <w:kern w:val="0"/>
          <w:lang w:bidi="ar"/>
        </w:rPr>
        <w:t>2014</w:t>
      </w:r>
      <w:r>
        <w:rPr>
          <w:rFonts w:hint="eastAsia" w:cs="Times New Roman"/>
          <w:color w:val="000000"/>
          <w:kern w:val="0"/>
          <w:lang w:bidi="ar"/>
        </w:rPr>
        <w:t>〕</w:t>
      </w:r>
      <w:r>
        <w:rPr>
          <w:rFonts w:cs="Times New Roman"/>
          <w:color w:val="000000"/>
          <w:kern w:val="0"/>
          <w:lang w:bidi="ar"/>
        </w:rPr>
        <w:t>197</w:t>
      </w:r>
      <w:r>
        <w:rPr>
          <w:rFonts w:hint="eastAsia" w:cs="Times New Roman"/>
          <w:color w:val="000000"/>
          <w:kern w:val="0"/>
          <w:lang w:bidi="ar"/>
        </w:rPr>
        <w:t>号），对项目排放污染物进行总量控制。本项目属于基础化学原料制造，不属于火电、钢铁、水泥、造纸、印染行业，污染物排放总量控制指标按排放预测量进行控制。</w:t>
      </w:r>
    </w:p>
    <w:p>
      <w:pPr>
        <w:widowControl/>
        <w:ind w:firstLine="480"/>
        <w:jc w:val="left"/>
        <w:rPr>
          <w:rFonts w:cs="Times New Roman"/>
          <w:color w:val="000000"/>
          <w:kern w:val="0"/>
          <w:lang w:bidi="ar"/>
        </w:rPr>
      </w:pPr>
      <w:r>
        <w:rPr>
          <w:rFonts w:hint="eastAsia" w:cs="Times New Roman"/>
          <w:color w:val="000000"/>
          <w:kern w:val="0"/>
          <w:lang w:bidi="ar"/>
        </w:rPr>
        <w:t>①废气污染物排放量</w:t>
      </w:r>
    </w:p>
    <w:p>
      <w:pPr>
        <w:widowControl/>
        <w:ind w:firstLine="480"/>
        <w:jc w:val="left"/>
        <w:rPr>
          <w:rFonts w:cs="Times New Roman"/>
          <w:color w:val="000000"/>
          <w:kern w:val="0"/>
          <w:lang w:bidi="ar"/>
        </w:rPr>
      </w:pPr>
      <w:r>
        <w:rPr>
          <w:rFonts w:hint="eastAsia" w:cs="Times New Roman"/>
          <w:color w:val="000000"/>
          <w:kern w:val="0"/>
          <w:lang w:bidi="ar"/>
        </w:rPr>
        <w:t>根据工程分析，预测本项目废气污染物总量控制指标见表9.6-1。</w:t>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b/>
          <w:bCs/>
        </w:rPr>
      </w:pPr>
      <w:r>
        <w:rPr>
          <w:rFonts w:hint="eastAsia"/>
          <w:b/>
          <w:bCs/>
        </w:rPr>
        <w:t>表9.6-1  本项目废气污染物总量核算表</w:t>
      </w:r>
    </w:p>
    <w:tbl>
      <w:tblPr>
        <w:tblStyle w:val="29"/>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3"/>
        <w:gridCol w:w="1071"/>
        <w:gridCol w:w="77"/>
        <w:gridCol w:w="2024"/>
        <w:gridCol w:w="1427"/>
        <w:gridCol w:w="1633"/>
        <w:gridCol w:w="1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污染源</w:t>
            </w: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污染物</w:t>
            </w:r>
          </w:p>
        </w:tc>
        <w:tc>
          <w:tcPr>
            <w:tcW w:w="768" w:type="pc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产生量t/a</w:t>
            </w:r>
          </w:p>
        </w:tc>
        <w:tc>
          <w:tcPr>
            <w:tcW w:w="879" w:type="pc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削减量t/a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restar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废气</w:t>
            </w:r>
          </w:p>
        </w:tc>
        <w:tc>
          <w:tcPr>
            <w:tcW w:w="576" w:type="pct"/>
            <w:vMerge w:val="restar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有组织废气</w:t>
            </w:r>
          </w:p>
        </w:tc>
        <w:tc>
          <w:tcPr>
            <w:tcW w:w="1131" w:type="pct"/>
            <w:gridSpan w:val="2"/>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sz w:val="21"/>
                <w:szCs w:val="21"/>
              </w:rPr>
            </w:pPr>
            <w:r>
              <w:rPr>
                <w:rFonts w:hint="eastAsia" w:ascii="Times New Roman" w:hAnsi="Times New Roman" w:cs="Times New Roman"/>
                <w:sz w:val="21"/>
                <w:szCs w:val="21"/>
                <w:lang w:val="en-US"/>
              </w:rPr>
              <w:t>粉尘</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sz w:val="21"/>
                <w:szCs w:val="21"/>
                <w:lang w:val="en-US"/>
              </w:rPr>
            </w:pPr>
            <w:r>
              <w:rPr>
                <w:rFonts w:hint="eastAsia" w:ascii="Times New Roman" w:hAnsi="Times New Roman" w:cs="Times New Roman"/>
                <w:sz w:val="21"/>
                <w:szCs w:val="21"/>
                <w:lang w:val="en-US" w:eastAsia="zh-CN"/>
              </w:rPr>
              <w:t>1.32</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1.308</w:t>
            </w:r>
          </w:p>
        </w:tc>
        <w:tc>
          <w:tcPr>
            <w:tcW w:w="892"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0.012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sz w:val="21"/>
                <w:szCs w:val="21"/>
              </w:rPr>
            </w:pPr>
            <w:r>
              <w:rPr>
                <w:rFonts w:hint="eastAsia" w:ascii="Times New Roman" w:cs="Times New Roman"/>
                <w:sz w:val="21"/>
                <w:szCs w:val="21"/>
                <w:lang w:val="en-US"/>
              </w:rPr>
              <w:t>非甲烷总烃</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sz w:val="21"/>
                <w:szCs w:val="21"/>
                <w:lang w:val="en-US"/>
              </w:rPr>
            </w:pPr>
            <w:r>
              <w:rPr>
                <w:rFonts w:hint="eastAsia" w:ascii="Times New Roman" w:hAnsi="Times New Roman" w:cs="Times New Roman"/>
                <w:sz w:val="21"/>
                <w:szCs w:val="21"/>
                <w:lang w:val="en-US" w:eastAsia="zh-CN"/>
              </w:rPr>
              <w:t>25.522</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default" w:ascii="Times New Roman" w:hAnsi="Times New Roman" w:cs="Times New Roman"/>
                <w:sz w:val="21"/>
                <w:szCs w:val="21"/>
                <w:lang w:val="en-US"/>
              </w:rPr>
            </w:pPr>
            <w:r>
              <w:rPr>
                <w:rFonts w:hint="eastAsia" w:ascii="Times New Roman" w:hAnsi="Times New Roman" w:cs="Times New Roman"/>
                <w:sz w:val="21"/>
                <w:szCs w:val="21"/>
                <w:lang w:val="en-US" w:eastAsia="zh-CN"/>
              </w:rPr>
              <w:t>24.2826</w:t>
            </w:r>
          </w:p>
        </w:tc>
        <w:tc>
          <w:tcPr>
            <w:tcW w:w="892"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1.2394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rPr>
                <w:sz w:val="21"/>
                <w:szCs w:val="21"/>
              </w:rPr>
            </w:pPr>
            <w:r>
              <w:rPr>
                <w:rFonts w:hint="eastAsia"/>
                <w:color w:val="000000" w:themeColor="text1"/>
                <w:sz w:val="21"/>
                <w:szCs w:val="21"/>
                <w14:textFill>
                  <w14:solidFill>
                    <w14:schemeClr w14:val="tx1"/>
                  </w14:solidFill>
                </w14:textFill>
              </w:rPr>
              <w:t>丙烯酸</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sz w:val="21"/>
                <w:szCs w:val="21"/>
              </w:rPr>
            </w:pPr>
            <w:r>
              <w:rPr>
                <w:rFonts w:hint="eastAsia" w:ascii="Times New Roman" w:hAnsi="Times New Roman" w:cs="Times New Roman"/>
                <w:sz w:val="21"/>
                <w:szCs w:val="21"/>
                <w:lang w:val="en-US"/>
              </w:rPr>
              <w:t>0.051</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0.0486</w:t>
            </w:r>
          </w:p>
        </w:tc>
        <w:tc>
          <w:tcPr>
            <w:tcW w:w="892"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0.0024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丙烯酸丁酯</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sz w:val="21"/>
                <w:szCs w:val="21"/>
                <w:lang w:val="en-US"/>
              </w:rPr>
            </w:pPr>
            <w:r>
              <w:rPr>
                <w:rFonts w:hint="eastAsia" w:ascii="Times New Roman" w:hAnsi="Times New Roman" w:cs="Times New Roman"/>
                <w:sz w:val="21"/>
                <w:szCs w:val="21"/>
                <w:lang w:val="en-US"/>
              </w:rPr>
              <w:t>0.47</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0.4477</w:t>
            </w:r>
          </w:p>
        </w:tc>
        <w:tc>
          <w:tcPr>
            <w:tcW w:w="892"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0.0223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rPr>
                <w:rFonts w:cs="Times New Roman"/>
                <w:sz w:val="21"/>
                <w:szCs w:val="21"/>
              </w:rPr>
            </w:pPr>
            <w:r>
              <w:rPr>
                <w:rFonts w:hint="eastAsia"/>
                <w:color w:val="000000" w:themeColor="text1"/>
                <w:sz w:val="21"/>
                <w:szCs w:val="21"/>
                <w14:textFill>
                  <w14:solidFill>
                    <w14:schemeClr w14:val="tx1"/>
                  </w14:solidFill>
                </w14:textFill>
              </w:rPr>
              <w:t>甲基丙烯酸甲酯</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sz w:val="21"/>
                <w:szCs w:val="21"/>
                <w:lang w:val="en-US"/>
              </w:rPr>
            </w:pPr>
            <w:r>
              <w:rPr>
                <w:rFonts w:hint="eastAsia" w:ascii="Times New Roman" w:hAnsi="Times New Roman" w:cs="Times New Roman"/>
                <w:sz w:val="21"/>
                <w:szCs w:val="21"/>
                <w:lang w:val="en-US"/>
              </w:rPr>
              <w:t>0.</w:t>
            </w:r>
            <w:r>
              <w:rPr>
                <w:rFonts w:hint="eastAsia" w:ascii="Times New Roman" w:hAnsi="Times New Roman" w:cs="Times New Roman"/>
                <w:sz w:val="21"/>
                <w:szCs w:val="21"/>
                <w:lang w:val="en-US" w:eastAsia="zh-CN"/>
              </w:rPr>
              <w:t>47</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0.4477</w:t>
            </w:r>
          </w:p>
        </w:tc>
        <w:tc>
          <w:tcPr>
            <w:tcW w:w="892"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cs="Times New Roman"/>
                <w:sz w:val="21"/>
                <w:szCs w:val="21"/>
              </w:rPr>
            </w:pPr>
            <w:r>
              <w:rPr>
                <w:rFonts w:hint="eastAsia" w:ascii="Times New Roman" w:hAnsi="Times New Roman" w:cs="Times New Roman"/>
                <w:sz w:val="21"/>
                <w:szCs w:val="21"/>
                <w:lang w:val="en-US" w:eastAsia="zh-CN"/>
              </w:rPr>
              <w:t>0.0223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cs="Times New Roman"/>
                <w:sz w:val="21"/>
                <w:szCs w:val="21"/>
              </w:rPr>
            </w:pPr>
            <w:r>
              <w:rPr>
                <w:rFonts w:hint="eastAsia" w:ascii="Times New Roman" w:hAnsi="Times New Roman" w:cs="Times New Roman"/>
                <w:sz w:val="21"/>
                <w:szCs w:val="21"/>
                <w:lang w:val="en-US"/>
              </w:rPr>
              <w:t>油烟</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default" w:eastAsia="宋体"/>
                <w:sz w:val="21"/>
                <w:szCs w:val="21"/>
                <w:lang w:val="en-US" w:eastAsia="zh-CN"/>
              </w:rPr>
            </w:pPr>
            <w:r>
              <w:rPr>
                <w:rFonts w:hint="eastAsia" w:ascii="Times New Roman" w:hAnsi="Times New Roman" w:cs="Times New Roman"/>
                <w:sz w:val="21"/>
                <w:szCs w:val="21"/>
                <w:lang w:val="en-US"/>
              </w:rPr>
              <w:t>0.</w:t>
            </w:r>
            <w:r>
              <w:rPr>
                <w:rFonts w:hint="eastAsia" w:ascii="Times New Roman" w:hAnsi="Times New Roman" w:cs="Times New Roman"/>
                <w:sz w:val="21"/>
                <w:szCs w:val="21"/>
                <w:lang w:val="en-US" w:eastAsia="zh-CN"/>
              </w:rPr>
              <w:t>108</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default" w:ascii="Times New Roman" w:hAnsi="Times New Roman" w:cs="Times New Roman"/>
                <w:sz w:val="21"/>
                <w:szCs w:val="21"/>
                <w:lang w:val="en-US"/>
              </w:rPr>
            </w:pPr>
            <w:r>
              <w:rPr>
                <w:rFonts w:hint="eastAsia" w:ascii="Times New Roman" w:hAnsi="Times New Roman" w:cs="Times New Roman"/>
                <w:sz w:val="21"/>
                <w:szCs w:val="21"/>
                <w:lang w:val="en-US" w:eastAsia="zh-CN"/>
              </w:rPr>
              <w:t>0.098</w:t>
            </w:r>
          </w:p>
        </w:tc>
        <w:tc>
          <w:tcPr>
            <w:tcW w:w="892"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eastAsia="宋体" w:cs="Times New Roman"/>
                <w:sz w:val="21"/>
                <w:szCs w:val="21"/>
                <w:lang w:eastAsia="zh-CN"/>
              </w:rPr>
            </w:pPr>
            <w:r>
              <w:rPr>
                <w:rFonts w:hint="eastAsia" w:ascii="Times New Roman" w:hAnsi="Times New Roman" w:cs="Times New Roman"/>
                <w:sz w:val="21"/>
                <w:szCs w:val="21"/>
                <w:lang w:val="en-US"/>
              </w:rPr>
              <w:t>0.0</w:t>
            </w:r>
            <w:r>
              <w:rPr>
                <w:rFonts w:hint="eastAsia" w:ascii="Times New Roman" w:hAnsi="Times New Roman" w:cs="Times New Roman"/>
                <w:sz w:val="21"/>
                <w:szCs w:val="21"/>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cs="Times New Roman"/>
                <w:sz w:val="21"/>
                <w:szCs w:val="21"/>
              </w:rPr>
            </w:pPr>
            <w:r>
              <w:rPr>
                <w:rFonts w:hint="eastAsia" w:cs="Times New Roman"/>
                <w:snapToGrid w:val="0"/>
                <w:kern w:val="18"/>
                <w:sz w:val="21"/>
                <w:szCs w:val="21"/>
              </w:rPr>
              <w:t>硫化氢</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sz w:val="21"/>
                <w:szCs w:val="21"/>
                <w:lang w:val="en-US"/>
              </w:rPr>
            </w:pPr>
            <w:r>
              <w:rPr>
                <w:rFonts w:hint="eastAsia" w:ascii="Times New Roman" w:hAnsi="Times New Roman" w:cs="Times New Roman"/>
                <w:sz w:val="21"/>
                <w:szCs w:val="21"/>
                <w:lang w:val="en-US"/>
              </w:rPr>
              <w:t>0.8641</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0.8446</w:t>
            </w:r>
          </w:p>
        </w:tc>
        <w:tc>
          <w:tcPr>
            <w:tcW w:w="892"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cs="Times New Roman"/>
                <w:sz w:val="21"/>
                <w:szCs w:val="21"/>
              </w:rPr>
            </w:pPr>
            <w:r>
              <w:rPr>
                <w:rFonts w:hint="eastAsia" w:ascii="Times New Roman" w:hAnsi="Times New Roman" w:cs="Times New Roman"/>
                <w:sz w:val="21"/>
                <w:szCs w:val="21"/>
                <w:lang w:val="en-US"/>
              </w:rPr>
              <w:t>0.0</w:t>
            </w:r>
            <w:r>
              <w:rPr>
                <w:rFonts w:hint="eastAsia" w:ascii="Times New Roman" w:hAnsi="Times New Roman" w:cs="Times New Roman"/>
                <w:sz w:val="21"/>
                <w:szCs w:val="21"/>
                <w:lang w:val="en-US" w:eastAsia="zh-CN"/>
              </w:rPr>
              <w:t>195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cs="Times New Roman"/>
                <w:sz w:val="21"/>
                <w:szCs w:val="21"/>
              </w:rPr>
            </w:pPr>
            <w:r>
              <w:rPr>
                <w:rFonts w:hint="eastAsia" w:cs="Times New Roman"/>
                <w:snapToGrid w:val="0"/>
                <w:kern w:val="18"/>
                <w:sz w:val="21"/>
                <w:szCs w:val="21"/>
              </w:rPr>
              <w:t>氨</w:t>
            </w:r>
          </w:p>
        </w:tc>
        <w:tc>
          <w:tcPr>
            <w:tcW w:w="768"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sz w:val="21"/>
                <w:szCs w:val="21"/>
                <w:lang w:val="en-US"/>
              </w:rPr>
            </w:pPr>
            <w:r>
              <w:rPr>
                <w:rFonts w:hint="eastAsia" w:ascii="Times New Roman" w:hAnsi="Times New Roman" w:cs="Times New Roman"/>
                <w:sz w:val="21"/>
                <w:szCs w:val="21"/>
                <w:lang w:val="en-US"/>
              </w:rPr>
              <w:t>0.3218</w:t>
            </w:r>
          </w:p>
        </w:tc>
        <w:tc>
          <w:tcPr>
            <w:tcW w:w="879"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ascii="Times New Roman" w:hAnsi="Times New Roman" w:cs="Times New Roman"/>
                <w:sz w:val="21"/>
                <w:szCs w:val="21"/>
                <w:lang w:val="en-US"/>
              </w:rPr>
            </w:pPr>
            <w:r>
              <w:rPr>
                <w:rFonts w:hint="eastAsia" w:ascii="Times New Roman" w:hAnsi="Times New Roman" w:cs="Times New Roman"/>
                <w:sz w:val="21"/>
                <w:szCs w:val="21"/>
                <w:lang w:val="en-US" w:eastAsia="zh-CN"/>
              </w:rPr>
              <w:t>0.3037</w:t>
            </w:r>
          </w:p>
        </w:tc>
        <w:tc>
          <w:tcPr>
            <w:tcW w:w="892" w:type="pct"/>
            <w:vAlign w:val="center"/>
          </w:tcPr>
          <w:p>
            <w:pPr>
              <w:pStyle w:val="39"/>
              <w:keepNext w:val="0"/>
              <w:keepLines w:val="0"/>
              <w:pageBreakBefore w:val="0"/>
              <w:kinsoku/>
              <w:wordWrap/>
              <w:overflowPunct/>
              <w:topLinePunct w:val="0"/>
              <w:autoSpaceDE/>
              <w:autoSpaceDN/>
              <w:bidi w:val="0"/>
              <w:adjustRightInd/>
              <w:snapToGrid/>
              <w:spacing w:line="340" w:lineRule="exact"/>
              <w:ind w:firstLine="0" w:firstLineChars="0"/>
              <w:rPr>
                <w:rFonts w:hint="eastAsia" w:cs="Times New Roman"/>
                <w:sz w:val="21"/>
                <w:szCs w:val="21"/>
              </w:rPr>
            </w:pPr>
            <w:r>
              <w:rPr>
                <w:rFonts w:hint="eastAsia" w:ascii="Times New Roman" w:hAnsi="Times New Roman" w:cs="Times New Roman"/>
                <w:sz w:val="21"/>
                <w:szCs w:val="21"/>
                <w:lang w:val="en-US"/>
              </w:rPr>
              <w:t>0.0181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restar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无组织废气</w:t>
            </w:r>
          </w:p>
        </w:tc>
        <w:tc>
          <w:tcPr>
            <w:tcW w:w="1131" w:type="pct"/>
            <w:gridSpan w:val="2"/>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sz w:val="21"/>
                <w:szCs w:val="21"/>
              </w:rPr>
            </w:pPr>
            <w:r>
              <w:rPr>
                <w:rFonts w:hint="eastAsia" w:cs="Times New Roman"/>
                <w:snapToGrid w:val="0"/>
                <w:kern w:val="18"/>
                <w:sz w:val="21"/>
                <w:szCs w:val="21"/>
              </w:rPr>
              <w:t>颗粒物</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sz w:val="21"/>
                <w:szCs w:val="21"/>
              </w:rPr>
            </w:pPr>
            <w:r>
              <w:rPr>
                <w:rFonts w:hint="eastAsia" w:cs="Times New Roman"/>
                <w:sz w:val="21"/>
                <w:szCs w:val="21"/>
                <w:lang w:val="en-US" w:eastAsia="zh-CN"/>
              </w:rPr>
              <w:t>0.066</w:t>
            </w:r>
          </w:p>
        </w:tc>
        <w:tc>
          <w:tcPr>
            <w:tcW w:w="879"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eastAsia" w:cs="Times New Roman"/>
                <w:sz w:val="21"/>
                <w:szCs w:val="21"/>
                <w:lang w:val="en-US" w:eastAsia="zh-CN"/>
              </w:rPr>
              <w:t>0.066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sz w:val="21"/>
                <w:szCs w:val="21"/>
              </w:rPr>
            </w:pPr>
            <w:r>
              <w:rPr>
                <w:rFonts w:hint="eastAsia" w:cs="Times New Roman"/>
                <w:snapToGrid w:val="0"/>
                <w:kern w:val="18"/>
                <w:sz w:val="21"/>
                <w:szCs w:val="21"/>
              </w:rPr>
              <w:t>非甲烷总烃</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sz w:val="21"/>
                <w:szCs w:val="21"/>
              </w:rPr>
            </w:pPr>
            <w:r>
              <w:rPr>
                <w:rFonts w:hint="eastAsia" w:cs="Times New Roman"/>
                <w:sz w:val="21"/>
                <w:szCs w:val="21"/>
                <w:lang w:val="en-US" w:eastAsia="zh-CN"/>
              </w:rPr>
              <w:t>1.2657</w:t>
            </w:r>
          </w:p>
        </w:tc>
        <w:tc>
          <w:tcPr>
            <w:tcW w:w="879"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eastAsia" w:cs="Times New Roman"/>
                <w:sz w:val="21"/>
                <w:szCs w:val="21"/>
                <w:lang w:val="en-US" w:eastAsia="zh-CN"/>
              </w:rPr>
              <w:t>1.2657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rPr>
                <w:sz w:val="21"/>
                <w:szCs w:val="21"/>
              </w:rPr>
            </w:pPr>
            <w:r>
              <w:rPr>
                <w:rFonts w:hint="eastAsia"/>
                <w:color w:val="000000" w:themeColor="text1"/>
                <w:sz w:val="21"/>
                <w:szCs w:val="21"/>
                <w14:textFill>
                  <w14:solidFill>
                    <w14:schemeClr w14:val="tx1"/>
                  </w14:solidFill>
                </w14:textFill>
              </w:rPr>
              <w:t>丙烯酸</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sz w:val="21"/>
                <w:szCs w:val="21"/>
              </w:rPr>
            </w:pPr>
            <w:r>
              <w:rPr>
                <w:rFonts w:hint="default" w:cs="Times New Roman"/>
                <w:kern w:val="0"/>
                <w:sz w:val="21"/>
                <w:szCs w:val="21"/>
                <w:lang w:val="en-US" w:eastAsia="zh-CN"/>
              </w:rPr>
              <w:t>0.0026</w:t>
            </w:r>
          </w:p>
        </w:tc>
        <w:tc>
          <w:tcPr>
            <w:tcW w:w="879"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default" w:cs="Times New Roman"/>
                <w:kern w:val="0"/>
                <w:sz w:val="21"/>
                <w:szCs w:val="21"/>
                <w:lang w:val="en-US" w:eastAsia="zh-CN"/>
              </w:rPr>
              <w:t>0.0026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rPr>
                <w:sz w:val="21"/>
                <w:szCs w:val="21"/>
              </w:rPr>
            </w:pPr>
            <w:r>
              <w:rPr>
                <w:rFonts w:hint="eastAsia"/>
                <w:color w:val="000000" w:themeColor="text1"/>
                <w:sz w:val="21"/>
                <w:szCs w:val="21"/>
                <w14:textFill>
                  <w14:solidFill>
                    <w14:schemeClr w14:val="tx1"/>
                  </w14:solidFill>
                </w14:textFill>
              </w:rPr>
              <w:t>丙烯酸丁酯</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sz w:val="21"/>
                <w:szCs w:val="21"/>
              </w:rPr>
            </w:pPr>
            <w:r>
              <w:rPr>
                <w:rFonts w:hint="default" w:cs="Times New Roman"/>
                <w:kern w:val="0"/>
                <w:sz w:val="21"/>
                <w:szCs w:val="21"/>
                <w:lang w:val="en-US" w:eastAsia="zh-CN"/>
              </w:rPr>
              <w:t>0.0235</w:t>
            </w:r>
          </w:p>
        </w:tc>
        <w:tc>
          <w:tcPr>
            <w:tcW w:w="879"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rPr>
                <w:sz w:val="21"/>
                <w:szCs w:val="21"/>
              </w:rPr>
            </w:pPr>
            <w:r>
              <w:rPr>
                <w:rFonts w:hint="eastAsia"/>
                <w:color w:val="000000" w:themeColor="text1"/>
                <w:sz w:val="21"/>
                <w:szCs w:val="21"/>
                <w14:textFill>
                  <w14:solidFill>
                    <w14:schemeClr w14:val="tx1"/>
                  </w14:solidFill>
                </w14:textFill>
              </w:rPr>
              <w:t>甲基丙烯酸甲酯</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sz w:val="21"/>
                <w:szCs w:val="21"/>
              </w:rPr>
            </w:pPr>
            <w:r>
              <w:rPr>
                <w:rFonts w:hint="default" w:cs="Times New Roman"/>
                <w:kern w:val="0"/>
                <w:sz w:val="21"/>
                <w:szCs w:val="21"/>
                <w:lang w:val="en-US" w:eastAsia="zh-CN"/>
              </w:rPr>
              <w:t>0.0235</w:t>
            </w:r>
          </w:p>
        </w:tc>
        <w:tc>
          <w:tcPr>
            <w:tcW w:w="879"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default" w:cs="Times New Roman"/>
                <w:kern w:val="0"/>
                <w:sz w:val="21"/>
                <w:szCs w:val="21"/>
                <w:lang w:val="en-US" w:eastAsia="zh-CN"/>
              </w:rPr>
              <w:t>0.0235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sz w:val="21"/>
                <w:szCs w:val="21"/>
              </w:rPr>
            </w:pPr>
            <w:r>
              <w:rPr>
                <w:rFonts w:hint="eastAsia" w:cs="Times New Roman"/>
                <w:snapToGrid w:val="0"/>
                <w:kern w:val="18"/>
                <w:sz w:val="21"/>
                <w:szCs w:val="21"/>
              </w:rPr>
              <w:t>硫化氢</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textAlignment w:val="center"/>
              <w:rPr>
                <w:sz w:val="21"/>
                <w:szCs w:val="21"/>
              </w:rPr>
            </w:pPr>
            <w:r>
              <w:rPr>
                <w:rFonts w:hint="eastAsia" w:cs="Times New Roman"/>
                <w:sz w:val="21"/>
                <w:szCs w:val="21"/>
              </w:rPr>
              <w:t>0.8045</w:t>
            </w:r>
          </w:p>
        </w:tc>
        <w:tc>
          <w:tcPr>
            <w:tcW w:w="879"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textAlignment w:val="center"/>
              <w:rPr>
                <w:rFonts w:hint="eastAsia" w:cs="Times New Roman"/>
                <w:sz w:val="21"/>
                <w:szCs w:val="21"/>
              </w:rPr>
            </w:pPr>
            <w:r>
              <w:rPr>
                <w:rFonts w:hint="eastAsia" w:cs="Times New Roman"/>
                <w:sz w:val="21"/>
                <w:szCs w:val="21"/>
              </w:rPr>
              <w:t>0.8045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576"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1131" w:type="pct"/>
            <w:gridSpan w:val="2"/>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sz w:val="21"/>
                <w:szCs w:val="21"/>
              </w:rPr>
            </w:pPr>
            <w:r>
              <w:rPr>
                <w:rFonts w:hint="eastAsia" w:cs="Times New Roman"/>
                <w:snapToGrid w:val="0"/>
                <w:kern w:val="18"/>
                <w:sz w:val="21"/>
                <w:szCs w:val="21"/>
              </w:rPr>
              <w:t>氨</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textAlignment w:val="center"/>
              <w:rPr>
                <w:sz w:val="21"/>
                <w:szCs w:val="21"/>
              </w:rPr>
            </w:pPr>
            <w:r>
              <w:rPr>
                <w:rFonts w:hint="eastAsia" w:cs="Times New Roman"/>
                <w:sz w:val="21"/>
                <w:szCs w:val="21"/>
              </w:rPr>
              <w:t>0.2011</w:t>
            </w:r>
          </w:p>
        </w:tc>
        <w:tc>
          <w:tcPr>
            <w:tcW w:w="879"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cs="Times New Roman"/>
                <w:sz w:val="21"/>
                <w:szCs w:val="21"/>
              </w:rPr>
            </w:pPr>
            <w:r>
              <w:rPr>
                <w:rFonts w:hint="eastAsia" w:cs="Times New Roman"/>
                <w:sz w:val="21"/>
                <w:szCs w:val="21"/>
                <w:lang w:val="en-US" w:eastAsia="zh-CN"/>
              </w:rPr>
              <w:t>0</w:t>
            </w:r>
          </w:p>
        </w:tc>
        <w:tc>
          <w:tcPr>
            <w:tcW w:w="892" w:type="pct"/>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textAlignment w:val="center"/>
              <w:rPr>
                <w:rFonts w:hint="eastAsia" w:cs="Times New Roman"/>
                <w:sz w:val="21"/>
                <w:szCs w:val="21"/>
              </w:rPr>
            </w:pPr>
            <w:r>
              <w:rPr>
                <w:rFonts w:hint="eastAsia" w:cs="Times New Roman"/>
                <w:sz w:val="21"/>
                <w:szCs w:val="21"/>
              </w:rPr>
              <w:t>0.2011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restar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FF0000"/>
                <w:sz w:val="21"/>
                <w:szCs w:val="21"/>
              </w:rPr>
            </w:pPr>
            <w:r>
              <w:rPr>
                <w:color w:val="000000" w:themeColor="text1"/>
                <w:sz w:val="21"/>
                <w:szCs w:val="21"/>
                <w14:textFill>
                  <w14:solidFill>
                    <w14:schemeClr w14:val="tx1"/>
                  </w14:solidFill>
                </w14:textFill>
              </w:rPr>
              <w:t>废水（</w:t>
            </w:r>
            <w:r>
              <w:rPr>
                <w:rFonts w:hint="eastAsia"/>
                <w:color w:val="000000" w:themeColor="text1"/>
                <w:sz w:val="21"/>
                <w:szCs w:val="21"/>
                <w:lang w:eastAsia="zh-CN"/>
                <w14:textFill>
                  <w14:solidFill>
                    <w14:schemeClr w14:val="tx1"/>
                  </w14:solidFill>
                </w14:textFill>
              </w:rPr>
              <w:t>11910.0508</w:t>
            </w:r>
            <w:r>
              <w:rPr>
                <w:color w:val="000000" w:themeColor="text1"/>
                <w:sz w:val="21"/>
                <w:szCs w:val="21"/>
                <w14:textFill>
                  <w14:solidFill>
                    <w14:schemeClr w14:val="tx1"/>
                  </w14:solidFill>
                </w14:textFill>
              </w:rPr>
              <w:t>m</w:t>
            </w:r>
            <w:r>
              <w:rPr>
                <w:color w:val="000000" w:themeColor="text1"/>
                <w:sz w:val="21"/>
                <w:szCs w:val="21"/>
                <w:vertAlign w:val="superscript"/>
                <w14:textFill>
                  <w14:solidFill>
                    <w14:schemeClr w14:val="tx1"/>
                  </w14:solidFill>
                </w14:textFill>
              </w:rPr>
              <w:t>3</w:t>
            </w:r>
            <w:r>
              <w:rPr>
                <w:color w:val="000000" w:themeColor="text1"/>
                <w:sz w:val="21"/>
                <w:szCs w:val="21"/>
                <w14:textFill>
                  <w14:solidFill>
                    <w14:schemeClr w14:val="tx1"/>
                  </w14:solidFill>
                </w14:textFill>
              </w:rPr>
              <w:t>/a）</w:t>
            </w: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auto"/>
                <w:sz w:val="21"/>
                <w:szCs w:val="21"/>
              </w:rPr>
            </w:pPr>
            <w:r>
              <w:rPr>
                <w:rFonts w:hint="default"/>
                <w:color w:val="auto"/>
                <w:sz w:val="21"/>
                <w:szCs w:val="21"/>
              </w:rPr>
              <w:t>COD</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2.047</w:t>
            </w:r>
          </w:p>
        </w:tc>
        <w:tc>
          <w:tcPr>
            <w:tcW w:w="879" w:type="pct"/>
            <w:vAlign w:val="bottom"/>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1.4</w:t>
            </w:r>
            <w:r>
              <w:rPr>
                <w:rFonts w:hint="eastAsia" w:cs="Times New Roman"/>
                <w:kern w:val="0"/>
                <w:sz w:val="21"/>
                <w:szCs w:val="21"/>
                <w:lang w:val="en-US" w:eastAsia="zh-CN"/>
              </w:rPr>
              <w:t>1</w:t>
            </w:r>
          </w:p>
        </w:tc>
        <w:tc>
          <w:tcPr>
            <w:tcW w:w="892" w:type="pct"/>
            <w:vAlign w:val="bottom"/>
          </w:tcPr>
          <w:p>
            <w:pPr>
              <w:pStyle w:val="38"/>
              <w:keepNext w:val="0"/>
              <w:keepLines w:val="0"/>
              <w:pageBreakBefore w:val="0"/>
              <w:kinsoku/>
              <w:wordWrap/>
              <w:overflowPunct/>
              <w:topLinePunct w:val="0"/>
              <w:autoSpaceDE/>
              <w:autoSpaceDN/>
              <w:bidi w:val="0"/>
              <w:adjustRightInd/>
              <w:snapToGrid/>
              <w:spacing w:line="340" w:lineRule="exact"/>
              <w:ind w:firstLine="0" w:firstLineChars="0"/>
              <w:rPr>
                <w:rFonts w:hint="default" w:ascii="Times New Roman" w:hAnsi="Times New Roman" w:cs="Times New Roman"/>
                <w:kern w:val="0"/>
                <w:sz w:val="21"/>
                <w:szCs w:val="21"/>
                <w:lang w:val="en-US" w:eastAsia="zh-CN"/>
              </w:rPr>
            </w:pPr>
            <w:r>
              <w:rPr>
                <w:rFonts w:hint="default"/>
                <w:sz w:val="21"/>
                <w:szCs w:val="21"/>
                <w:lang w:val="en-US" w:eastAsia="zh-CN"/>
              </w:rPr>
              <w:t>0.637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auto"/>
                <w:sz w:val="21"/>
                <w:szCs w:val="21"/>
              </w:rPr>
            </w:pPr>
            <w:r>
              <w:rPr>
                <w:rFonts w:hint="default"/>
                <w:color w:val="auto"/>
                <w:sz w:val="21"/>
                <w:szCs w:val="21"/>
              </w:rPr>
              <w:t>BOD</w:t>
            </w:r>
            <w:r>
              <w:rPr>
                <w:rFonts w:hint="default"/>
                <w:color w:val="auto"/>
                <w:sz w:val="21"/>
                <w:szCs w:val="21"/>
                <w:vertAlign w:val="subscript"/>
              </w:rPr>
              <w:t>5</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0.7</w:t>
            </w:r>
          </w:p>
        </w:tc>
        <w:tc>
          <w:tcPr>
            <w:tcW w:w="879" w:type="pct"/>
            <w:vAlign w:val="bottom"/>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0.61</w:t>
            </w:r>
          </w:p>
        </w:tc>
        <w:tc>
          <w:tcPr>
            <w:tcW w:w="892" w:type="pct"/>
            <w:vAlign w:val="bottom"/>
          </w:tcPr>
          <w:p>
            <w:pPr>
              <w:pStyle w:val="38"/>
              <w:keepNext w:val="0"/>
              <w:keepLines w:val="0"/>
              <w:pageBreakBefore w:val="0"/>
              <w:kinsoku/>
              <w:wordWrap/>
              <w:overflowPunct/>
              <w:topLinePunct w:val="0"/>
              <w:autoSpaceDE/>
              <w:autoSpaceDN/>
              <w:bidi w:val="0"/>
              <w:adjustRightInd/>
              <w:snapToGrid/>
              <w:spacing w:line="340" w:lineRule="exact"/>
              <w:ind w:firstLine="0" w:firstLineChars="0"/>
              <w:rPr>
                <w:rFonts w:hint="default" w:ascii="Times New Roman" w:hAnsi="Times New Roman" w:cs="Times New Roman"/>
                <w:kern w:val="0"/>
                <w:sz w:val="21"/>
                <w:szCs w:val="21"/>
                <w:lang w:val="en-US" w:eastAsia="zh-CN"/>
              </w:rPr>
            </w:pPr>
            <w:r>
              <w:rPr>
                <w:rFonts w:hint="default"/>
                <w:sz w:val="21"/>
                <w:szCs w:val="21"/>
                <w:lang w:val="en-US" w:eastAsia="zh-CN"/>
              </w:rPr>
              <w:t>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auto"/>
                <w:sz w:val="21"/>
                <w:szCs w:val="21"/>
              </w:rPr>
            </w:pPr>
            <w:r>
              <w:rPr>
                <w:rFonts w:hint="default"/>
                <w:color w:val="auto"/>
                <w:sz w:val="21"/>
                <w:szCs w:val="21"/>
              </w:rPr>
              <w:t>SS</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1.28</w:t>
            </w:r>
          </w:p>
        </w:tc>
        <w:tc>
          <w:tcPr>
            <w:tcW w:w="879" w:type="pct"/>
            <w:vAlign w:val="bottom"/>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ascii="Times New Roman" w:hAnsi="Times New Roman" w:cs="Times New Roman"/>
                <w:kern w:val="0"/>
                <w:sz w:val="21"/>
                <w:szCs w:val="21"/>
                <w:lang w:val="en-US" w:eastAsia="zh-CN"/>
              </w:rPr>
            </w:pPr>
            <w:r>
              <w:rPr>
                <w:rFonts w:hint="eastAsia" w:cs="Times New Roman"/>
                <w:kern w:val="0"/>
                <w:sz w:val="21"/>
                <w:szCs w:val="21"/>
                <w:lang w:val="en-US" w:eastAsia="zh-CN"/>
              </w:rPr>
              <w:t>0.823</w:t>
            </w:r>
          </w:p>
        </w:tc>
        <w:tc>
          <w:tcPr>
            <w:tcW w:w="892" w:type="pct"/>
            <w:vAlign w:val="bottom"/>
          </w:tcPr>
          <w:p>
            <w:pPr>
              <w:pStyle w:val="38"/>
              <w:keepNext w:val="0"/>
              <w:keepLines w:val="0"/>
              <w:pageBreakBefore w:val="0"/>
              <w:kinsoku/>
              <w:wordWrap/>
              <w:overflowPunct/>
              <w:topLinePunct w:val="0"/>
              <w:autoSpaceDE/>
              <w:autoSpaceDN/>
              <w:bidi w:val="0"/>
              <w:adjustRightInd/>
              <w:snapToGrid/>
              <w:spacing w:line="340" w:lineRule="exact"/>
              <w:ind w:firstLine="0" w:firstLineChars="0"/>
              <w:rPr>
                <w:rFonts w:hint="default" w:ascii="Times New Roman" w:hAnsi="Times New Roman" w:cs="Times New Roman"/>
                <w:kern w:val="0"/>
                <w:sz w:val="21"/>
                <w:szCs w:val="21"/>
                <w:lang w:val="en-US" w:eastAsia="zh-CN"/>
              </w:rPr>
            </w:pPr>
            <w:r>
              <w:rPr>
                <w:rFonts w:hint="default"/>
                <w:sz w:val="21"/>
                <w:szCs w:val="21"/>
                <w:lang w:val="en-US" w:eastAsia="zh-CN"/>
              </w:rPr>
              <w:t>0.457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auto"/>
                <w:sz w:val="21"/>
                <w:szCs w:val="21"/>
              </w:rPr>
            </w:pPr>
            <w:r>
              <w:rPr>
                <w:rFonts w:hint="default"/>
                <w:color w:val="auto"/>
                <w:sz w:val="21"/>
                <w:szCs w:val="21"/>
              </w:rPr>
              <w:t>NH</w:t>
            </w:r>
            <w:r>
              <w:rPr>
                <w:rFonts w:hint="default"/>
                <w:color w:val="auto"/>
                <w:sz w:val="21"/>
                <w:szCs w:val="21"/>
                <w:vertAlign w:val="subscript"/>
              </w:rPr>
              <w:t>3</w:t>
            </w:r>
            <w:r>
              <w:rPr>
                <w:rFonts w:hint="default"/>
                <w:color w:val="auto"/>
                <w:sz w:val="21"/>
                <w:szCs w:val="21"/>
              </w:rPr>
              <w:t>-N</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0.19</w:t>
            </w:r>
          </w:p>
        </w:tc>
        <w:tc>
          <w:tcPr>
            <w:tcW w:w="879" w:type="pct"/>
            <w:vAlign w:val="bottom"/>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0.13</w:t>
            </w:r>
          </w:p>
        </w:tc>
        <w:tc>
          <w:tcPr>
            <w:tcW w:w="892" w:type="pct"/>
            <w:vAlign w:val="bottom"/>
          </w:tcPr>
          <w:p>
            <w:pPr>
              <w:pStyle w:val="38"/>
              <w:keepNext w:val="0"/>
              <w:keepLines w:val="0"/>
              <w:pageBreakBefore w:val="0"/>
              <w:kinsoku/>
              <w:wordWrap/>
              <w:overflowPunct/>
              <w:topLinePunct w:val="0"/>
              <w:autoSpaceDE/>
              <w:autoSpaceDN/>
              <w:bidi w:val="0"/>
              <w:adjustRightInd/>
              <w:snapToGrid/>
              <w:spacing w:line="340" w:lineRule="exact"/>
              <w:ind w:firstLine="0" w:firstLineChars="0"/>
              <w:rPr>
                <w:rFonts w:hint="default" w:ascii="Times New Roman" w:hAnsi="Times New Roman" w:cs="Times New Roman"/>
                <w:kern w:val="0"/>
                <w:sz w:val="21"/>
                <w:szCs w:val="21"/>
                <w:lang w:val="en-US" w:eastAsia="zh-CN"/>
              </w:rPr>
            </w:pPr>
            <w:r>
              <w:rPr>
                <w:rFonts w:hint="default"/>
                <w:sz w:val="21"/>
                <w:szCs w:val="21"/>
                <w:lang w:val="en-US" w:eastAsia="zh-CN"/>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auto"/>
                <w:sz w:val="21"/>
                <w:szCs w:val="21"/>
              </w:rPr>
            </w:pPr>
            <w:r>
              <w:rPr>
                <w:color w:val="auto"/>
                <w:sz w:val="21"/>
                <w:szCs w:val="21"/>
              </w:rPr>
              <w:t>动植物油</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0.1</w:t>
            </w:r>
          </w:p>
        </w:tc>
        <w:tc>
          <w:tcPr>
            <w:tcW w:w="879" w:type="pct"/>
            <w:vAlign w:val="bottom"/>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0.03</w:t>
            </w:r>
          </w:p>
        </w:tc>
        <w:tc>
          <w:tcPr>
            <w:tcW w:w="892" w:type="pct"/>
            <w:vAlign w:val="bottom"/>
          </w:tcPr>
          <w:p>
            <w:pPr>
              <w:pStyle w:val="38"/>
              <w:keepNext w:val="0"/>
              <w:keepLines w:val="0"/>
              <w:pageBreakBefore w:val="0"/>
              <w:kinsoku/>
              <w:wordWrap/>
              <w:overflowPunct/>
              <w:topLinePunct w:val="0"/>
              <w:autoSpaceDE/>
              <w:autoSpaceDN/>
              <w:bidi w:val="0"/>
              <w:adjustRightInd/>
              <w:snapToGrid/>
              <w:spacing w:line="340" w:lineRule="exact"/>
              <w:ind w:firstLine="0" w:firstLineChars="0"/>
              <w:rPr>
                <w:rFonts w:hint="default" w:ascii="Times New Roman" w:hAnsi="Times New Roman" w:cs="Times New Roman"/>
                <w:kern w:val="0"/>
                <w:sz w:val="21"/>
                <w:szCs w:val="21"/>
                <w:lang w:val="en-US" w:eastAsia="zh-CN"/>
              </w:rPr>
            </w:pPr>
            <w:r>
              <w:rPr>
                <w:rFonts w:hint="default"/>
                <w:sz w:val="21"/>
                <w:szCs w:val="21"/>
                <w:lang w:val="en-US" w:eastAsia="zh-CN"/>
              </w:rPr>
              <w:t>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eastAsia="宋体"/>
                <w:color w:val="auto"/>
                <w:sz w:val="21"/>
                <w:szCs w:val="21"/>
                <w:lang w:val="en-US" w:eastAsia="zh-CN"/>
              </w:rPr>
            </w:pPr>
            <w:r>
              <w:rPr>
                <w:rFonts w:hint="eastAsia"/>
                <w:color w:val="auto"/>
                <w:sz w:val="21"/>
                <w:szCs w:val="21"/>
                <w:lang w:val="en-US" w:eastAsia="zh-CN"/>
              </w:rPr>
              <w:t>TN</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0.11</w:t>
            </w:r>
          </w:p>
        </w:tc>
        <w:tc>
          <w:tcPr>
            <w:tcW w:w="879" w:type="pct"/>
            <w:vAlign w:val="bottom"/>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0.06</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40" w:lineRule="exact"/>
              <w:ind w:firstLine="0" w:firstLineChars="0"/>
              <w:rPr>
                <w:rFonts w:hint="eastAsia" w:ascii="Times New Roman" w:hAnsi="Times New Roman" w:cs="Times New Roman"/>
                <w:kern w:val="0"/>
                <w:sz w:val="21"/>
                <w:szCs w:val="21"/>
                <w:lang w:val="en-US" w:eastAsia="zh-CN"/>
              </w:rPr>
            </w:pPr>
            <w:r>
              <w:rPr>
                <w:rFonts w:hint="default"/>
                <w:sz w:val="21"/>
                <w:szCs w:val="21"/>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color w:val="FF0000"/>
                <w:sz w:val="21"/>
                <w:szCs w:val="21"/>
              </w:rPr>
            </w:pP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eastAsia="宋体"/>
                <w:color w:val="auto"/>
                <w:sz w:val="21"/>
                <w:szCs w:val="21"/>
                <w:lang w:val="en-US" w:eastAsia="zh-CN"/>
              </w:rPr>
            </w:pPr>
            <w:r>
              <w:rPr>
                <w:rFonts w:hint="eastAsia"/>
                <w:color w:val="auto"/>
                <w:sz w:val="21"/>
                <w:szCs w:val="21"/>
                <w:lang w:val="en-US" w:eastAsia="zh-CN"/>
              </w:rPr>
              <w:t>TP</w:t>
            </w:r>
          </w:p>
        </w:tc>
        <w:tc>
          <w:tcPr>
            <w:tcW w:w="768" w:type="pct"/>
            <w:vAlign w:val="center"/>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default" w:eastAsia="宋体"/>
                <w:color w:val="auto"/>
                <w:sz w:val="21"/>
                <w:szCs w:val="21"/>
                <w:lang w:val="en-US" w:eastAsia="zh-CN"/>
              </w:rPr>
            </w:pPr>
            <w:r>
              <w:rPr>
                <w:rFonts w:hint="eastAsia"/>
                <w:color w:val="auto"/>
                <w:sz w:val="21"/>
                <w:szCs w:val="21"/>
                <w:lang w:val="en-US" w:eastAsia="zh-CN"/>
              </w:rPr>
              <w:t>0.07</w:t>
            </w:r>
          </w:p>
        </w:tc>
        <w:tc>
          <w:tcPr>
            <w:tcW w:w="879" w:type="pct"/>
            <w:vAlign w:val="bottom"/>
          </w:tcPr>
          <w:p>
            <w:pPr>
              <w:keepNext w:val="0"/>
              <w:keepLines w:val="0"/>
              <w:pageBreakBefore w:val="0"/>
              <w:kinsoku/>
              <w:wordWrap/>
              <w:overflowPunct/>
              <w:topLinePunct w:val="0"/>
              <w:autoSpaceDE/>
              <w:autoSpaceDN/>
              <w:bidi w:val="0"/>
              <w:adjustRightInd/>
              <w:snapToGrid/>
              <w:spacing w:line="340" w:lineRule="exact"/>
              <w:ind w:firstLine="0" w:firstLineChars="0"/>
              <w:jc w:val="center"/>
              <w:rPr>
                <w:rFonts w:hint="eastAsia" w:ascii="Times New Roman" w:hAnsi="Times New Roman" w:cs="Times New Roman"/>
                <w:kern w:val="0"/>
                <w:sz w:val="21"/>
                <w:szCs w:val="21"/>
                <w:lang w:val="en-US" w:eastAsia="zh-CN"/>
              </w:rPr>
            </w:pPr>
            <w:r>
              <w:rPr>
                <w:rFonts w:hint="eastAsia" w:ascii="Times New Roman" w:hAnsi="Times New Roman" w:cs="Times New Roman"/>
                <w:kern w:val="0"/>
                <w:sz w:val="21"/>
                <w:szCs w:val="21"/>
                <w:lang w:val="en-US" w:eastAsia="zh-CN"/>
              </w:rPr>
              <w:t>0.05</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40" w:lineRule="exact"/>
              <w:ind w:firstLine="0" w:firstLineChars="0"/>
              <w:rPr>
                <w:rFonts w:hint="eastAsia" w:ascii="Times New Roman" w:hAnsi="Times New Roman" w:cs="Times New Roman"/>
                <w:kern w:val="0"/>
                <w:sz w:val="21"/>
                <w:szCs w:val="21"/>
                <w:lang w:val="en-US" w:eastAsia="zh-CN"/>
              </w:rPr>
            </w:pPr>
            <w:r>
              <w:rPr>
                <w:rFonts w:hint="default"/>
                <w:sz w:val="21"/>
                <w:szCs w:val="21"/>
                <w:lang w:val="en-US" w:eastAsia="zh-CN"/>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噪声</w:t>
            </w:r>
          </w:p>
        </w:tc>
        <w:tc>
          <w:tcPr>
            <w:tcW w:w="1708" w:type="pct"/>
            <w:gridSpan w:val="3"/>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破碎机、密炼机、真空泵、空压机、搅拌机</w:t>
            </w:r>
          </w:p>
        </w:tc>
        <w:tc>
          <w:tcPr>
            <w:tcW w:w="768" w:type="pc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80-85dB（A）</w:t>
            </w:r>
          </w:p>
        </w:tc>
        <w:tc>
          <w:tcPr>
            <w:tcW w:w="879" w:type="pc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60-70dB（A）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restart"/>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r>
              <w:rPr>
                <w:sz w:val="21"/>
                <w:szCs w:val="21"/>
              </w:rPr>
              <w:t>固废</w:t>
            </w:r>
          </w:p>
        </w:tc>
        <w:tc>
          <w:tcPr>
            <w:tcW w:w="618" w:type="pct"/>
            <w:gridSpan w:val="2"/>
            <w:vMerge w:val="restar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sz w:val="21"/>
                <w:szCs w:val="21"/>
                <w:lang w:eastAsia="zh-CN"/>
              </w:rPr>
              <w:t>一般固废</w:t>
            </w: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kern w:val="0"/>
                <w:sz w:val="21"/>
                <w:szCs w:val="21"/>
              </w:rPr>
            </w:pPr>
            <w:r>
              <w:rPr>
                <w:rFonts w:hint="eastAsia"/>
                <w:kern w:val="0"/>
                <w:sz w:val="21"/>
                <w:szCs w:val="21"/>
              </w:rPr>
              <w:t>废弃边角料</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26.25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26.25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kern w:val="0"/>
                <w:sz w:val="21"/>
                <w:szCs w:val="21"/>
              </w:rPr>
            </w:pPr>
            <w:r>
              <w:rPr>
                <w:rFonts w:hint="eastAsia"/>
                <w:kern w:val="0"/>
                <w:sz w:val="21"/>
                <w:szCs w:val="21"/>
                <w:lang w:eastAsia="zh-CN"/>
              </w:rPr>
              <w:t>一般废包装</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7.5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7.5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rPr>
            </w:pPr>
            <w:r>
              <w:rPr>
                <w:rFonts w:hint="eastAsia"/>
                <w:sz w:val="21"/>
                <w:szCs w:val="21"/>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kern w:val="0"/>
                <w:sz w:val="21"/>
                <w:szCs w:val="21"/>
              </w:rPr>
              <w:t>除尘器卸灰</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1.1</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1.1</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kern w:val="0"/>
                <w:sz w:val="21"/>
                <w:szCs w:val="21"/>
              </w:rPr>
            </w:pPr>
            <w:r>
              <w:rPr>
                <w:kern w:val="0"/>
                <w:sz w:val="21"/>
                <w:szCs w:val="21"/>
              </w:rPr>
              <w:t>生活垃圾</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15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val="en-US" w:eastAsia="zh-CN"/>
              </w:rPr>
              <w:t>15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restar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lang w:eastAsia="zh-CN"/>
              </w:rPr>
              <w:t>危险固废</w:t>
            </w: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u w:val="single"/>
              </w:rPr>
            </w:pPr>
            <w:r>
              <w:rPr>
                <w:rFonts w:hint="eastAsia"/>
                <w:kern w:val="0"/>
                <w:sz w:val="21"/>
                <w:szCs w:val="21"/>
                <w:u w:val="single"/>
              </w:rPr>
              <w:t>废催化剂</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u w:val="single"/>
              </w:rPr>
            </w:pPr>
            <w:r>
              <w:rPr>
                <w:rFonts w:hint="eastAsia"/>
                <w:kern w:val="0"/>
                <w:sz w:val="21"/>
                <w:szCs w:val="21"/>
                <w:u w:val="single"/>
              </w:rPr>
              <w:t>5</w:t>
            </w:r>
            <w:r>
              <w:rPr>
                <w:kern w:val="0"/>
                <w:sz w:val="21"/>
                <w:szCs w:val="21"/>
                <w:u w:val="single"/>
              </w:rPr>
              <w:t>t/</w:t>
            </w:r>
            <w:r>
              <w:rPr>
                <w:rFonts w:hint="eastAsia"/>
                <w:kern w:val="0"/>
                <w:sz w:val="21"/>
                <w:szCs w:val="21"/>
                <w:u w:val="single"/>
              </w:rPr>
              <w:t>（4~5）</w:t>
            </w:r>
            <w:r>
              <w:rPr>
                <w:kern w:val="0"/>
                <w:sz w:val="21"/>
                <w:szCs w:val="21"/>
                <w:u w:val="single"/>
              </w:rPr>
              <w: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u w:val="single"/>
              </w:rPr>
            </w:pPr>
            <w:r>
              <w:rPr>
                <w:rFonts w:hint="eastAsia"/>
                <w:kern w:val="0"/>
                <w:sz w:val="21"/>
                <w:szCs w:val="21"/>
                <w:u w:val="single"/>
              </w:rPr>
              <w:t>5</w:t>
            </w:r>
            <w:r>
              <w:rPr>
                <w:kern w:val="0"/>
                <w:sz w:val="21"/>
                <w:szCs w:val="21"/>
                <w:u w:val="single"/>
              </w:rPr>
              <w:t>t/</w:t>
            </w:r>
            <w:r>
              <w:rPr>
                <w:rFonts w:hint="eastAsia"/>
                <w:kern w:val="0"/>
                <w:sz w:val="21"/>
                <w:szCs w:val="21"/>
                <w:u w:val="single"/>
              </w:rPr>
              <w:t>（4~5）</w:t>
            </w:r>
            <w:r>
              <w:rPr>
                <w:kern w:val="0"/>
                <w:sz w:val="21"/>
                <w:szCs w:val="21"/>
                <w:u w:val="single"/>
              </w:rPr>
              <w: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u w:val="single"/>
              </w:rPr>
            </w:pPr>
            <w:r>
              <w:rPr>
                <w:sz w:val="21"/>
                <w:szCs w:val="21"/>
                <w:u w:val="singl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r>
              <w:rPr>
                <w:kern w:val="0"/>
                <w:sz w:val="21"/>
                <w:szCs w:val="21"/>
              </w:rPr>
              <w:t>废</w:t>
            </w:r>
            <w:r>
              <w:rPr>
                <w:rFonts w:hint="eastAsia"/>
                <w:kern w:val="0"/>
                <w:sz w:val="21"/>
                <w:szCs w:val="21"/>
              </w:rPr>
              <w:t>机油</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kern w:val="0"/>
                <w:sz w:val="21"/>
                <w:szCs w:val="21"/>
              </w:rPr>
              <w:t>0.</w:t>
            </w:r>
            <w:r>
              <w:rPr>
                <w:rFonts w:hint="eastAsia"/>
                <w:kern w:val="0"/>
                <w:sz w:val="21"/>
                <w:szCs w:val="21"/>
              </w:rPr>
              <w:t>01</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kern w:val="0"/>
                <w:sz w:val="21"/>
                <w:szCs w:val="21"/>
              </w:rPr>
              <w:t>0.</w:t>
            </w:r>
            <w:r>
              <w:rPr>
                <w:rFonts w:hint="eastAsia"/>
                <w:kern w:val="0"/>
                <w:sz w:val="21"/>
                <w:szCs w:val="21"/>
              </w:rPr>
              <w:t>01</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cs="Times New Roman"/>
                <w:sz w:val="21"/>
                <w:szCs w:val="21"/>
              </w:rPr>
            </w:pPr>
            <w:r>
              <w:rPr>
                <w:kern w:val="0"/>
                <w:sz w:val="21"/>
                <w:szCs w:val="21"/>
              </w:rPr>
              <w:t>废活性炭</w:t>
            </w:r>
          </w:p>
        </w:tc>
        <w:tc>
          <w:tcPr>
            <w:tcW w:w="768"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rPr>
              <w:t>1.325</w:t>
            </w:r>
            <w:r>
              <w:rPr>
                <w:kern w:val="0"/>
                <w:sz w:val="21"/>
                <w:szCs w:val="21"/>
              </w:rPr>
              <w:t>t/a</w:t>
            </w:r>
          </w:p>
        </w:tc>
        <w:tc>
          <w:tcPr>
            <w:tcW w:w="879"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r>
              <w:rPr>
                <w:rFonts w:hint="eastAsia"/>
                <w:kern w:val="0"/>
                <w:sz w:val="21"/>
                <w:szCs w:val="21"/>
              </w:rPr>
              <w:t>1.325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sz w:val="21"/>
                <w:szCs w:val="21"/>
              </w:rPr>
            </w:pP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cs="Times New Roman"/>
                <w:sz w:val="21"/>
                <w:szCs w:val="21"/>
                <w:u w:val="single"/>
              </w:rPr>
            </w:pPr>
            <w:r>
              <w:rPr>
                <w:rFonts w:cs="Times New Roman"/>
                <w:sz w:val="21"/>
                <w:szCs w:val="21"/>
                <w:u w:val="single"/>
              </w:rPr>
              <w:t>污水处理站污泥</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u w:val="single"/>
              </w:rPr>
            </w:pPr>
            <w:r>
              <w:rPr>
                <w:rFonts w:hint="eastAsia" w:cs="Times New Roman"/>
                <w:sz w:val="21"/>
                <w:szCs w:val="21"/>
                <w:u w:val="single"/>
                <w:lang w:val="en-US" w:eastAsia="zh-CN"/>
              </w:rPr>
              <w:t>9.273</w:t>
            </w:r>
            <w:r>
              <w:rPr>
                <w:kern w:val="0"/>
                <w:sz w:val="21"/>
                <w:szCs w:val="21"/>
                <w:u w:val="single"/>
              </w:rPr>
              <w:t>t/a</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sz w:val="21"/>
                <w:szCs w:val="21"/>
                <w:u w:val="single"/>
              </w:rPr>
            </w:pPr>
            <w:r>
              <w:rPr>
                <w:rFonts w:hint="eastAsia" w:cs="Times New Roman"/>
                <w:sz w:val="21"/>
                <w:szCs w:val="21"/>
                <w:u w:val="single"/>
                <w:lang w:val="en-US" w:eastAsia="zh-CN"/>
              </w:rPr>
              <w:t>9.273</w:t>
            </w:r>
            <w:r>
              <w:rPr>
                <w:kern w:val="0"/>
                <w:sz w:val="21"/>
                <w:szCs w:val="21"/>
                <w:u w:val="single"/>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u w:val="single"/>
              </w:rPr>
            </w:pPr>
            <w:r>
              <w:rPr>
                <w:sz w:val="21"/>
                <w:szCs w:val="21"/>
                <w:u w:val="single"/>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continue"/>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p>
        </w:tc>
        <w:tc>
          <w:tcPr>
            <w:tcW w:w="1090"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rFonts w:cs="Times New Roman"/>
                <w:sz w:val="21"/>
                <w:szCs w:val="21"/>
              </w:rPr>
            </w:pPr>
            <w:r>
              <w:rPr>
                <w:rFonts w:cs="Times New Roman"/>
                <w:sz w:val="21"/>
                <w:szCs w:val="21"/>
              </w:rPr>
              <w:t>产品滤渣</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kern w:val="0"/>
                <w:sz w:val="21"/>
                <w:szCs w:val="21"/>
                <w:lang w:val="en-US" w:eastAsia="zh-CN"/>
              </w:rPr>
              <w:t>45.715</w:t>
            </w:r>
            <w:r>
              <w:rPr>
                <w:kern w:val="0"/>
                <w:sz w:val="21"/>
                <w:szCs w:val="21"/>
              </w:rPr>
              <w:t>t/a</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kern w:val="0"/>
                <w:sz w:val="21"/>
                <w:szCs w:val="21"/>
                <w:lang w:val="en-US" w:eastAsia="zh-CN"/>
              </w:rPr>
              <w:t>45.715</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cs="Times New Roman"/>
                <w:sz w:val="21"/>
                <w:szCs w:val="21"/>
              </w:rPr>
              <w:t>废原材料包装</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cs="Times New Roman"/>
                <w:sz w:val="21"/>
                <w:szCs w:val="21"/>
              </w:rPr>
              <w:t>3.2</w:t>
            </w:r>
            <w:r>
              <w:rPr>
                <w:kern w:val="0"/>
                <w:sz w:val="21"/>
                <w:szCs w:val="21"/>
              </w:rPr>
              <w:t>t/a</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cs="Times New Roman"/>
                <w:sz w:val="21"/>
                <w:szCs w:val="21"/>
              </w:rPr>
              <w:t>3.2</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rPr>
            </w:pPr>
            <w:r>
              <w:rPr>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50" w:type="pct"/>
            <w:vMerge w:val="continue"/>
            <w:vAlign w:val="center"/>
          </w:tcPr>
          <w:p>
            <w:pPr>
              <w:pStyle w:val="38"/>
              <w:keepNext w:val="0"/>
              <w:keepLines w:val="0"/>
              <w:pageBreakBefore w:val="0"/>
              <w:kinsoku/>
              <w:wordWrap/>
              <w:overflowPunct/>
              <w:topLinePunct w:val="0"/>
              <w:autoSpaceDE/>
              <w:autoSpaceDN/>
              <w:bidi w:val="0"/>
              <w:adjustRightInd/>
              <w:snapToGrid/>
              <w:spacing w:line="340" w:lineRule="exact"/>
              <w:rPr>
                <w:rFonts w:hint="default"/>
                <w:sz w:val="21"/>
                <w:szCs w:val="21"/>
              </w:rPr>
            </w:pPr>
          </w:p>
        </w:tc>
        <w:tc>
          <w:tcPr>
            <w:tcW w:w="618" w:type="pct"/>
            <w:gridSpan w:val="2"/>
            <w:vMerge w:val="continue"/>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kern w:val="0"/>
                <w:sz w:val="21"/>
                <w:szCs w:val="21"/>
              </w:rPr>
            </w:pPr>
          </w:p>
        </w:tc>
        <w:tc>
          <w:tcPr>
            <w:tcW w:w="1090" w:type="pct"/>
            <w:vAlign w:val="center"/>
          </w:tcPr>
          <w:p>
            <w:pPr>
              <w:keepNext w:val="0"/>
              <w:keepLines w:val="0"/>
              <w:pageBreakBefore w:val="0"/>
              <w:widowControl/>
              <w:kinsoku/>
              <w:wordWrap/>
              <w:overflowPunct/>
              <w:topLinePunct w:val="0"/>
              <w:autoSpaceDE/>
              <w:autoSpaceDN/>
              <w:bidi w:val="0"/>
              <w:adjustRightInd/>
              <w:snapToGrid/>
              <w:spacing w:line="360" w:lineRule="exact"/>
              <w:ind w:firstLine="0" w:firstLineChars="0"/>
              <w:jc w:val="center"/>
              <w:rPr>
                <w:rFonts w:hint="eastAsia" w:cs="Times New Roman"/>
                <w:sz w:val="21"/>
                <w:szCs w:val="21"/>
              </w:rPr>
            </w:pPr>
            <w:r>
              <w:rPr>
                <w:rFonts w:hint="eastAsia" w:cs="Times New Roman"/>
                <w:sz w:val="21"/>
                <w:szCs w:val="21"/>
              </w:rPr>
              <w:t>喷淋塔沉渣</w:t>
            </w:r>
          </w:p>
        </w:tc>
        <w:tc>
          <w:tcPr>
            <w:tcW w:w="768"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cs="Times New Roman"/>
                <w:sz w:val="21"/>
                <w:szCs w:val="21"/>
                <w:lang w:val="en-US" w:eastAsia="zh-CN"/>
              </w:rPr>
              <w:t>1.27</w:t>
            </w:r>
            <w:r>
              <w:rPr>
                <w:kern w:val="0"/>
                <w:sz w:val="21"/>
                <w:szCs w:val="21"/>
              </w:rPr>
              <w:t>t/a</w:t>
            </w:r>
          </w:p>
        </w:tc>
        <w:tc>
          <w:tcPr>
            <w:tcW w:w="879" w:type="pct"/>
            <w:vAlign w:val="center"/>
          </w:tcPr>
          <w:p>
            <w:pPr>
              <w:keepNext w:val="0"/>
              <w:keepLines w:val="0"/>
              <w:pageBreakBefore w:val="0"/>
              <w:kinsoku/>
              <w:wordWrap/>
              <w:overflowPunct/>
              <w:topLinePunct w:val="0"/>
              <w:autoSpaceDE/>
              <w:autoSpaceDN/>
              <w:bidi w:val="0"/>
              <w:adjustRightInd/>
              <w:snapToGrid/>
              <w:spacing w:line="360" w:lineRule="exact"/>
              <w:ind w:firstLine="0" w:firstLineChars="0"/>
              <w:jc w:val="center"/>
              <w:rPr>
                <w:kern w:val="0"/>
                <w:sz w:val="21"/>
                <w:szCs w:val="21"/>
              </w:rPr>
            </w:pPr>
            <w:r>
              <w:rPr>
                <w:rFonts w:hint="eastAsia" w:cs="Times New Roman"/>
                <w:sz w:val="21"/>
                <w:szCs w:val="21"/>
                <w:lang w:val="en-US" w:eastAsia="zh-CN"/>
              </w:rPr>
              <w:t>1.27</w:t>
            </w:r>
            <w:r>
              <w:rPr>
                <w:kern w:val="0"/>
                <w:sz w:val="21"/>
                <w:szCs w:val="21"/>
              </w:rPr>
              <w:t>t/a</w:t>
            </w:r>
          </w:p>
        </w:tc>
        <w:tc>
          <w:tcPr>
            <w:tcW w:w="892" w:type="pct"/>
            <w:vAlign w:val="center"/>
          </w:tcPr>
          <w:p>
            <w:pPr>
              <w:pStyle w:val="38"/>
              <w:keepNext w:val="0"/>
              <w:keepLines w:val="0"/>
              <w:pageBreakBefore w:val="0"/>
              <w:kinsoku/>
              <w:wordWrap/>
              <w:overflowPunct/>
              <w:topLinePunct w:val="0"/>
              <w:autoSpaceDE/>
              <w:autoSpaceDN/>
              <w:bidi w:val="0"/>
              <w:adjustRightInd/>
              <w:snapToGrid/>
              <w:spacing w:line="360" w:lineRule="exact"/>
              <w:ind w:firstLine="0" w:firstLineChars="0"/>
              <w:rPr>
                <w:rFonts w:hint="default"/>
                <w:sz w:val="21"/>
                <w:szCs w:val="21"/>
              </w:rPr>
            </w:pPr>
            <w:r>
              <w:rPr>
                <w:sz w:val="21"/>
                <w:szCs w:val="21"/>
              </w:rPr>
              <w:t>0</w:t>
            </w:r>
          </w:p>
        </w:tc>
      </w:tr>
    </w:tbl>
    <w:p>
      <w:pPr>
        <w:widowControl/>
        <w:ind w:firstLine="480"/>
        <w:jc w:val="left"/>
        <w:rPr>
          <w:rFonts w:cs="Times New Roman"/>
          <w:color w:val="000000"/>
          <w:kern w:val="0"/>
          <w:lang w:bidi="ar"/>
        </w:rPr>
      </w:pPr>
      <w:r>
        <w:rPr>
          <w:rFonts w:hint="eastAsia" w:cs="Times New Roman"/>
          <w:color w:val="000000"/>
          <w:kern w:val="0"/>
          <w:lang w:bidi="ar"/>
        </w:rPr>
        <w:t>由上表可知，本项目营运后大气污染物总量控制指标为颗粒物：</w:t>
      </w:r>
      <w:r>
        <w:rPr>
          <w:rFonts w:hint="eastAsia" w:cs="Times New Roman"/>
          <w:color w:val="000000"/>
          <w:kern w:val="0"/>
          <w:lang w:val="en-US" w:eastAsia="zh-CN" w:bidi="ar"/>
        </w:rPr>
        <w:t>0.078</w:t>
      </w:r>
      <w:r>
        <w:rPr>
          <w:rFonts w:hint="eastAsia" w:cs="Times New Roman"/>
          <w:color w:val="000000"/>
          <w:kern w:val="0"/>
          <w:lang w:bidi="ar"/>
        </w:rPr>
        <w:t>t/a，VOCs：</w:t>
      </w:r>
      <w:r>
        <w:rPr>
          <w:rFonts w:hint="eastAsia" w:cs="Times New Roman"/>
          <w:color w:val="000000"/>
          <w:kern w:val="0"/>
          <w:lang w:val="en-US" w:eastAsia="zh-CN" w:bidi="ar"/>
        </w:rPr>
        <w:t>2.6017</w:t>
      </w:r>
      <w:r>
        <w:rPr>
          <w:rFonts w:hint="eastAsia" w:cs="Times New Roman"/>
          <w:color w:val="000000"/>
          <w:kern w:val="0"/>
          <w:lang w:bidi="ar"/>
        </w:rPr>
        <w:t>t/a。</w:t>
      </w:r>
    </w:p>
    <w:p>
      <w:pPr>
        <w:widowControl/>
        <w:ind w:firstLine="480"/>
        <w:jc w:val="left"/>
        <w:rPr>
          <w:rFonts w:cs="Times New Roman"/>
          <w:color w:val="000000"/>
          <w:kern w:val="0"/>
          <w:lang w:bidi="ar"/>
        </w:rPr>
      </w:pPr>
      <w:r>
        <w:rPr>
          <w:rFonts w:hint="eastAsia" w:ascii="宋体" w:hAnsi="宋体" w:cs="宋体"/>
          <w:color w:val="000000"/>
          <w:kern w:val="0"/>
          <w:lang w:bidi="ar"/>
        </w:rPr>
        <w:t>②</w:t>
      </w:r>
      <w:r>
        <w:rPr>
          <w:rFonts w:hint="eastAsia" w:cs="Times New Roman"/>
          <w:color w:val="000000"/>
          <w:kern w:val="0"/>
          <w:lang w:bidi="ar"/>
        </w:rPr>
        <w:t>废水污染物排放总量</w:t>
      </w:r>
    </w:p>
    <w:p>
      <w:pPr>
        <w:widowControl/>
        <w:ind w:firstLine="480"/>
        <w:jc w:val="left"/>
        <w:rPr>
          <w:rFonts w:cs="Times New Roman"/>
          <w:color w:val="000000"/>
          <w:kern w:val="0"/>
          <w:lang w:bidi="ar"/>
        </w:rPr>
      </w:pPr>
      <w:r>
        <w:rPr>
          <w:rFonts w:hint="eastAsia" w:cs="Times New Roman"/>
          <w:color w:val="000000"/>
          <w:kern w:val="0"/>
          <w:lang w:bidi="ar"/>
        </w:rPr>
        <w:t>本项目营运后厂区废水排放至集聚区污水处理厂集中处理，排入外环境的总量计算按照污水处理厂出口计，经调查，集聚区污水处理厂设计出水指标达到《城镇污水处理厂污染物排放标准》（GB18918-2002）表1中一级A标准（COD&lt;20mg/L，氨氮1.0mg/L）。因此，本项目废水污染物总量控制指标见表9.6-2。</w:t>
      </w:r>
    </w:p>
    <w:p>
      <w:pPr>
        <w:ind w:firstLine="482"/>
        <w:jc w:val="center"/>
        <w:rPr>
          <w:b/>
          <w:bCs/>
        </w:rPr>
      </w:pPr>
      <w:r>
        <w:rPr>
          <w:rFonts w:hint="eastAsia"/>
          <w:b/>
          <w:bCs/>
        </w:rPr>
        <w:t>表9.6-2  本项目废水污染物总量核算表</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 w:type="dxa"/>
          <w:bottom w:w="0" w:type="dxa"/>
          <w:right w:w="10" w:type="dxa"/>
        </w:tblCellMar>
      </w:tblPr>
      <w:tblGrid>
        <w:gridCol w:w="931"/>
        <w:gridCol w:w="1982"/>
        <w:gridCol w:w="1987"/>
        <w:gridCol w:w="1982"/>
        <w:gridCol w:w="2002"/>
      </w:tblGrid>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931" w:type="dxa"/>
            <w:shd w:val="clear" w:color="auto" w:fill="FFFFFF"/>
            <w:vAlign w:val="center"/>
          </w:tcPr>
          <w:p>
            <w:pPr>
              <w:spacing w:line="360" w:lineRule="exact"/>
              <w:ind w:firstLine="0" w:firstLineChars="0"/>
              <w:jc w:val="center"/>
              <w:rPr>
                <w:rFonts w:cs="Times New Roman"/>
                <w:sz w:val="21"/>
                <w:szCs w:val="21"/>
              </w:rPr>
            </w:pPr>
            <w:r>
              <w:rPr>
                <w:rFonts w:hint="eastAsia" w:cs="Times New Roman"/>
                <w:sz w:val="21"/>
                <w:szCs w:val="21"/>
              </w:rPr>
              <w:t>序号</w:t>
            </w:r>
          </w:p>
        </w:tc>
        <w:tc>
          <w:tcPr>
            <w:tcW w:w="1982" w:type="dxa"/>
            <w:tcBorders>
              <w:left w:val="single" w:color="auto" w:sz="4" w:space="0"/>
            </w:tcBorders>
            <w:shd w:val="clear" w:color="auto" w:fill="FFFFFF"/>
            <w:vAlign w:val="center"/>
          </w:tcPr>
          <w:p>
            <w:pPr>
              <w:spacing w:line="360" w:lineRule="exact"/>
              <w:ind w:firstLine="0" w:firstLineChars="0"/>
              <w:jc w:val="center"/>
              <w:rPr>
                <w:rFonts w:cs="Times New Roman"/>
                <w:sz w:val="21"/>
                <w:szCs w:val="21"/>
              </w:rPr>
            </w:pPr>
            <w:r>
              <w:rPr>
                <w:rFonts w:hint="eastAsia" w:cs="Times New Roman"/>
                <w:sz w:val="21"/>
                <w:szCs w:val="21"/>
              </w:rPr>
              <w:t>污染物</w:t>
            </w:r>
          </w:p>
        </w:tc>
        <w:tc>
          <w:tcPr>
            <w:tcW w:w="1987" w:type="dxa"/>
            <w:tcBorders>
              <w:left w:val="single" w:color="auto" w:sz="4" w:space="0"/>
            </w:tcBorders>
            <w:shd w:val="clear" w:color="auto" w:fill="FFFFFF"/>
            <w:vAlign w:val="bottom"/>
          </w:tcPr>
          <w:p>
            <w:pPr>
              <w:spacing w:line="360" w:lineRule="exact"/>
              <w:ind w:firstLine="0" w:firstLineChars="0"/>
              <w:jc w:val="center"/>
              <w:rPr>
                <w:rFonts w:cs="Times New Roman"/>
                <w:sz w:val="21"/>
                <w:szCs w:val="21"/>
              </w:rPr>
            </w:pPr>
            <w:r>
              <w:rPr>
                <w:rFonts w:hint="eastAsia" w:cs="Times New Roman"/>
                <w:sz w:val="21"/>
                <w:szCs w:val="21"/>
              </w:rPr>
              <w:t>废水量（</w:t>
            </w:r>
            <w:r>
              <w:rPr>
                <w:rFonts w:hint="eastAsia" w:cs="Times New Roman"/>
                <w:sz w:val="21"/>
                <w:szCs w:val="21"/>
                <w:lang w:eastAsia="en-US"/>
              </w:rPr>
              <w:t>t/a</w:t>
            </w:r>
            <w:r>
              <w:rPr>
                <w:rFonts w:hint="eastAsia" w:cs="Times New Roman"/>
                <w:sz w:val="21"/>
                <w:szCs w:val="21"/>
              </w:rPr>
              <w:t>）</w:t>
            </w:r>
          </w:p>
        </w:tc>
        <w:tc>
          <w:tcPr>
            <w:tcW w:w="1982" w:type="dxa"/>
            <w:tcBorders>
              <w:left w:val="single" w:color="auto" w:sz="4" w:space="0"/>
            </w:tcBorders>
            <w:shd w:val="clear" w:color="auto" w:fill="FFFFFF"/>
            <w:vAlign w:val="bottom"/>
          </w:tcPr>
          <w:p>
            <w:pPr>
              <w:spacing w:line="360" w:lineRule="exact"/>
              <w:ind w:firstLine="0" w:firstLineChars="0"/>
              <w:jc w:val="center"/>
              <w:rPr>
                <w:rFonts w:cs="Times New Roman"/>
                <w:sz w:val="21"/>
                <w:szCs w:val="21"/>
              </w:rPr>
            </w:pPr>
            <w:r>
              <w:rPr>
                <w:rFonts w:hint="eastAsia" w:cs="Times New Roman"/>
                <w:sz w:val="21"/>
                <w:szCs w:val="21"/>
              </w:rPr>
              <w:t>预测排放浓度（mg/L）</w:t>
            </w:r>
          </w:p>
        </w:tc>
        <w:tc>
          <w:tcPr>
            <w:tcW w:w="2002" w:type="dxa"/>
            <w:tcBorders>
              <w:left w:val="single" w:color="auto" w:sz="4" w:space="0"/>
            </w:tcBorders>
            <w:shd w:val="clear" w:color="auto" w:fill="FFFFFF"/>
            <w:vAlign w:val="bottom"/>
          </w:tcPr>
          <w:p>
            <w:pPr>
              <w:spacing w:line="360" w:lineRule="exact"/>
              <w:ind w:firstLine="0" w:firstLineChars="0"/>
              <w:jc w:val="center"/>
              <w:rPr>
                <w:rFonts w:cs="Times New Roman"/>
                <w:sz w:val="21"/>
                <w:szCs w:val="21"/>
              </w:rPr>
            </w:pPr>
            <w:r>
              <w:rPr>
                <w:rFonts w:hint="eastAsia" w:cs="Times New Roman"/>
                <w:sz w:val="21"/>
                <w:szCs w:val="21"/>
              </w:rPr>
              <w:t>年预测排放量（t/a）</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931" w:type="dxa"/>
            <w:tcBorders>
              <w:top w:val="single" w:color="auto" w:sz="4" w:space="0"/>
            </w:tcBorders>
            <w:shd w:val="clear" w:color="auto" w:fill="FFFFFF"/>
            <w:vAlign w:val="center"/>
          </w:tcPr>
          <w:p>
            <w:pPr>
              <w:spacing w:line="360" w:lineRule="exact"/>
              <w:ind w:firstLine="0" w:firstLineChars="0"/>
              <w:jc w:val="center"/>
              <w:rPr>
                <w:rFonts w:cs="Times New Roman"/>
                <w:sz w:val="21"/>
                <w:szCs w:val="21"/>
              </w:rPr>
            </w:pPr>
            <w:r>
              <w:rPr>
                <w:rFonts w:hint="eastAsia" w:cs="Times New Roman"/>
                <w:sz w:val="21"/>
                <w:szCs w:val="21"/>
              </w:rPr>
              <w:t>1</w:t>
            </w:r>
          </w:p>
        </w:tc>
        <w:tc>
          <w:tcPr>
            <w:tcW w:w="1982" w:type="dxa"/>
            <w:tcBorders>
              <w:top w:val="single" w:color="auto" w:sz="4" w:space="0"/>
              <w:left w:val="single" w:color="auto" w:sz="4" w:space="0"/>
            </w:tcBorders>
            <w:shd w:val="clear" w:color="auto" w:fill="FFFFFF"/>
            <w:vAlign w:val="center"/>
          </w:tcPr>
          <w:p>
            <w:pPr>
              <w:spacing w:line="360" w:lineRule="exact"/>
              <w:ind w:firstLine="0" w:firstLineChars="0"/>
              <w:jc w:val="center"/>
              <w:rPr>
                <w:rFonts w:cs="Times New Roman"/>
                <w:sz w:val="21"/>
                <w:szCs w:val="21"/>
              </w:rPr>
            </w:pPr>
            <w:r>
              <w:rPr>
                <w:rFonts w:hint="eastAsia" w:cs="Times New Roman"/>
                <w:sz w:val="21"/>
                <w:szCs w:val="21"/>
                <w:lang w:eastAsia="en-US"/>
              </w:rPr>
              <w:t>COD</w:t>
            </w:r>
          </w:p>
        </w:tc>
        <w:tc>
          <w:tcPr>
            <w:tcW w:w="1987" w:type="dxa"/>
            <w:vMerge w:val="restart"/>
            <w:tcBorders>
              <w:top w:val="single" w:color="auto" w:sz="4" w:space="0"/>
              <w:left w:val="single" w:color="auto" w:sz="4" w:space="0"/>
            </w:tcBorders>
            <w:shd w:val="clear" w:color="auto" w:fill="FFFFFF"/>
            <w:vAlign w:val="center"/>
          </w:tcPr>
          <w:p>
            <w:pPr>
              <w:spacing w:line="360" w:lineRule="exact"/>
              <w:ind w:firstLine="0" w:firstLineChars="0"/>
              <w:jc w:val="center"/>
              <w:rPr>
                <w:rFonts w:hint="eastAsia" w:eastAsia="宋体" w:cs="Times New Roman"/>
                <w:sz w:val="21"/>
                <w:szCs w:val="21"/>
                <w:lang w:eastAsia="zh-CN"/>
              </w:rPr>
            </w:pPr>
            <w:r>
              <w:rPr>
                <w:rFonts w:hint="eastAsia" w:cs="Times New Roman"/>
                <w:sz w:val="21"/>
                <w:szCs w:val="21"/>
                <w:lang w:eastAsia="zh-CN"/>
              </w:rPr>
              <w:t>11910.0508</w:t>
            </w:r>
          </w:p>
        </w:tc>
        <w:tc>
          <w:tcPr>
            <w:tcW w:w="1982" w:type="dxa"/>
            <w:tcBorders>
              <w:top w:val="single" w:color="auto" w:sz="4" w:space="0"/>
              <w:left w:val="single" w:color="auto" w:sz="4" w:space="0"/>
            </w:tcBorders>
            <w:shd w:val="clear" w:color="auto" w:fill="FFFFFF"/>
            <w:vAlign w:val="center"/>
          </w:tcPr>
          <w:p>
            <w:pPr>
              <w:spacing w:line="360" w:lineRule="exact"/>
              <w:ind w:firstLine="0" w:firstLineChars="0"/>
              <w:jc w:val="center"/>
              <w:rPr>
                <w:rFonts w:cs="Times New Roman"/>
                <w:sz w:val="21"/>
                <w:szCs w:val="21"/>
              </w:rPr>
            </w:pPr>
            <w:r>
              <w:rPr>
                <w:rFonts w:hint="eastAsia" w:cs="Times New Roman"/>
                <w:sz w:val="21"/>
                <w:szCs w:val="21"/>
                <w:lang w:eastAsia="en-US"/>
              </w:rPr>
              <w:t>20</w:t>
            </w:r>
          </w:p>
        </w:tc>
        <w:tc>
          <w:tcPr>
            <w:tcW w:w="2002" w:type="dxa"/>
            <w:tcBorders>
              <w:top w:val="single" w:color="auto" w:sz="4" w:space="0"/>
              <w:left w:val="single" w:color="auto" w:sz="4" w:space="0"/>
            </w:tcBorders>
            <w:shd w:val="clear" w:color="auto" w:fill="FFFFFF"/>
            <w:vAlign w:val="center"/>
          </w:tcPr>
          <w:p>
            <w:pPr>
              <w:spacing w:line="360" w:lineRule="exact"/>
              <w:ind w:firstLine="0" w:firstLineChars="0"/>
              <w:jc w:val="center"/>
              <w:rPr>
                <w:rFonts w:hint="default" w:eastAsia="宋体" w:cs="Times New Roman"/>
                <w:sz w:val="21"/>
                <w:szCs w:val="21"/>
                <w:lang w:val="en-US" w:eastAsia="zh-CN"/>
              </w:rPr>
            </w:pPr>
            <w:r>
              <w:rPr>
                <w:rFonts w:hint="eastAsia" w:cs="Times New Roman"/>
                <w:sz w:val="21"/>
                <w:szCs w:val="21"/>
              </w:rPr>
              <w:t>0.</w:t>
            </w:r>
            <w:r>
              <w:rPr>
                <w:rFonts w:hint="eastAsia" w:cs="Times New Roman"/>
                <w:sz w:val="21"/>
                <w:szCs w:val="21"/>
                <w:lang w:val="en-US" w:eastAsia="zh-CN"/>
              </w:rPr>
              <w:t>0.2382</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 w:type="dxa"/>
            <w:bottom w:w="0" w:type="dxa"/>
            <w:right w:w="10" w:type="dxa"/>
          </w:tblCellMar>
        </w:tblPrEx>
        <w:trPr>
          <w:trHeight w:val="23" w:hRule="atLeast"/>
          <w:jc w:val="center"/>
        </w:trPr>
        <w:tc>
          <w:tcPr>
            <w:tcW w:w="931" w:type="dxa"/>
            <w:tcBorders>
              <w:top w:val="single" w:color="auto" w:sz="4" w:space="0"/>
            </w:tcBorders>
            <w:shd w:val="clear" w:color="auto" w:fill="FFFFFF"/>
            <w:vAlign w:val="center"/>
          </w:tcPr>
          <w:p>
            <w:pPr>
              <w:spacing w:line="360" w:lineRule="exact"/>
              <w:ind w:firstLine="0" w:firstLineChars="0"/>
              <w:jc w:val="center"/>
              <w:rPr>
                <w:rFonts w:cs="Times New Roman"/>
                <w:sz w:val="21"/>
                <w:szCs w:val="21"/>
              </w:rPr>
            </w:pPr>
            <w:r>
              <w:rPr>
                <w:rFonts w:hint="eastAsia" w:cs="Times New Roman"/>
                <w:sz w:val="21"/>
                <w:szCs w:val="21"/>
              </w:rPr>
              <w:t>2</w:t>
            </w:r>
          </w:p>
        </w:tc>
        <w:tc>
          <w:tcPr>
            <w:tcW w:w="1982" w:type="dxa"/>
            <w:tcBorders>
              <w:top w:val="single" w:color="auto" w:sz="4" w:space="0"/>
              <w:left w:val="single" w:color="auto" w:sz="4" w:space="0"/>
            </w:tcBorders>
            <w:shd w:val="clear" w:color="auto" w:fill="FFFFFF"/>
            <w:vAlign w:val="center"/>
          </w:tcPr>
          <w:p>
            <w:pPr>
              <w:spacing w:line="360" w:lineRule="exact"/>
              <w:ind w:firstLine="0" w:firstLineChars="0"/>
              <w:jc w:val="center"/>
              <w:rPr>
                <w:rFonts w:cs="Times New Roman"/>
                <w:sz w:val="21"/>
                <w:szCs w:val="21"/>
              </w:rPr>
            </w:pPr>
            <w:r>
              <w:rPr>
                <w:rFonts w:hint="eastAsia" w:cs="Times New Roman"/>
                <w:sz w:val="21"/>
                <w:szCs w:val="21"/>
                <w:lang w:eastAsia="en-US"/>
              </w:rPr>
              <w:t>NH</w:t>
            </w:r>
            <w:r>
              <w:rPr>
                <w:rFonts w:hint="eastAsia" w:cs="Times New Roman"/>
                <w:sz w:val="21"/>
                <w:szCs w:val="21"/>
                <w:vertAlign w:val="subscript"/>
                <w:lang w:eastAsia="en-US"/>
              </w:rPr>
              <w:t>3</w:t>
            </w:r>
            <w:r>
              <w:rPr>
                <w:rFonts w:hint="eastAsia" w:cs="Times New Roman"/>
                <w:sz w:val="21"/>
                <w:szCs w:val="21"/>
                <w:lang w:eastAsia="en-US"/>
              </w:rPr>
              <w:t>-N</w:t>
            </w:r>
          </w:p>
        </w:tc>
        <w:tc>
          <w:tcPr>
            <w:tcW w:w="1987" w:type="dxa"/>
            <w:vMerge w:val="continue"/>
            <w:tcBorders>
              <w:left w:val="single" w:color="auto" w:sz="4" w:space="0"/>
            </w:tcBorders>
            <w:shd w:val="clear" w:color="auto" w:fill="FFFFFF"/>
            <w:vAlign w:val="center"/>
          </w:tcPr>
          <w:p>
            <w:pPr>
              <w:spacing w:line="360" w:lineRule="exact"/>
              <w:ind w:firstLine="0" w:firstLineChars="0"/>
              <w:jc w:val="center"/>
              <w:rPr>
                <w:rFonts w:cs="Times New Roman"/>
                <w:sz w:val="21"/>
                <w:szCs w:val="21"/>
              </w:rPr>
            </w:pPr>
          </w:p>
        </w:tc>
        <w:tc>
          <w:tcPr>
            <w:tcW w:w="1982" w:type="dxa"/>
            <w:tcBorders>
              <w:top w:val="single" w:color="auto" w:sz="4" w:space="0"/>
              <w:left w:val="single" w:color="auto" w:sz="4" w:space="0"/>
            </w:tcBorders>
            <w:shd w:val="clear" w:color="auto" w:fill="FFFFFF"/>
            <w:vAlign w:val="center"/>
          </w:tcPr>
          <w:p>
            <w:pPr>
              <w:spacing w:line="360" w:lineRule="exact"/>
              <w:ind w:firstLine="0" w:firstLineChars="0"/>
              <w:jc w:val="center"/>
              <w:rPr>
                <w:rFonts w:cs="Times New Roman"/>
                <w:sz w:val="21"/>
                <w:szCs w:val="21"/>
              </w:rPr>
            </w:pPr>
            <w:r>
              <w:rPr>
                <w:rFonts w:hint="eastAsia" w:cs="Times New Roman"/>
                <w:sz w:val="21"/>
                <w:szCs w:val="21"/>
                <w:lang w:eastAsia="en-US"/>
              </w:rPr>
              <w:t>1</w:t>
            </w:r>
          </w:p>
        </w:tc>
        <w:tc>
          <w:tcPr>
            <w:tcW w:w="2002" w:type="dxa"/>
            <w:tcBorders>
              <w:top w:val="single" w:color="auto" w:sz="4" w:space="0"/>
              <w:left w:val="single" w:color="auto" w:sz="4" w:space="0"/>
            </w:tcBorders>
            <w:shd w:val="clear" w:color="auto" w:fill="FFFFFF"/>
            <w:vAlign w:val="center"/>
          </w:tcPr>
          <w:p>
            <w:pPr>
              <w:spacing w:line="360" w:lineRule="exact"/>
              <w:ind w:firstLine="0" w:firstLineChars="0"/>
              <w:jc w:val="center"/>
              <w:rPr>
                <w:rFonts w:hint="default" w:eastAsia="宋体" w:cs="Times New Roman"/>
                <w:sz w:val="21"/>
                <w:szCs w:val="21"/>
                <w:lang w:val="en-US" w:eastAsia="zh-CN"/>
              </w:rPr>
            </w:pPr>
            <w:r>
              <w:rPr>
                <w:rFonts w:hint="eastAsia" w:cs="Times New Roman"/>
                <w:sz w:val="21"/>
                <w:szCs w:val="21"/>
                <w:lang w:val="en-US" w:eastAsia="zh-CN"/>
              </w:rPr>
              <w:t>0.012</w:t>
            </w:r>
          </w:p>
        </w:tc>
      </w:tr>
    </w:tbl>
    <w:p>
      <w:pPr>
        <w:widowControl/>
        <w:ind w:firstLine="480"/>
        <w:rPr>
          <w:rFonts w:cs="Times New Roman"/>
          <w:color w:val="000000"/>
          <w:kern w:val="0"/>
          <w:lang w:bidi="ar"/>
        </w:rPr>
      </w:pPr>
      <w:r>
        <w:rPr>
          <w:rFonts w:cs="Times New Roman"/>
          <w:color w:val="000000"/>
          <w:kern w:val="0"/>
          <w:lang w:bidi="ar"/>
        </w:rPr>
        <w:t>由上表可知，本项目营运后水污染物总量控制指标为：C</w:t>
      </w:r>
      <w:r>
        <w:rPr>
          <w:rFonts w:hint="eastAsia" w:cs="Times New Roman"/>
          <w:color w:val="000000"/>
          <w:kern w:val="0"/>
          <w:lang w:bidi="ar"/>
        </w:rPr>
        <w:t>O</w:t>
      </w:r>
      <w:r>
        <w:rPr>
          <w:rFonts w:cs="Times New Roman"/>
          <w:color w:val="000000"/>
          <w:kern w:val="0"/>
          <w:lang w:bidi="ar"/>
        </w:rPr>
        <w:t>D：0.</w:t>
      </w:r>
      <w:r>
        <w:rPr>
          <w:rFonts w:hint="eastAsia" w:cs="Times New Roman"/>
          <w:color w:val="000000"/>
          <w:kern w:val="0"/>
          <w:lang w:val="en-US" w:eastAsia="zh-CN" w:bidi="ar"/>
        </w:rPr>
        <w:t>2382</w:t>
      </w:r>
      <w:r>
        <w:rPr>
          <w:rFonts w:cs="Times New Roman"/>
          <w:color w:val="000000"/>
          <w:kern w:val="0"/>
          <w:lang w:bidi="ar"/>
        </w:rPr>
        <w:t>t/a，NH</w:t>
      </w:r>
      <w:r>
        <w:rPr>
          <w:rFonts w:cs="Times New Roman"/>
          <w:color w:val="000000"/>
          <w:kern w:val="0"/>
          <w:vertAlign w:val="subscript"/>
          <w:lang w:bidi="ar"/>
        </w:rPr>
        <w:t>3</w:t>
      </w:r>
      <w:r>
        <w:rPr>
          <w:rFonts w:cs="Times New Roman"/>
          <w:color w:val="000000"/>
          <w:kern w:val="0"/>
          <w:lang w:bidi="ar"/>
        </w:rPr>
        <w:t>-N：0.0</w:t>
      </w:r>
      <w:r>
        <w:rPr>
          <w:rFonts w:hint="eastAsia" w:cs="Times New Roman"/>
          <w:color w:val="000000"/>
          <w:kern w:val="0"/>
          <w:lang w:val="en-US" w:eastAsia="zh-CN" w:bidi="ar"/>
        </w:rPr>
        <w:t>12</w:t>
      </w:r>
      <w:r>
        <w:rPr>
          <w:rFonts w:cs="Times New Roman"/>
          <w:color w:val="000000"/>
          <w:kern w:val="0"/>
          <w:lang w:bidi="ar"/>
        </w:rPr>
        <w:t>t/a。</w:t>
      </w:r>
    </w:p>
    <w:p>
      <w:pPr>
        <w:widowControl/>
        <w:ind w:firstLine="480"/>
        <w:rPr>
          <w:rFonts w:ascii="宋体" w:hAnsi="宋体" w:cs="宋体"/>
          <w:color w:val="000000"/>
          <w:kern w:val="0"/>
          <w:lang w:bidi="ar"/>
        </w:rPr>
      </w:pPr>
      <w:r>
        <w:rPr>
          <w:rFonts w:hint="eastAsia" w:ascii="宋体" w:hAnsi="宋体" w:cs="宋体"/>
          <w:color w:val="000000"/>
          <w:kern w:val="0"/>
          <w:lang w:bidi="ar"/>
        </w:rPr>
        <w:t>本项目位于平顶山尼龙新材料产业集聚区，项目废水经厂区自建废水处理站处理达标后排入集聚区污水处理厂集中处理，处理达标后排入关庙沟，经灰河最终汇入沙河。本项目废水污染物总量指标可以从叶县当地总量指标中倍量替代，区域不增加污染物。</w:t>
      </w:r>
    </w:p>
    <w:p>
      <w:pPr>
        <w:ind w:firstLine="480"/>
        <w:rPr>
          <w:rFonts w:cs="Times New Roman"/>
          <w:color w:val="000000"/>
          <w:kern w:val="0"/>
          <w:lang w:bidi="ar"/>
        </w:rPr>
      </w:pPr>
      <w:r>
        <w:rPr>
          <w:rFonts w:hint="eastAsia" w:cs="Times New Roman"/>
          <w:color w:val="000000"/>
          <w:kern w:val="0"/>
          <w:lang w:bidi="ar"/>
        </w:rPr>
        <w:t>项目废气污染物总量指标可以从叶县当地总量指标中倍量替代，区域不增加污染物。</w:t>
      </w:r>
    </w:p>
    <w:p>
      <w:pPr>
        <w:widowControl/>
        <w:ind w:firstLine="480"/>
        <w:rPr>
          <w:rFonts w:cs="Times New Roman"/>
          <w:color w:val="000000"/>
          <w:kern w:val="0"/>
          <w:lang w:bidi="ar"/>
        </w:rPr>
      </w:pPr>
    </w:p>
    <w:p>
      <w:pPr>
        <w:pStyle w:val="5"/>
        <w:ind w:firstLine="964"/>
        <w:rPr>
          <w:rFonts w:hint="default"/>
        </w:rPr>
        <w:sectPr>
          <w:pgSz w:w="11906" w:h="16838"/>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pPr>
    </w:p>
    <w:p>
      <w:pPr>
        <w:pStyle w:val="5"/>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rPr>
      </w:pPr>
      <w:bookmarkStart w:id="369" w:name="_Toc21152"/>
      <w:bookmarkStart w:id="370" w:name="_Toc4201"/>
      <w:bookmarkStart w:id="371" w:name="_Toc3313"/>
      <w:bookmarkStart w:id="372" w:name="_Toc31131"/>
      <w:r>
        <w:t>第十章  评价结论</w:t>
      </w:r>
      <w:bookmarkEnd w:id="369"/>
      <w:bookmarkEnd w:id="370"/>
      <w:bookmarkEnd w:id="371"/>
      <w:bookmarkEnd w:id="372"/>
    </w:p>
    <w:p>
      <w:pPr>
        <w:pStyle w:val="6"/>
        <w:ind w:firstLine="0" w:firstLineChars="0"/>
      </w:pPr>
      <w:bookmarkStart w:id="373" w:name="_Toc30646"/>
      <w:bookmarkStart w:id="374" w:name="_Toc26569"/>
      <w:bookmarkStart w:id="375" w:name="_Toc26220"/>
      <w:bookmarkStart w:id="376" w:name="_Toc8335"/>
      <w:r>
        <w:rPr>
          <w:lang w:val="en-US"/>
        </w:rPr>
        <w:t xml:space="preserve">10.1 </w:t>
      </w:r>
      <w:r>
        <w:rPr>
          <w:rFonts w:hint="eastAsia"/>
          <w:lang w:val="en-US"/>
        </w:rPr>
        <w:t>项目概况</w:t>
      </w:r>
      <w:bookmarkEnd w:id="373"/>
      <w:bookmarkEnd w:id="374"/>
      <w:bookmarkEnd w:id="375"/>
      <w:bookmarkEnd w:id="376"/>
    </w:p>
    <w:p>
      <w:pPr>
        <w:ind w:firstLine="480"/>
      </w:pPr>
      <w:r>
        <w:rPr>
          <w:rFonts w:hint="eastAsia"/>
        </w:rPr>
        <w:t>新旭环保型体育设施新区建设项目建设地点位于</w:t>
      </w:r>
      <w:r>
        <w:rPr>
          <w:rFonts w:hint="eastAsia"/>
          <w:lang w:eastAsia="zh-CN"/>
        </w:rPr>
        <w:t>平顶山市尼龙新材料产业集聚区</w:t>
      </w:r>
      <w:r>
        <w:rPr>
          <w:rFonts w:hint="eastAsia"/>
        </w:rPr>
        <w:t>。项目总投资20087.21万元，环保投资</w:t>
      </w:r>
      <w:r>
        <w:rPr>
          <w:rFonts w:hint="eastAsia"/>
          <w:lang w:eastAsia="zh-CN"/>
        </w:rPr>
        <w:t>651</w:t>
      </w:r>
      <w:r>
        <w:rPr>
          <w:rFonts w:hint="eastAsia"/>
        </w:rPr>
        <w:t>万元，占</w:t>
      </w:r>
      <w:r>
        <w:t>总投资的</w:t>
      </w:r>
      <w:r>
        <w:rPr>
          <w:rFonts w:hint="eastAsia"/>
          <w:lang w:val="en-US" w:eastAsia="zh-CN"/>
        </w:rPr>
        <w:t>3.24</w:t>
      </w:r>
      <w:r>
        <w:rPr>
          <w:rFonts w:hint="eastAsia"/>
        </w:rPr>
        <w:t>%。项目建设完成后年产硅PU8000吨，</w:t>
      </w:r>
      <w:r>
        <w:rPr>
          <w:rFonts w:hint="eastAsia"/>
          <w:lang w:eastAsia="zh-CN"/>
        </w:rPr>
        <w:t>EPDM颗粒</w:t>
      </w:r>
      <w:r>
        <w:rPr>
          <w:rFonts w:hint="eastAsia"/>
        </w:rPr>
        <w:t>3500吨，人造草坪150万平方米，单组份胶水4000吨，双组份胶水8000吨，跑道专用面漆2000吨，水性树脂3500吨。</w:t>
      </w:r>
    </w:p>
    <w:p>
      <w:pPr>
        <w:ind w:firstLine="480"/>
      </w:pPr>
      <w:r>
        <w:t>本项目</w:t>
      </w:r>
      <w:r>
        <w:rPr>
          <w:rFonts w:hint="eastAsia"/>
        </w:rPr>
        <w:t>部分</w:t>
      </w:r>
      <w:r>
        <w:t>租赁厂房</w:t>
      </w:r>
      <w:r>
        <w:rPr>
          <w:rFonts w:hint="eastAsia"/>
        </w:rPr>
        <w:t>，部分厂房新建，同时</w:t>
      </w:r>
      <w:r>
        <w:t>新建污水处理站和进行设备安装等，预计建设周期为</w:t>
      </w:r>
      <w:r>
        <w:rPr>
          <w:rFonts w:hint="eastAsia"/>
        </w:rPr>
        <w:t>3个月</w:t>
      </w:r>
      <w:r>
        <w:t>，计划20</w:t>
      </w:r>
      <w:r>
        <w:rPr>
          <w:rFonts w:hint="eastAsia"/>
        </w:rPr>
        <w:t>22</w:t>
      </w:r>
      <w:r>
        <w:t>年</w:t>
      </w:r>
      <w:r>
        <w:rPr>
          <w:rFonts w:hint="eastAsia"/>
        </w:rPr>
        <w:t>10</w:t>
      </w:r>
      <w:r>
        <w:t>月开工建设，</w:t>
      </w:r>
      <w:r>
        <w:rPr>
          <w:rFonts w:hint="eastAsia"/>
        </w:rPr>
        <w:t>2022</w:t>
      </w:r>
      <w:r>
        <w:t>年</w:t>
      </w:r>
      <w:r>
        <w:rPr>
          <w:rFonts w:hint="eastAsia"/>
        </w:rPr>
        <w:t>12</w:t>
      </w:r>
      <w:r>
        <w:t>月投入生产。年工作</w:t>
      </w:r>
      <w:r>
        <w:rPr>
          <w:rFonts w:hint="eastAsia"/>
        </w:rPr>
        <w:t>300</w:t>
      </w:r>
      <w:r>
        <w:t>天。本项目劳动定员</w:t>
      </w:r>
      <w:r>
        <w:rPr>
          <w:rFonts w:hint="eastAsia"/>
        </w:rPr>
        <w:t>20</w:t>
      </w:r>
      <w:r>
        <w:t>人。实行</w:t>
      </w:r>
      <w:r>
        <w:rPr>
          <w:rFonts w:hint="eastAsia"/>
        </w:rPr>
        <w:t>24</w:t>
      </w:r>
      <w:r>
        <w:t>小时工作制。</w:t>
      </w:r>
    </w:p>
    <w:p>
      <w:pPr>
        <w:pStyle w:val="6"/>
        <w:ind w:firstLine="0" w:firstLineChars="0"/>
        <w:rPr>
          <w:lang w:val="en-US"/>
        </w:rPr>
      </w:pPr>
      <w:bookmarkStart w:id="377" w:name="_Toc1385"/>
      <w:bookmarkStart w:id="378" w:name="_Toc28732"/>
      <w:bookmarkStart w:id="379" w:name="_Toc13693"/>
      <w:bookmarkStart w:id="380" w:name="_Toc14160"/>
      <w:r>
        <w:rPr>
          <w:lang w:val="en-US"/>
        </w:rPr>
        <w:t>10.2 项目相符性结论</w:t>
      </w:r>
      <w:bookmarkEnd w:id="377"/>
      <w:bookmarkEnd w:id="378"/>
      <w:bookmarkEnd w:id="379"/>
      <w:bookmarkEnd w:id="380"/>
    </w:p>
    <w:p>
      <w:pPr>
        <w:pStyle w:val="7"/>
        <w:ind w:firstLine="562"/>
      </w:pPr>
      <w:bookmarkStart w:id="381" w:name="_Toc18140"/>
      <w:r>
        <w:t xml:space="preserve">10.2.1 </w:t>
      </w:r>
      <w:r>
        <w:rPr>
          <w:rFonts w:hint="eastAsia"/>
        </w:rPr>
        <w:t>与相关产业政策相符</w:t>
      </w:r>
      <w:bookmarkEnd w:id="381"/>
    </w:p>
    <w:p>
      <w:pPr>
        <w:ind w:firstLine="480"/>
        <w:rPr>
          <w:rFonts w:cs="Times New Roman"/>
          <w:color w:val="000000" w:themeColor="text1"/>
          <w14:textFill>
            <w14:solidFill>
              <w14:schemeClr w14:val="tx1"/>
            </w14:solidFill>
          </w14:textFill>
        </w:rPr>
      </w:pPr>
      <w:r>
        <w:rPr>
          <w:rFonts w:hint="eastAsia"/>
        </w:rPr>
        <w:t>（1）根据《产业结构调整指导目录（</w:t>
      </w:r>
      <w:r>
        <w:t>2019</w:t>
      </w:r>
      <w:r>
        <w:rPr>
          <w:rFonts w:hint="eastAsia"/>
        </w:rPr>
        <w:t>年本）》中</w:t>
      </w:r>
      <w:r>
        <w:rPr>
          <w:rFonts w:hint="eastAsia"/>
          <w:lang w:eastAsia="zh-CN"/>
        </w:rPr>
        <w:t>“</w:t>
      </w:r>
      <w:r>
        <w:rPr>
          <w:rFonts w:hint="eastAsia"/>
        </w:rPr>
        <w:t>二十六、橡胶和塑料制品业29，53、塑料制品业292</w:t>
      </w:r>
      <w:r>
        <w:rPr>
          <w:rFonts w:hint="eastAsia"/>
          <w:lang w:eastAsia="zh-CN"/>
        </w:rPr>
        <w:t>”</w:t>
      </w:r>
      <w:r>
        <w:rPr>
          <w:rFonts w:hint="eastAsia"/>
        </w:rPr>
        <w:t>项目，为其他类，需编制环境影响报告表；</w:t>
      </w:r>
      <w:r>
        <w:rPr>
          <w:rFonts w:hint="eastAsia"/>
          <w:lang w:eastAsia="zh-CN"/>
        </w:rPr>
        <w:t>EPDM颗粒</w:t>
      </w:r>
      <w:r>
        <w:rPr>
          <w:rFonts w:hint="eastAsia"/>
        </w:rPr>
        <w:t>属于</w:t>
      </w:r>
      <w:r>
        <w:rPr>
          <w:rFonts w:hint="eastAsia"/>
          <w:lang w:eastAsia="zh-CN"/>
        </w:rPr>
        <w:t>“</w:t>
      </w:r>
      <w:r>
        <w:rPr>
          <w:rFonts w:hint="eastAsia"/>
        </w:rPr>
        <w:t>二十六、橡胶和塑料制品业29，52、橡胶制品业291</w:t>
      </w:r>
      <w:r>
        <w:rPr>
          <w:rFonts w:hint="eastAsia"/>
          <w:lang w:eastAsia="zh-CN"/>
        </w:rPr>
        <w:t>”</w:t>
      </w:r>
      <w:r>
        <w:rPr>
          <w:rFonts w:hint="eastAsia"/>
        </w:rPr>
        <w:t>项目，为其他类，应编制报告表的项目，跑道专用面漆属于</w:t>
      </w:r>
      <w:r>
        <w:rPr>
          <w:rFonts w:hint="eastAsia"/>
          <w:lang w:eastAsia="zh-CN"/>
        </w:rPr>
        <w:t>“</w:t>
      </w:r>
      <w:r>
        <w:rPr>
          <w:rFonts w:hint="eastAsia"/>
        </w:rPr>
        <w:t>二十三、化学原料和化学制品制造业26，44、涂料、油墨、颜料及类似产品制造264</w:t>
      </w:r>
      <w:r>
        <w:rPr>
          <w:rFonts w:hint="eastAsia"/>
          <w:lang w:eastAsia="zh-CN"/>
        </w:rPr>
        <w:t>”</w:t>
      </w:r>
      <w:r>
        <w:rPr>
          <w:rFonts w:hint="eastAsia"/>
        </w:rPr>
        <w:t>，为单纯物理混合，应编制报告表的项目。单组份和双组份胶水属于</w:t>
      </w:r>
      <w:r>
        <w:rPr>
          <w:rFonts w:hint="eastAsia"/>
          <w:lang w:eastAsia="zh-CN"/>
        </w:rPr>
        <w:t>“</w:t>
      </w:r>
      <w:r>
        <w:rPr>
          <w:rFonts w:hint="eastAsia"/>
        </w:rPr>
        <w:t>二十三、化学原料和化学制品制造业26，44、专用化学产品制造266</w:t>
      </w:r>
      <w:r>
        <w:rPr>
          <w:rFonts w:hint="eastAsia"/>
          <w:lang w:eastAsia="zh-CN"/>
        </w:rPr>
        <w:t>”</w:t>
      </w:r>
      <w:r>
        <w:rPr>
          <w:rFonts w:hint="eastAsia"/>
        </w:rPr>
        <w:t>，生产参加化学反应，应编制报告书的项目。硅PU属于</w:t>
      </w:r>
      <w:r>
        <w:rPr>
          <w:rFonts w:hint="eastAsia"/>
          <w:lang w:eastAsia="zh-CN"/>
        </w:rPr>
        <w:t>“</w:t>
      </w:r>
      <w:r>
        <w:rPr>
          <w:rFonts w:hint="eastAsia"/>
        </w:rPr>
        <w:t>二十六、橡胶和塑料制品业29，52、橡胶制品业291</w:t>
      </w:r>
      <w:r>
        <w:rPr>
          <w:rFonts w:hint="eastAsia"/>
          <w:lang w:eastAsia="zh-CN"/>
        </w:rPr>
        <w:t>”</w:t>
      </w:r>
      <w:r>
        <w:rPr>
          <w:rFonts w:hint="eastAsia"/>
        </w:rPr>
        <w:t>项目，为其他类，应编制报告表的项目，水性树脂属于</w:t>
      </w:r>
      <w:r>
        <w:rPr>
          <w:rFonts w:hint="eastAsia"/>
          <w:lang w:eastAsia="zh-CN"/>
        </w:rPr>
        <w:t>“</w:t>
      </w:r>
      <w:r>
        <w:rPr>
          <w:rFonts w:hint="eastAsia"/>
        </w:rPr>
        <w:t>二十三、化学原料和化学制品制造业26，44、合成材料制造265</w:t>
      </w:r>
      <w:r>
        <w:rPr>
          <w:rFonts w:hint="eastAsia"/>
          <w:lang w:eastAsia="zh-CN"/>
        </w:rPr>
        <w:t>”</w:t>
      </w:r>
      <w:r>
        <w:rPr>
          <w:rFonts w:hint="eastAsia"/>
        </w:rPr>
        <w:t>。经对照，本项目属于名录中的鼓励类。因此，本次工程的建设符合国家产业政策。根据</w:t>
      </w:r>
      <w:r>
        <w:rPr>
          <w:rFonts w:cs="Times New Roman"/>
        </w:rPr>
        <w:t>叶县自然资源局出具的证明显示</w:t>
      </w:r>
      <w:r>
        <w:rPr>
          <w:rFonts w:cs="Times New Roman"/>
          <w:color w:val="000000" w:themeColor="text1"/>
          <w14:textFill>
            <w14:solidFill>
              <w14:schemeClr w14:val="tx1"/>
            </w14:solidFill>
          </w14:textFill>
        </w:rPr>
        <w:t>项目占地属于</w:t>
      </w:r>
      <w:r>
        <w:rPr>
          <w:rFonts w:hint="eastAsia" w:cs="Times New Roman"/>
          <w:color w:val="000000" w:themeColor="text1"/>
          <w14:textFill>
            <w14:solidFill>
              <w14:schemeClr w14:val="tx1"/>
            </w14:solidFill>
          </w14:textFill>
        </w:rPr>
        <w:t>工业</w:t>
      </w:r>
      <w:r>
        <w:rPr>
          <w:rFonts w:cs="Times New Roman"/>
          <w:color w:val="000000" w:themeColor="text1"/>
          <w14:textFill>
            <w14:solidFill>
              <w14:schemeClr w14:val="tx1"/>
            </w14:solidFill>
          </w14:textFill>
        </w:rPr>
        <w:t>用地，符合用地要求。</w:t>
      </w:r>
    </w:p>
    <w:p>
      <w:pPr>
        <w:widowControl/>
        <w:ind w:firstLine="480"/>
        <w:jc w:val="left"/>
        <w:rPr>
          <w:rFonts w:cs="Times New Roman"/>
          <w:color w:val="000000"/>
          <w:lang w:bidi="ar"/>
        </w:rPr>
      </w:pPr>
      <w:r>
        <w:rPr>
          <w:rFonts w:cs="Times New Roman"/>
          <w:color w:val="000000"/>
          <w:lang w:bidi="ar"/>
        </w:rPr>
        <w:t>（2）对照《限制用地项目目录》（2012年）、《禁止用地项目目录》（2012年），本项目用地不属于限制、禁止类别。</w:t>
      </w:r>
    </w:p>
    <w:p>
      <w:pPr>
        <w:widowControl/>
        <w:ind w:firstLine="480"/>
        <w:rPr>
          <w:rFonts w:cs="Times New Roman"/>
        </w:rPr>
      </w:pPr>
      <w:r>
        <w:rPr>
          <w:rFonts w:cs="Times New Roman"/>
          <w:color w:val="000000"/>
          <w:lang w:bidi="ar"/>
        </w:rPr>
        <w:t>（3）对照河南省企业投资项目备案证明，项目建设名称、企业全称、证件代码、建设地点、项目性质和建设内容一致。项目占地面积备案文件为</w:t>
      </w:r>
      <w:r>
        <w:rPr>
          <w:rFonts w:hint="eastAsia" w:cs="Times New Roman"/>
          <w:color w:val="000000"/>
          <w:lang w:bidi="ar"/>
        </w:rPr>
        <w:t>27596.74m</w:t>
      </w:r>
      <w:r>
        <w:rPr>
          <w:rFonts w:hint="eastAsia" w:cs="Times New Roman"/>
          <w:color w:val="000000"/>
          <w:vertAlign w:val="superscript"/>
          <w:lang w:bidi="ar"/>
        </w:rPr>
        <w:t>2</w:t>
      </w:r>
      <w:r>
        <w:rPr>
          <w:rFonts w:cs="Times New Roman"/>
          <w:color w:val="000000"/>
          <w:lang w:bidi="ar"/>
        </w:rPr>
        <w:t>，实际</w:t>
      </w:r>
      <w:r>
        <w:rPr>
          <w:rFonts w:hint="eastAsia" w:cs="Times New Roman"/>
          <w:color w:val="000000"/>
          <w:lang w:bidi="ar"/>
        </w:rPr>
        <w:t>厂区</w:t>
      </w:r>
      <w:r>
        <w:rPr>
          <w:rFonts w:cs="Times New Roman"/>
          <w:color w:val="000000"/>
          <w:lang w:bidi="ar"/>
        </w:rPr>
        <w:t>建设选址用地面积为</w:t>
      </w:r>
      <w:r>
        <w:rPr>
          <w:rFonts w:hint="eastAsia" w:cs="Times New Roman"/>
          <w:color w:val="000000"/>
          <w:lang w:bidi="ar"/>
        </w:rPr>
        <w:t>41.39</w:t>
      </w:r>
      <w:r>
        <w:rPr>
          <w:rFonts w:cs="Times New Roman"/>
          <w:color w:val="000000"/>
          <w:lang w:bidi="ar"/>
        </w:rPr>
        <w:t>亩（详见附件6）</w:t>
      </w:r>
      <w:r>
        <w:rPr>
          <w:rFonts w:hint="eastAsia" w:cs="Times New Roman"/>
          <w:color w:val="000000"/>
          <w:lang w:bidi="ar"/>
        </w:rPr>
        <w:t>。</w:t>
      </w:r>
    </w:p>
    <w:p>
      <w:pPr>
        <w:pStyle w:val="6"/>
        <w:ind w:firstLine="0" w:firstLineChars="0"/>
        <w:rPr>
          <w:lang w:val="en-US"/>
        </w:rPr>
      </w:pPr>
      <w:bookmarkStart w:id="382" w:name="_Toc12344"/>
      <w:bookmarkStart w:id="383" w:name="_Toc30798"/>
      <w:bookmarkStart w:id="384" w:name="_Toc16886"/>
      <w:bookmarkStart w:id="385" w:name="_Toc24584"/>
      <w:r>
        <w:rPr>
          <w:lang w:val="en-US"/>
        </w:rPr>
        <w:t>10.3 环境质量现状</w:t>
      </w:r>
      <w:bookmarkEnd w:id="382"/>
      <w:bookmarkEnd w:id="383"/>
      <w:bookmarkEnd w:id="384"/>
      <w:bookmarkEnd w:id="385"/>
    </w:p>
    <w:p>
      <w:pPr>
        <w:pStyle w:val="7"/>
        <w:ind w:firstLine="562"/>
      </w:pPr>
      <w:bookmarkStart w:id="386" w:name="_Toc13964"/>
      <w:r>
        <w:t xml:space="preserve">10.3.1 </w:t>
      </w:r>
      <w:r>
        <w:rPr>
          <w:rFonts w:hint="eastAsia"/>
        </w:rPr>
        <w:t>大气</w:t>
      </w:r>
      <w:r>
        <w:t>环境</w:t>
      </w:r>
      <w:bookmarkEnd w:id="386"/>
    </w:p>
    <w:p>
      <w:pPr>
        <w:ind w:firstLine="480"/>
        <w:rPr>
          <w:u w:val="single"/>
        </w:rPr>
      </w:pPr>
      <w:r>
        <w:rPr>
          <w:u w:val="single"/>
        </w:rPr>
        <w:t>本项目所在区域为环境空气质量二类区，根据</w:t>
      </w:r>
      <w:r>
        <w:rPr>
          <w:rFonts w:hint="eastAsia"/>
          <w:u w:val="single"/>
        </w:rPr>
        <w:t>2020及2021</w:t>
      </w:r>
      <w:r>
        <w:rPr>
          <w:u w:val="single"/>
        </w:rPr>
        <w:t>年度叶县环境空气质量监测网中评价基准年的监测数据，区域环境空气质量除PM</w:t>
      </w:r>
      <w:r>
        <w:rPr>
          <w:u w:val="single"/>
          <w:vertAlign w:val="subscript"/>
        </w:rPr>
        <w:t>10</w:t>
      </w:r>
      <w:r>
        <w:rPr>
          <w:u w:val="single"/>
        </w:rPr>
        <w:t>、PM</w:t>
      </w:r>
      <w:r>
        <w:rPr>
          <w:u w:val="single"/>
          <w:vertAlign w:val="subscript"/>
        </w:rPr>
        <w:t>2.5</w:t>
      </w:r>
      <w:r>
        <w:rPr>
          <w:u w:val="single"/>
        </w:rPr>
        <w:t>超标外，其余各监测因子均满足《环境空气质量标准》（GB3095-2012）二级标准限值</w:t>
      </w:r>
      <w:r>
        <w:rPr>
          <w:rFonts w:hint="eastAsia"/>
          <w:u w:val="single"/>
        </w:rPr>
        <w:t>及</w:t>
      </w:r>
      <w:r>
        <w:rPr>
          <w:u w:val="single"/>
        </w:rPr>
        <w:t>修改单。由此可知，叶县区域属于不达标区域。通过对特征因子的补充检测，</w:t>
      </w:r>
      <w:r>
        <w:rPr>
          <w:rFonts w:hint="eastAsia"/>
          <w:u w:val="single"/>
        </w:rPr>
        <w:t>氨、硫化氢、非甲烷总烃小时浓度均值均满足相关质量标准限值。</w:t>
      </w:r>
    </w:p>
    <w:p>
      <w:pPr>
        <w:pStyle w:val="7"/>
        <w:ind w:firstLine="562"/>
      </w:pPr>
      <w:bookmarkStart w:id="387" w:name="_Toc8530"/>
      <w:r>
        <w:t>10.3.</w:t>
      </w:r>
      <w:r>
        <w:rPr>
          <w:rFonts w:hint="eastAsia"/>
        </w:rPr>
        <w:t>2</w:t>
      </w:r>
      <w:r>
        <w:t xml:space="preserve"> </w:t>
      </w:r>
      <w:r>
        <w:rPr>
          <w:rFonts w:hint="eastAsia"/>
        </w:rPr>
        <w:t>水</w:t>
      </w:r>
      <w:r>
        <w:t>环境</w:t>
      </w:r>
      <w:bookmarkEnd w:id="387"/>
    </w:p>
    <w:p>
      <w:pPr>
        <w:ind w:firstLine="480"/>
      </w:pPr>
      <w:r>
        <w:t>本项目运营期废水包括生产工艺废水及生活污水，</w:t>
      </w:r>
      <w:r>
        <w:rPr>
          <w:rFonts w:hint="eastAsia"/>
        </w:rPr>
        <w:t>生活污水经</w:t>
      </w:r>
      <w:r>
        <w:rPr>
          <w:rFonts w:hint="eastAsia"/>
          <w:lang w:eastAsia="zh-CN"/>
        </w:rPr>
        <w:t>隔油池、</w:t>
      </w:r>
      <w:r>
        <w:rPr>
          <w:rFonts w:hint="eastAsia"/>
        </w:rPr>
        <w:t>化粪池预处理后进入厂区污水处理站，厂区内设置1个50t/d污水站，</w:t>
      </w:r>
      <w:r>
        <w:rPr>
          <w:rFonts w:hint="eastAsia"/>
          <w:lang w:eastAsia="zh-CN"/>
        </w:rPr>
        <w:t>汇同</w:t>
      </w:r>
      <w:r>
        <w:rPr>
          <w:rFonts w:hint="eastAsia"/>
        </w:rPr>
        <w:t>项目生产废水经厂内污水站处置达标后排入平顶山第三污水处理厂</w:t>
      </w:r>
      <w:r>
        <w:rPr>
          <w:rFonts w:hint="eastAsia"/>
          <w:lang w:eastAsia="zh-CN"/>
        </w:rPr>
        <w:t>处理</w:t>
      </w:r>
      <w:r>
        <w:t>，达标排放。</w:t>
      </w:r>
    </w:p>
    <w:p>
      <w:pPr>
        <w:ind w:firstLine="480"/>
      </w:pPr>
      <w:r>
        <w:rPr>
          <w:rFonts w:hint="eastAsia" w:ascii="宋体" w:hAnsi="宋体"/>
          <w:color w:val="000000"/>
          <w:lang w:bidi="ar"/>
        </w:rPr>
        <w:t>根据</w:t>
      </w:r>
      <w:r>
        <w:rPr>
          <w:rFonts w:hint="eastAsia" w:hAnsi="宋体"/>
        </w:rPr>
        <w:t>平顶山市</w:t>
      </w:r>
      <w:r>
        <w:rPr>
          <w:rFonts w:hint="eastAsia"/>
        </w:rPr>
        <w:t>地表水环境灰河屈庄断面2021年内COD、总氮、总磷因子常规监测数据不能稳定达标，氨氮因子能够满足《地表水环境质量标准》（GB3838-2002）Ⅲ类标准要求。</w:t>
      </w:r>
    </w:p>
    <w:p>
      <w:pPr>
        <w:pStyle w:val="7"/>
        <w:ind w:firstLine="562"/>
      </w:pPr>
      <w:bookmarkStart w:id="388" w:name="_Toc22717"/>
      <w:r>
        <w:t>10.3.3 声环境</w:t>
      </w:r>
      <w:bookmarkEnd w:id="388"/>
    </w:p>
    <w:p>
      <w:pPr>
        <w:pStyle w:val="13"/>
        <w:ind w:firstLine="480"/>
        <w:rPr>
          <w:rFonts w:ascii="Times New Roman" w:hAnsi="Times New Roman"/>
        </w:rPr>
      </w:pPr>
      <w:r>
        <w:rPr>
          <w:rFonts w:ascii="Times New Roman" w:hAnsi="Times New Roman"/>
        </w:rPr>
        <w:t>项目厂址</w:t>
      </w:r>
      <w:r>
        <w:rPr>
          <w:rFonts w:hint="eastAsia" w:ascii="Times New Roman" w:hAnsi="Times New Roman"/>
        </w:rPr>
        <w:t>厂界</w:t>
      </w:r>
      <w:r>
        <w:rPr>
          <w:rFonts w:ascii="Times New Roman" w:hAnsi="Times New Roman"/>
        </w:rPr>
        <w:t>声环境质量现状昼、夜监测结果均能满足《声环境质量标准》（GB3096-2008）</w:t>
      </w:r>
      <w:r>
        <w:rPr>
          <w:rFonts w:hint="eastAsia" w:ascii="Times New Roman" w:hAnsi="Times New Roman"/>
          <w:lang w:val="en-US"/>
        </w:rPr>
        <w:t>3</w:t>
      </w:r>
      <w:r>
        <w:rPr>
          <w:rFonts w:ascii="Times New Roman" w:hAnsi="Times New Roman"/>
        </w:rPr>
        <w:t>类标准要求</w:t>
      </w:r>
      <w:r>
        <w:rPr>
          <w:rFonts w:hint="eastAsia" w:ascii="Times New Roman" w:hAnsi="Times New Roman"/>
        </w:rPr>
        <w:t>，</w:t>
      </w:r>
      <w:r>
        <w:rPr>
          <w:rFonts w:ascii="Times New Roman" w:hAnsi="Times New Roman"/>
        </w:rPr>
        <w:t>说明项目厂址所在区域声环境质量现状良好。</w:t>
      </w:r>
    </w:p>
    <w:p>
      <w:pPr>
        <w:pStyle w:val="6"/>
        <w:ind w:firstLine="0" w:firstLineChars="0"/>
        <w:rPr>
          <w:lang w:val="en-US"/>
        </w:rPr>
      </w:pPr>
      <w:bookmarkStart w:id="389" w:name="_Toc6207"/>
      <w:bookmarkStart w:id="390" w:name="_Toc4469"/>
      <w:bookmarkStart w:id="391" w:name="_Toc17204"/>
      <w:bookmarkStart w:id="392" w:name="_Toc8785"/>
      <w:r>
        <w:rPr>
          <w:lang w:val="en-US"/>
        </w:rPr>
        <w:t>10.4 污染物排放情况及主要环境影响</w:t>
      </w:r>
      <w:bookmarkEnd w:id="389"/>
      <w:bookmarkEnd w:id="390"/>
      <w:bookmarkEnd w:id="391"/>
      <w:bookmarkEnd w:id="392"/>
    </w:p>
    <w:p>
      <w:pPr>
        <w:ind w:firstLine="480"/>
      </w:pPr>
      <w:r>
        <w:rPr>
          <w:rFonts w:hint="eastAsia"/>
        </w:rPr>
        <w:t>根据工程分析，确定了企业运营过程中的产污环节、污染物种类及排放量，针对污染物产生状况提出了相应的污染治理措施，有效削减了排污量，使污染物排放达到国家地方有关排放标准，对周围环境影响较小，不会改变区域功能现状。</w:t>
      </w:r>
    </w:p>
    <w:p>
      <w:pPr>
        <w:pStyle w:val="6"/>
        <w:ind w:firstLine="0" w:firstLineChars="0"/>
        <w:rPr>
          <w:lang w:val="en-US"/>
        </w:rPr>
      </w:pPr>
      <w:bookmarkStart w:id="393" w:name="_Toc10860"/>
      <w:bookmarkStart w:id="394" w:name="_Toc7632"/>
      <w:bookmarkStart w:id="395" w:name="_Toc10712"/>
      <w:bookmarkStart w:id="396" w:name="_Toc30641"/>
      <w:r>
        <w:rPr>
          <w:lang w:val="en-US"/>
        </w:rPr>
        <w:t>10.5 环境保护措施有效性评估</w:t>
      </w:r>
      <w:bookmarkEnd w:id="393"/>
      <w:bookmarkEnd w:id="394"/>
      <w:bookmarkEnd w:id="395"/>
      <w:bookmarkEnd w:id="396"/>
    </w:p>
    <w:p>
      <w:pPr>
        <w:pStyle w:val="7"/>
        <w:ind w:firstLine="562"/>
      </w:pPr>
      <w:bookmarkStart w:id="397" w:name="_Toc15174"/>
      <w:r>
        <w:t xml:space="preserve">10.5.1 </w:t>
      </w:r>
      <w:r>
        <w:rPr>
          <w:rFonts w:hint="eastAsia"/>
        </w:rPr>
        <w:t>水环境保护措施</w:t>
      </w:r>
      <w:bookmarkEnd w:id="397"/>
    </w:p>
    <w:p>
      <w:pPr>
        <w:ind w:firstLine="480"/>
      </w:pPr>
      <w:r>
        <w:t>根据现场调查，项目所在地的市政污水管网</w:t>
      </w:r>
      <w:r>
        <w:rPr>
          <w:rFonts w:hint="eastAsia"/>
        </w:rPr>
        <w:t>已</w:t>
      </w:r>
      <w:r>
        <w:t>铺设。生产</w:t>
      </w:r>
      <w:r>
        <w:rPr>
          <w:rFonts w:hint="eastAsia"/>
        </w:rPr>
        <w:t>清洗</w:t>
      </w:r>
      <w:r>
        <w:t>废水处理系统处理后</w:t>
      </w:r>
      <w:r>
        <w:rPr>
          <w:rFonts w:hint="eastAsia"/>
        </w:rPr>
        <w:t>排入市政污水管网；餐饮废水经隔油池处理后与</w:t>
      </w:r>
      <w:r>
        <w:t>生活污水</w:t>
      </w:r>
      <w:r>
        <w:rPr>
          <w:rFonts w:hint="eastAsia"/>
        </w:rPr>
        <w:t>进入</w:t>
      </w:r>
      <w:r>
        <w:t>化粪池，生活污水经化粪池收集后</w:t>
      </w:r>
      <w:r>
        <w:rPr>
          <w:rFonts w:hint="eastAsia"/>
        </w:rPr>
        <w:t>进入厂区污水处理站</w:t>
      </w:r>
      <w:r>
        <w:t>。根据项目运营期废水产生特点，废水处理系拟选用</w:t>
      </w:r>
      <w:r>
        <w:rPr>
          <w:rFonts w:hint="eastAsia"/>
          <w:lang w:eastAsia="zh-CN"/>
        </w:rPr>
        <w:t>“预曝气调节池+厌氧反应器+水解酸化池+沉淀池”</w:t>
      </w:r>
      <w:r>
        <w:t>工艺对其中的SS、COD、NH</w:t>
      </w:r>
      <w:r>
        <w:rPr>
          <w:vertAlign w:val="subscript"/>
        </w:rPr>
        <w:t>3</w:t>
      </w:r>
      <w:r>
        <w:t>-N、</w:t>
      </w:r>
      <w:r>
        <w:rPr>
          <w:rFonts w:hint="eastAsia"/>
        </w:rPr>
        <w:t>BOD</w:t>
      </w:r>
      <w:r>
        <w:rPr>
          <w:rFonts w:hint="eastAsia"/>
          <w:vertAlign w:val="subscript"/>
        </w:rPr>
        <w:t>5</w:t>
      </w:r>
      <w:r>
        <w:rPr>
          <w:rFonts w:hint="eastAsia"/>
        </w:rPr>
        <w:t>、动植物油</w:t>
      </w:r>
      <w:r>
        <w:t>等污染物进行去除</w:t>
      </w:r>
      <w:r>
        <w:rPr>
          <w:rFonts w:hint="eastAsia"/>
        </w:rPr>
        <w:t>。</w:t>
      </w:r>
    </w:p>
    <w:p>
      <w:pPr>
        <w:pStyle w:val="7"/>
        <w:ind w:firstLine="562"/>
      </w:pPr>
      <w:bookmarkStart w:id="398" w:name="_Toc20637"/>
      <w:r>
        <w:t xml:space="preserve">10.5.2 </w:t>
      </w:r>
      <w:r>
        <w:rPr>
          <w:rFonts w:hint="eastAsia"/>
        </w:rPr>
        <w:t>大气环境保护措施</w:t>
      </w:r>
      <w:bookmarkEnd w:id="398"/>
    </w:p>
    <w:p>
      <w:pPr>
        <w:widowControl/>
        <w:ind w:firstLine="480"/>
        <w:rPr>
          <w:u w:val="single"/>
        </w:rPr>
      </w:pPr>
      <w:r>
        <w:rPr>
          <w:rFonts w:hint="eastAsia"/>
          <w:u w:val="single"/>
        </w:rPr>
        <w:t>（1）1~3#生产车间废气</w:t>
      </w:r>
    </w:p>
    <w:p>
      <w:pPr>
        <w:ind w:firstLine="480"/>
        <w:rPr>
          <w:u w:val="single"/>
        </w:rPr>
      </w:pPr>
      <w:r>
        <w:rPr>
          <w:rFonts w:hint="eastAsia"/>
          <w:u w:val="single"/>
        </w:rPr>
        <w:t>EPDM</w:t>
      </w:r>
      <w:r>
        <w:rPr>
          <w:rFonts w:hint="eastAsia"/>
          <w:u w:val="single"/>
          <w:lang w:eastAsia="zh-CN"/>
        </w:rPr>
        <w:t>颗粒</w:t>
      </w:r>
      <w:r>
        <w:rPr>
          <w:rFonts w:hint="eastAsia"/>
          <w:u w:val="single"/>
        </w:rPr>
        <w:t>车间生产阶段会产生一定的有机废气非甲烷总烃和颗粒物。上料工序车间内二次密闭，</w:t>
      </w:r>
      <w:r>
        <w:rPr>
          <w:rFonts w:cs="Times New Roman"/>
          <w:color w:val="000000" w:themeColor="text1"/>
          <w:u w:val="single"/>
          <w14:textFill>
            <w14:solidFill>
              <w14:schemeClr w14:val="tx1"/>
            </w14:solidFill>
          </w14:textFill>
        </w:rPr>
        <w:t>内设置抽气孔，使配料室形成微负压系统</w:t>
      </w:r>
      <w:r>
        <w:rPr>
          <w:rFonts w:hint="eastAsia" w:cs="Times New Roman"/>
          <w:color w:val="000000" w:themeColor="text1"/>
          <w:u w:val="single"/>
          <w14:textFill>
            <w14:solidFill>
              <w14:schemeClr w14:val="tx1"/>
            </w14:solidFill>
          </w14:textFill>
        </w:rPr>
        <w:t>，硫化废气、上料、密炼和粉碎废气收集后先经袋式除尘器处理，排入1#</w:t>
      </w:r>
      <w:r>
        <w:rPr>
          <w:rFonts w:hint="eastAsia" w:cs="Times New Roman"/>
          <w:color w:val="000000" w:themeColor="text1"/>
          <w:u w:val="single"/>
          <w:lang w:eastAsia="zh-CN"/>
          <w14:textFill>
            <w14:solidFill>
              <w14:schemeClr w14:val="tx1"/>
            </w14:solidFill>
          </w14:textFill>
        </w:rPr>
        <w:t>“活性炭吸附箱+RCO废气处理工艺”</w:t>
      </w:r>
      <w:r>
        <w:rPr>
          <w:rFonts w:hint="eastAsia" w:cs="Times New Roman"/>
          <w:color w:val="000000" w:themeColor="text1"/>
          <w:u w:val="single"/>
          <w14:textFill>
            <w14:solidFill>
              <w14:schemeClr w14:val="tx1"/>
            </w14:solidFill>
          </w14:textFill>
        </w:rPr>
        <w:t>处置后经15米T1排气筒排放</w:t>
      </w:r>
      <w:r>
        <w:rPr>
          <w:rFonts w:hint="eastAsia"/>
          <w:u w:val="single"/>
        </w:rPr>
        <w:t>。</w:t>
      </w:r>
    </w:p>
    <w:p>
      <w:pPr>
        <w:widowControl/>
        <w:ind w:firstLine="480"/>
        <w:jc w:val="left"/>
        <w:rPr>
          <w:u w:val="single"/>
        </w:rPr>
      </w:pPr>
      <w:r>
        <w:rPr>
          <w:rFonts w:hint="eastAsia"/>
          <w:color w:val="000000"/>
          <w:u w:val="single"/>
          <w:lang w:bidi="ar"/>
        </w:rPr>
        <w:t>（3）</w:t>
      </w:r>
      <w:r>
        <w:rPr>
          <w:rFonts w:hint="eastAsia"/>
          <w:u w:val="single"/>
        </w:rPr>
        <w:t>5~6#车间废气</w:t>
      </w:r>
    </w:p>
    <w:p>
      <w:pPr>
        <w:widowControl/>
        <w:ind w:firstLine="480"/>
        <w:rPr>
          <w:rFonts w:cs="Times New Roman"/>
          <w:u w:val="single"/>
        </w:rPr>
      </w:pPr>
      <w:r>
        <w:rPr>
          <w:rFonts w:hint="eastAsia"/>
          <w:u w:val="single"/>
        </w:rPr>
        <w:t>产气工序车间内密闭，</w:t>
      </w:r>
      <w:r>
        <w:rPr>
          <w:rFonts w:cs="Times New Roman"/>
          <w:color w:val="000000" w:themeColor="text1"/>
          <w:u w:val="single"/>
          <w14:textFill>
            <w14:solidFill>
              <w14:schemeClr w14:val="tx1"/>
            </w14:solidFill>
          </w14:textFill>
        </w:rPr>
        <w:t>室内设置抽气孔，使配料室形成微负压系统</w:t>
      </w:r>
      <w:r>
        <w:rPr>
          <w:rFonts w:hint="eastAsia" w:cs="Times New Roman"/>
          <w:color w:val="000000" w:themeColor="text1"/>
          <w:u w:val="single"/>
          <w14:textFill>
            <w14:solidFill>
              <w14:schemeClr w14:val="tx1"/>
            </w14:solidFill>
          </w14:textFill>
        </w:rPr>
        <w:t>，</w:t>
      </w:r>
      <w:r>
        <w:rPr>
          <w:rFonts w:cs="Times New Roman"/>
          <w:u w:val="single"/>
        </w:rPr>
        <w:t>产生的非甲烷总烃经</w:t>
      </w:r>
      <w:r>
        <w:rPr>
          <w:rFonts w:hint="eastAsia" w:cs="Times New Roman"/>
          <w:u w:val="single"/>
        </w:rPr>
        <w:t>、颗粒物</w:t>
      </w:r>
      <w:r>
        <w:rPr>
          <w:rFonts w:cs="Times New Roman"/>
          <w:u w:val="single"/>
        </w:rPr>
        <w:t>收集后（风量为</w:t>
      </w:r>
      <w:r>
        <w:rPr>
          <w:rFonts w:hint="eastAsia" w:cs="Times New Roman"/>
          <w:u w:val="single"/>
        </w:rPr>
        <w:t>20</w:t>
      </w:r>
      <w:r>
        <w:rPr>
          <w:rFonts w:cs="Times New Roman"/>
          <w:u w:val="single"/>
        </w:rPr>
        <w:t>000m</w:t>
      </w:r>
      <w:r>
        <w:rPr>
          <w:rFonts w:cs="Times New Roman"/>
          <w:u w:val="single"/>
          <w:vertAlign w:val="superscript"/>
        </w:rPr>
        <w:t>3</w:t>
      </w:r>
      <w:r>
        <w:rPr>
          <w:rFonts w:cs="Times New Roman"/>
          <w:u w:val="single"/>
        </w:rPr>
        <w:t>/h）通过水喷淋洗涤塔+</w:t>
      </w:r>
      <w:r>
        <w:rPr>
          <w:rFonts w:hint="eastAsia" w:cs="Times New Roman"/>
          <w:u w:val="single"/>
        </w:rPr>
        <w:t>干湿</w:t>
      </w:r>
      <w:r>
        <w:rPr>
          <w:rFonts w:cs="Times New Roman"/>
          <w:u w:val="single"/>
        </w:rPr>
        <w:t>分离器+活性炭吸附箱+RCO废气处理工艺+</w:t>
      </w:r>
      <w:r>
        <w:rPr>
          <w:rFonts w:hint="eastAsia" w:cs="Times New Roman"/>
          <w:u w:val="single"/>
          <w:lang w:val="en-US" w:eastAsia="zh-CN"/>
        </w:rPr>
        <w:t>1</w:t>
      </w:r>
      <w:r>
        <w:rPr>
          <w:rFonts w:cs="Times New Roman"/>
          <w:u w:val="single"/>
        </w:rPr>
        <w:t>5m排气筒高空排放</w:t>
      </w:r>
      <w:r>
        <w:rPr>
          <w:rFonts w:hint="eastAsia" w:cs="Times New Roman"/>
          <w:u w:val="single"/>
        </w:rPr>
        <w:t>。</w:t>
      </w:r>
    </w:p>
    <w:p>
      <w:pPr>
        <w:widowControl/>
        <w:spacing w:line="348" w:lineRule="auto"/>
        <w:ind w:firstLine="480"/>
        <w:rPr>
          <w:color w:val="000000"/>
          <w:lang w:bidi="ar"/>
        </w:rPr>
      </w:pPr>
      <w:r>
        <w:rPr>
          <w:rFonts w:hint="eastAsia"/>
          <w:color w:val="000000"/>
          <w:lang w:bidi="ar"/>
        </w:rPr>
        <w:t>（4）餐饮油烟</w:t>
      </w:r>
    </w:p>
    <w:p>
      <w:pPr>
        <w:widowControl/>
        <w:ind w:firstLine="480"/>
        <w:jc w:val="left"/>
        <w:rPr>
          <w:color w:val="000000"/>
          <w:lang w:bidi="ar"/>
        </w:rPr>
      </w:pPr>
      <w:r>
        <w:rPr>
          <w:rFonts w:hint="eastAsia"/>
          <w:color w:val="000000"/>
          <w:lang w:bidi="ar"/>
        </w:rPr>
        <w:t>本项目食堂属于小型单位，需采用经国家认可的单位检测合格的油烟净化设施（油烟净化效率≥90</w:t>
      </w:r>
      <w:r>
        <w:rPr>
          <w:color w:val="000000"/>
          <w:lang w:bidi="ar"/>
        </w:rPr>
        <w:t>%</w:t>
      </w:r>
      <w:r>
        <w:rPr>
          <w:rFonts w:hint="eastAsia"/>
          <w:color w:val="000000"/>
          <w:lang w:bidi="ar"/>
        </w:rPr>
        <w:t>）。经过净化处理后，油烟经专用烟道排至屋顶排放。</w:t>
      </w:r>
    </w:p>
    <w:p>
      <w:pPr>
        <w:widowControl/>
        <w:spacing w:line="348" w:lineRule="auto"/>
        <w:ind w:firstLine="480"/>
        <w:rPr>
          <w:color w:val="000000"/>
          <w:lang w:bidi="ar"/>
        </w:rPr>
      </w:pPr>
      <w:r>
        <w:rPr>
          <w:rFonts w:hint="eastAsia"/>
          <w:color w:val="000000"/>
          <w:lang w:bidi="ar"/>
        </w:rPr>
        <w:t>（5）污水处理站废气</w:t>
      </w:r>
    </w:p>
    <w:p>
      <w:pPr>
        <w:widowControl/>
        <w:ind w:firstLine="480"/>
        <w:rPr>
          <w:rFonts w:cs="Times New Roman"/>
        </w:rPr>
      </w:pPr>
      <w:r>
        <w:rPr>
          <w:rFonts w:hint="eastAsia"/>
        </w:rPr>
        <w:t>项目污水处理站废气采用</w:t>
      </w:r>
      <w:r>
        <w:rPr>
          <w:rFonts w:hint="eastAsia"/>
          <w:lang w:eastAsia="zh-CN"/>
        </w:rPr>
        <w:t>“</w:t>
      </w:r>
      <w:r>
        <w:rPr>
          <w:rFonts w:hint="eastAsia"/>
        </w:rPr>
        <w:t>密闭加盖+二级活性炭吸附</w:t>
      </w:r>
      <w:r>
        <w:rPr>
          <w:rFonts w:hint="eastAsia"/>
          <w:lang w:eastAsia="zh-CN"/>
        </w:rPr>
        <w:t>”</w:t>
      </w:r>
      <w:r>
        <w:rPr>
          <w:rFonts w:hint="eastAsia"/>
        </w:rPr>
        <w:t>处理后，15m高排气筒排放</w:t>
      </w:r>
      <w:r>
        <w:rPr>
          <w:rFonts w:hint="eastAsia" w:cs="Times New Roman"/>
        </w:rPr>
        <w:t>。</w:t>
      </w:r>
    </w:p>
    <w:p>
      <w:pPr>
        <w:widowControl/>
        <w:ind w:firstLine="480"/>
      </w:pPr>
      <w:r>
        <w:rPr>
          <w:rFonts w:hint="eastAsia" w:ascii="宋体" w:hAnsi="宋体"/>
          <w:color w:val="000000"/>
          <w:lang w:bidi="ar"/>
        </w:rPr>
        <w:t>通过预测可知，本项目各废气源在采取上述环境保护措施后，各大气污染物最大落地浓度占标率均较小，对周边大气环境影响较小，不会降低当地的环境空气功能。</w:t>
      </w:r>
    </w:p>
    <w:p>
      <w:pPr>
        <w:pStyle w:val="7"/>
        <w:ind w:firstLine="562"/>
      </w:pPr>
      <w:bookmarkStart w:id="399" w:name="_Toc9895"/>
      <w:r>
        <w:t>10.5.3 声环境保护措施</w:t>
      </w:r>
      <w:bookmarkEnd w:id="399"/>
    </w:p>
    <w:p>
      <w:pPr>
        <w:widowControl/>
        <w:ind w:firstLine="480"/>
      </w:pPr>
      <w:r>
        <w:rPr>
          <w:rFonts w:hint="eastAsia" w:ascii="宋体" w:hAnsi="宋体"/>
          <w:color w:val="000000"/>
          <w:lang w:bidi="ar"/>
        </w:rPr>
        <w:t>本项目通过</w:t>
      </w:r>
      <w:r>
        <w:rPr>
          <w:rFonts w:hint="eastAsia" w:ascii="宋体" w:hAnsi="宋体" w:cs="宋体"/>
          <w:color w:val="000000" w:themeColor="text1"/>
          <w:kern w:val="0"/>
          <w:u w:val="single"/>
          <w:lang w:eastAsia="zh-CN" w:bidi="ar"/>
          <w14:textFill>
            <w14:solidFill>
              <w14:schemeClr w14:val="tx1"/>
            </w14:solidFill>
          </w14:textFill>
        </w:rPr>
        <w:t>选用低噪声型号设备，厂区采取“闹静分开”和合理布局的设置原则，尽量将高噪声源远离厂界，在设备连接处安装减震垫、车间内墙加装隔音棉，主排风管道增加消音器，厂区种植降噪绿植等治理措施</w:t>
      </w:r>
      <w:r>
        <w:rPr>
          <w:rFonts w:hint="eastAsia" w:ascii="宋体" w:hAnsi="宋体"/>
          <w:color w:val="000000"/>
          <w:lang w:bidi="ar"/>
        </w:rPr>
        <w:t>，在车辆进出的主要路口设置减速带，控制车辆行驶速度。通过采取上述措施，可确保厂界声环境达到相关标准要求。</w:t>
      </w:r>
    </w:p>
    <w:p>
      <w:pPr>
        <w:pStyle w:val="7"/>
        <w:ind w:firstLine="562"/>
      </w:pPr>
      <w:bookmarkStart w:id="400" w:name="_Toc18824"/>
      <w:r>
        <w:t>10.5.4 固体废物处理处置措施</w:t>
      </w:r>
      <w:bookmarkEnd w:id="400"/>
    </w:p>
    <w:p>
      <w:pPr>
        <w:widowControl/>
        <w:ind w:firstLine="480"/>
      </w:pPr>
      <w:r>
        <w:rPr>
          <w:rFonts w:hint="eastAsia" w:ascii="宋体" w:hAnsi="宋体"/>
          <w:color w:val="000000"/>
          <w:lang w:bidi="ar"/>
        </w:rPr>
        <w:t>一般固废暂存间，设置在综合仓库内部南侧，暂存后定期处理，生活垃圾由环卫部门集中收集后统一处置。</w:t>
      </w:r>
      <w:r>
        <w:rPr>
          <w:rFonts w:hint="eastAsia"/>
        </w:rPr>
        <w:t>危险废物废危废暂存间暂存后定期交有资质单位处理。</w:t>
      </w:r>
    </w:p>
    <w:p>
      <w:pPr>
        <w:widowControl/>
        <w:ind w:firstLine="480"/>
        <w:jc w:val="left"/>
      </w:pPr>
      <w:r>
        <w:rPr>
          <w:rFonts w:hint="eastAsia" w:ascii="宋体" w:hAnsi="宋体"/>
          <w:color w:val="000000"/>
          <w:lang w:bidi="ar"/>
        </w:rPr>
        <w:t>各固体废物均得到合理有效处置，零排放。</w:t>
      </w:r>
    </w:p>
    <w:p>
      <w:pPr>
        <w:ind w:firstLine="480"/>
      </w:pPr>
      <w:r>
        <w:rPr>
          <w:rFonts w:hint="eastAsia"/>
        </w:rPr>
        <w:t>采取以上措施后满足《一般工业固体废物贮存、处置场污染控制标准》（</w:t>
      </w:r>
      <w:r>
        <w:t>GB18599-2</w:t>
      </w:r>
      <w:r>
        <w:rPr>
          <w:rFonts w:hint="eastAsia"/>
        </w:rPr>
        <w:t>020）、危险废物执行《危险废物贮存污染控制标准》（</w:t>
      </w:r>
      <w:r>
        <w:t>GB18597-2001</w:t>
      </w:r>
      <w:r>
        <w:rPr>
          <w:rFonts w:hint="eastAsia"/>
        </w:rPr>
        <w:t>）及其修改单规定。</w:t>
      </w:r>
    </w:p>
    <w:p>
      <w:pPr>
        <w:pStyle w:val="6"/>
        <w:ind w:firstLine="0" w:firstLineChars="0"/>
        <w:rPr>
          <w:lang w:val="en-US"/>
        </w:rPr>
      </w:pPr>
      <w:bookmarkStart w:id="401" w:name="_Toc27830"/>
      <w:bookmarkStart w:id="402" w:name="_Toc29242"/>
      <w:bookmarkStart w:id="403" w:name="_Toc31829"/>
      <w:bookmarkStart w:id="404" w:name="_Toc5381"/>
      <w:r>
        <w:rPr>
          <w:lang w:val="en-US"/>
        </w:rPr>
        <w:t>10.6 环境风险可接受</w:t>
      </w:r>
      <w:bookmarkEnd w:id="401"/>
      <w:bookmarkEnd w:id="402"/>
      <w:bookmarkEnd w:id="403"/>
      <w:bookmarkEnd w:id="404"/>
    </w:p>
    <w:p>
      <w:pPr>
        <w:ind w:firstLine="480"/>
      </w:pPr>
      <w:r>
        <w:rPr>
          <w:rFonts w:hint="eastAsia"/>
        </w:rPr>
        <w:t>本项目通过加强风险管理，制定合理、切实可行的应急防范措施，可以有效地防范风险事故的发生，结合企业在运营期间不断完善的风险防范措施，发生环境风险可控制在较低的水平，环境风险可接受。</w:t>
      </w:r>
    </w:p>
    <w:p>
      <w:pPr>
        <w:pStyle w:val="6"/>
        <w:ind w:firstLine="0" w:firstLineChars="0"/>
        <w:rPr>
          <w:lang w:val="en-US"/>
        </w:rPr>
      </w:pPr>
      <w:bookmarkStart w:id="405" w:name="_Toc29684"/>
      <w:bookmarkStart w:id="406" w:name="_Toc4399"/>
      <w:bookmarkStart w:id="407" w:name="_Toc12879"/>
      <w:bookmarkStart w:id="408" w:name="_Toc22419"/>
      <w:r>
        <w:rPr>
          <w:lang w:val="en-US"/>
        </w:rPr>
        <w:t>10.7 环境经济损益分析</w:t>
      </w:r>
      <w:bookmarkEnd w:id="405"/>
      <w:bookmarkEnd w:id="406"/>
      <w:bookmarkEnd w:id="407"/>
      <w:bookmarkEnd w:id="408"/>
    </w:p>
    <w:p>
      <w:pPr>
        <w:widowControl/>
        <w:ind w:firstLine="480"/>
        <w:jc w:val="left"/>
      </w:pPr>
      <w:r>
        <w:rPr>
          <w:rFonts w:hint="eastAsia" w:ascii="宋体" w:hAnsi="宋体"/>
          <w:color w:val="000000"/>
          <w:lang w:bidi="ar"/>
        </w:rPr>
        <w:t>本项目建成投入使用后，将产生大气污染物、噪声和固体废物等环境影响因素，在保证前述环保投资的前提下，严格采取各种废气、噪声、固体废物污染防治措施，确保各种污染物均能达标排放。尽管本工程采取了各项环保措施，但仍然会排放一定的污染物，因此，建设单位应在建设完善污染防治措施的基础上，加强生产管理和日常环境监测工作，保证各项环保设施安全有效运行，使生产对环境产生的不良影响降到最低程度。</w:t>
      </w:r>
    </w:p>
    <w:p>
      <w:pPr>
        <w:widowControl/>
        <w:ind w:firstLine="480"/>
        <w:jc w:val="left"/>
      </w:pPr>
      <w:r>
        <w:rPr>
          <w:rFonts w:hint="eastAsia" w:ascii="宋体" w:hAnsi="宋体"/>
          <w:color w:val="000000"/>
          <w:lang w:bidi="ar"/>
        </w:rPr>
        <w:t>总体来说，本工程环境影响导致的环境损失远小于拟建项目带来的经济效益和社会效益，拟建项目的建设将带来可观的经济效益、广泛的社会效益，在环境保护方面也是可以接受的。</w:t>
      </w:r>
    </w:p>
    <w:p>
      <w:pPr>
        <w:pStyle w:val="6"/>
        <w:ind w:firstLine="0" w:firstLineChars="0"/>
        <w:rPr>
          <w:lang w:val="en-US"/>
        </w:rPr>
      </w:pPr>
      <w:bookmarkStart w:id="409" w:name="_Toc9972"/>
      <w:bookmarkStart w:id="410" w:name="_Toc820"/>
      <w:bookmarkStart w:id="411" w:name="_Toc23237"/>
      <w:bookmarkStart w:id="412" w:name="_Toc13825"/>
      <w:r>
        <w:rPr>
          <w:lang w:val="en-US"/>
        </w:rPr>
        <w:t xml:space="preserve">10.8 </w:t>
      </w:r>
      <w:r>
        <w:rPr>
          <w:rFonts w:hint="eastAsia"/>
          <w:lang w:val="en-US"/>
        </w:rPr>
        <w:t>环境管理与监测计划</w:t>
      </w:r>
      <w:bookmarkEnd w:id="409"/>
      <w:bookmarkEnd w:id="410"/>
      <w:bookmarkEnd w:id="411"/>
      <w:bookmarkEnd w:id="412"/>
    </w:p>
    <w:p>
      <w:pPr>
        <w:ind w:firstLine="480"/>
      </w:pPr>
      <w:r>
        <w:rPr>
          <w:rFonts w:hint="eastAsia"/>
        </w:rPr>
        <w:t>本项目在运营期将对周围环境产生一定的影响，因此建设单位应在加强环境管理的同时，定期进行环境监测，以便及时了解项目排放的污染物对环境造成的影响情况，并及时采取相应措施，消除不利因素，减轻环境污染，使各项环保措施落到实处，以达到预定的各项环保目标。</w:t>
      </w:r>
    </w:p>
    <w:p>
      <w:pPr>
        <w:pStyle w:val="6"/>
        <w:ind w:firstLine="0" w:firstLineChars="0"/>
        <w:rPr>
          <w:lang w:val="en-US"/>
        </w:rPr>
      </w:pPr>
      <w:bookmarkStart w:id="413" w:name="_Toc3219"/>
      <w:bookmarkStart w:id="414" w:name="_Toc11763"/>
      <w:bookmarkStart w:id="415" w:name="_Toc212"/>
      <w:bookmarkStart w:id="416" w:name="_Toc24121"/>
      <w:r>
        <w:rPr>
          <w:lang w:val="en-US"/>
        </w:rPr>
        <w:t>10.9 公众意见采纳情况</w:t>
      </w:r>
      <w:bookmarkEnd w:id="413"/>
      <w:bookmarkEnd w:id="414"/>
      <w:bookmarkEnd w:id="415"/>
      <w:bookmarkEnd w:id="416"/>
    </w:p>
    <w:p>
      <w:pPr>
        <w:widowControl/>
        <w:ind w:firstLine="480"/>
        <w:rPr>
          <w:rFonts w:cs="Times New Roman"/>
          <w:color w:val="000000" w:themeColor="text1"/>
          <w14:textFill>
            <w14:solidFill>
              <w14:schemeClr w14:val="tx1"/>
            </w14:solidFill>
          </w14:textFill>
        </w:rPr>
      </w:pPr>
      <w:r>
        <w:rPr>
          <w:rFonts w:cs="Times New Roman"/>
          <w:color w:val="000000" w:themeColor="text1"/>
          <w:lang w:bidi="ar"/>
          <w14:textFill>
            <w14:solidFill>
              <w14:schemeClr w14:val="tx1"/>
            </w14:solidFill>
          </w14:textFill>
        </w:rPr>
        <w:t>根据《环境影响评价公众参与办法》（生态环境</w:t>
      </w:r>
      <w:r>
        <w:rPr>
          <w:rFonts w:hint="eastAsia" w:cs="Times New Roman"/>
          <w:color w:val="000000" w:themeColor="text1"/>
          <w:lang w:bidi="ar"/>
          <w14:textFill>
            <w14:solidFill>
              <w14:schemeClr w14:val="tx1"/>
            </w14:solidFill>
          </w14:textFill>
        </w:rPr>
        <w:t>部令</w:t>
      </w:r>
      <w:r>
        <w:rPr>
          <w:rFonts w:cs="Times New Roman"/>
          <w:color w:val="000000" w:themeColor="text1"/>
          <w:lang w:bidi="ar"/>
          <w14:textFill>
            <w14:solidFill>
              <w14:schemeClr w14:val="tx1"/>
            </w14:solidFill>
          </w14:textFill>
        </w:rPr>
        <w:t>第4号）</w:t>
      </w:r>
      <w:r>
        <w:rPr>
          <w:rFonts w:hint="eastAsia" w:cs="Times New Roman"/>
          <w:color w:val="000000" w:themeColor="text1"/>
          <w:lang w:eastAsia="zh-CN" w:bidi="ar"/>
          <w14:textFill>
            <w14:solidFill>
              <w14:schemeClr w14:val="tx1"/>
            </w14:solidFill>
          </w14:textFill>
        </w:rPr>
        <w:t>“</w:t>
      </w:r>
      <w:r>
        <w:rPr>
          <w:rFonts w:cs="Times New Roman"/>
          <w:color w:val="000000" w:themeColor="text1"/>
          <w:lang w:bidi="ar"/>
          <w14:textFill>
            <w14:solidFill>
              <w14:schemeClr w14:val="tx1"/>
            </w14:solidFill>
          </w14:textFill>
        </w:rPr>
        <w:t>第二条依法应当编制环境影响报告书的建设项目应开展的环境影响评价公众参与</w:t>
      </w:r>
      <w:r>
        <w:rPr>
          <w:rFonts w:hint="eastAsia" w:cs="Times New Roman"/>
          <w:color w:val="000000" w:themeColor="text1"/>
          <w:lang w:eastAsia="zh-CN" w:bidi="ar"/>
          <w14:textFill>
            <w14:solidFill>
              <w14:schemeClr w14:val="tx1"/>
            </w14:solidFill>
          </w14:textFill>
        </w:rPr>
        <w:t>”</w:t>
      </w:r>
      <w:r>
        <w:rPr>
          <w:rFonts w:cs="Times New Roman"/>
          <w:color w:val="000000" w:themeColor="text1"/>
          <w:lang w:bidi="ar"/>
          <w14:textFill>
            <w14:solidFill>
              <w14:schemeClr w14:val="tx1"/>
            </w14:solidFill>
          </w14:textFill>
        </w:rPr>
        <w:t>。环评期间，建设单位严格按照要求开展公众参与工作，采取了两次网络公示、登报刊公示及现场张贴公示等形式，具体情况如下：建设单位202</w:t>
      </w:r>
      <w:r>
        <w:rPr>
          <w:rFonts w:hint="eastAsia" w:cs="Times New Roman"/>
          <w:color w:val="000000" w:themeColor="text1"/>
          <w:lang w:bidi="ar"/>
          <w14:textFill>
            <w14:solidFill>
              <w14:schemeClr w14:val="tx1"/>
            </w14:solidFill>
          </w14:textFill>
        </w:rPr>
        <w:t>2</w:t>
      </w:r>
      <w:r>
        <w:rPr>
          <w:rFonts w:cs="Times New Roman"/>
          <w:color w:val="000000" w:themeColor="text1"/>
          <w:lang w:bidi="ar"/>
          <w14:textFill>
            <w14:solidFill>
              <w14:schemeClr w14:val="tx1"/>
            </w14:solidFill>
          </w14:textFill>
        </w:rPr>
        <w:t>年0</w:t>
      </w:r>
      <w:r>
        <w:rPr>
          <w:rFonts w:hint="eastAsia" w:cs="Times New Roman"/>
          <w:color w:val="000000" w:themeColor="text1"/>
          <w:lang w:bidi="ar"/>
          <w14:textFill>
            <w14:solidFill>
              <w14:schemeClr w14:val="tx1"/>
            </w14:solidFill>
          </w14:textFill>
        </w:rPr>
        <w:t>3</w:t>
      </w:r>
      <w:r>
        <w:rPr>
          <w:rFonts w:cs="Times New Roman"/>
          <w:color w:val="000000" w:themeColor="text1"/>
          <w:lang w:bidi="ar"/>
          <w14:textFill>
            <w14:solidFill>
              <w14:schemeClr w14:val="tx1"/>
            </w14:solidFill>
          </w14:textFill>
        </w:rPr>
        <w:t>月1</w:t>
      </w:r>
      <w:r>
        <w:rPr>
          <w:rFonts w:hint="eastAsia" w:cs="Times New Roman"/>
          <w:color w:val="000000" w:themeColor="text1"/>
          <w:lang w:bidi="ar"/>
          <w14:textFill>
            <w14:solidFill>
              <w14:schemeClr w14:val="tx1"/>
            </w14:solidFill>
          </w14:textFill>
        </w:rPr>
        <w:t>5</w:t>
      </w:r>
      <w:r>
        <w:rPr>
          <w:rFonts w:cs="Times New Roman"/>
          <w:color w:val="000000" w:themeColor="text1"/>
          <w:lang w:bidi="ar"/>
          <w14:textFill>
            <w14:solidFill>
              <w14:schemeClr w14:val="tx1"/>
            </w14:solidFill>
          </w14:textFill>
        </w:rPr>
        <w:t>日在环保学社论坛网站上进行了第一次网上公示（10个工作日）；202</w:t>
      </w:r>
      <w:r>
        <w:rPr>
          <w:rFonts w:hint="eastAsia" w:cs="Times New Roman"/>
          <w:color w:val="000000" w:themeColor="text1"/>
          <w:lang w:bidi="ar"/>
          <w14:textFill>
            <w14:solidFill>
              <w14:schemeClr w14:val="tx1"/>
            </w14:solidFill>
          </w14:textFill>
        </w:rPr>
        <w:t>2</w:t>
      </w:r>
      <w:r>
        <w:rPr>
          <w:rFonts w:cs="Times New Roman"/>
          <w:color w:val="000000" w:themeColor="text1"/>
          <w:lang w:bidi="ar"/>
          <w14:textFill>
            <w14:solidFill>
              <w14:schemeClr w14:val="tx1"/>
            </w14:solidFill>
          </w14:textFill>
        </w:rPr>
        <w:t>年</w:t>
      </w:r>
      <w:r>
        <w:rPr>
          <w:rFonts w:hint="eastAsia" w:cs="Times New Roman"/>
          <w:color w:val="000000" w:themeColor="text1"/>
          <w:lang w:bidi="ar"/>
          <w14:textFill>
            <w14:solidFill>
              <w14:schemeClr w14:val="tx1"/>
            </w14:solidFill>
          </w14:textFill>
        </w:rPr>
        <w:t>03</w:t>
      </w:r>
      <w:r>
        <w:rPr>
          <w:rFonts w:cs="Times New Roman"/>
          <w:color w:val="000000" w:themeColor="text1"/>
          <w:lang w:bidi="ar"/>
          <w14:textFill>
            <w14:solidFill>
              <w14:schemeClr w14:val="tx1"/>
            </w14:solidFill>
          </w14:textFill>
        </w:rPr>
        <w:t>月</w:t>
      </w:r>
      <w:r>
        <w:rPr>
          <w:rFonts w:hint="eastAsia" w:cs="Times New Roman"/>
          <w:color w:val="000000" w:themeColor="text1"/>
          <w:lang w:bidi="ar"/>
          <w14:textFill>
            <w14:solidFill>
              <w14:schemeClr w14:val="tx1"/>
            </w14:solidFill>
          </w14:textFill>
        </w:rPr>
        <w:t>29</w:t>
      </w:r>
      <w:r>
        <w:rPr>
          <w:rFonts w:cs="Times New Roman"/>
          <w:color w:val="000000" w:themeColor="text1"/>
          <w:lang w:bidi="ar"/>
          <w14:textFill>
            <w14:solidFill>
              <w14:schemeClr w14:val="tx1"/>
            </w14:solidFill>
          </w14:textFill>
        </w:rPr>
        <w:t>日在环保学社论坛网站上进行了第二次网上公示（10个工作日），公示期间同时进行了张贴公告公示。</w:t>
      </w:r>
    </w:p>
    <w:p>
      <w:pPr>
        <w:widowControl/>
        <w:ind w:firstLine="480"/>
        <w:rPr>
          <w:color w:val="000000" w:themeColor="text1"/>
          <w14:textFill>
            <w14:solidFill>
              <w14:schemeClr w14:val="tx1"/>
            </w14:solidFill>
          </w14:textFill>
        </w:rPr>
      </w:pPr>
      <w:r>
        <w:rPr>
          <w:rFonts w:hint="eastAsia" w:ascii="宋体" w:hAnsi="宋体"/>
          <w:color w:val="000000" w:themeColor="text1"/>
          <w:lang w:bidi="ar"/>
          <w14:textFill>
            <w14:solidFill>
              <w14:schemeClr w14:val="tx1"/>
            </w14:solidFill>
          </w14:textFill>
        </w:rPr>
        <w:t>本项目同时在项目周边村庄等环境敏感点共计</w:t>
      </w:r>
      <w:r>
        <w:rPr>
          <w:rFonts w:cs="Times New Roman"/>
          <w:color w:val="000000" w:themeColor="text1"/>
          <w:lang w:bidi="ar"/>
          <w14:textFill>
            <w14:solidFill>
              <w14:schemeClr w14:val="tx1"/>
            </w14:solidFill>
          </w14:textFill>
        </w:rPr>
        <w:t>5</w:t>
      </w:r>
      <w:r>
        <w:rPr>
          <w:rFonts w:hint="eastAsia" w:ascii="宋体" w:hAnsi="宋体"/>
          <w:color w:val="000000" w:themeColor="text1"/>
          <w:lang w:bidi="ar"/>
          <w14:textFill>
            <w14:solidFill>
              <w14:schemeClr w14:val="tx1"/>
            </w14:solidFill>
          </w14:textFill>
        </w:rPr>
        <w:t>处张贴了公告公示，公告注明了建设项目基本信息、可能存在的环境影响、拟采取的污染防治措施及效果、公示期限、反映意见联系方式等内容。</w:t>
      </w:r>
    </w:p>
    <w:p>
      <w:pPr>
        <w:widowControl/>
        <w:ind w:firstLine="480"/>
        <w:rPr>
          <w:color w:val="000000" w:themeColor="text1"/>
          <w14:textFill>
            <w14:solidFill>
              <w14:schemeClr w14:val="tx1"/>
            </w14:solidFill>
          </w14:textFill>
        </w:rPr>
      </w:pPr>
      <w:r>
        <w:rPr>
          <w:rFonts w:hint="eastAsia" w:ascii="宋体" w:hAnsi="宋体"/>
          <w:color w:val="000000" w:themeColor="text1"/>
          <w:lang w:bidi="ar"/>
          <w14:textFill>
            <w14:solidFill>
              <w14:schemeClr w14:val="tx1"/>
            </w14:solidFill>
          </w14:textFill>
        </w:rPr>
        <w:t>本项目经过了首次网络公示、征求意见稿公示、</w:t>
      </w:r>
      <w:r>
        <w:rPr>
          <w:rFonts w:hint="eastAsia" w:cs="Times New Roman"/>
          <w:color w:val="000000" w:themeColor="text1"/>
          <w:lang w:bidi="ar"/>
          <w14:textFill>
            <w14:solidFill>
              <w14:schemeClr w14:val="tx1"/>
            </w14:solidFill>
          </w14:textFill>
        </w:rPr>
        <w:t>1</w:t>
      </w:r>
      <w:r>
        <w:rPr>
          <w:rFonts w:hint="eastAsia" w:ascii="宋体" w:hAnsi="宋体"/>
          <w:color w:val="000000" w:themeColor="text1"/>
          <w:lang w:bidi="ar"/>
          <w14:textFill>
            <w14:solidFill>
              <w14:schemeClr w14:val="tx1"/>
            </w14:solidFill>
          </w14:textFill>
        </w:rPr>
        <w:t>次报纸公示、张贴公告等，其公示方式、公示内容、公示时间等符合《环境影响评价公众参与管理办法》（生态环境部令第</w:t>
      </w:r>
      <w:r>
        <w:rPr>
          <w:rFonts w:cs="Times New Roman"/>
          <w:color w:val="000000" w:themeColor="text1"/>
          <w:lang w:bidi="ar"/>
          <w14:textFill>
            <w14:solidFill>
              <w14:schemeClr w14:val="tx1"/>
            </w14:solidFill>
          </w14:textFill>
        </w:rPr>
        <w:t>4</w:t>
      </w:r>
      <w:r>
        <w:rPr>
          <w:rFonts w:hint="eastAsia" w:ascii="宋体" w:hAnsi="宋体"/>
          <w:color w:val="000000" w:themeColor="text1"/>
          <w:lang w:bidi="ar"/>
          <w14:textFill>
            <w14:solidFill>
              <w14:schemeClr w14:val="tx1"/>
            </w14:solidFill>
          </w14:textFill>
        </w:rPr>
        <w:t>号）相关要求。公示期间未收到电话来访。本次评价在报告中进一步强化了施工期环境管理、环保措施落实以及信息公开等方面要求。建设单位表示在本项目施工期及运营期将严格遵守相关环保法规，重视环境保护，加强</w:t>
      </w:r>
      <w:r>
        <w:rPr>
          <w:rFonts w:hint="eastAsia" w:ascii="宋体" w:hAnsi="宋体"/>
          <w:color w:val="000000" w:themeColor="text1"/>
          <w:lang w:eastAsia="zh-CN" w:bidi="ar"/>
          <w14:textFill>
            <w14:solidFill>
              <w14:schemeClr w14:val="tx1"/>
            </w14:solidFill>
          </w14:textFill>
        </w:rPr>
        <w:t>“</w:t>
      </w:r>
      <w:r>
        <w:rPr>
          <w:rFonts w:hint="eastAsia" w:ascii="宋体" w:hAnsi="宋体"/>
          <w:color w:val="000000" w:themeColor="text1"/>
          <w:lang w:bidi="ar"/>
          <w14:textFill>
            <w14:solidFill>
              <w14:schemeClr w14:val="tx1"/>
            </w14:solidFill>
          </w14:textFill>
        </w:rPr>
        <w:t>三废</w:t>
      </w:r>
      <w:r>
        <w:rPr>
          <w:rFonts w:hint="eastAsia" w:ascii="宋体" w:hAnsi="宋体"/>
          <w:color w:val="000000" w:themeColor="text1"/>
          <w:lang w:eastAsia="zh-CN" w:bidi="ar"/>
          <w14:textFill>
            <w14:solidFill>
              <w14:schemeClr w14:val="tx1"/>
            </w14:solidFill>
          </w14:textFill>
        </w:rPr>
        <w:t>”</w:t>
      </w:r>
      <w:r>
        <w:rPr>
          <w:rFonts w:hint="eastAsia" w:ascii="宋体" w:hAnsi="宋体"/>
          <w:color w:val="000000" w:themeColor="text1"/>
          <w:lang w:bidi="ar"/>
          <w14:textFill>
            <w14:solidFill>
              <w14:schemeClr w14:val="tx1"/>
            </w14:solidFill>
          </w14:textFill>
        </w:rPr>
        <w:t>治理，切实落实各项环境保护措施，达标排放，确保对周围环境不造成污染影响。</w:t>
      </w:r>
    </w:p>
    <w:p>
      <w:pPr>
        <w:pStyle w:val="6"/>
        <w:ind w:firstLine="643"/>
      </w:pPr>
      <w:bookmarkStart w:id="417" w:name="_Toc12669"/>
      <w:bookmarkStart w:id="418" w:name="_Toc1660"/>
      <w:bookmarkStart w:id="419" w:name="_Toc9734"/>
      <w:bookmarkStart w:id="420" w:name="_Toc2118"/>
      <w:r>
        <w:rPr>
          <w:lang w:val="en-US"/>
        </w:rPr>
        <w:t>10.10 总结论</w:t>
      </w:r>
      <w:bookmarkEnd w:id="417"/>
      <w:bookmarkEnd w:id="418"/>
      <w:bookmarkEnd w:id="419"/>
      <w:bookmarkEnd w:id="420"/>
    </w:p>
    <w:p>
      <w:pPr>
        <w:widowControl/>
        <w:ind w:firstLine="480"/>
      </w:pPr>
      <w:r>
        <w:rPr>
          <w:rFonts w:hint="eastAsia" w:ascii="宋体" w:hAnsi="宋体"/>
          <w:color w:val="000000"/>
          <w:lang w:bidi="ar"/>
        </w:rPr>
        <w:t>新旭环保型体育设施新区建设项目</w:t>
      </w:r>
      <w:r>
        <w:rPr>
          <w:rFonts w:hint="eastAsia" w:ascii="宋体" w:hAnsi="宋体"/>
          <w:color w:val="000000" w:themeColor="text1"/>
          <w:lang w:bidi="ar"/>
          <w14:textFill>
            <w14:solidFill>
              <w14:schemeClr w14:val="tx1"/>
            </w14:solidFill>
          </w14:textFill>
        </w:rPr>
        <w:t>符合国家和地方产业政策，选址符合区域规划；采取的污染治理措施技术经济可行，</w:t>
      </w:r>
      <w:r>
        <w:rPr>
          <w:rFonts w:hint="eastAsia" w:ascii="宋体" w:hAnsi="宋体"/>
          <w:color w:val="000000"/>
          <w:lang w:bidi="ar"/>
        </w:rPr>
        <w:t>可确保污染物稳定达标排放，对周边环境影响较小，可维持环境质量现状；具有一定的经济效益、社会效益和环境效益；公众参与期间未收到电话来访，建设单位表示在本项目施工期及运营期将严格遵守相关环保法规，重视环境保护，加强</w:t>
      </w:r>
      <w:r>
        <w:rPr>
          <w:rFonts w:hint="eastAsia" w:ascii="宋体" w:hAnsi="宋体"/>
          <w:color w:val="000000"/>
          <w:lang w:eastAsia="zh-CN" w:bidi="ar"/>
        </w:rPr>
        <w:t>“</w:t>
      </w:r>
      <w:r>
        <w:rPr>
          <w:rFonts w:hint="eastAsia" w:ascii="宋体" w:hAnsi="宋体"/>
          <w:color w:val="000000"/>
          <w:lang w:bidi="ar"/>
        </w:rPr>
        <w:t>三废</w:t>
      </w:r>
      <w:r>
        <w:rPr>
          <w:rFonts w:hint="eastAsia" w:ascii="宋体" w:hAnsi="宋体"/>
          <w:color w:val="000000"/>
          <w:lang w:eastAsia="zh-CN" w:bidi="ar"/>
        </w:rPr>
        <w:t>”</w:t>
      </w:r>
      <w:r>
        <w:rPr>
          <w:rFonts w:hint="eastAsia" w:ascii="宋体" w:hAnsi="宋体"/>
          <w:color w:val="000000"/>
          <w:lang w:bidi="ar"/>
        </w:rPr>
        <w:t>治理，切实落实各项环境保护措施，达标排放。因此，建设单位在严格落实本环评报告提出的各项环境保护措施，严格执行</w:t>
      </w:r>
      <w:r>
        <w:rPr>
          <w:rFonts w:hint="eastAsia" w:cs="Times New Roman"/>
          <w:color w:val="000000"/>
          <w:lang w:eastAsia="zh-CN" w:bidi="ar"/>
        </w:rPr>
        <w:t>“</w:t>
      </w:r>
      <w:r>
        <w:rPr>
          <w:rFonts w:hint="eastAsia" w:ascii="宋体" w:hAnsi="宋体"/>
          <w:color w:val="000000"/>
          <w:lang w:bidi="ar"/>
        </w:rPr>
        <w:t>三同时</w:t>
      </w:r>
      <w:r>
        <w:rPr>
          <w:rFonts w:hint="eastAsia" w:cs="Times New Roman"/>
          <w:color w:val="000000"/>
          <w:lang w:eastAsia="zh-CN" w:bidi="ar"/>
        </w:rPr>
        <w:t>”</w:t>
      </w:r>
      <w:r>
        <w:rPr>
          <w:rFonts w:hint="eastAsia" w:ascii="宋体" w:hAnsi="宋体"/>
          <w:color w:val="000000"/>
          <w:lang w:bidi="ar"/>
        </w:rPr>
        <w:t>及各级环保主管部门管理要求的前提下，从环保角度分析，本项目建设具有环境可行性。</w:t>
      </w:r>
    </w:p>
    <w:p>
      <w:pPr>
        <w:pStyle w:val="6"/>
        <w:ind w:firstLine="643"/>
        <w:rPr>
          <w:lang w:val="en-US"/>
        </w:rPr>
      </w:pPr>
      <w:bookmarkStart w:id="421" w:name="_Toc25194"/>
      <w:bookmarkStart w:id="422" w:name="_Toc26195"/>
      <w:bookmarkStart w:id="423" w:name="_Toc9388"/>
      <w:bookmarkStart w:id="424" w:name="_Toc10670"/>
      <w:r>
        <w:rPr>
          <w:lang w:val="en-US"/>
        </w:rPr>
        <w:t xml:space="preserve">10.11 </w:t>
      </w:r>
      <w:r>
        <w:rPr>
          <w:rFonts w:hint="eastAsia"/>
          <w:lang w:val="en-US"/>
        </w:rPr>
        <w:t>建议</w:t>
      </w:r>
      <w:bookmarkEnd w:id="421"/>
      <w:bookmarkEnd w:id="422"/>
      <w:bookmarkEnd w:id="423"/>
      <w:bookmarkEnd w:id="424"/>
    </w:p>
    <w:p>
      <w:pPr>
        <w:widowControl/>
        <w:ind w:firstLine="480"/>
      </w:pPr>
      <w:r>
        <w:rPr>
          <w:rFonts w:hint="eastAsia" w:ascii="宋体" w:hAnsi="宋体"/>
          <w:color w:val="000000"/>
          <w:lang w:bidi="ar"/>
        </w:rPr>
        <w:t>（</w:t>
      </w:r>
      <w:r>
        <w:rPr>
          <w:rFonts w:cs="Times New Roman"/>
          <w:color w:val="000000"/>
          <w:lang w:bidi="ar"/>
        </w:rPr>
        <w:t>1</w:t>
      </w:r>
      <w:r>
        <w:rPr>
          <w:rFonts w:hint="eastAsia" w:ascii="宋体" w:hAnsi="宋体"/>
          <w:color w:val="000000"/>
          <w:lang w:bidi="ar"/>
        </w:rPr>
        <w:t>）建设单位应认真贯彻执行有关建设项目环境保护管理文件的精神，建立健全各项环保规章制度，严格执行</w:t>
      </w:r>
      <w:r>
        <w:rPr>
          <w:rFonts w:hint="eastAsia" w:cs="Times New Roman"/>
          <w:color w:val="000000"/>
          <w:lang w:eastAsia="zh-CN" w:bidi="ar"/>
        </w:rPr>
        <w:t>“</w:t>
      </w:r>
      <w:r>
        <w:rPr>
          <w:rFonts w:hint="eastAsia" w:ascii="宋体" w:hAnsi="宋体"/>
          <w:color w:val="000000"/>
          <w:lang w:bidi="ar"/>
        </w:rPr>
        <w:t>三同时</w:t>
      </w:r>
      <w:r>
        <w:rPr>
          <w:rFonts w:hint="eastAsia" w:cs="Times New Roman"/>
          <w:color w:val="000000"/>
          <w:lang w:eastAsia="zh-CN" w:bidi="ar"/>
        </w:rPr>
        <w:t>”</w:t>
      </w:r>
      <w:r>
        <w:rPr>
          <w:rFonts w:hint="eastAsia" w:ascii="宋体" w:hAnsi="宋体"/>
          <w:color w:val="000000"/>
          <w:lang w:bidi="ar"/>
        </w:rPr>
        <w:t>制度。</w:t>
      </w:r>
    </w:p>
    <w:p>
      <w:pPr>
        <w:widowControl/>
        <w:ind w:firstLine="480"/>
      </w:pPr>
      <w:r>
        <w:rPr>
          <w:rFonts w:hint="eastAsia" w:ascii="宋体" w:hAnsi="宋体"/>
          <w:color w:val="000000"/>
          <w:lang w:bidi="ar"/>
        </w:rPr>
        <w:t>（</w:t>
      </w:r>
      <w:r>
        <w:rPr>
          <w:rFonts w:cs="Times New Roman"/>
          <w:color w:val="000000"/>
          <w:lang w:bidi="ar"/>
        </w:rPr>
        <w:t>2</w:t>
      </w:r>
      <w:r>
        <w:rPr>
          <w:rFonts w:hint="eastAsia" w:ascii="宋体" w:hAnsi="宋体"/>
          <w:color w:val="000000"/>
          <w:lang w:bidi="ar"/>
        </w:rPr>
        <w:t>）施工期合理安排施工计划，尽量避免夜间施工。高噪声设备尽可能布置在远离环境敏感度的一侧，并采取降噪措施。加强管理，定期对污染防治设施进行维护保养，确保其长期稳定安全运行、污染物达标排放，避免非正常工况或污染事故发生。</w:t>
      </w:r>
    </w:p>
    <w:p>
      <w:pPr>
        <w:widowControl/>
        <w:ind w:firstLine="480"/>
      </w:pPr>
      <w:r>
        <w:rPr>
          <w:rFonts w:hint="eastAsia" w:ascii="宋体" w:hAnsi="宋体"/>
          <w:color w:val="000000"/>
          <w:lang w:bidi="ar"/>
        </w:rPr>
        <w:t>（</w:t>
      </w:r>
      <w:r>
        <w:rPr>
          <w:rFonts w:cs="Times New Roman"/>
          <w:color w:val="000000"/>
          <w:lang w:bidi="ar"/>
        </w:rPr>
        <w:t>3</w:t>
      </w:r>
      <w:r>
        <w:rPr>
          <w:rFonts w:hint="eastAsia" w:ascii="宋体" w:hAnsi="宋体"/>
          <w:color w:val="000000"/>
          <w:lang w:bidi="ar"/>
        </w:rPr>
        <w:t>）项目的建设应重视引进和建立先进的环保管理模式，完善管理机制，强化职工自身的环保意识。配备必要的环境管理专职人员，落实、检查环保设施的运行状况，保证长期、安全、稳定运行，配合当地环保部门做好环境管理、验收、监督和检查工作。</w:t>
      </w:r>
    </w:p>
    <w:p>
      <w:pPr>
        <w:widowControl/>
        <w:ind w:firstLine="480"/>
      </w:pPr>
      <w:r>
        <w:rPr>
          <w:rFonts w:hint="eastAsia" w:ascii="宋体" w:hAnsi="宋体"/>
          <w:color w:val="000000"/>
          <w:lang w:bidi="ar"/>
        </w:rPr>
        <w:t>（</w:t>
      </w:r>
      <w:r>
        <w:rPr>
          <w:rFonts w:hint="eastAsia" w:cs="Times New Roman"/>
          <w:color w:val="000000"/>
          <w:lang w:bidi="ar"/>
        </w:rPr>
        <w:t>4</w:t>
      </w:r>
      <w:r>
        <w:rPr>
          <w:rFonts w:hint="eastAsia" w:ascii="宋体" w:hAnsi="宋体"/>
          <w:color w:val="000000"/>
          <w:lang w:bidi="ar"/>
        </w:rPr>
        <w:t>）做好后续的自行监测工作。</w:t>
      </w:r>
    </w:p>
    <w:p>
      <w:pPr>
        <w:widowControl/>
        <w:ind w:firstLine="480"/>
      </w:pPr>
      <w:r>
        <w:rPr>
          <w:rFonts w:hint="eastAsia" w:ascii="宋体" w:hAnsi="宋体"/>
          <w:color w:val="000000"/>
          <w:lang w:bidi="ar"/>
        </w:rPr>
        <w:t>（</w:t>
      </w:r>
      <w:r>
        <w:rPr>
          <w:rFonts w:hint="eastAsia" w:cs="Times New Roman"/>
          <w:color w:val="000000"/>
          <w:lang w:bidi="ar"/>
        </w:rPr>
        <w:t>5</w:t>
      </w:r>
      <w:r>
        <w:rPr>
          <w:rFonts w:hint="eastAsia" w:ascii="宋体" w:hAnsi="宋体"/>
          <w:color w:val="000000"/>
          <w:lang w:bidi="ar"/>
        </w:rPr>
        <w:t>）项目在设计、建设、运行全过程中还必须满足消防、安全、职业卫生等相关管理要求，进行规范化的设计、施工和运行管理。</w:t>
      </w:r>
    </w:p>
    <w:sectPr>
      <w:pgSz w:w="11906" w:h="16838"/>
      <w:pgMar w:top="1417" w:right="1417" w:bottom="1417" w:left="1417" w:header="680" w:footer="992" w:gutter="0"/>
      <w:pgBorders>
        <w:top w:val="none" w:sz="0" w:space="0"/>
        <w:left w:val="none" w:sz="0" w:space="0"/>
        <w:bottom w:val="none" w:sz="0" w:space="0"/>
        <w:right w:val="none" w:sz="0" w:space="0"/>
      </w:pgBorders>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Arial Black">
    <w:panose1 w:val="020B0A04020102020204"/>
    <w:charset w:val="00"/>
    <w:family w:val="swiss"/>
    <w:pitch w:val="default"/>
    <w:sig w:usb0="00000287" w:usb1="00000000" w:usb2="00000000" w:usb3="00000000" w:csb0="2000009F" w:csb1="DFD70000"/>
  </w:font>
  <w:font w:name="仿宋">
    <w:panose1 w:val="02010609060101010101"/>
    <w:charset w:val="86"/>
    <w:family w:val="auto"/>
    <w:pitch w:val="default"/>
    <w:sig w:usb0="800002BF" w:usb1="38CF7CFA" w:usb2="00000016" w:usb3="00000000" w:csb0="00040001" w:csb1="00000000"/>
  </w:font>
  <w:font w:name="TimesNewRomanPS-BoldMT">
    <w:altName w:val="Segoe Print"/>
    <w:panose1 w:val="00000000000000000000"/>
    <w:charset w:val="00"/>
    <w:family w:val="auto"/>
    <w:pitch w:val="default"/>
    <w:sig w:usb0="00000000" w:usb1="00000000" w:usb2="00000000" w:usb3="00000000" w:csb0="00000000" w:csb1="00000000"/>
  </w:font>
  <w:font w:name="sans-serif">
    <w:altName w:val="Segoe Print"/>
    <w:panose1 w:val="00000000000000000000"/>
    <w:charset w:val="00"/>
    <w:family w:val="auto"/>
    <w:pitch w:val="default"/>
    <w:sig w:usb0="00000000" w:usb1="00000000" w:usb2="00000000" w:usb3="00000000" w:csb0="00000000"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firstLine="360"/>
    </w:pPr>
    <w: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1"/>
                            <w:ind w:firstLine="360"/>
                          </w:pPr>
                          <w:r>
                            <w:fldChar w:fldCharType="begin"/>
                          </w:r>
                          <w:r>
                            <w:instrText xml:space="preserve"> PAGE  \* MERGEFORMAT </w:instrText>
                          </w:r>
                          <w:r>
                            <w:fldChar w:fldCharType="separate"/>
                          </w:r>
                          <w:r>
                            <w:t>120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pPr>
                      <w:pStyle w:val="21"/>
                      <w:ind w:firstLine="360"/>
                    </w:pPr>
                    <w:r>
                      <w:fldChar w:fldCharType="begin"/>
                    </w:r>
                    <w:r>
                      <w:instrText xml:space="preserve"> PAGE  \* MERGEFORMAT </w:instrText>
                    </w:r>
                    <w:r>
                      <w:fldChar w:fldCharType="separate"/>
                    </w:r>
                    <w:r>
                      <w:t>120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ind w:firstLine="360"/>
      <w:rPr>
        <w:rFonts w:eastAsia="Times New Roman" w:cs="Times New Roman"/>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1"/>
                            <w:ind w:firstLine="360"/>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pPr>
                      <w:pStyle w:val="21"/>
                      <w:ind w:firstLine="360"/>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25" w:lineRule="exact"/>
      <w:ind w:firstLine="0" w:firstLineChars="0"/>
      <w:jc w:val="center"/>
      <w:rPr>
        <w:rFonts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1"/>
                            <w:ind w:firstLine="360"/>
                          </w:pPr>
                          <w:r>
                            <w:fldChar w:fldCharType="begin"/>
                          </w:r>
                          <w:r>
                            <w:instrText xml:space="preserve"> PAGE  \* MERGEFORMAT </w:instrText>
                          </w:r>
                          <w:r>
                            <w:fldChar w:fldCharType="separate"/>
                          </w:r>
                          <w:r>
                            <w:t>124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svHiUt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3V+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svHiUtAgAAVwQAAA4AAAAAAAAAAQAgAAAAHwEAAGRycy9lMm9Eb2MueG1sUEsFBgAAAAAG&#10;AAYAWQEAAL4FAAAAAA==&#10;">
              <v:fill on="f" focussize="0,0"/>
              <v:stroke on="f" weight="0.5pt"/>
              <v:imagedata o:title=""/>
              <o:lock v:ext="edit" aspectratio="f"/>
              <v:textbox inset="0mm,0mm,0mm,0mm" style="mso-fit-shape-to-text:t;">
                <w:txbxContent>
                  <w:p>
                    <w:pPr>
                      <w:pStyle w:val="21"/>
                      <w:ind w:firstLine="360"/>
                    </w:pPr>
                    <w:r>
                      <w:fldChar w:fldCharType="begin"/>
                    </w:r>
                    <w:r>
                      <w:instrText xml:space="preserve"> PAGE  \* MERGEFORMAT </w:instrText>
                    </w:r>
                    <w:r>
                      <w:fldChar w:fldCharType="separate"/>
                    </w:r>
                    <w:r>
                      <w:t>124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spacing w:line="14" w:lineRule="auto"/>
      <w:ind w:firstLine="400"/>
      <w:rPr>
        <w:sz w:val="20"/>
      </w:rPr>
    </w:pPr>
    <w:r>
      <w:rPr>
        <w:sz w:val="20"/>
        <w:lang w:val="en-US" w:bidi="ar-SA"/>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1"/>
                            <w:ind w:firstLine="360"/>
                          </w:pPr>
                          <w:r>
                            <w:fldChar w:fldCharType="begin"/>
                          </w:r>
                          <w:r>
                            <w:instrText xml:space="preserve"> PAGE  \* MERGEFORMAT </w:instrText>
                          </w:r>
                          <w:r>
                            <w:fldChar w:fldCharType="separate"/>
                          </w:r>
                          <w:r>
                            <w:t>321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0uKUt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k7eUqKZQsVPP76f&#10;fj6cfn0jOINArfUzxN1bRIbunenQNsO5x2Hk3VVOxS8YEfgh7/Eir+gC4fHSdDKd5nBx+IYN8LPH&#10;69b58F4YRaJRUIf6JVnZYeNDHzqExGzarBspUw2lJm1Br16/y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Cu0uKUtAgAAVwQAAA4AAAAAAAAAAQAgAAAAHwEAAGRycy9lMm9Eb2MueG1sUEsFBgAAAAAG&#10;AAYAWQEAAL4FAAAAAA==&#10;">
              <v:fill on="f" focussize="0,0"/>
              <v:stroke on="f" weight="0.5pt"/>
              <v:imagedata o:title=""/>
              <o:lock v:ext="edit" aspectratio="f"/>
              <v:textbox inset="0mm,0mm,0mm,0mm" style="mso-fit-shape-to-text:t;">
                <w:txbxContent>
                  <w:p>
                    <w:pPr>
                      <w:pStyle w:val="21"/>
                      <w:ind w:firstLine="360"/>
                    </w:pPr>
                    <w:r>
                      <w:fldChar w:fldCharType="begin"/>
                    </w:r>
                    <w:r>
                      <w:instrText xml:space="preserve"> PAGE  \* MERGEFORMAT </w:instrText>
                    </w:r>
                    <w:r>
                      <w:fldChar w:fldCharType="separate"/>
                    </w:r>
                    <w:r>
                      <w:t>321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0" w:firstLineChars="0"/>
      <w:jc w:val="center"/>
      <w:rPr>
        <w:rFonts w:eastAsia="黑体" w:cs="Times New Roman"/>
        <w:sz w:val="21"/>
        <w:szCs w:val="21"/>
      </w:rPr>
    </w:pPr>
    <w:r>
      <w:rPr>
        <w:rFonts w:eastAsia="黑体" w:cs="Times New Roman"/>
        <w:sz w:val="21"/>
      </w:rPr>
      <mc:AlternateContent>
        <mc:Choice Requires="wps">
          <w:drawing>
            <wp:anchor distT="0" distB="0" distL="114300" distR="114300" simplePos="0" relativeHeight="251685888" behindDoc="0" locked="0" layoutInCell="1" allowOverlap="1">
              <wp:simplePos x="0" y="0"/>
              <wp:positionH relativeFrom="column">
                <wp:posOffset>-2540</wp:posOffset>
              </wp:positionH>
              <wp:positionV relativeFrom="paragraph">
                <wp:posOffset>167640</wp:posOffset>
              </wp:positionV>
              <wp:extent cx="5781040" cy="0"/>
              <wp:effectExtent l="0" t="0" r="0" b="0"/>
              <wp:wrapNone/>
              <wp:docPr id="117" name="直接连接符 117"/>
              <wp:cNvGraphicFramePr/>
              <a:graphic xmlns:a="http://schemas.openxmlformats.org/drawingml/2006/main">
                <a:graphicData uri="http://schemas.microsoft.com/office/word/2010/wordprocessingShape">
                  <wps:wsp>
                    <wps:cNvCnPr/>
                    <wps:spPr>
                      <a:xfrm>
                        <a:off x="897255" y="612140"/>
                        <a:ext cx="578104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id="_x0000_s1026" o:spid="_x0000_s1026" o:spt="20" style="position:absolute;left:0pt;margin-left:-0.2pt;margin-top:13.2pt;height:0pt;width:455.2pt;z-index:251685888;mso-width-relative:page;mso-height-relative:page;" filled="f" stroked="t" coordsize="21600,21600" o:gfxdata="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rxJtt1wAAAAcBAAAPAAAAAAAAAAEAIAAAACIAAABkcnMvZG93bnJldi54bWxQSwECFAAUAAAA&#10;CACHTuJAQz7TEu8BAADAAwAADgAAAAAAAAABACAAAAAmAQAAZHJzL2Uyb0RvYy54bWxQSwUGAAAA&#10;AAYABgBZAQAAhwUAAAAA&#10;">
              <v:fill on="f" focussize="0,0"/>
              <v:stroke weight="1.5pt" color="#000000 [3200]" miterlimit="8" joinstyle="miter"/>
              <v:imagedata o:title=""/>
              <o:lock v:ext="edit" aspectratio="f"/>
            </v:line>
          </w:pict>
        </mc:Fallback>
      </mc:AlternateContent>
    </w:r>
    <w:r>
      <w:rPr>
        <w:rFonts w:eastAsia="黑体" w:cs="Times New Roman"/>
        <w:color w:val="000000"/>
        <w:kern w:val="0"/>
        <w:sz w:val="21"/>
        <w:szCs w:val="21"/>
        <w:lang w:bidi="ar"/>
      </w:rPr>
      <w:t>新旭环保型体育设施新区建设项目环境影响报告书</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0" w:firstLineChars="0"/>
      <w:jc w:val="center"/>
      <w:rPr>
        <w:rFonts w:eastAsia="黑体" w:cs="Times New Roman"/>
        <w:sz w:val="21"/>
        <w:szCs w:val="21"/>
      </w:rPr>
    </w:pPr>
    <w:r>
      <w:rPr>
        <w:rFonts w:eastAsia="黑体" w:cs="Times New Roman"/>
        <w:sz w:val="21"/>
      </w:rPr>
      <mc:AlternateContent>
        <mc:Choice Requires="wps">
          <w:drawing>
            <wp:anchor distT="0" distB="0" distL="114300" distR="114300" simplePos="0" relativeHeight="251697152" behindDoc="0" locked="0" layoutInCell="1" allowOverlap="1">
              <wp:simplePos x="0" y="0"/>
              <wp:positionH relativeFrom="column">
                <wp:posOffset>-2540</wp:posOffset>
              </wp:positionH>
              <wp:positionV relativeFrom="paragraph">
                <wp:posOffset>167640</wp:posOffset>
              </wp:positionV>
              <wp:extent cx="5781040" cy="0"/>
              <wp:effectExtent l="0" t="9525" r="10160" b="9525"/>
              <wp:wrapNone/>
              <wp:docPr id="28" name="直接连接符 28"/>
              <wp:cNvGraphicFramePr/>
              <a:graphic xmlns:a="http://schemas.openxmlformats.org/drawingml/2006/main">
                <a:graphicData uri="http://schemas.microsoft.com/office/word/2010/wordprocessingShape">
                  <wps:wsp>
                    <wps:cNvCnPr/>
                    <wps:spPr>
                      <a:xfrm>
                        <a:off x="897255" y="612140"/>
                        <a:ext cx="578104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id="_x0000_s1026" o:spid="_x0000_s1026" o:spt="20" style="position:absolute;left:0pt;margin-left:-0.2pt;margin-top:13.2pt;height:0pt;width:455.2pt;z-index:251697152;mso-width-relative:page;mso-height-relative:page;" filled="f" stroked="t" coordsize="21600,21600" o:gfxdata="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rxJtt1wAAAAcBAAAPAAAAAAAAAAEAIAAAACIAAABkcnMvZG93bnJldi54bWxQSwECFAAUAAAA&#10;CACHTuJAqXeGje8BAAC+AwAADgAAAAAAAAABACAAAAAmAQAAZHJzL2Uyb0RvYy54bWxQSwUGAAAA&#10;AAYABgBZAQAAhwUAAAAA&#10;">
              <v:fill on="f" focussize="0,0"/>
              <v:stroke weight="1.5pt" color="#000000 [3200]" miterlimit="8" joinstyle="miter"/>
              <v:imagedata o:title=""/>
              <o:lock v:ext="edit" aspectratio="f"/>
            </v:line>
          </w:pict>
        </mc:Fallback>
      </mc:AlternateContent>
    </w:r>
    <w:r>
      <w:rPr>
        <w:rFonts w:eastAsia="黑体" w:cs="Times New Roman"/>
        <w:color w:val="000000"/>
        <w:kern w:val="0"/>
        <w:sz w:val="21"/>
        <w:szCs w:val="21"/>
        <w:lang w:bidi="ar"/>
      </w:rPr>
      <w:t>新旭环保型体育设施新区建设项目环境影响报告书</w:t>
    </w:r>
  </w:p>
  <w:p>
    <w:pPr>
      <w:spacing w:line="204" w:lineRule="auto"/>
      <w:ind w:firstLine="360"/>
      <w:rPr>
        <w:rFonts w:ascii="宋体" w:hAnsi="宋体" w:cs="宋体"/>
        <w:sz w:val="18"/>
        <w:szCs w:val="18"/>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0" w:firstLineChars="0"/>
      <w:jc w:val="center"/>
      <w:rPr>
        <w:rFonts w:eastAsia="黑体" w:cs="Times New Roman"/>
        <w:sz w:val="21"/>
        <w:szCs w:val="21"/>
      </w:rPr>
    </w:pPr>
    <w:r>
      <w:rPr>
        <w:rFonts w:eastAsia="黑体" w:cs="Times New Roman"/>
        <w:sz w:val="21"/>
      </w:rPr>
      <mc:AlternateContent>
        <mc:Choice Requires="wps">
          <w:drawing>
            <wp:anchor distT="0" distB="0" distL="114300" distR="114300" simplePos="0" relativeHeight="251701248" behindDoc="0" locked="0" layoutInCell="1" allowOverlap="1">
              <wp:simplePos x="0" y="0"/>
              <wp:positionH relativeFrom="column">
                <wp:posOffset>-2540</wp:posOffset>
              </wp:positionH>
              <wp:positionV relativeFrom="paragraph">
                <wp:posOffset>167640</wp:posOffset>
              </wp:positionV>
              <wp:extent cx="5781040" cy="0"/>
              <wp:effectExtent l="0" t="9525" r="10160" b="9525"/>
              <wp:wrapNone/>
              <wp:docPr id="29" name="直接连接符 29"/>
              <wp:cNvGraphicFramePr/>
              <a:graphic xmlns:a="http://schemas.openxmlformats.org/drawingml/2006/main">
                <a:graphicData uri="http://schemas.microsoft.com/office/word/2010/wordprocessingShape">
                  <wps:wsp>
                    <wps:cNvCnPr/>
                    <wps:spPr>
                      <a:xfrm>
                        <a:off x="897255" y="612140"/>
                        <a:ext cx="578104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id="_x0000_s1026" o:spid="_x0000_s1026" o:spt="20" style="position:absolute;left:0pt;margin-left:-0.2pt;margin-top:13.2pt;height:0pt;width:455.2pt;z-index:251701248;mso-width-relative:page;mso-height-relative:page;" filled="f" stroked="t" coordsize="21600,21600" o:gfxdata="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rxJtt1wAAAAcBAAAPAAAAAAAAAAEAIAAAACIAAABkcnMvZG93bnJldi54bWxQSwECFAAUAAAA&#10;CACHTuJAyQOKje8BAAC+AwAADgAAAAAAAAABACAAAAAmAQAAZHJzL2Uyb0RvYy54bWxQSwUGAAAA&#10;AAYABgBZAQAAhwUAAAAA&#10;">
              <v:fill on="f" focussize="0,0"/>
              <v:stroke weight="1.5pt" color="#000000 [3200]" miterlimit="8" joinstyle="miter"/>
              <v:imagedata o:title=""/>
              <o:lock v:ext="edit" aspectratio="f"/>
            </v:line>
          </w:pict>
        </mc:Fallback>
      </mc:AlternateContent>
    </w:r>
    <w:r>
      <w:rPr>
        <w:rFonts w:eastAsia="黑体" w:cs="Times New Roman"/>
        <w:color w:val="000000"/>
        <w:kern w:val="0"/>
        <w:sz w:val="21"/>
        <w:szCs w:val="21"/>
        <w:lang w:bidi="ar"/>
      </w:rPr>
      <w:t>新旭环保型体育设施新区建设项目环境影响报告书</w:t>
    </w:r>
  </w:p>
  <w:p>
    <w:pPr>
      <w:spacing w:line="204" w:lineRule="auto"/>
      <w:ind w:firstLine="360"/>
      <w:rPr>
        <w:rFonts w:ascii="宋体" w:hAnsi="宋体" w:cs="宋体"/>
        <w:sz w:val="18"/>
        <w:szCs w:val="18"/>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40" w:lineRule="auto"/>
      <w:ind w:firstLine="0" w:firstLineChars="0"/>
      <w:jc w:val="center"/>
      <w:rPr>
        <w:rFonts w:eastAsia="黑体" w:cs="Times New Roman"/>
        <w:sz w:val="18"/>
        <w:szCs w:val="18"/>
        <w:u w:val="double"/>
      </w:rPr>
    </w:pPr>
    <w:r>
      <w:rPr>
        <w:sz w:val="21"/>
      </w:rPr>
      <mc:AlternateContent>
        <mc:Choice Requires="wps">
          <w:drawing>
            <wp:anchor distT="0" distB="0" distL="114300" distR="114300" simplePos="0" relativeHeight="251686912" behindDoc="0" locked="0" layoutInCell="1" allowOverlap="1">
              <wp:simplePos x="0" y="0"/>
              <wp:positionH relativeFrom="column">
                <wp:posOffset>5080</wp:posOffset>
              </wp:positionH>
              <wp:positionV relativeFrom="paragraph">
                <wp:posOffset>231775</wp:posOffset>
              </wp:positionV>
              <wp:extent cx="5758815" cy="0"/>
              <wp:effectExtent l="0" t="0" r="0" b="0"/>
              <wp:wrapNone/>
              <wp:docPr id="63" name="直接连接符 63"/>
              <wp:cNvGraphicFramePr/>
              <a:graphic xmlns:a="http://schemas.openxmlformats.org/drawingml/2006/main">
                <a:graphicData uri="http://schemas.microsoft.com/office/word/2010/wordprocessingShape">
                  <wps:wsp>
                    <wps:cNvCnPr/>
                    <wps:spPr>
                      <a:xfrm>
                        <a:off x="904875" y="663575"/>
                        <a:ext cx="5758815"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4pt;margin-top:18.25pt;height:0pt;width:453.45pt;z-index:251686912;mso-width-relative:page;mso-height-relative:page;" filled="f" stroked="t" coordsize="21600,21600" o:gfxdata="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aZFHVAAAABgEAAA8AAAAAAAAAAQAgAAAAIgAAAGRycy9kb3ducmV2LnhtbFBLAQIUABQAAAAI&#10;AIdO4kB4WGzW8AEAAL4DAAAOAAAAAAAAAAEAIAAAACQBAABkcnMvZTJvRG9jLnhtbFBLBQYAAAAA&#10;BgAGAFkBAACGBQAAAAA=&#10;">
              <v:fill on="f" focussize="0,0"/>
              <v:stroke weight="1pt" color="#000000 [3213]" miterlimit="8" joinstyle="miter"/>
              <v:imagedata o:title=""/>
              <o:lock v:ext="edit" aspectratio="f"/>
            </v:line>
          </w:pict>
        </mc:Fallback>
      </mc:AlternateContent>
    </w:r>
    <w:r>
      <w:rPr>
        <w:rFonts w:eastAsia="黑体" w:cs="Times New Roman"/>
        <w:color w:val="000000"/>
        <w:kern w:val="0"/>
        <w:sz w:val="21"/>
        <w:szCs w:val="21"/>
        <w:lang w:bidi="ar"/>
      </w:rPr>
      <w:t>新旭环保型体育设施新区建设项目环境影响报告书</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4E91BB"/>
    <w:multiLevelType w:val="singleLevel"/>
    <w:tmpl w:val="964E91BB"/>
    <w:lvl w:ilvl="0" w:tentative="0">
      <w:start w:val="4"/>
      <w:numFmt w:val="decimal"/>
      <w:suff w:val="nothing"/>
      <w:lvlText w:val="（%1）"/>
      <w:lvlJc w:val="left"/>
    </w:lvl>
  </w:abstractNum>
  <w:abstractNum w:abstractNumId="1">
    <w:nsid w:val="9BC2B261"/>
    <w:multiLevelType w:val="singleLevel"/>
    <w:tmpl w:val="9BC2B261"/>
    <w:lvl w:ilvl="0" w:tentative="0">
      <w:start w:val="1"/>
      <w:numFmt w:val="decimal"/>
      <w:suff w:val="nothing"/>
      <w:lvlText w:val="（%1）"/>
      <w:lvlJc w:val="left"/>
    </w:lvl>
  </w:abstractNum>
  <w:abstractNum w:abstractNumId="2">
    <w:nsid w:val="B037D19E"/>
    <w:multiLevelType w:val="singleLevel"/>
    <w:tmpl w:val="B037D19E"/>
    <w:lvl w:ilvl="0" w:tentative="0">
      <w:start w:val="1"/>
      <w:numFmt w:val="bullet"/>
      <w:pStyle w:val="19"/>
      <w:lvlText w:val=""/>
      <w:lvlJc w:val="left"/>
      <w:pPr>
        <w:tabs>
          <w:tab w:val="left" w:pos="2040"/>
        </w:tabs>
        <w:ind w:left="2040" w:hanging="360"/>
      </w:pPr>
      <w:rPr>
        <w:rFonts w:hint="default" w:ascii="Wingdings" w:hAnsi="Wingdings"/>
      </w:rPr>
    </w:lvl>
  </w:abstractNum>
  <w:abstractNum w:abstractNumId="3">
    <w:nsid w:val="BD10D463"/>
    <w:multiLevelType w:val="singleLevel"/>
    <w:tmpl w:val="BD10D463"/>
    <w:lvl w:ilvl="0" w:tentative="0">
      <w:start w:val="1"/>
      <w:numFmt w:val="chineseCounting"/>
      <w:suff w:val="nothing"/>
      <w:lvlText w:val="（%1）"/>
      <w:lvlJc w:val="left"/>
      <w:rPr>
        <w:rFonts w:hint="eastAsia"/>
      </w:rPr>
    </w:lvl>
  </w:abstractNum>
  <w:abstractNum w:abstractNumId="4">
    <w:nsid w:val="E529D13D"/>
    <w:multiLevelType w:val="singleLevel"/>
    <w:tmpl w:val="E529D13D"/>
    <w:lvl w:ilvl="0" w:tentative="0">
      <w:start w:val="1"/>
      <w:numFmt w:val="chineseCounting"/>
      <w:suff w:val="nothing"/>
      <w:lvlText w:val="%1、"/>
      <w:lvlJc w:val="left"/>
      <w:rPr>
        <w:rFonts w:hint="eastAsia"/>
      </w:rPr>
    </w:lvl>
  </w:abstractNum>
  <w:abstractNum w:abstractNumId="5">
    <w:nsid w:val="F500FDD2"/>
    <w:multiLevelType w:val="singleLevel"/>
    <w:tmpl w:val="F500FDD2"/>
    <w:lvl w:ilvl="0" w:tentative="0">
      <w:start w:val="4"/>
      <w:numFmt w:val="decimal"/>
      <w:suff w:val="nothing"/>
      <w:lvlText w:val="%1、"/>
      <w:lvlJc w:val="left"/>
    </w:lvl>
  </w:abstractNum>
  <w:abstractNum w:abstractNumId="6">
    <w:nsid w:val="1FB56D5B"/>
    <w:multiLevelType w:val="singleLevel"/>
    <w:tmpl w:val="1FB56D5B"/>
    <w:lvl w:ilvl="0" w:tentative="0">
      <w:start w:val="4"/>
      <w:numFmt w:val="chineseCounting"/>
      <w:suff w:val="nothing"/>
      <w:lvlText w:val="%1、"/>
      <w:lvlJc w:val="left"/>
      <w:rPr>
        <w:rFonts w:hint="eastAsia"/>
      </w:rPr>
    </w:lvl>
  </w:abstractNum>
  <w:abstractNum w:abstractNumId="7">
    <w:nsid w:val="6004FD2A"/>
    <w:multiLevelType w:val="singleLevel"/>
    <w:tmpl w:val="6004FD2A"/>
    <w:lvl w:ilvl="0" w:tentative="0">
      <w:start w:val="2"/>
      <w:numFmt w:val="decimal"/>
      <w:suff w:val="nothing"/>
      <w:lvlText w:val="（%1）"/>
      <w:lvlJc w:val="left"/>
    </w:lvl>
  </w:abstractNum>
  <w:abstractNum w:abstractNumId="8">
    <w:nsid w:val="7A53CAC7"/>
    <w:multiLevelType w:val="singleLevel"/>
    <w:tmpl w:val="7A53CAC7"/>
    <w:lvl w:ilvl="0" w:tentative="0">
      <w:start w:val="1"/>
      <w:numFmt w:val="decimal"/>
      <w:suff w:val="nothing"/>
      <w:lvlText w:val="%1、"/>
      <w:lvlJc w:val="left"/>
    </w:lvl>
  </w:abstractNum>
  <w:num w:numId="1">
    <w:abstractNumId w:val="2"/>
  </w:num>
  <w:num w:numId="2">
    <w:abstractNumId w:val="0"/>
  </w:num>
  <w:num w:numId="3">
    <w:abstractNumId w:val="7"/>
  </w:num>
  <w:num w:numId="4">
    <w:abstractNumId w:val="4"/>
  </w:num>
  <w:num w:numId="5">
    <w:abstractNumId w:val="3"/>
  </w:num>
  <w:num w:numId="6">
    <w:abstractNumId w:val="6"/>
  </w:num>
  <w:num w:numId="7">
    <w:abstractNumId w:val="5"/>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0YTUwNjQwYTViOWJjNmYyMDllMzY0ZjAxMTZhMTAifQ=="/>
  </w:docVars>
  <w:rsids>
    <w:rsidRoot w:val="4FA578C6"/>
    <w:rsid w:val="00005851"/>
    <w:rsid w:val="00050D47"/>
    <w:rsid w:val="000A021C"/>
    <w:rsid w:val="000C3782"/>
    <w:rsid w:val="000C5A4D"/>
    <w:rsid w:val="00142732"/>
    <w:rsid w:val="00172AB0"/>
    <w:rsid w:val="0020232C"/>
    <w:rsid w:val="00212E70"/>
    <w:rsid w:val="00255D11"/>
    <w:rsid w:val="002E176D"/>
    <w:rsid w:val="00340C44"/>
    <w:rsid w:val="003625AF"/>
    <w:rsid w:val="003A6561"/>
    <w:rsid w:val="00402BFE"/>
    <w:rsid w:val="004307BC"/>
    <w:rsid w:val="004312FD"/>
    <w:rsid w:val="00447328"/>
    <w:rsid w:val="004A5F77"/>
    <w:rsid w:val="004F4398"/>
    <w:rsid w:val="0057773F"/>
    <w:rsid w:val="005A7D98"/>
    <w:rsid w:val="0061250F"/>
    <w:rsid w:val="00617536"/>
    <w:rsid w:val="00654C8D"/>
    <w:rsid w:val="00654EEB"/>
    <w:rsid w:val="00661BC4"/>
    <w:rsid w:val="006B5B77"/>
    <w:rsid w:val="007B6415"/>
    <w:rsid w:val="007E5A98"/>
    <w:rsid w:val="00814224"/>
    <w:rsid w:val="008172CA"/>
    <w:rsid w:val="00846FDD"/>
    <w:rsid w:val="00894F1A"/>
    <w:rsid w:val="008D53E7"/>
    <w:rsid w:val="00920C4B"/>
    <w:rsid w:val="00923B0C"/>
    <w:rsid w:val="00964FC7"/>
    <w:rsid w:val="009718D5"/>
    <w:rsid w:val="00A2640F"/>
    <w:rsid w:val="00A40996"/>
    <w:rsid w:val="00AB2BF2"/>
    <w:rsid w:val="00B11D73"/>
    <w:rsid w:val="00B855CD"/>
    <w:rsid w:val="00B92939"/>
    <w:rsid w:val="00B935D7"/>
    <w:rsid w:val="00BB1DB4"/>
    <w:rsid w:val="00C06B74"/>
    <w:rsid w:val="00C42EE1"/>
    <w:rsid w:val="00C84D4A"/>
    <w:rsid w:val="00D62B57"/>
    <w:rsid w:val="00E663BF"/>
    <w:rsid w:val="00E71D20"/>
    <w:rsid w:val="00ED4D1A"/>
    <w:rsid w:val="00F91218"/>
    <w:rsid w:val="00FD52A1"/>
    <w:rsid w:val="01166266"/>
    <w:rsid w:val="0122669E"/>
    <w:rsid w:val="015C5821"/>
    <w:rsid w:val="01673472"/>
    <w:rsid w:val="01881626"/>
    <w:rsid w:val="01C234AA"/>
    <w:rsid w:val="01D41ECC"/>
    <w:rsid w:val="01D70A8B"/>
    <w:rsid w:val="01E83201"/>
    <w:rsid w:val="02176B90"/>
    <w:rsid w:val="028F66BC"/>
    <w:rsid w:val="02A10438"/>
    <w:rsid w:val="02A56CAC"/>
    <w:rsid w:val="02A659B0"/>
    <w:rsid w:val="03153150"/>
    <w:rsid w:val="03462D29"/>
    <w:rsid w:val="03704323"/>
    <w:rsid w:val="038422BF"/>
    <w:rsid w:val="03A27063"/>
    <w:rsid w:val="03B323B2"/>
    <w:rsid w:val="03CF2BD1"/>
    <w:rsid w:val="03E157AD"/>
    <w:rsid w:val="045476CD"/>
    <w:rsid w:val="04754EBB"/>
    <w:rsid w:val="04A026ED"/>
    <w:rsid w:val="05045DF2"/>
    <w:rsid w:val="051C13BB"/>
    <w:rsid w:val="055E1C86"/>
    <w:rsid w:val="055F2666"/>
    <w:rsid w:val="0579530C"/>
    <w:rsid w:val="06265273"/>
    <w:rsid w:val="0667486D"/>
    <w:rsid w:val="06833607"/>
    <w:rsid w:val="06B2596C"/>
    <w:rsid w:val="06E26386"/>
    <w:rsid w:val="07190FAF"/>
    <w:rsid w:val="071E4059"/>
    <w:rsid w:val="0767739F"/>
    <w:rsid w:val="07861E21"/>
    <w:rsid w:val="079A1AE4"/>
    <w:rsid w:val="07B6242A"/>
    <w:rsid w:val="07D9286B"/>
    <w:rsid w:val="0803295A"/>
    <w:rsid w:val="08115E5E"/>
    <w:rsid w:val="0841225B"/>
    <w:rsid w:val="08A326F1"/>
    <w:rsid w:val="08B77236"/>
    <w:rsid w:val="08DD014C"/>
    <w:rsid w:val="091C14FF"/>
    <w:rsid w:val="095E248B"/>
    <w:rsid w:val="0A0B0F60"/>
    <w:rsid w:val="0A975D2D"/>
    <w:rsid w:val="0AD33B20"/>
    <w:rsid w:val="0AE002B7"/>
    <w:rsid w:val="0AE7650E"/>
    <w:rsid w:val="0B2B4EB1"/>
    <w:rsid w:val="0B930B91"/>
    <w:rsid w:val="0BB77E8B"/>
    <w:rsid w:val="0BEE0BCC"/>
    <w:rsid w:val="0C326A7A"/>
    <w:rsid w:val="0C326ADC"/>
    <w:rsid w:val="0C4D6975"/>
    <w:rsid w:val="0C685F53"/>
    <w:rsid w:val="0C710851"/>
    <w:rsid w:val="0CA7317B"/>
    <w:rsid w:val="0D222E5C"/>
    <w:rsid w:val="0D3606B5"/>
    <w:rsid w:val="0D474476"/>
    <w:rsid w:val="0D507067"/>
    <w:rsid w:val="0D5079C9"/>
    <w:rsid w:val="0DC6749E"/>
    <w:rsid w:val="0DD55DB0"/>
    <w:rsid w:val="0DDA6935"/>
    <w:rsid w:val="0E0552EB"/>
    <w:rsid w:val="0E4A6178"/>
    <w:rsid w:val="0E727ADE"/>
    <w:rsid w:val="0EF25104"/>
    <w:rsid w:val="0EFC21A6"/>
    <w:rsid w:val="0F322F8F"/>
    <w:rsid w:val="0F36396A"/>
    <w:rsid w:val="0F5C32B6"/>
    <w:rsid w:val="0F60004F"/>
    <w:rsid w:val="0F94273D"/>
    <w:rsid w:val="0F9D0EBF"/>
    <w:rsid w:val="0FA94471"/>
    <w:rsid w:val="0FD64CEF"/>
    <w:rsid w:val="0FF1792D"/>
    <w:rsid w:val="10064752"/>
    <w:rsid w:val="100D7DF3"/>
    <w:rsid w:val="101822F4"/>
    <w:rsid w:val="101A6F4D"/>
    <w:rsid w:val="10346839"/>
    <w:rsid w:val="1066490C"/>
    <w:rsid w:val="106B2790"/>
    <w:rsid w:val="10B22749"/>
    <w:rsid w:val="10C50F0D"/>
    <w:rsid w:val="10E314B8"/>
    <w:rsid w:val="10F4112A"/>
    <w:rsid w:val="111A2DA3"/>
    <w:rsid w:val="11212669"/>
    <w:rsid w:val="11547BBF"/>
    <w:rsid w:val="11756C45"/>
    <w:rsid w:val="118D6B0C"/>
    <w:rsid w:val="119C64DB"/>
    <w:rsid w:val="119C6E41"/>
    <w:rsid w:val="11A05730"/>
    <w:rsid w:val="11AC4C31"/>
    <w:rsid w:val="11B10648"/>
    <w:rsid w:val="12284751"/>
    <w:rsid w:val="12435CE1"/>
    <w:rsid w:val="124F1AD1"/>
    <w:rsid w:val="12762877"/>
    <w:rsid w:val="1297639C"/>
    <w:rsid w:val="129A31CA"/>
    <w:rsid w:val="13020EFD"/>
    <w:rsid w:val="13162370"/>
    <w:rsid w:val="133D1DE4"/>
    <w:rsid w:val="138645E7"/>
    <w:rsid w:val="13950620"/>
    <w:rsid w:val="13C95D9D"/>
    <w:rsid w:val="13E27834"/>
    <w:rsid w:val="13E73D36"/>
    <w:rsid w:val="146305B1"/>
    <w:rsid w:val="146F5A9C"/>
    <w:rsid w:val="148B6D64"/>
    <w:rsid w:val="14D7542C"/>
    <w:rsid w:val="15166C42"/>
    <w:rsid w:val="1530371A"/>
    <w:rsid w:val="15871488"/>
    <w:rsid w:val="15994CE1"/>
    <w:rsid w:val="15E32303"/>
    <w:rsid w:val="15EF5E3E"/>
    <w:rsid w:val="163E7398"/>
    <w:rsid w:val="16553D33"/>
    <w:rsid w:val="166663DF"/>
    <w:rsid w:val="16842905"/>
    <w:rsid w:val="16905605"/>
    <w:rsid w:val="170513DE"/>
    <w:rsid w:val="173B2ABC"/>
    <w:rsid w:val="177F3AE5"/>
    <w:rsid w:val="178527DA"/>
    <w:rsid w:val="17BD6D94"/>
    <w:rsid w:val="17D65CCE"/>
    <w:rsid w:val="17F130B9"/>
    <w:rsid w:val="181B2327"/>
    <w:rsid w:val="181E1E9E"/>
    <w:rsid w:val="185D172F"/>
    <w:rsid w:val="186C47C8"/>
    <w:rsid w:val="189764F7"/>
    <w:rsid w:val="18E101F5"/>
    <w:rsid w:val="18E972DE"/>
    <w:rsid w:val="18E97F2A"/>
    <w:rsid w:val="18FE7C80"/>
    <w:rsid w:val="19E848D6"/>
    <w:rsid w:val="19EF080C"/>
    <w:rsid w:val="1A2C356C"/>
    <w:rsid w:val="1A612D39"/>
    <w:rsid w:val="1ACC08E9"/>
    <w:rsid w:val="1AE8196B"/>
    <w:rsid w:val="1B1526C5"/>
    <w:rsid w:val="1B53687C"/>
    <w:rsid w:val="1B5D2B7C"/>
    <w:rsid w:val="1B8E39D3"/>
    <w:rsid w:val="1BD0357D"/>
    <w:rsid w:val="1BD42672"/>
    <w:rsid w:val="1BDE247F"/>
    <w:rsid w:val="1BF0582C"/>
    <w:rsid w:val="1C0F10C8"/>
    <w:rsid w:val="1C7D2527"/>
    <w:rsid w:val="1CB021B5"/>
    <w:rsid w:val="1CD5665F"/>
    <w:rsid w:val="1CF23356"/>
    <w:rsid w:val="1CF344B9"/>
    <w:rsid w:val="1CFD6D33"/>
    <w:rsid w:val="1D380AFD"/>
    <w:rsid w:val="1D524AA3"/>
    <w:rsid w:val="1DC35F95"/>
    <w:rsid w:val="1DC8140E"/>
    <w:rsid w:val="1DD04F3F"/>
    <w:rsid w:val="1E475C31"/>
    <w:rsid w:val="1EC34503"/>
    <w:rsid w:val="1EC4051E"/>
    <w:rsid w:val="1EC4251F"/>
    <w:rsid w:val="1ECE4BF1"/>
    <w:rsid w:val="1EF52064"/>
    <w:rsid w:val="1F1458E0"/>
    <w:rsid w:val="1F8766DC"/>
    <w:rsid w:val="1FCA52CD"/>
    <w:rsid w:val="1FEE1B68"/>
    <w:rsid w:val="1FF62C80"/>
    <w:rsid w:val="203501A0"/>
    <w:rsid w:val="20567DC6"/>
    <w:rsid w:val="2061318F"/>
    <w:rsid w:val="206560CE"/>
    <w:rsid w:val="20E11FCB"/>
    <w:rsid w:val="20E1764E"/>
    <w:rsid w:val="213275C6"/>
    <w:rsid w:val="216078CF"/>
    <w:rsid w:val="21664513"/>
    <w:rsid w:val="21731129"/>
    <w:rsid w:val="21835BCE"/>
    <w:rsid w:val="21A64593"/>
    <w:rsid w:val="21FA4B14"/>
    <w:rsid w:val="2224094E"/>
    <w:rsid w:val="223965AF"/>
    <w:rsid w:val="22C00DE4"/>
    <w:rsid w:val="23290648"/>
    <w:rsid w:val="23354390"/>
    <w:rsid w:val="23474D6D"/>
    <w:rsid w:val="2374356E"/>
    <w:rsid w:val="237D3DBF"/>
    <w:rsid w:val="23822228"/>
    <w:rsid w:val="238C4CF2"/>
    <w:rsid w:val="23931BDA"/>
    <w:rsid w:val="23BF0844"/>
    <w:rsid w:val="23C87262"/>
    <w:rsid w:val="241F68E9"/>
    <w:rsid w:val="243112C3"/>
    <w:rsid w:val="24324109"/>
    <w:rsid w:val="24343F05"/>
    <w:rsid w:val="24AD31D6"/>
    <w:rsid w:val="25644C47"/>
    <w:rsid w:val="25891872"/>
    <w:rsid w:val="258B265B"/>
    <w:rsid w:val="25D53712"/>
    <w:rsid w:val="261D1747"/>
    <w:rsid w:val="26280913"/>
    <w:rsid w:val="263E6795"/>
    <w:rsid w:val="26823F61"/>
    <w:rsid w:val="26BC6761"/>
    <w:rsid w:val="26C62716"/>
    <w:rsid w:val="273C28C7"/>
    <w:rsid w:val="276B7112"/>
    <w:rsid w:val="27A206DF"/>
    <w:rsid w:val="27CD72A0"/>
    <w:rsid w:val="281A1F54"/>
    <w:rsid w:val="285C3928"/>
    <w:rsid w:val="285D5DE9"/>
    <w:rsid w:val="28670CFB"/>
    <w:rsid w:val="289A1CBC"/>
    <w:rsid w:val="28CD5A66"/>
    <w:rsid w:val="28CD76B8"/>
    <w:rsid w:val="28EE261A"/>
    <w:rsid w:val="28F13B34"/>
    <w:rsid w:val="2903193C"/>
    <w:rsid w:val="290F20B1"/>
    <w:rsid w:val="2911540E"/>
    <w:rsid w:val="29433C0A"/>
    <w:rsid w:val="296D2ADA"/>
    <w:rsid w:val="2975638C"/>
    <w:rsid w:val="297A2DE1"/>
    <w:rsid w:val="29B47C5F"/>
    <w:rsid w:val="29CB3BAE"/>
    <w:rsid w:val="29F6456B"/>
    <w:rsid w:val="2A0855DD"/>
    <w:rsid w:val="2A113846"/>
    <w:rsid w:val="2A3D18A8"/>
    <w:rsid w:val="2A4E3BC1"/>
    <w:rsid w:val="2A7358E1"/>
    <w:rsid w:val="2A7A170D"/>
    <w:rsid w:val="2AA6132E"/>
    <w:rsid w:val="2B0F1725"/>
    <w:rsid w:val="2B14102B"/>
    <w:rsid w:val="2B1C0CF9"/>
    <w:rsid w:val="2B4A2F79"/>
    <w:rsid w:val="2B8250CC"/>
    <w:rsid w:val="2BD37EF7"/>
    <w:rsid w:val="2BE7708B"/>
    <w:rsid w:val="2BF9799B"/>
    <w:rsid w:val="2D2B521F"/>
    <w:rsid w:val="2D566108"/>
    <w:rsid w:val="2D6030CF"/>
    <w:rsid w:val="2D7D7322"/>
    <w:rsid w:val="2D8565A4"/>
    <w:rsid w:val="2E0C15E9"/>
    <w:rsid w:val="2E470C13"/>
    <w:rsid w:val="2E7C4EF8"/>
    <w:rsid w:val="2E7C6DB5"/>
    <w:rsid w:val="2E7F7CB6"/>
    <w:rsid w:val="2E9506F3"/>
    <w:rsid w:val="2E9643EA"/>
    <w:rsid w:val="2EF07B57"/>
    <w:rsid w:val="2EF56881"/>
    <w:rsid w:val="2EF657C9"/>
    <w:rsid w:val="2EF97A69"/>
    <w:rsid w:val="2F3648D8"/>
    <w:rsid w:val="2F3C05FE"/>
    <w:rsid w:val="2F6B4725"/>
    <w:rsid w:val="2F6C2E7D"/>
    <w:rsid w:val="2F7A0149"/>
    <w:rsid w:val="2F9B71C0"/>
    <w:rsid w:val="2FA476D7"/>
    <w:rsid w:val="2FAE7398"/>
    <w:rsid w:val="2FBA7CEE"/>
    <w:rsid w:val="2FDB5650"/>
    <w:rsid w:val="2FF9182E"/>
    <w:rsid w:val="302F6AB6"/>
    <w:rsid w:val="30420288"/>
    <w:rsid w:val="3066049A"/>
    <w:rsid w:val="3071315C"/>
    <w:rsid w:val="308C3D41"/>
    <w:rsid w:val="30A91B9D"/>
    <w:rsid w:val="30C0714E"/>
    <w:rsid w:val="30D004D9"/>
    <w:rsid w:val="31244332"/>
    <w:rsid w:val="318921E0"/>
    <w:rsid w:val="318B24CE"/>
    <w:rsid w:val="31A844E9"/>
    <w:rsid w:val="324F2808"/>
    <w:rsid w:val="32AD425F"/>
    <w:rsid w:val="32B15A51"/>
    <w:rsid w:val="32F461BC"/>
    <w:rsid w:val="3341566F"/>
    <w:rsid w:val="33432544"/>
    <w:rsid w:val="33532C08"/>
    <w:rsid w:val="344813C0"/>
    <w:rsid w:val="34597979"/>
    <w:rsid w:val="349E572B"/>
    <w:rsid w:val="34D82FDC"/>
    <w:rsid w:val="34E217AD"/>
    <w:rsid w:val="34F604AA"/>
    <w:rsid w:val="35407A8F"/>
    <w:rsid w:val="35506C21"/>
    <w:rsid w:val="35724CEE"/>
    <w:rsid w:val="358D580E"/>
    <w:rsid w:val="35B13A6F"/>
    <w:rsid w:val="35BE7316"/>
    <w:rsid w:val="35CE4A25"/>
    <w:rsid w:val="362B5604"/>
    <w:rsid w:val="3639699D"/>
    <w:rsid w:val="368C406F"/>
    <w:rsid w:val="368E0C6D"/>
    <w:rsid w:val="36920FBD"/>
    <w:rsid w:val="36A66D39"/>
    <w:rsid w:val="36B55EFA"/>
    <w:rsid w:val="36BF7ED6"/>
    <w:rsid w:val="36C049ED"/>
    <w:rsid w:val="36C165F9"/>
    <w:rsid w:val="36CD53C7"/>
    <w:rsid w:val="375D5BCE"/>
    <w:rsid w:val="37A92546"/>
    <w:rsid w:val="37D979D1"/>
    <w:rsid w:val="37E529F8"/>
    <w:rsid w:val="37F25156"/>
    <w:rsid w:val="380354B4"/>
    <w:rsid w:val="380C6541"/>
    <w:rsid w:val="381B180E"/>
    <w:rsid w:val="38211DDE"/>
    <w:rsid w:val="38614BD1"/>
    <w:rsid w:val="389A5040"/>
    <w:rsid w:val="38AB757C"/>
    <w:rsid w:val="38CE7B26"/>
    <w:rsid w:val="38D7068B"/>
    <w:rsid w:val="38DC63B6"/>
    <w:rsid w:val="38E319B7"/>
    <w:rsid w:val="390751F8"/>
    <w:rsid w:val="392614F7"/>
    <w:rsid w:val="393C3451"/>
    <w:rsid w:val="39572206"/>
    <w:rsid w:val="3983753C"/>
    <w:rsid w:val="39935056"/>
    <w:rsid w:val="39FF6727"/>
    <w:rsid w:val="3A806327"/>
    <w:rsid w:val="3A8C2EB7"/>
    <w:rsid w:val="3AAD5BAB"/>
    <w:rsid w:val="3AF07A09"/>
    <w:rsid w:val="3AFE179D"/>
    <w:rsid w:val="3B0C5930"/>
    <w:rsid w:val="3B786538"/>
    <w:rsid w:val="3B79498C"/>
    <w:rsid w:val="3B7B1696"/>
    <w:rsid w:val="3BBC29B0"/>
    <w:rsid w:val="3BF5154A"/>
    <w:rsid w:val="3C0473B1"/>
    <w:rsid w:val="3C251C05"/>
    <w:rsid w:val="3C48350E"/>
    <w:rsid w:val="3C69636B"/>
    <w:rsid w:val="3CB4221F"/>
    <w:rsid w:val="3CCA2335"/>
    <w:rsid w:val="3CCF1AEB"/>
    <w:rsid w:val="3CD01F14"/>
    <w:rsid w:val="3CE84C78"/>
    <w:rsid w:val="3CEB407A"/>
    <w:rsid w:val="3DD726D0"/>
    <w:rsid w:val="3DF61CC5"/>
    <w:rsid w:val="3E477D57"/>
    <w:rsid w:val="3E6D671B"/>
    <w:rsid w:val="3EA65946"/>
    <w:rsid w:val="3EA67D9C"/>
    <w:rsid w:val="3EE917AD"/>
    <w:rsid w:val="3EEC033D"/>
    <w:rsid w:val="3EF26282"/>
    <w:rsid w:val="3EF56D6F"/>
    <w:rsid w:val="3F0E22F9"/>
    <w:rsid w:val="3F1A1AF0"/>
    <w:rsid w:val="3F6A314C"/>
    <w:rsid w:val="3FB5491A"/>
    <w:rsid w:val="3FBA7797"/>
    <w:rsid w:val="3FCE7E6A"/>
    <w:rsid w:val="3FD0627F"/>
    <w:rsid w:val="40202501"/>
    <w:rsid w:val="40211946"/>
    <w:rsid w:val="403A5000"/>
    <w:rsid w:val="404D1AC4"/>
    <w:rsid w:val="404F5095"/>
    <w:rsid w:val="408F7FA1"/>
    <w:rsid w:val="40B76026"/>
    <w:rsid w:val="40C93B00"/>
    <w:rsid w:val="40EA339B"/>
    <w:rsid w:val="411E5BED"/>
    <w:rsid w:val="4142017A"/>
    <w:rsid w:val="41664F08"/>
    <w:rsid w:val="41AF045B"/>
    <w:rsid w:val="41E10949"/>
    <w:rsid w:val="41FC70AF"/>
    <w:rsid w:val="41FF7DFF"/>
    <w:rsid w:val="420408D6"/>
    <w:rsid w:val="42F75102"/>
    <w:rsid w:val="434A3ADA"/>
    <w:rsid w:val="439C4C0D"/>
    <w:rsid w:val="43D83EAF"/>
    <w:rsid w:val="440203BB"/>
    <w:rsid w:val="441F0A66"/>
    <w:rsid w:val="447B2709"/>
    <w:rsid w:val="44844B58"/>
    <w:rsid w:val="44B07D93"/>
    <w:rsid w:val="44C4270B"/>
    <w:rsid w:val="45077E34"/>
    <w:rsid w:val="452322C6"/>
    <w:rsid w:val="45271601"/>
    <w:rsid w:val="452C04F3"/>
    <w:rsid w:val="45637AD6"/>
    <w:rsid w:val="45C24CFE"/>
    <w:rsid w:val="45EE754F"/>
    <w:rsid w:val="45FB38AF"/>
    <w:rsid w:val="46440F7B"/>
    <w:rsid w:val="46AC0F6D"/>
    <w:rsid w:val="46D03F4E"/>
    <w:rsid w:val="46E932C4"/>
    <w:rsid w:val="4701173D"/>
    <w:rsid w:val="470B1C8F"/>
    <w:rsid w:val="47105F1B"/>
    <w:rsid w:val="47236BE3"/>
    <w:rsid w:val="47557582"/>
    <w:rsid w:val="475971E0"/>
    <w:rsid w:val="476A3AF6"/>
    <w:rsid w:val="4792779A"/>
    <w:rsid w:val="47AA0842"/>
    <w:rsid w:val="47B84A4D"/>
    <w:rsid w:val="47B97E58"/>
    <w:rsid w:val="47CC5039"/>
    <w:rsid w:val="47F81118"/>
    <w:rsid w:val="480F767A"/>
    <w:rsid w:val="48211799"/>
    <w:rsid w:val="4847319B"/>
    <w:rsid w:val="484A2C8B"/>
    <w:rsid w:val="48833418"/>
    <w:rsid w:val="48D503B2"/>
    <w:rsid w:val="48E2538E"/>
    <w:rsid w:val="48E56510"/>
    <w:rsid w:val="48E84796"/>
    <w:rsid w:val="49217A8E"/>
    <w:rsid w:val="49356D22"/>
    <w:rsid w:val="495C3AAC"/>
    <w:rsid w:val="496E6D07"/>
    <w:rsid w:val="497C731C"/>
    <w:rsid w:val="498615A7"/>
    <w:rsid w:val="49A86F14"/>
    <w:rsid w:val="49FC26C3"/>
    <w:rsid w:val="4A170550"/>
    <w:rsid w:val="4A654FEC"/>
    <w:rsid w:val="4A69519B"/>
    <w:rsid w:val="4AC8135D"/>
    <w:rsid w:val="4AD80BCB"/>
    <w:rsid w:val="4B2C468F"/>
    <w:rsid w:val="4B361611"/>
    <w:rsid w:val="4B43148B"/>
    <w:rsid w:val="4B6422B6"/>
    <w:rsid w:val="4B644708"/>
    <w:rsid w:val="4B933C6F"/>
    <w:rsid w:val="4B950A28"/>
    <w:rsid w:val="4BB171D0"/>
    <w:rsid w:val="4BF349ED"/>
    <w:rsid w:val="4C406229"/>
    <w:rsid w:val="4C6D30C7"/>
    <w:rsid w:val="4CBA75AD"/>
    <w:rsid w:val="4D2F74A3"/>
    <w:rsid w:val="4DAF5758"/>
    <w:rsid w:val="4DFC73B0"/>
    <w:rsid w:val="4E0C65B4"/>
    <w:rsid w:val="4E1C349D"/>
    <w:rsid w:val="4E22571D"/>
    <w:rsid w:val="4E471E88"/>
    <w:rsid w:val="4EAD625D"/>
    <w:rsid w:val="4F0F3EE4"/>
    <w:rsid w:val="4F217DFD"/>
    <w:rsid w:val="4F4A531F"/>
    <w:rsid w:val="4F5213AA"/>
    <w:rsid w:val="4F765846"/>
    <w:rsid w:val="4F8A0790"/>
    <w:rsid w:val="4FA578C6"/>
    <w:rsid w:val="4FB15A6D"/>
    <w:rsid w:val="4FC052F4"/>
    <w:rsid w:val="4FD22534"/>
    <w:rsid w:val="4FDD5C43"/>
    <w:rsid w:val="4FF242BC"/>
    <w:rsid w:val="501D030A"/>
    <w:rsid w:val="506577AD"/>
    <w:rsid w:val="50AC32B0"/>
    <w:rsid w:val="50B80EDC"/>
    <w:rsid w:val="50C42CF3"/>
    <w:rsid w:val="50C61128"/>
    <w:rsid w:val="50F45E4E"/>
    <w:rsid w:val="50F739B5"/>
    <w:rsid w:val="513B2E12"/>
    <w:rsid w:val="51546080"/>
    <w:rsid w:val="516D7B7A"/>
    <w:rsid w:val="51DF4388"/>
    <w:rsid w:val="51F23EAF"/>
    <w:rsid w:val="51F70702"/>
    <w:rsid w:val="522D1654"/>
    <w:rsid w:val="523B618B"/>
    <w:rsid w:val="52644192"/>
    <w:rsid w:val="527B5C43"/>
    <w:rsid w:val="52AF28BB"/>
    <w:rsid w:val="53171706"/>
    <w:rsid w:val="532D55A4"/>
    <w:rsid w:val="53335358"/>
    <w:rsid w:val="53465EC5"/>
    <w:rsid w:val="53582436"/>
    <w:rsid w:val="53CE7B91"/>
    <w:rsid w:val="541B7F89"/>
    <w:rsid w:val="54631655"/>
    <w:rsid w:val="54911A46"/>
    <w:rsid w:val="54A0098E"/>
    <w:rsid w:val="54A64148"/>
    <w:rsid w:val="54F14BCA"/>
    <w:rsid w:val="551420A4"/>
    <w:rsid w:val="552100C6"/>
    <w:rsid w:val="55260377"/>
    <w:rsid w:val="552B3688"/>
    <w:rsid w:val="553A14FC"/>
    <w:rsid w:val="5553061E"/>
    <w:rsid w:val="55714E91"/>
    <w:rsid w:val="557844B1"/>
    <w:rsid w:val="55823248"/>
    <w:rsid w:val="559129F4"/>
    <w:rsid w:val="55B515D5"/>
    <w:rsid w:val="55CA00FB"/>
    <w:rsid w:val="55D25DC0"/>
    <w:rsid w:val="55DC0E37"/>
    <w:rsid w:val="55E806CE"/>
    <w:rsid w:val="55E86066"/>
    <w:rsid w:val="562144E0"/>
    <w:rsid w:val="562A62E8"/>
    <w:rsid w:val="569A393B"/>
    <w:rsid w:val="56F033B1"/>
    <w:rsid w:val="56F9554F"/>
    <w:rsid w:val="576F6734"/>
    <w:rsid w:val="57CF6471"/>
    <w:rsid w:val="57F05039"/>
    <w:rsid w:val="5854454E"/>
    <w:rsid w:val="585501E8"/>
    <w:rsid w:val="5862028F"/>
    <w:rsid w:val="588E0AFB"/>
    <w:rsid w:val="588F04B0"/>
    <w:rsid w:val="58B42CD2"/>
    <w:rsid w:val="58ED4C31"/>
    <w:rsid w:val="590B5B1F"/>
    <w:rsid w:val="59806703"/>
    <w:rsid w:val="59831F4D"/>
    <w:rsid w:val="59E727C8"/>
    <w:rsid w:val="5A2E3EDE"/>
    <w:rsid w:val="5A4B5556"/>
    <w:rsid w:val="5A8056DD"/>
    <w:rsid w:val="5A907DF1"/>
    <w:rsid w:val="5AAB1D04"/>
    <w:rsid w:val="5AD8158D"/>
    <w:rsid w:val="5AD964DC"/>
    <w:rsid w:val="5AE345F7"/>
    <w:rsid w:val="5AE44F46"/>
    <w:rsid w:val="5AED107D"/>
    <w:rsid w:val="5B287F7B"/>
    <w:rsid w:val="5B362CE8"/>
    <w:rsid w:val="5B5D5785"/>
    <w:rsid w:val="5B703115"/>
    <w:rsid w:val="5BA567AF"/>
    <w:rsid w:val="5C2A4762"/>
    <w:rsid w:val="5C9A3023"/>
    <w:rsid w:val="5CDE0D24"/>
    <w:rsid w:val="5CE157CF"/>
    <w:rsid w:val="5CF14A7C"/>
    <w:rsid w:val="5CFC7D24"/>
    <w:rsid w:val="5D1430A2"/>
    <w:rsid w:val="5D975D55"/>
    <w:rsid w:val="5DAD4712"/>
    <w:rsid w:val="5DBB4FD6"/>
    <w:rsid w:val="5DC66FC3"/>
    <w:rsid w:val="5E1336BB"/>
    <w:rsid w:val="5E21086B"/>
    <w:rsid w:val="5E22104B"/>
    <w:rsid w:val="5E7B7939"/>
    <w:rsid w:val="5EB01F34"/>
    <w:rsid w:val="5EBE1E6C"/>
    <w:rsid w:val="5ED82F18"/>
    <w:rsid w:val="5EFA2746"/>
    <w:rsid w:val="5F4A4E2B"/>
    <w:rsid w:val="5F59039D"/>
    <w:rsid w:val="5F5A04DB"/>
    <w:rsid w:val="5F9342A8"/>
    <w:rsid w:val="5F936C5E"/>
    <w:rsid w:val="5F9D0DB5"/>
    <w:rsid w:val="5FD5216F"/>
    <w:rsid w:val="5FDB58BF"/>
    <w:rsid w:val="5FFE5754"/>
    <w:rsid w:val="60411F40"/>
    <w:rsid w:val="6089142D"/>
    <w:rsid w:val="609B6C9C"/>
    <w:rsid w:val="60C54BF7"/>
    <w:rsid w:val="60D205FF"/>
    <w:rsid w:val="61D02E56"/>
    <w:rsid w:val="62290BAD"/>
    <w:rsid w:val="62471B3B"/>
    <w:rsid w:val="62545B99"/>
    <w:rsid w:val="626A0916"/>
    <w:rsid w:val="62852F04"/>
    <w:rsid w:val="62937094"/>
    <w:rsid w:val="62B221F2"/>
    <w:rsid w:val="62B83FED"/>
    <w:rsid w:val="62EA08B1"/>
    <w:rsid w:val="63116369"/>
    <w:rsid w:val="63137395"/>
    <w:rsid w:val="63BC2837"/>
    <w:rsid w:val="64206ADA"/>
    <w:rsid w:val="64233BED"/>
    <w:rsid w:val="645F319F"/>
    <w:rsid w:val="6495197D"/>
    <w:rsid w:val="64FE00B0"/>
    <w:rsid w:val="65421EE2"/>
    <w:rsid w:val="65517FF2"/>
    <w:rsid w:val="658917B9"/>
    <w:rsid w:val="65CE585E"/>
    <w:rsid w:val="660850ED"/>
    <w:rsid w:val="663028FA"/>
    <w:rsid w:val="666F151A"/>
    <w:rsid w:val="668025C1"/>
    <w:rsid w:val="66A222E6"/>
    <w:rsid w:val="66D470B2"/>
    <w:rsid w:val="66D6195F"/>
    <w:rsid w:val="67171541"/>
    <w:rsid w:val="671822EB"/>
    <w:rsid w:val="671D0BC2"/>
    <w:rsid w:val="67246E4D"/>
    <w:rsid w:val="67523D77"/>
    <w:rsid w:val="67927FF1"/>
    <w:rsid w:val="67BA5C7F"/>
    <w:rsid w:val="67C75BC3"/>
    <w:rsid w:val="67DC5B32"/>
    <w:rsid w:val="67F10B8E"/>
    <w:rsid w:val="68147040"/>
    <w:rsid w:val="682055B9"/>
    <w:rsid w:val="683D5E2E"/>
    <w:rsid w:val="68980F85"/>
    <w:rsid w:val="68A17154"/>
    <w:rsid w:val="68EE10FD"/>
    <w:rsid w:val="68F13EA9"/>
    <w:rsid w:val="692A1630"/>
    <w:rsid w:val="695E35DC"/>
    <w:rsid w:val="69721355"/>
    <w:rsid w:val="69AE1CCF"/>
    <w:rsid w:val="6A1F050F"/>
    <w:rsid w:val="6A81492E"/>
    <w:rsid w:val="6ADB108B"/>
    <w:rsid w:val="6AE327DD"/>
    <w:rsid w:val="6B045962"/>
    <w:rsid w:val="6B19056F"/>
    <w:rsid w:val="6B3E3564"/>
    <w:rsid w:val="6B5E28D1"/>
    <w:rsid w:val="6B6B43F5"/>
    <w:rsid w:val="6B8519A4"/>
    <w:rsid w:val="6BA600CD"/>
    <w:rsid w:val="6BA62B79"/>
    <w:rsid w:val="6BB61E3D"/>
    <w:rsid w:val="6BE76311"/>
    <w:rsid w:val="6C1F4AC0"/>
    <w:rsid w:val="6C7B5B46"/>
    <w:rsid w:val="6CAD1C1C"/>
    <w:rsid w:val="6CB7594A"/>
    <w:rsid w:val="6CC53D1C"/>
    <w:rsid w:val="6D316A09"/>
    <w:rsid w:val="6D85163D"/>
    <w:rsid w:val="6DA23450"/>
    <w:rsid w:val="6DDD7190"/>
    <w:rsid w:val="6E172BE7"/>
    <w:rsid w:val="6E2E7E8E"/>
    <w:rsid w:val="6E3940CE"/>
    <w:rsid w:val="6E5245F1"/>
    <w:rsid w:val="6E891568"/>
    <w:rsid w:val="6EBF26EB"/>
    <w:rsid w:val="6EC64457"/>
    <w:rsid w:val="6F0E4B15"/>
    <w:rsid w:val="6F324850"/>
    <w:rsid w:val="6F917A37"/>
    <w:rsid w:val="6F9831B4"/>
    <w:rsid w:val="6FDA2CCF"/>
    <w:rsid w:val="70401343"/>
    <w:rsid w:val="70440E78"/>
    <w:rsid w:val="70471D11"/>
    <w:rsid w:val="70503D44"/>
    <w:rsid w:val="706A1A49"/>
    <w:rsid w:val="707A52E7"/>
    <w:rsid w:val="70DE4F33"/>
    <w:rsid w:val="71294B1F"/>
    <w:rsid w:val="712E71EF"/>
    <w:rsid w:val="715E252D"/>
    <w:rsid w:val="717E27ED"/>
    <w:rsid w:val="718409CE"/>
    <w:rsid w:val="71C0668C"/>
    <w:rsid w:val="71E146D2"/>
    <w:rsid w:val="72122CB0"/>
    <w:rsid w:val="725729A9"/>
    <w:rsid w:val="728F6738"/>
    <w:rsid w:val="72B15AC4"/>
    <w:rsid w:val="7302495E"/>
    <w:rsid w:val="73167AE0"/>
    <w:rsid w:val="73326548"/>
    <w:rsid w:val="735D7455"/>
    <w:rsid w:val="7389406F"/>
    <w:rsid w:val="738A4710"/>
    <w:rsid w:val="73A80439"/>
    <w:rsid w:val="73BF6B5A"/>
    <w:rsid w:val="73DA36A7"/>
    <w:rsid w:val="73E04631"/>
    <w:rsid w:val="73F33D47"/>
    <w:rsid w:val="73F40692"/>
    <w:rsid w:val="741471CE"/>
    <w:rsid w:val="742A12EE"/>
    <w:rsid w:val="744866FF"/>
    <w:rsid w:val="751D151C"/>
    <w:rsid w:val="754D1A14"/>
    <w:rsid w:val="755B4708"/>
    <w:rsid w:val="756F3EA4"/>
    <w:rsid w:val="757E7099"/>
    <w:rsid w:val="75AE76E4"/>
    <w:rsid w:val="75DE6C79"/>
    <w:rsid w:val="75FC1F1C"/>
    <w:rsid w:val="76522B87"/>
    <w:rsid w:val="765E400A"/>
    <w:rsid w:val="76981D7E"/>
    <w:rsid w:val="76BD5391"/>
    <w:rsid w:val="76F2473B"/>
    <w:rsid w:val="76F32B02"/>
    <w:rsid w:val="77664A8D"/>
    <w:rsid w:val="777858C7"/>
    <w:rsid w:val="77972647"/>
    <w:rsid w:val="77BE04D4"/>
    <w:rsid w:val="77C622B9"/>
    <w:rsid w:val="77F04D10"/>
    <w:rsid w:val="780E1B18"/>
    <w:rsid w:val="78302364"/>
    <w:rsid w:val="7834247E"/>
    <w:rsid w:val="78615304"/>
    <w:rsid w:val="788B5D07"/>
    <w:rsid w:val="789C0E8C"/>
    <w:rsid w:val="78B63C7D"/>
    <w:rsid w:val="78F95657"/>
    <w:rsid w:val="78F95AA8"/>
    <w:rsid w:val="79354114"/>
    <w:rsid w:val="797757F9"/>
    <w:rsid w:val="79AC75FB"/>
    <w:rsid w:val="79C979A5"/>
    <w:rsid w:val="79D50A79"/>
    <w:rsid w:val="79E16F41"/>
    <w:rsid w:val="7A601DE7"/>
    <w:rsid w:val="7A9F5A6E"/>
    <w:rsid w:val="7AC04E9B"/>
    <w:rsid w:val="7B0A1EF6"/>
    <w:rsid w:val="7B2B2407"/>
    <w:rsid w:val="7B8527DB"/>
    <w:rsid w:val="7BAD3A71"/>
    <w:rsid w:val="7BAF2A91"/>
    <w:rsid w:val="7C2D2AEF"/>
    <w:rsid w:val="7C4534E7"/>
    <w:rsid w:val="7CAB7616"/>
    <w:rsid w:val="7CBD142D"/>
    <w:rsid w:val="7D114B4F"/>
    <w:rsid w:val="7D1D4564"/>
    <w:rsid w:val="7D5D6355"/>
    <w:rsid w:val="7E071AF0"/>
    <w:rsid w:val="7E0B5F64"/>
    <w:rsid w:val="7E4A5B01"/>
    <w:rsid w:val="7E720CEC"/>
    <w:rsid w:val="7EA32954"/>
    <w:rsid w:val="7EB03CF6"/>
    <w:rsid w:val="7F646774"/>
    <w:rsid w:val="7F8434D7"/>
    <w:rsid w:val="7FA003F8"/>
    <w:rsid w:val="7FCF5B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723" w:firstLineChars="200"/>
      <w:jc w:val="both"/>
    </w:pPr>
    <w:rPr>
      <w:rFonts w:ascii="Times New Roman" w:hAnsi="Times New Roman" w:eastAsia="宋体" w:cstheme="minorBidi"/>
      <w:kern w:val="2"/>
      <w:sz w:val="24"/>
      <w:szCs w:val="24"/>
      <w:lang w:val="en-US" w:eastAsia="zh-CN" w:bidi="ar-SA"/>
    </w:rPr>
  </w:style>
  <w:style w:type="paragraph" w:styleId="5">
    <w:name w:val="heading 1"/>
    <w:basedOn w:val="1"/>
    <w:next w:val="1"/>
    <w:qFormat/>
    <w:uiPriority w:val="0"/>
    <w:pPr>
      <w:spacing w:beforeAutospacing="1" w:afterAutospacing="1"/>
      <w:jc w:val="left"/>
      <w:outlineLvl w:val="0"/>
    </w:pPr>
    <w:rPr>
      <w:rFonts w:hint="eastAsia" w:ascii="宋体" w:hAnsi="宋体" w:cs="Times New Roman"/>
      <w:b/>
      <w:bCs/>
      <w:sz w:val="48"/>
      <w:szCs w:val="48"/>
    </w:rPr>
  </w:style>
  <w:style w:type="paragraph" w:styleId="6">
    <w:name w:val="heading 2"/>
    <w:basedOn w:val="1"/>
    <w:next w:val="1"/>
    <w:link w:val="43"/>
    <w:unhideWhenUsed/>
    <w:qFormat/>
    <w:uiPriority w:val="0"/>
    <w:pPr>
      <w:adjustRightInd w:val="0"/>
      <w:snapToGrid w:val="0"/>
      <w:outlineLvl w:val="1"/>
    </w:pPr>
    <w:rPr>
      <w:rFonts w:cs="宋体"/>
      <w:b/>
      <w:bCs/>
      <w:sz w:val="32"/>
      <w:szCs w:val="28"/>
      <w:lang w:val="zh-CN" w:bidi="zh-CN"/>
    </w:rPr>
  </w:style>
  <w:style w:type="paragraph" w:styleId="7">
    <w:name w:val="heading 3"/>
    <w:basedOn w:val="1"/>
    <w:next w:val="1"/>
    <w:unhideWhenUsed/>
    <w:qFormat/>
    <w:uiPriority w:val="0"/>
    <w:pPr>
      <w:keepNext/>
      <w:keepLines/>
      <w:outlineLvl w:val="2"/>
    </w:pPr>
    <w:rPr>
      <w:b/>
      <w:sz w:val="28"/>
    </w:rPr>
  </w:style>
  <w:style w:type="paragraph" w:styleId="8">
    <w:name w:val="heading 4"/>
    <w:basedOn w:val="1"/>
    <w:next w:val="1"/>
    <w:semiHidden/>
    <w:unhideWhenUsed/>
    <w:qFormat/>
    <w:uiPriority w:val="0"/>
    <w:pPr>
      <w:spacing w:before="100" w:beforeLines="100" w:after="80"/>
      <w:ind w:firstLine="0"/>
      <w:outlineLvl w:val="3"/>
    </w:pPr>
    <w:rPr>
      <w:b/>
      <w:bCs/>
    </w:rPr>
  </w:style>
  <w:style w:type="paragraph" w:styleId="9">
    <w:name w:val="heading 5"/>
    <w:basedOn w:val="1"/>
    <w:next w:val="1"/>
    <w:semiHidden/>
    <w:unhideWhenUsed/>
    <w:qFormat/>
    <w:uiPriority w:val="0"/>
    <w:pPr>
      <w:keepNext/>
      <w:keepLines/>
      <w:spacing w:before="100" w:beforeLines="100" w:after="80" w:line="240" w:lineRule="auto"/>
      <w:outlineLvl w:val="4"/>
    </w:pPr>
    <w:rPr>
      <w:rFonts w:cs="宋体"/>
      <w:b/>
      <w:szCs w:val="22"/>
      <w:lang w:val="zh-CN" w:bidi="zh-CN"/>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customStyle="1" w:styleId="2">
    <w:name w:val="Default"/>
    <w:basedOn w:val="3"/>
    <w:next w:val="4"/>
    <w:qFormat/>
    <w:uiPriority w:val="99"/>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3">
    <w:name w:val="标题 段落4级"/>
    <w:qFormat/>
    <w:uiPriority w:val="0"/>
    <w:pPr>
      <w:spacing w:line="500" w:lineRule="exact"/>
      <w:outlineLvl w:val="3"/>
    </w:pPr>
    <w:rPr>
      <w:rFonts w:ascii="Times New Roman" w:hAnsi="Times New Roman" w:eastAsia="仿宋_GB2312" w:cs="Calibri"/>
      <w:b/>
      <w:kern w:val="2"/>
      <w:sz w:val="28"/>
      <w:szCs w:val="24"/>
      <w:lang w:val="en-US" w:eastAsia="zh-CN" w:bidi="ar-SA"/>
    </w:rPr>
  </w:style>
  <w:style w:type="paragraph" w:styleId="4">
    <w:name w:val="List"/>
    <w:basedOn w:val="1"/>
    <w:qFormat/>
    <w:uiPriority w:val="0"/>
    <w:pPr>
      <w:ind w:left="200" w:hanging="200" w:hangingChars="200"/>
      <w:contextualSpacing/>
    </w:pPr>
  </w:style>
  <w:style w:type="paragraph" w:styleId="10">
    <w:name w:val="Normal Indent"/>
    <w:basedOn w:val="1"/>
    <w:next w:val="11"/>
    <w:qFormat/>
    <w:uiPriority w:val="0"/>
    <w:rPr>
      <w:sz w:val="28"/>
    </w:rPr>
  </w:style>
  <w:style w:type="paragraph" w:customStyle="1" w:styleId="11">
    <w:name w:val="正文首行缩进2个字 Char"/>
    <w:basedOn w:val="1"/>
    <w:qFormat/>
    <w:uiPriority w:val="0"/>
    <w:pPr>
      <w:ind w:firstLine="480"/>
    </w:pPr>
    <w:rPr>
      <w:rFonts w:eastAsia="楷体"/>
    </w:rPr>
  </w:style>
  <w:style w:type="paragraph" w:styleId="12">
    <w:name w:val="annotation text"/>
    <w:basedOn w:val="1"/>
    <w:link w:val="65"/>
    <w:qFormat/>
    <w:uiPriority w:val="0"/>
    <w:pPr>
      <w:jc w:val="left"/>
    </w:pPr>
  </w:style>
  <w:style w:type="paragraph" w:styleId="13">
    <w:name w:val="Body Text"/>
    <w:basedOn w:val="1"/>
    <w:next w:val="1"/>
    <w:qFormat/>
    <w:uiPriority w:val="1"/>
    <w:rPr>
      <w:rFonts w:ascii="宋体" w:hAnsi="宋体" w:cs="宋体"/>
      <w:lang w:val="zh-CN" w:bidi="zh-CN"/>
    </w:rPr>
  </w:style>
  <w:style w:type="paragraph" w:styleId="14">
    <w:name w:val="Body Text Indent"/>
    <w:basedOn w:val="1"/>
    <w:qFormat/>
    <w:uiPriority w:val="0"/>
    <w:pPr>
      <w:spacing w:after="120"/>
      <w:ind w:left="420" w:leftChars="200"/>
    </w:pPr>
  </w:style>
  <w:style w:type="paragraph" w:styleId="15">
    <w:name w:val="Block Text"/>
    <w:basedOn w:val="1"/>
    <w:qFormat/>
    <w:uiPriority w:val="0"/>
    <w:pPr>
      <w:ind w:left="113" w:right="113"/>
    </w:pPr>
  </w:style>
  <w:style w:type="paragraph" w:styleId="16">
    <w:name w:val="toc 3"/>
    <w:basedOn w:val="1"/>
    <w:next w:val="1"/>
    <w:qFormat/>
    <w:uiPriority w:val="0"/>
    <w:pPr>
      <w:ind w:left="840" w:leftChars="400"/>
    </w:pPr>
  </w:style>
  <w:style w:type="paragraph" w:styleId="17">
    <w:name w:val="Plain Text"/>
    <w:basedOn w:val="1"/>
    <w:next w:val="18"/>
    <w:qFormat/>
    <w:uiPriority w:val="0"/>
    <w:rPr>
      <w:rFonts w:ascii="宋体" w:hAnsi="Courier New"/>
    </w:rPr>
  </w:style>
  <w:style w:type="paragraph" w:styleId="18">
    <w:name w:val="toc 1"/>
    <w:basedOn w:val="1"/>
    <w:next w:val="1"/>
    <w:qFormat/>
    <w:uiPriority w:val="0"/>
    <w:pPr>
      <w:tabs>
        <w:tab w:val="left" w:pos="5760"/>
      </w:tabs>
      <w:adjustRightInd w:val="0"/>
      <w:snapToGrid w:val="0"/>
      <w:jc w:val="center"/>
    </w:pPr>
    <w:rPr>
      <w:rFonts w:ascii="宋体" w:hAnsi="宋体"/>
    </w:rPr>
  </w:style>
  <w:style w:type="paragraph" w:styleId="19">
    <w:name w:val="List Bullet 5"/>
    <w:basedOn w:val="1"/>
    <w:qFormat/>
    <w:uiPriority w:val="0"/>
    <w:pPr>
      <w:numPr>
        <w:ilvl w:val="0"/>
        <w:numId w:val="1"/>
      </w:numPr>
    </w:pPr>
  </w:style>
  <w:style w:type="paragraph" w:styleId="20">
    <w:name w:val="Balloon Text"/>
    <w:basedOn w:val="1"/>
    <w:link w:val="67"/>
    <w:qFormat/>
    <w:uiPriority w:val="0"/>
    <w:pPr>
      <w:spacing w:line="240" w:lineRule="auto"/>
    </w:pPr>
    <w:rPr>
      <w:sz w:val="18"/>
      <w:szCs w:val="18"/>
    </w:rPr>
  </w:style>
  <w:style w:type="paragraph" w:styleId="21">
    <w:name w:val="footer"/>
    <w:basedOn w:val="1"/>
    <w:qFormat/>
    <w:uiPriority w:val="0"/>
    <w:pPr>
      <w:tabs>
        <w:tab w:val="center" w:pos="4153"/>
        <w:tab w:val="right" w:pos="8306"/>
      </w:tabs>
      <w:snapToGrid w:val="0"/>
      <w:jc w:val="left"/>
    </w:pPr>
    <w:rPr>
      <w:sz w:val="18"/>
    </w:rPr>
  </w:style>
  <w:style w:type="paragraph" w:styleId="2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23">
    <w:name w:val="toc 2"/>
    <w:basedOn w:val="1"/>
    <w:next w:val="1"/>
    <w:qFormat/>
    <w:uiPriority w:val="0"/>
    <w:pPr>
      <w:ind w:left="420" w:leftChars="200"/>
    </w:pPr>
  </w:style>
  <w:style w:type="paragraph" w:styleId="24">
    <w:name w:val="Body Text 2"/>
    <w:basedOn w:val="1"/>
    <w:qFormat/>
    <w:uiPriority w:val="0"/>
    <w:pPr>
      <w:spacing w:line="312" w:lineRule="auto"/>
    </w:pPr>
    <w:rPr>
      <w:rFonts w:ascii="宋体"/>
      <w:sz w:val="28"/>
    </w:rPr>
  </w:style>
  <w:style w:type="paragraph" w:styleId="25">
    <w:name w:val="Normal (Web)"/>
    <w:basedOn w:val="1"/>
    <w:qFormat/>
    <w:uiPriority w:val="0"/>
    <w:pPr>
      <w:spacing w:beforeAutospacing="1" w:afterAutospacing="1"/>
      <w:jc w:val="left"/>
    </w:pPr>
    <w:rPr>
      <w:rFonts w:cs="Times New Roman"/>
      <w:kern w:val="0"/>
    </w:rPr>
  </w:style>
  <w:style w:type="paragraph" w:styleId="26">
    <w:name w:val="annotation subject"/>
    <w:basedOn w:val="12"/>
    <w:next w:val="12"/>
    <w:link w:val="66"/>
    <w:qFormat/>
    <w:uiPriority w:val="0"/>
    <w:rPr>
      <w:b/>
      <w:bCs/>
    </w:rPr>
  </w:style>
  <w:style w:type="paragraph" w:styleId="27">
    <w:name w:val="Body Text First Indent 2"/>
    <w:basedOn w:val="1"/>
    <w:next w:val="1"/>
    <w:qFormat/>
    <w:uiPriority w:val="0"/>
    <w:pPr>
      <w:spacing w:after="120"/>
      <w:ind w:left="420" w:leftChars="200" w:firstLine="420"/>
    </w:p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Emphasis"/>
    <w:basedOn w:val="30"/>
    <w:qFormat/>
    <w:uiPriority w:val="0"/>
    <w:rPr>
      <w:i/>
    </w:rPr>
  </w:style>
  <w:style w:type="character" w:styleId="32">
    <w:name w:val="Hyperlink"/>
    <w:basedOn w:val="30"/>
    <w:qFormat/>
    <w:uiPriority w:val="0"/>
    <w:rPr>
      <w:color w:val="0000FF"/>
      <w:u w:val="single"/>
    </w:rPr>
  </w:style>
  <w:style w:type="character" w:styleId="33">
    <w:name w:val="annotation reference"/>
    <w:basedOn w:val="30"/>
    <w:qFormat/>
    <w:uiPriority w:val="0"/>
    <w:rPr>
      <w:sz w:val="21"/>
      <w:szCs w:val="21"/>
    </w:rPr>
  </w:style>
  <w:style w:type="paragraph" w:customStyle="1" w:styleId="34">
    <w:name w:val="报告表表头"/>
    <w:basedOn w:val="1"/>
    <w:qFormat/>
    <w:uiPriority w:val="0"/>
    <w:pPr>
      <w:spacing w:before="120" w:after="120"/>
      <w:jc w:val="center"/>
    </w:pPr>
    <w:rPr>
      <w:rFonts w:eastAsia="黑体" w:cs="宋体"/>
      <w:szCs w:val="20"/>
      <w:lang w:val="zh-CN" w:bidi="zh-CN"/>
    </w:rPr>
  </w:style>
  <w:style w:type="paragraph" w:styleId="35">
    <w:name w:val="List Paragraph"/>
    <w:basedOn w:val="1"/>
    <w:qFormat/>
    <w:uiPriority w:val="1"/>
    <w:pPr>
      <w:spacing w:before="160"/>
      <w:ind w:firstLine="0"/>
    </w:pPr>
    <w:rPr>
      <w:rFonts w:cs="Times New Roman"/>
      <w:sz w:val="22"/>
    </w:rPr>
  </w:style>
  <w:style w:type="paragraph" w:customStyle="1" w:styleId="36">
    <w:name w:val="表头(G)"/>
    <w:basedOn w:val="1"/>
    <w:link w:val="37"/>
    <w:semiHidden/>
    <w:qFormat/>
    <w:uiPriority w:val="0"/>
    <w:pPr>
      <w:tabs>
        <w:tab w:val="left" w:pos="1021"/>
      </w:tabs>
      <w:adjustRightInd w:val="0"/>
      <w:spacing w:line="480" w:lineRule="exact"/>
      <w:jc w:val="center"/>
    </w:pPr>
    <w:rPr>
      <w:rFonts w:eastAsia="黑体" w:cs="Times New Roman"/>
      <w:color w:val="000000"/>
      <w:kern w:val="24"/>
    </w:rPr>
  </w:style>
  <w:style w:type="character" w:customStyle="1" w:styleId="37">
    <w:name w:val="表头(G) Char Char"/>
    <w:link w:val="36"/>
    <w:semiHidden/>
    <w:qFormat/>
    <w:locked/>
    <w:uiPriority w:val="0"/>
    <w:rPr>
      <w:rFonts w:ascii="Times New Roman" w:hAnsi="Times New Roman" w:eastAsia="黑体" w:cs="Times New Roman"/>
      <w:color w:val="000000"/>
      <w:kern w:val="24"/>
      <w:sz w:val="24"/>
      <w:szCs w:val="24"/>
    </w:rPr>
  </w:style>
  <w:style w:type="paragraph" w:customStyle="1" w:styleId="38">
    <w:name w:val="表格"/>
    <w:basedOn w:val="1"/>
    <w:qFormat/>
    <w:uiPriority w:val="0"/>
    <w:pPr>
      <w:widowControl/>
      <w:spacing w:line="240" w:lineRule="auto"/>
      <w:ind w:firstLine="0" w:firstLineChars="0"/>
      <w:jc w:val="center"/>
    </w:pPr>
    <w:rPr>
      <w:rFonts w:hint="eastAsia" w:cs="Times New Roman"/>
      <w:color w:val="000000"/>
      <w:sz w:val="21"/>
      <w:szCs w:val="21"/>
    </w:rPr>
  </w:style>
  <w:style w:type="paragraph" w:customStyle="1" w:styleId="39">
    <w:name w:val="Table Paragraph"/>
    <w:basedOn w:val="1"/>
    <w:qFormat/>
    <w:uiPriority w:val="1"/>
    <w:pPr>
      <w:jc w:val="center"/>
    </w:pPr>
    <w:rPr>
      <w:rFonts w:ascii="宋体" w:hAnsi="宋体" w:cs="宋体"/>
      <w:lang w:val="zh-CN" w:bidi="zh-CN"/>
    </w:rPr>
  </w:style>
  <w:style w:type="paragraph" w:customStyle="1" w:styleId="40">
    <w:name w:val="表格文字"/>
    <w:basedOn w:val="41"/>
    <w:next w:val="1"/>
    <w:qFormat/>
    <w:uiPriority w:val="0"/>
    <w:pPr>
      <w:jc w:val="center"/>
    </w:pPr>
    <w:rPr>
      <w:rFonts w:ascii="仿宋_GB2312" w:hAnsi="Arial Black" w:eastAsia="仿宋_GB2312"/>
      <w:kern w:val="44"/>
    </w:rPr>
  </w:style>
  <w:style w:type="paragraph" w:customStyle="1" w:styleId="41">
    <w:name w:val="正文东铝"/>
    <w:basedOn w:val="1"/>
    <w:qFormat/>
    <w:uiPriority w:val="0"/>
    <w:pPr>
      <w:spacing w:line="520" w:lineRule="exact"/>
      <w:ind w:firstLine="200"/>
      <w:jc w:val="left"/>
    </w:pPr>
    <w:rPr>
      <w:color w:val="000000"/>
      <w:szCs w:val="22"/>
    </w:rPr>
  </w:style>
  <w:style w:type="paragraph" w:customStyle="1" w:styleId="42">
    <w:name w:val="报告正文"/>
    <w:basedOn w:val="1"/>
    <w:qFormat/>
    <w:uiPriority w:val="0"/>
    <w:pPr>
      <w:ind w:firstLine="480"/>
    </w:pPr>
    <w:rPr>
      <w:color w:val="000000"/>
      <w:szCs w:val="22"/>
    </w:rPr>
  </w:style>
  <w:style w:type="character" w:customStyle="1" w:styleId="43">
    <w:name w:val="标题 2 Char"/>
    <w:link w:val="6"/>
    <w:qFormat/>
    <w:uiPriority w:val="0"/>
    <w:rPr>
      <w:rFonts w:ascii="Times New Roman" w:hAnsi="Times New Roman" w:eastAsia="宋体" w:cs="宋体"/>
      <w:b/>
      <w:bCs/>
      <w:sz w:val="32"/>
      <w:szCs w:val="28"/>
      <w:lang w:val="zh-CN" w:bidi="zh-CN"/>
    </w:rPr>
  </w:style>
  <w:style w:type="paragraph" w:customStyle="1" w:styleId="44">
    <w:name w:val="无间隔11"/>
    <w:basedOn w:val="1"/>
    <w:qFormat/>
    <w:uiPriority w:val="0"/>
    <w:pPr>
      <w:spacing w:line="360" w:lineRule="exact"/>
    </w:pPr>
    <w:rPr>
      <w:szCs w:val="21"/>
    </w:rPr>
  </w:style>
  <w:style w:type="paragraph" w:customStyle="1" w:styleId="45">
    <w:name w:val="表头1"/>
    <w:basedOn w:val="1"/>
    <w:qFormat/>
    <w:uiPriority w:val="0"/>
    <w:pPr>
      <w:jc w:val="center"/>
    </w:pPr>
    <w:rPr>
      <w:rFonts w:eastAsia="黑体"/>
      <w:szCs w:val="20"/>
    </w:rPr>
  </w:style>
  <w:style w:type="paragraph" w:customStyle="1" w:styleId="46">
    <w:name w:val="君邦正文"/>
    <w:qFormat/>
    <w:uiPriority w:val="0"/>
    <w:pPr>
      <w:spacing w:after="60" w:line="360" w:lineRule="auto"/>
      <w:ind w:firstLine="480" w:firstLineChars="200"/>
      <w:jc w:val="both"/>
    </w:pPr>
    <w:rPr>
      <w:rFonts w:ascii="Times New Roman" w:hAnsi="Times New Roman" w:eastAsia="宋体" w:cs="Times New Roman"/>
      <w:sz w:val="24"/>
      <w:lang w:val="en-US" w:eastAsia="zh-CN" w:bidi="ar-SA"/>
    </w:rPr>
  </w:style>
  <w:style w:type="paragraph" w:customStyle="1" w:styleId="47">
    <w:name w:val="二级标题"/>
    <w:basedOn w:val="6"/>
    <w:qFormat/>
    <w:uiPriority w:val="0"/>
    <w:pPr>
      <w:tabs>
        <w:tab w:val="left" w:pos="360"/>
        <w:tab w:val="left" w:pos="578"/>
      </w:tabs>
    </w:pPr>
    <w:rPr>
      <w:rFonts w:eastAsia="黑体"/>
      <w:snapToGrid w:val="0"/>
      <w:color w:val="000000"/>
      <w:sz w:val="28"/>
    </w:rPr>
  </w:style>
  <w:style w:type="paragraph" w:customStyle="1" w:styleId="48">
    <w:name w:val="p0"/>
    <w:basedOn w:val="1"/>
    <w:qFormat/>
    <w:uiPriority w:val="0"/>
    <w:pPr>
      <w:widowControl/>
    </w:pPr>
    <w:rPr>
      <w:rFonts w:hint="eastAsia"/>
      <w:szCs w:val="21"/>
    </w:rPr>
  </w:style>
  <w:style w:type="paragraph" w:customStyle="1" w:styleId="49">
    <w:name w:val="1.1.1"/>
    <w:basedOn w:val="1"/>
    <w:next w:val="1"/>
    <w:qFormat/>
    <w:uiPriority w:val="0"/>
    <w:rPr>
      <w:rFonts w:ascii="黑体"/>
    </w:rPr>
  </w:style>
  <w:style w:type="paragraph" w:customStyle="1" w:styleId="50">
    <w:name w:val="表1"/>
    <w:next w:val="1"/>
    <w:qFormat/>
    <w:uiPriority w:val="0"/>
    <w:pPr>
      <w:widowControl w:val="0"/>
      <w:spacing w:line="520" w:lineRule="exact"/>
      <w:ind w:firstLine="200" w:firstLineChars="200"/>
      <w:jc w:val="both"/>
    </w:pPr>
    <w:rPr>
      <w:rFonts w:ascii="Times New Roman" w:hAnsi="Times New Roman" w:eastAsia="黑体" w:cs="Times New Roman"/>
      <w:kern w:val="2"/>
      <w:sz w:val="24"/>
      <w:szCs w:val="22"/>
      <w:lang w:val="en-US" w:eastAsia="zh-CN" w:bidi="ar-SA"/>
    </w:rPr>
  </w:style>
  <w:style w:type="table" w:customStyle="1" w:styleId="51">
    <w:name w:val="Table Normal"/>
    <w:semiHidden/>
    <w:unhideWhenUsed/>
    <w:qFormat/>
    <w:uiPriority w:val="0"/>
    <w:tblPr>
      <w:tblCellMar>
        <w:top w:w="0" w:type="dxa"/>
        <w:left w:w="0" w:type="dxa"/>
        <w:bottom w:w="0" w:type="dxa"/>
        <w:right w:w="0" w:type="dxa"/>
      </w:tblCellMar>
    </w:tblPr>
  </w:style>
  <w:style w:type="paragraph" w:customStyle="1" w:styleId="52">
    <w:name w:val="表格标题样式"/>
    <w:basedOn w:val="1"/>
    <w:qFormat/>
    <w:uiPriority w:val="0"/>
    <w:pPr>
      <w:jc w:val="center"/>
    </w:pPr>
    <w:rPr>
      <w:rFonts w:eastAsia="黑体"/>
      <w:color w:val="000000"/>
      <w:kern w:val="0"/>
      <w:szCs w:val="20"/>
    </w:rPr>
  </w:style>
  <w:style w:type="paragraph" w:customStyle="1" w:styleId="53">
    <w:name w:val="00"/>
    <w:basedOn w:val="1"/>
    <w:link w:val="69"/>
    <w:qFormat/>
    <w:uiPriority w:val="0"/>
    <w:pPr>
      <w:spacing w:line="520" w:lineRule="exact"/>
      <w:ind w:firstLine="480"/>
    </w:pPr>
    <w:rPr>
      <w:rFonts w:hAnsi="宋体"/>
    </w:rPr>
  </w:style>
  <w:style w:type="paragraph" w:customStyle="1" w:styleId="54">
    <w:name w:val="表内 定"/>
    <w:basedOn w:val="1"/>
    <w:qFormat/>
    <w:uiPriority w:val="0"/>
    <w:pPr>
      <w:jc w:val="left"/>
    </w:pPr>
    <w:rPr>
      <w:rFonts w:eastAsia="仿宋"/>
      <w:snapToGrid w:val="0"/>
      <w:color w:val="000000"/>
      <w:kern w:val="0"/>
      <w:sz w:val="20"/>
      <w:szCs w:val="22"/>
    </w:rPr>
  </w:style>
  <w:style w:type="paragraph" w:customStyle="1" w:styleId="55">
    <w:name w:val="日化表格"/>
    <w:basedOn w:val="1"/>
    <w:qFormat/>
    <w:uiPriority w:val="0"/>
    <w:pPr>
      <w:adjustRightInd w:val="0"/>
      <w:snapToGrid w:val="0"/>
      <w:spacing w:line="360" w:lineRule="exact"/>
      <w:jc w:val="center"/>
    </w:pPr>
    <w:rPr>
      <w:szCs w:val="21"/>
    </w:rPr>
  </w:style>
  <w:style w:type="paragraph" w:customStyle="1" w:styleId="56">
    <w:name w:val="WPSOffice手动目录 1"/>
    <w:qFormat/>
    <w:uiPriority w:val="0"/>
    <w:rPr>
      <w:rFonts w:ascii="Times New Roman" w:hAnsi="Times New Roman" w:eastAsia="宋体" w:cs="Times New Roman"/>
      <w:lang w:val="en-US" w:eastAsia="zh-CN" w:bidi="ar-SA"/>
    </w:rPr>
  </w:style>
  <w:style w:type="paragraph" w:customStyle="1" w:styleId="57">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58">
    <w:name w:val="font21"/>
    <w:basedOn w:val="30"/>
    <w:qFormat/>
    <w:uiPriority w:val="0"/>
    <w:rPr>
      <w:rFonts w:hint="eastAsia" w:ascii="宋体" w:hAnsi="宋体" w:eastAsia="宋体" w:cs="宋体"/>
      <w:color w:val="000000"/>
      <w:sz w:val="22"/>
      <w:szCs w:val="22"/>
      <w:u w:val="none"/>
    </w:rPr>
  </w:style>
  <w:style w:type="paragraph" w:customStyle="1" w:styleId="59">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60">
    <w:name w:val="Body text|1"/>
    <w:basedOn w:val="1"/>
    <w:qFormat/>
    <w:uiPriority w:val="0"/>
    <w:pPr>
      <w:spacing w:after="20" w:line="442" w:lineRule="auto"/>
      <w:ind w:firstLine="400"/>
    </w:pPr>
    <w:rPr>
      <w:rFonts w:ascii="宋体" w:hAnsi="宋体" w:cs="宋体"/>
      <w:lang w:val="zh-TW" w:eastAsia="zh-TW" w:bidi="zh-TW"/>
    </w:rPr>
  </w:style>
  <w:style w:type="paragraph" w:customStyle="1" w:styleId="61">
    <w:name w:val="Other|1"/>
    <w:basedOn w:val="1"/>
    <w:qFormat/>
    <w:uiPriority w:val="0"/>
    <w:pPr>
      <w:ind w:firstLine="140"/>
    </w:pPr>
    <w:rPr>
      <w:sz w:val="20"/>
      <w:szCs w:val="20"/>
      <w:lang w:val="zh-TW" w:eastAsia="zh-TW" w:bidi="zh-TW"/>
    </w:rPr>
  </w:style>
  <w:style w:type="paragraph" w:customStyle="1" w:styleId="62">
    <w:name w:val="Body text|2"/>
    <w:basedOn w:val="1"/>
    <w:qFormat/>
    <w:uiPriority w:val="0"/>
    <w:pPr>
      <w:spacing w:line="521" w:lineRule="exact"/>
    </w:pPr>
    <w:rPr>
      <w:sz w:val="22"/>
      <w:szCs w:val="22"/>
    </w:rPr>
  </w:style>
  <w:style w:type="paragraph" w:customStyle="1" w:styleId="63">
    <w:name w:val="Table caption|1"/>
    <w:basedOn w:val="1"/>
    <w:qFormat/>
    <w:uiPriority w:val="0"/>
    <w:pPr>
      <w:spacing w:line="500" w:lineRule="exact"/>
      <w:ind w:firstLine="440"/>
    </w:pPr>
    <w:rPr>
      <w:rFonts w:ascii="宋体" w:hAnsi="宋体" w:cs="宋体"/>
      <w:sz w:val="20"/>
      <w:szCs w:val="20"/>
      <w:lang w:val="zh-TW" w:eastAsia="zh-TW" w:bidi="zh-TW"/>
    </w:rPr>
  </w:style>
  <w:style w:type="paragraph" w:customStyle="1" w:styleId="64">
    <w:name w:val="正文1"/>
    <w:basedOn w:val="1"/>
    <w:qFormat/>
    <w:uiPriority w:val="0"/>
    <w:rPr>
      <w:kern w:val="0"/>
      <w:szCs w:val="20"/>
    </w:rPr>
  </w:style>
  <w:style w:type="character" w:customStyle="1" w:styleId="65">
    <w:name w:val="批注文字 Char"/>
    <w:basedOn w:val="30"/>
    <w:link w:val="12"/>
    <w:qFormat/>
    <w:uiPriority w:val="0"/>
    <w:rPr>
      <w:rFonts w:cstheme="minorBidi"/>
      <w:kern w:val="2"/>
      <w:sz w:val="24"/>
      <w:szCs w:val="24"/>
    </w:rPr>
  </w:style>
  <w:style w:type="character" w:customStyle="1" w:styleId="66">
    <w:name w:val="批注主题 Char"/>
    <w:basedOn w:val="65"/>
    <w:link w:val="26"/>
    <w:qFormat/>
    <w:uiPriority w:val="0"/>
    <w:rPr>
      <w:rFonts w:cstheme="minorBidi"/>
      <w:b/>
      <w:bCs/>
      <w:kern w:val="2"/>
      <w:sz w:val="24"/>
      <w:szCs w:val="24"/>
    </w:rPr>
  </w:style>
  <w:style w:type="character" w:customStyle="1" w:styleId="67">
    <w:name w:val="批注框文本 Char"/>
    <w:basedOn w:val="30"/>
    <w:link w:val="20"/>
    <w:qFormat/>
    <w:uiPriority w:val="0"/>
    <w:rPr>
      <w:rFonts w:cstheme="minorBidi"/>
      <w:kern w:val="2"/>
      <w:sz w:val="18"/>
      <w:szCs w:val="18"/>
    </w:rPr>
  </w:style>
  <w:style w:type="paragraph" w:customStyle="1" w:styleId="68">
    <w:name w:val="p15"/>
    <w:basedOn w:val="1"/>
    <w:qFormat/>
    <w:uiPriority w:val="0"/>
    <w:pPr>
      <w:widowControl/>
    </w:pPr>
    <w:rPr>
      <w:kern w:val="0"/>
      <w:szCs w:val="21"/>
    </w:rPr>
  </w:style>
  <w:style w:type="character" w:customStyle="1" w:styleId="69">
    <w:name w:val="00 Char"/>
    <w:basedOn w:val="30"/>
    <w:link w:val="53"/>
    <w:qFormat/>
    <w:uiPriority w:val="0"/>
    <w:rPr>
      <w:rFonts w:hAnsi="宋体"/>
    </w:rPr>
  </w:style>
</w:styles>
</file>

<file path=word/_rels/document.xml.rels><?xml version="1.0" encoding="UTF-8" standalone="yes"?>
<Relationships xmlns="http://schemas.openxmlformats.org/package/2006/relationships"><Relationship Id="rId99" Type="http://schemas.openxmlformats.org/officeDocument/2006/relationships/image" Target="media/image73.png"/><Relationship Id="rId98" Type="http://schemas.openxmlformats.org/officeDocument/2006/relationships/image" Target="media/image72.png"/><Relationship Id="rId97" Type="http://schemas.openxmlformats.org/officeDocument/2006/relationships/image" Target="media/image71.png"/><Relationship Id="rId96" Type="http://schemas.openxmlformats.org/officeDocument/2006/relationships/image" Target="media/image70.png"/><Relationship Id="rId95" Type="http://schemas.openxmlformats.org/officeDocument/2006/relationships/image" Target="media/image69.png"/><Relationship Id="rId94" Type="http://schemas.openxmlformats.org/officeDocument/2006/relationships/image" Target="media/image68.png"/><Relationship Id="rId93" Type="http://schemas.openxmlformats.org/officeDocument/2006/relationships/image" Target="media/image67.png"/><Relationship Id="rId92" Type="http://schemas.openxmlformats.org/officeDocument/2006/relationships/image" Target="media/image66.png"/><Relationship Id="rId91" Type="http://schemas.openxmlformats.org/officeDocument/2006/relationships/image" Target="media/image65.png"/><Relationship Id="rId90" Type="http://schemas.openxmlformats.org/officeDocument/2006/relationships/image" Target="media/image64.png"/><Relationship Id="rId9" Type="http://schemas.openxmlformats.org/officeDocument/2006/relationships/footer" Target="footer2.xml"/><Relationship Id="rId89" Type="http://schemas.openxmlformats.org/officeDocument/2006/relationships/image" Target="media/image63.png"/><Relationship Id="rId88" Type="http://schemas.openxmlformats.org/officeDocument/2006/relationships/image" Target="media/image62.png"/><Relationship Id="rId87" Type="http://schemas.openxmlformats.org/officeDocument/2006/relationships/image" Target="media/image61.png"/><Relationship Id="rId86" Type="http://schemas.openxmlformats.org/officeDocument/2006/relationships/image" Target="media/image60.png"/><Relationship Id="rId85" Type="http://schemas.openxmlformats.org/officeDocument/2006/relationships/image" Target="media/image59.png"/><Relationship Id="rId84" Type="http://schemas.openxmlformats.org/officeDocument/2006/relationships/image" Target="media/image58.png"/><Relationship Id="rId83" Type="http://schemas.openxmlformats.org/officeDocument/2006/relationships/image" Target="media/image57.png"/><Relationship Id="rId82" Type="http://schemas.openxmlformats.org/officeDocument/2006/relationships/image" Target="media/image56.png"/><Relationship Id="rId81" Type="http://schemas.openxmlformats.org/officeDocument/2006/relationships/image" Target="media/image55.png"/><Relationship Id="rId80" Type="http://schemas.openxmlformats.org/officeDocument/2006/relationships/image" Target="media/image54.png"/><Relationship Id="rId8" Type="http://schemas.openxmlformats.org/officeDocument/2006/relationships/footer" Target="footer1.xml"/><Relationship Id="rId79" Type="http://schemas.openxmlformats.org/officeDocument/2006/relationships/image" Target="media/image53.png"/><Relationship Id="rId78" Type="http://schemas.openxmlformats.org/officeDocument/2006/relationships/image" Target="media/image52.png"/><Relationship Id="rId77" Type="http://schemas.openxmlformats.org/officeDocument/2006/relationships/image" Target="media/image51.png"/><Relationship Id="rId76" Type="http://schemas.openxmlformats.org/officeDocument/2006/relationships/image" Target="media/image50.png"/><Relationship Id="rId75" Type="http://schemas.openxmlformats.org/officeDocument/2006/relationships/image" Target="media/image49.png"/><Relationship Id="rId74" Type="http://schemas.openxmlformats.org/officeDocument/2006/relationships/image" Target="media/image48.png"/><Relationship Id="rId73" Type="http://schemas.openxmlformats.org/officeDocument/2006/relationships/image" Target="media/image47.wmf"/><Relationship Id="rId72" Type="http://schemas.openxmlformats.org/officeDocument/2006/relationships/oleObject" Target="embeddings/oleObject7.bin"/><Relationship Id="rId71" Type="http://schemas.openxmlformats.org/officeDocument/2006/relationships/image" Target="media/image46.wmf"/><Relationship Id="rId70" Type="http://schemas.openxmlformats.org/officeDocument/2006/relationships/oleObject" Target="embeddings/oleObject6.bin"/><Relationship Id="rId7" Type="http://schemas.openxmlformats.org/officeDocument/2006/relationships/header" Target="header3.xml"/><Relationship Id="rId69" Type="http://schemas.openxmlformats.org/officeDocument/2006/relationships/image" Target="media/image45.wmf"/><Relationship Id="rId68" Type="http://schemas.openxmlformats.org/officeDocument/2006/relationships/oleObject" Target="embeddings/oleObject5.bin"/><Relationship Id="rId67" Type="http://schemas.openxmlformats.org/officeDocument/2006/relationships/image" Target="media/image44.png"/><Relationship Id="rId66" Type="http://schemas.openxmlformats.org/officeDocument/2006/relationships/image" Target="media/image43.png"/><Relationship Id="rId65" Type="http://schemas.openxmlformats.org/officeDocument/2006/relationships/image" Target="media/image42.png"/><Relationship Id="rId64" Type="http://schemas.openxmlformats.org/officeDocument/2006/relationships/image" Target="media/image41.png"/><Relationship Id="rId63" Type="http://schemas.openxmlformats.org/officeDocument/2006/relationships/image" Target="media/image40.png"/><Relationship Id="rId62" Type="http://schemas.openxmlformats.org/officeDocument/2006/relationships/image" Target="media/image39.png"/><Relationship Id="rId61" Type="http://schemas.openxmlformats.org/officeDocument/2006/relationships/image" Target="media/image38.png"/><Relationship Id="rId60" Type="http://schemas.openxmlformats.org/officeDocument/2006/relationships/image" Target="media/image37.wmf"/><Relationship Id="rId6" Type="http://schemas.openxmlformats.org/officeDocument/2006/relationships/header" Target="header2.xml"/><Relationship Id="rId59" Type="http://schemas.openxmlformats.org/officeDocument/2006/relationships/oleObject" Target="embeddings/oleObject4.bin"/><Relationship Id="rId58" Type="http://schemas.openxmlformats.org/officeDocument/2006/relationships/image" Target="media/image36.wmf"/><Relationship Id="rId57" Type="http://schemas.openxmlformats.org/officeDocument/2006/relationships/oleObject" Target="embeddings/oleObject3.bin"/><Relationship Id="rId56" Type="http://schemas.openxmlformats.org/officeDocument/2006/relationships/image" Target="media/image35.wmf"/><Relationship Id="rId55" Type="http://schemas.openxmlformats.org/officeDocument/2006/relationships/oleObject" Target="embeddings/oleObject2.bin"/><Relationship Id="rId54" Type="http://schemas.openxmlformats.org/officeDocument/2006/relationships/image" Target="media/image34.png"/><Relationship Id="rId53" Type="http://schemas.openxmlformats.org/officeDocument/2006/relationships/image" Target="media/image33.png"/><Relationship Id="rId52" Type="http://schemas.openxmlformats.org/officeDocument/2006/relationships/image" Target="media/image32.png"/><Relationship Id="rId51" Type="http://schemas.openxmlformats.org/officeDocument/2006/relationships/image" Target="media/image31.png"/><Relationship Id="rId50" Type="http://schemas.openxmlformats.org/officeDocument/2006/relationships/image" Target="media/image30.png"/><Relationship Id="rId5" Type="http://schemas.openxmlformats.org/officeDocument/2006/relationships/header" Target="header1.xml"/><Relationship Id="rId49" Type="http://schemas.openxmlformats.org/officeDocument/2006/relationships/image" Target="media/image29.png"/><Relationship Id="rId48" Type="http://schemas.openxmlformats.org/officeDocument/2006/relationships/image" Target="media/image28.png"/><Relationship Id="rId47" Type="http://schemas.openxmlformats.org/officeDocument/2006/relationships/image" Target="media/image27.png"/><Relationship Id="rId46" Type="http://schemas.openxmlformats.org/officeDocument/2006/relationships/image" Target="media/image26.png"/><Relationship Id="rId45" Type="http://schemas.openxmlformats.org/officeDocument/2006/relationships/image" Target="media/image25.png"/><Relationship Id="rId44" Type="http://schemas.openxmlformats.org/officeDocument/2006/relationships/image" Target="media/image24.png"/><Relationship Id="rId43" Type="http://schemas.openxmlformats.org/officeDocument/2006/relationships/image" Target="media/image23.png"/><Relationship Id="rId42" Type="http://schemas.openxmlformats.org/officeDocument/2006/relationships/image" Target="media/image22.png"/><Relationship Id="rId41" Type="http://schemas.openxmlformats.org/officeDocument/2006/relationships/image" Target="media/image21.png"/><Relationship Id="rId40" Type="http://schemas.openxmlformats.org/officeDocument/2006/relationships/image" Target="media/image20.png"/><Relationship Id="rId4" Type="http://schemas.openxmlformats.org/officeDocument/2006/relationships/endnotes" Target="endnotes.xml"/><Relationship Id="rId39" Type="http://schemas.openxmlformats.org/officeDocument/2006/relationships/image" Target="media/image19.png"/><Relationship Id="rId38" Type="http://schemas.openxmlformats.org/officeDocument/2006/relationships/image" Target="media/image18.png"/><Relationship Id="rId37" Type="http://schemas.openxmlformats.org/officeDocument/2006/relationships/image" Target="media/image17.png"/><Relationship Id="rId36" Type="http://schemas.openxmlformats.org/officeDocument/2006/relationships/image" Target="media/image16.png"/><Relationship Id="rId35" Type="http://schemas.openxmlformats.org/officeDocument/2006/relationships/image" Target="media/image15.png"/><Relationship Id="rId34" Type="http://schemas.openxmlformats.org/officeDocument/2006/relationships/image" Target="media/image14.png"/><Relationship Id="rId33" Type="http://schemas.openxmlformats.org/officeDocument/2006/relationships/image" Target="media/image13.png"/><Relationship Id="rId32" Type="http://schemas.openxmlformats.org/officeDocument/2006/relationships/image" Target="media/image12.jpeg"/><Relationship Id="rId31" Type="http://schemas.openxmlformats.org/officeDocument/2006/relationships/image" Target="media/image11.jpeg"/><Relationship Id="rId30" Type="http://schemas.openxmlformats.org/officeDocument/2006/relationships/image" Target="media/image10.jpeg"/><Relationship Id="rId3" Type="http://schemas.openxmlformats.org/officeDocument/2006/relationships/footnotes" Target="footnotes.xml"/><Relationship Id="rId29" Type="http://schemas.openxmlformats.org/officeDocument/2006/relationships/image" Target="media/image9.jpeg"/><Relationship Id="rId28" Type="http://schemas.openxmlformats.org/officeDocument/2006/relationships/image" Target="media/image8.jpeg"/><Relationship Id="rId27" Type="http://schemas.openxmlformats.org/officeDocument/2006/relationships/image" Target="media/image7.jpeg"/><Relationship Id="rId26" Type="http://schemas.openxmlformats.org/officeDocument/2006/relationships/image" Target="media/image6.png"/><Relationship Id="rId25" Type="http://schemas.openxmlformats.org/officeDocument/2006/relationships/image" Target="media/image5.png"/><Relationship Id="rId24" Type="http://schemas.openxmlformats.org/officeDocument/2006/relationships/image" Target="media/image4.png"/><Relationship Id="rId23" Type="http://schemas.openxmlformats.org/officeDocument/2006/relationships/image" Target="media/image3.wmf"/><Relationship Id="rId22" Type="http://schemas.openxmlformats.org/officeDocument/2006/relationships/oleObject" Target="embeddings/oleObject1.bin"/><Relationship Id="rId21" Type="http://schemas.openxmlformats.org/officeDocument/2006/relationships/image" Target="media/image2.png"/><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7.xml"/><Relationship Id="rId15" Type="http://schemas.openxmlformats.org/officeDocument/2006/relationships/footer" Target="footer5.xml"/><Relationship Id="rId14" Type="http://schemas.openxmlformats.org/officeDocument/2006/relationships/header" Target="header6.xml"/><Relationship Id="rId13" Type="http://schemas.openxmlformats.org/officeDocument/2006/relationships/footer" Target="footer4.xml"/><Relationship Id="rId12" Type="http://schemas.openxmlformats.org/officeDocument/2006/relationships/header" Target="header5.xml"/><Relationship Id="rId113" Type="http://schemas.openxmlformats.org/officeDocument/2006/relationships/fontTable" Target="fontTable.xml"/><Relationship Id="rId112" Type="http://schemas.openxmlformats.org/officeDocument/2006/relationships/numbering" Target="numbering.xml"/><Relationship Id="rId111" Type="http://schemas.openxmlformats.org/officeDocument/2006/relationships/customXml" Target="../customXml/item1.xml"/><Relationship Id="rId110" Type="http://schemas.openxmlformats.org/officeDocument/2006/relationships/image" Target="media/image84.png"/><Relationship Id="rId11" Type="http://schemas.openxmlformats.org/officeDocument/2006/relationships/header" Target="header4.xml"/><Relationship Id="rId109" Type="http://schemas.openxmlformats.org/officeDocument/2006/relationships/image" Target="media/image83.jpeg"/><Relationship Id="rId108" Type="http://schemas.openxmlformats.org/officeDocument/2006/relationships/image" Target="media/image82.png"/><Relationship Id="rId107" Type="http://schemas.openxmlformats.org/officeDocument/2006/relationships/image" Target="media/image81.png"/><Relationship Id="rId106" Type="http://schemas.openxmlformats.org/officeDocument/2006/relationships/image" Target="media/image80.png"/><Relationship Id="rId105" Type="http://schemas.openxmlformats.org/officeDocument/2006/relationships/image" Target="media/image79.png"/><Relationship Id="rId104" Type="http://schemas.openxmlformats.org/officeDocument/2006/relationships/image" Target="media/image78.png"/><Relationship Id="rId103" Type="http://schemas.openxmlformats.org/officeDocument/2006/relationships/image" Target="media/image77.png"/><Relationship Id="rId102" Type="http://schemas.openxmlformats.org/officeDocument/2006/relationships/image" Target="media/image76.png"/><Relationship Id="rId101" Type="http://schemas.openxmlformats.org/officeDocument/2006/relationships/image" Target="media/image75.png"/><Relationship Id="rId100" Type="http://schemas.openxmlformats.org/officeDocument/2006/relationships/image" Target="media/image74.png"/><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330</Pages>
  <Words>206532</Words>
  <Characters>255027</Characters>
  <Lines>2032</Lines>
  <Paragraphs>572</Paragraphs>
  <TotalTime>12</TotalTime>
  <ScaleCrop>false</ScaleCrop>
  <LinksUpToDate>false</LinksUpToDate>
  <CharactersWithSpaces>256706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2021-07-09T08:12:00Z</dcterms:created>
  <dc:creator>小龙</dc:creator>
  <cp:lastModifiedBy>小龙</cp:lastModifiedBy>
  <cp:lastPrinted>2022-09-29T05:44:00Z</cp:lastPrinted>
  <dcterms:modified xsi:type="dcterms:W3CDTF">2023-03-30T13:18:31Z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EE00C0D0BC444F44BD4521B7C74F5146</vt:lpwstr>
  </property>
</Properties>
</file>