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国家税务总局叶县税务局</w:t>
      </w:r>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税务行政处罚“首违不罚”事项清单</w:t>
      </w:r>
    </w:p>
    <w:p>
      <w:pPr>
        <w:rPr>
          <w:rFonts w:hint="eastAsia"/>
          <w:lang w:val="en-US" w:eastAsia="zh-CN"/>
        </w:rPr>
      </w:pPr>
      <w:r>
        <w:rPr>
          <w:rFonts w:hint="eastAsia"/>
          <w:lang w:eastAsia="zh-CN"/>
        </w:rPr>
        <w:t>为进一步贯彻落实中共中央办公厅、国务院办公厅《关于进一步深化税收征管改革的意见》，持续推进税务领域“放管服”改革，根据《中华人民共和国行政处罚法》、《中华人民共和国税收征收管理法》及其实施细则等法律法规，国家税务总局制定《第二批税务行政处罚“首违不罚”事项清单》。国家税务总局叶县税务局积极宣传，现对新增</w:t>
      </w:r>
      <w:r>
        <w:rPr>
          <w:rFonts w:hint="eastAsia"/>
          <w:lang w:val="en-US" w:eastAsia="zh-CN"/>
        </w:rPr>
        <w:t>4项税务行政处罚“首违不罚”事项公告如下（见表格）。</w:t>
      </w:r>
    </w:p>
    <w:p>
      <w:pPr>
        <w:rPr>
          <w:rFonts w:hint="eastAsia"/>
          <w:lang w:val="en-US" w:eastAsia="zh-CN"/>
        </w:rPr>
      </w:pPr>
    </w:p>
    <w:p>
      <w:pPr>
        <w:jc w:val="center"/>
        <w:rPr>
          <w:rFonts w:hint="eastAsia"/>
          <w:b/>
          <w:bCs/>
          <w:sz w:val="28"/>
          <w:szCs w:val="28"/>
        </w:rPr>
      </w:pPr>
      <w:r>
        <w:rPr>
          <w:rFonts w:hint="eastAsia"/>
          <w:b/>
          <w:bCs/>
          <w:sz w:val="28"/>
          <w:szCs w:val="28"/>
        </w:rPr>
        <w:t>第二批税务行政处罚“首违不罚”事项清单</w:t>
      </w:r>
    </w:p>
    <w:p>
      <w:pPr>
        <w:rPr>
          <w:rFonts w:hint="eastAsia"/>
          <w:lang w:eastAsia="zh-CN"/>
        </w:rPr>
      </w:pPr>
      <w:r>
        <w:rPr>
          <w:rFonts w:hint="eastAsia"/>
          <w:lang w:eastAsia="zh-CN"/>
        </w:rPr>
        <w:t>对于首次发生下列清单中所列事项且危害后果轻微，在税务机关发现前主动改正或者在税务机关责令限期改正的期限内改正的，不予行政处罚。</w:t>
      </w:r>
    </w:p>
    <w:tbl>
      <w:tblPr>
        <w:tblStyle w:val="4"/>
        <w:tblpPr w:leftFromText="180" w:rightFromText="180" w:vertAnchor="text" w:horzAnchor="page" w:tblpX="1880" w:tblpY="272"/>
        <w:tblOverlap w:val="neve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96"/>
        <w:gridCol w:w="7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7474"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trPr>
        <w:tc>
          <w:tcPr>
            <w:tcW w:w="1096" w:type="dxa"/>
            <w:tcBorders>
              <w:top w:val="nil"/>
              <w:left w:val="single" w:color="auto" w:sz="8" w:space="0"/>
              <w:bottom w:val="single" w:color="auto" w:sz="8" w:space="0"/>
              <w:right w:val="single" w:color="auto" w:sz="8" w:space="0"/>
            </w:tcBorders>
            <w:noWrap w:val="0"/>
            <w:tcMar>
              <w:left w:w="108" w:type="dxa"/>
              <w:right w:w="108" w:type="dxa"/>
            </w:tcMar>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747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纳税人使用非税控电子器具开具发票，未按照税收征收管理法及实施细则、发票管理办法等有关规定将非税控电子器具使用的软件程序说明资料报主管税务机关备案且没有违法所得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trPr>
        <w:tc>
          <w:tcPr>
            <w:tcW w:w="1096" w:type="dxa"/>
            <w:tcBorders>
              <w:top w:val="nil"/>
              <w:left w:val="single" w:color="auto" w:sz="8" w:space="0"/>
              <w:bottom w:val="single" w:color="auto" w:sz="8" w:space="0"/>
              <w:right w:val="single" w:color="auto" w:sz="8" w:space="0"/>
            </w:tcBorders>
            <w:noWrap w:val="0"/>
            <w:tcMar>
              <w:left w:w="108" w:type="dxa"/>
              <w:right w:w="108" w:type="dxa"/>
            </w:tcMar>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747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纳税人未按照税收征收管理法及实施细则、税务登记管理办法等有关规定办理税务登记证件验证或者换证手续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0" w:hRule="atLeast"/>
        </w:trPr>
        <w:tc>
          <w:tcPr>
            <w:tcW w:w="1096" w:type="dxa"/>
            <w:tcBorders>
              <w:top w:val="nil"/>
              <w:left w:val="single" w:color="auto" w:sz="8" w:space="0"/>
              <w:bottom w:val="single" w:color="auto" w:sz="8" w:space="0"/>
              <w:right w:val="single" w:color="auto" w:sz="8" w:space="0"/>
            </w:tcBorders>
            <w:noWrap w:val="0"/>
            <w:tcMar>
              <w:left w:w="108" w:type="dxa"/>
              <w:right w:w="108" w:type="dxa"/>
            </w:tcMar>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747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纳税人未按照税收征收管理法及实施细则、发票管理办法等有关规定加盖发票专用章且没有违法所得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1096" w:type="dxa"/>
            <w:tcBorders>
              <w:top w:val="nil"/>
              <w:left w:val="single" w:color="auto" w:sz="8" w:space="0"/>
              <w:bottom w:val="single" w:color="auto" w:sz="8" w:space="0"/>
              <w:right w:val="single" w:color="auto" w:sz="8" w:space="0"/>
            </w:tcBorders>
            <w:noWrap w:val="0"/>
            <w:tcMar>
              <w:left w:w="108" w:type="dxa"/>
              <w:right w:w="108" w:type="dxa"/>
            </w:tcMar>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747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纳税人未按照税收征收管理法及实施细则等有关规定将财务、会计制度或者财务、会计处理办法和会计核算软件报送税务机关备查</w:t>
            </w:r>
          </w:p>
        </w:tc>
      </w:tr>
    </w:tbl>
    <w:p>
      <w:pPr>
        <w:ind w:firstLine="480" w:firstLineChars="200"/>
        <w:rPr>
          <w:rFonts w:hint="eastAsia"/>
          <w:sz w:val="24"/>
          <w:szCs w:val="24"/>
        </w:rPr>
      </w:pPr>
    </w:p>
    <w:p>
      <w:pPr>
        <w:bidi w:val="0"/>
        <w:rPr>
          <w:rFonts w:hint="eastAsia" w:eastAsia="仿宋_GB2312"/>
          <w:lang w:val="en-US" w:eastAsia="zh-CN"/>
        </w:rPr>
      </w:pPr>
      <w:r>
        <w:rPr>
          <w:rFonts w:hint="eastAsia"/>
        </w:rPr>
        <w:t>本</w:t>
      </w:r>
      <w:r>
        <w:rPr>
          <w:rFonts w:hint="eastAsia"/>
          <w:lang w:eastAsia="zh-CN"/>
        </w:rPr>
        <w:t>清单内容</w:t>
      </w:r>
      <w:r>
        <w:rPr>
          <w:rFonts w:hint="eastAsia"/>
        </w:rPr>
        <w:t>自2022年1月1日起施行</w:t>
      </w:r>
      <w:r>
        <w:rPr>
          <w:rFonts w:hint="eastAsia"/>
          <w:lang w:eastAsia="zh-CN"/>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ZDNmMmIwNWI3ZmViMTYwMDY4ZTA1NDk0NWM0NzkifQ=="/>
  </w:docVars>
  <w:rsids>
    <w:rsidRoot w:val="36EB3E36"/>
    <w:rsid w:val="36EB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Calibri" w:hAnsi="Calibri" w:eastAsia="仿宋_GB2312" w:cs="Times New Roman"/>
      <w:kern w:val="2"/>
      <w:sz w:val="32"/>
      <w:szCs w:val="24"/>
      <w:lang w:val="en-US" w:eastAsia="zh-CN" w:bidi="ar-SA"/>
    </w:rPr>
  </w:style>
  <w:style w:type="paragraph" w:styleId="2">
    <w:name w:val="heading 1"/>
    <w:basedOn w:val="3"/>
    <w:next w:val="1"/>
    <w:qFormat/>
    <w:uiPriority w:val="0"/>
    <w:pPr>
      <w:keepNext/>
      <w:keepLines/>
      <w:spacing w:beforeLines="0" w:beforeAutospacing="0" w:after="100" w:afterLines="100" w:afterAutospacing="0" w:line="600" w:lineRule="exact"/>
      <w:ind w:firstLine="0" w:firstLineChars="0"/>
      <w:outlineLvl w:val="0"/>
    </w:pPr>
    <w:rPr>
      <w:rFonts w:ascii="Calibri" w:hAnsi="Calibri" w:eastAsia="方正小标宋简体"/>
      <w:b w:val="0"/>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539</Words>
  <Characters>542</Characters>
  <Lines>0</Lines>
  <Paragraphs>0</Paragraphs>
  <TotalTime>1</TotalTime>
  <ScaleCrop>false</ScaleCrop>
  <LinksUpToDate>false</LinksUpToDate>
  <CharactersWithSpaces>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2023-07-16T10:15:00Z</dcterms:created>
  <dc:creator>pc</dc:creator>
  <cp:lastModifiedBy>pc</cp:lastModifiedBy>
  <dcterms:modified xsi:type="dcterms:W3CDTF">2023-07-16T10:17:36Z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BA8D9CBF976943EB887591A256D378E7_11</vt:lpwstr>
  </property>
</Properties>
</file>