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3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55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550" w:lineRule="exact"/>
        <w:ind w:left="0" w:leftChars="0" w:right="0" w:firstLine="0" w:firstLineChars="0"/>
        <w:jc w:val="center"/>
        <w:textAlignment w:val="baseline"/>
        <w:outlineLvl w:val="9"/>
        <w:rPr>
          <w:rFonts w:hint="eastAsia" w:ascii="仿宋_GB2312" w:hAnsi="仿宋" w:eastAsia="仿宋_GB2312"/>
          <w:kern w:val="2"/>
          <w:sz w:val="32"/>
          <w:lang w:val="en-US" w:eastAsia="zh-CN"/>
        </w:rPr>
      </w:pPr>
    </w:p>
    <w:p>
      <w:pPr>
        <w:spacing w:line="560" w:lineRule="exact"/>
        <w:jc w:val="center"/>
        <w:textAlignment w:val="baseline"/>
        <w:rPr>
          <w:rFonts w:hint="eastAsia" w:ascii="仿宋_GB2312" w:hAnsi="仿宋_GB2312" w:eastAsia="仿宋_GB2312"/>
          <w:sz w:val="32"/>
        </w:rPr>
      </w:pPr>
      <w:r>
        <w:rPr>
          <w:rFonts w:hint="eastAsia" w:ascii="仿宋_GB2312" w:hAnsi="仿宋_GB2312" w:eastAsia="仿宋_GB2312"/>
          <w:sz w:val="32"/>
        </w:rPr>
        <w:t>叶</w:t>
      </w:r>
      <w:r>
        <w:rPr>
          <w:rFonts w:hint="eastAsia" w:ascii="仿宋" w:hAnsi="仿宋" w:eastAsia="仿宋" w:cs="仿宋"/>
          <w:sz w:val="32"/>
        </w:rPr>
        <w:t>建</w:t>
      </w:r>
      <w:r>
        <w:rPr>
          <w:rFonts w:hint="eastAsia" w:ascii="仿宋_GB2312" w:hAnsi="仿宋_GB2312" w:eastAsia="仿宋_GB2312"/>
          <w:sz w:val="32"/>
        </w:rPr>
        <w:t>〔20</w:t>
      </w:r>
      <w:r>
        <w:rPr>
          <w:rFonts w:hint="eastAsia" w:ascii="仿宋_GB2312" w:hAnsi="仿宋_GB2312" w:eastAsia="仿宋_GB2312"/>
          <w:sz w:val="32"/>
          <w:lang w:val="en-US" w:eastAsia="zh-CN"/>
        </w:rPr>
        <w:t>23</w:t>
      </w:r>
      <w:r>
        <w:rPr>
          <w:rFonts w:hint="eastAsia" w:ascii="仿宋_GB2312" w:hAnsi="仿宋_GB2312" w:eastAsia="仿宋_GB2312"/>
          <w:sz w:val="32"/>
        </w:rPr>
        <w:t>〕</w:t>
      </w:r>
      <w:r>
        <w:rPr>
          <w:rFonts w:hint="eastAsia" w:ascii="仿宋_GB2312" w:hAnsi="仿宋_GB2312" w:eastAsia="仿宋_GB2312"/>
          <w:sz w:val="32"/>
          <w:lang w:val="en-US" w:eastAsia="zh-CN"/>
        </w:rPr>
        <w:t>23</w:t>
      </w:r>
      <w:r>
        <w:rPr>
          <w:rFonts w:hint="eastAsia" w:ascii="仿宋_GB2312" w:hAnsi="仿宋_GB2312" w:eastAsia="仿宋_GB2312"/>
          <w:sz w:val="32"/>
        </w:rPr>
        <w:t>号</w:t>
      </w:r>
    </w:p>
    <w:p>
      <w:pPr>
        <w:spacing w:line="560" w:lineRule="exact"/>
        <w:jc w:val="center"/>
        <w:textAlignment w:val="baseline"/>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w w:val="95"/>
          <w:sz w:val="44"/>
          <w:szCs w:val="44"/>
          <w:lang w:val="en-US" w:eastAsia="zh-CN"/>
        </w:rPr>
        <w:t>关于实施</w:t>
      </w:r>
      <w:r>
        <w:rPr>
          <w:rFonts w:hint="eastAsia" w:ascii="方正小标宋简体" w:hAnsi="方正小标宋简体" w:eastAsia="方正小标宋简体" w:cs="方正小标宋简体"/>
          <w:w w:val="95"/>
          <w:sz w:val="44"/>
          <w:szCs w:val="44"/>
        </w:rPr>
        <w:t>202</w:t>
      </w:r>
      <w:r>
        <w:rPr>
          <w:rFonts w:hint="eastAsia" w:ascii="方正小标宋简体" w:hAnsi="方正小标宋简体" w:eastAsia="方正小标宋简体" w:cs="方正小标宋简体"/>
          <w:w w:val="95"/>
          <w:sz w:val="44"/>
          <w:szCs w:val="44"/>
          <w:lang w:val="en-US" w:eastAsia="zh-CN"/>
        </w:rPr>
        <w:t>3</w:t>
      </w:r>
      <w:r>
        <w:rPr>
          <w:rFonts w:hint="eastAsia" w:ascii="方正小标宋简体" w:hAnsi="方正小标宋简体" w:eastAsia="方正小标宋简体" w:cs="方正小标宋简体"/>
          <w:w w:val="95"/>
          <w:sz w:val="44"/>
          <w:szCs w:val="44"/>
        </w:rPr>
        <w:t>年</w:t>
      </w:r>
      <w:r>
        <w:rPr>
          <w:rFonts w:hint="eastAsia" w:ascii="方正小标宋简体" w:hAnsi="方正小标宋简体" w:eastAsia="方正小标宋简体" w:cs="方正小标宋简体"/>
          <w:w w:val="95"/>
          <w:sz w:val="44"/>
          <w:szCs w:val="44"/>
          <w:lang w:val="en-US" w:eastAsia="zh-CN"/>
        </w:rPr>
        <w:t>度</w:t>
      </w:r>
      <w:r>
        <w:rPr>
          <w:rFonts w:hint="eastAsia" w:ascii="方正小标宋简体" w:hAnsi="方正小标宋简体" w:eastAsia="方正小标宋简体" w:cs="方正小标宋简体"/>
          <w:w w:val="95"/>
          <w:sz w:val="44"/>
          <w:szCs w:val="44"/>
        </w:rPr>
        <w:t>“双随机、一公开”抽</w:t>
      </w:r>
      <w:r>
        <w:rPr>
          <w:rFonts w:hint="eastAsia" w:ascii="方正小标宋简体" w:hAnsi="方正小标宋简体" w:eastAsia="方正小标宋简体" w:cs="方正小标宋简体"/>
          <w:w w:val="95"/>
          <w:sz w:val="44"/>
          <w:szCs w:val="44"/>
          <w:lang w:val="en-US" w:eastAsia="zh-CN"/>
        </w:rPr>
        <w:t>查</w:t>
      </w:r>
      <w:r>
        <w:rPr>
          <w:rFonts w:hint="eastAsia" w:ascii="方正小标宋简体" w:hAnsi="方正小标宋简体" w:eastAsia="方正小标宋简体" w:cs="方正小标宋简体"/>
          <w:sz w:val="44"/>
          <w:szCs w:val="44"/>
          <w:lang w:val="en-US" w:eastAsia="zh-CN"/>
        </w:rPr>
        <w:t>事项清单和</w:t>
      </w:r>
      <w:r>
        <w:rPr>
          <w:rFonts w:hint="eastAsia" w:ascii="方正小标宋简体" w:hAnsi="方正小标宋简体" w:eastAsia="方正小标宋简体" w:cs="方正小标宋简体"/>
          <w:sz w:val="44"/>
          <w:szCs w:val="44"/>
        </w:rPr>
        <w:t>工作计划</w:t>
      </w:r>
      <w:r>
        <w:rPr>
          <w:rFonts w:hint="eastAsia" w:ascii="方正小标宋简体" w:hAnsi="方正小标宋简体" w:eastAsia="方正小标宋简体" w:cs="方正小标宋简体"/>
          <w:sz w:val="44"/>
          <w:szCs w:val="44"/>
          <w:lang w:val="en-US" w:eastAsia="zh-CN"/>
        </w:rPr>
        <w:t>的通知</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为贯彻落实《平顶山市人民政府关于在市场监管领域全面推行部门联合“双随机、一公开”监管的实施意见》(平政[2019]26号)，切实做好我局202</w:t>
      </w:r>
      <w:r>
        <w:rPr>
          <w:rFonts w:hint="eastAsia" w:ascii="仿宋" w:hAnsi="仿宋" w:eastAsia="仿宋" w:cs="仿宋"/>
          <w:sz w:val="32"/>
          <w:szCs w:val="32"/>
          <w:lang w:val="en-US" w:eastAsia="zh-CN"/>
        </w:rPr>
        <w:t>3</w:t>
      </w:r>
      <w:r>
        <w:rPr>
          <w:rFonts w:hint="eastAsia" w:ascii="仿宋" w:hAnsi="仿宋" w:eastAsia="仿宋" w:cs="仿宋"/>
          <w:sz w:val="32"/>
          <w:szCs w:val="32"/>
        </w:rPr>
        <w:t>年度“双随机一公开”检查工作，规范行政执法行为，强化监督管理，保障建筑市场健康发展，根据工作实际，制定本计划。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一、抽查工作开展时间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年1</w:t>
      </w:r>
      <w:r>
        <w:rPr>
          <w:rFonts w:hint="eastAsia" w:ascii="仿宋" w:hAnsi="仿宋" w:eastAsia="仿宋" w:cs="仿宋"/>
          <w:sz w:val="32"/>
          <w:szCs w:val="32"/>
          <w:lang w:val="en-US" w:eastAsia="zh-CN"/>
        </w:rPr>
        <w:t>0</w:t>
      </w:r>
      <w:r>
        <w:rPr>
          <w:rFonts w:hint="eastAsia" w:ascii="仿宋" w:hAnsi="仿宋" w:eastAsia="仿宋" w:cs="仿宋"/>
          <w:sz w:val="32"/>
          <w:szCs w:val="32"/>
        </w:rPr>
        <w:t>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二、抽查对象和检查人员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(一)抽查对象。</w:t>
      </w:r>
      <w:r>
        <w:rPr>
          <w:rFonts w:hint="eastAsia" w:ascii="仿宋" w:hAnsi="仿宋" w:eastAsia="仿宋" w:cs="仿宋"/>
          <w:sz w:val="32"/>
          <w:szCs w:val="32"/>
        </w:rPr>
        <w:t>按照</w:t>
      </w:r>
      <w:r>
        <w:rPr>
          <w:rFonts w:hint="eastAsia" w:ascii="仿宋" w:hAnsi="仿宋" w:eastAsia="仿宋" w:cs="仿宋"/>
          <w:sz w:val="32"/>
          <w:szCs w:val="32"/>
          <w:lang w:val="en-US" w:eastAsia="zh-CN"/>
        </w:rPr>
        <w:t>叶县</w:t>
      </w:r>
      <w:r>
        <w:rPr>
          <w:rFonts w:hint="eastAsia" w:ascii="仿宋" w:hAnsi="仿宋" w:eastAsia="仿宋" w:cs="仿宋"/>
          <w:sz w:val="32"/>
          <w:szCs w:val="32"/>
        </w:rPr>
        <w:t>住建局随机抽查事项清单，从国家企业信用信息监管平台(河南)</w:t>
      </w:r>
      <w:r>
        <w:rPr>
          <w:rFonts w:hint="eastAsia" w:ascii="仿宋" w:hAnsi="仿宋" w:eastAsia="仿宋" w:cs="仿宋"/>
          <w:sz w:val="32"/>
          <w:szCs w:val="32"/>
          <w:lang w:val="en-US" w:eastAsia="zh-CN"/>
        </w:rPr>
        <w:t>叶县</w:t>
      </w:r>
      <w:r>
        <w:rPr>
          <w:rFonts w:hint="eastAsia" w:ascii="仿宋" w:hAnsi="仿宋" w:eastAsia="仿宋" w:cs="仿宋"/>
          <w:sz w:val="32"/>
          <w:szCs w:val="32"/>
        </w:rPr>
        <w:t>住建局检查对象库中随机抽取。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(二)检查人员。抽查人员从国家企业信用信息监管平台(河南)</w:t>
      </w:r>
      <w:r>
        <w:rPr>
          <w:rFonts w:hint="eastAsia" w:ascii="仿宋" w:hAnsi="仿宋" w:eastAsia="仿宋" w:cs="仿宋"/>
          <w:sz w:val="32"/>
          <w:szCs w:val="32"/>
          <w:lang w:val="en-US" w:eastAsia="zh-CN"/>
        </w:rPr>
        <w:t>叶县</w:t>
      </w:r>
      <w:r>
        <w:rPr>
          <w:rFonts w:hint="eastAsia" w:ascii="仿宋" w:hAnsi="仿宋" w:eastAsia="仿宋" w:cs="仿宋"/>
          <w:sz w:val="32"/>
          <w:szCs w:val="32"/>
        </w:rPr>
        <w:t>住建局执法人员库中随机抽取。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三、抽查内容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叶县</w:t>
      </w:r>
      <w:r>
        <w:rPr>
          <w:rFonts w:hint="eastAsia" w:ascii="仿宋" w:hAnsi="仿宋" w:eastAsia="仿宋" w:cs="仿宋"/>
          <w:sz w:val="32"/>
          <w:szCs w:val="32"/>
        </w:rPr>
        <w:t>住建局202</w:t>
      </w:r>
      <w:r>
        <w:rPr>
          <w:rFonts w:hint="eastAsia" w:ascii="仿宋" w:hAnsi="仿宋" w:eastAsia="仿宋" w:cs="仿宋"/>
          <w:sz w:val="32"/>
          <w:szCs w:val="32"/>
          <w:lang w:val="en-US" w:eastAsia="zh-CN"/>
        </w:rPr>
        <w:t>3</w:t>
      </w:r>
      <w:r>
        <w:rPr>
          <w:rFonts w:hint="eastAsia" w:ascii="仿宋" w:hAnsi="仿宋" w:eastAsia="仿宋" w:cs="仿宋"/>
          <w:sz w:val="32"/>
          <w:szCs w:val="32"/>
        </w:rPr>
        <w:t>年“双随机、一公开”抽查工作计划</w:t>
      </w:r>
      <w:r>
        <w:rPr>
          <w:rFonts w:hint="eastAsia" w:ascii="仿宋" w:hAnsi="仿宋" w:eastAsia="仿宋" w:cs="仿宋"/>
          <w:sz w:val="32"/>
          <w:szCs w:val="32"/>
          <w:lang w:val="en-US" w:eastAsia="zh-CN"/>
        </w:rPr>
        <w:t>表</w:t>
      </w:r>
      <w:r>
        <w:rPr>
          <w:rFonts w:hint="eastAsia" w:ascii="仿宋" w:hAnsi="仿宋" w:eastAsia="仿宋" w:cs="仿宋"/>
          <w:sz w:val="32"/>
          <w:szCs w:val="32"/>
        </w:rPr>
        <w:t>》(附后)的要求开展检查。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四、检查方式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按照计划，对检查对象开展书面检查或现场检查，采取听取汇报，抽查管理制度、学习记录、会议记录，查看登记簿、卷宗以及询问有关工作人员等方式。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五、抽查结果运用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单位要在规定时间内完成检查并及时录入结果。对抽查发现的违法违规行为,要依照法定程序及时处理;不属于本部门监管职责范围的违法违规行为,要将违法线索移送相应监管部门;涉嫌犯罪的,要及时依法移送司法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(一)各单位要充分认识“双随机一公开”抽查工作的重要性和必要性，切实加强对抽查工作的保障力度，确保检查工作顺利完成。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(二)参加检查的执法人员要严格按照《</w:t>
      </w:r>
      <w:r>
        <w:rPr>
          <w:rFonts w:hint="eastAsia" w:ascii="仿宋" w:hAnsi="仿宋" w:eastAsia="仿宋" w:cs="仿宋"/>
          <w:b w:val="0"/>
          <w:bCs w:val="0"/>
          <w:sz w:val="32"/>
          <w:szCs w:val="32"/>
          <w:lang w:val="en-US" w:eastAsia="zh-CN"/>
        </w:rPr>
        <w:t>叶县</w:t>
      </w:r>
      <w:r>
        <w:rPr>
          <w:rFonts w:hint="eastAsia" w:ascii="仿宋" w:hAnsi="仿宋" w:eastAsia="仿宋" w:cs="仿宋"/>
          <w:b w:val="0"/>
          <w:bCs w:val="0"/>
          <w:sz w:val="32"/>
          <w:szCs w:val="32"/>
        </w:rPr>
        <w:t>住房和城乡建设局</w:t>
      </w:r>
      <w:r>
        <w:rPr>
          <w:rFonts w:hint="eastAsia" w:ascii="仿宋" w:hAnsi="仿宋" w:eastAsia="仿宋" w:cs="仿宋"/>
          <w:b w:val="0"/>
          <w:bCs w:val="0"/>
          <w:i w:val="0"/>
          <w:iCs w:val="0"/>
          <w:caps w:val="0"/>
          <w:color w:val="000000"/>
          <w:spacing w:val="0"/>
          <w:sz w:val="32"/>
          <w:szCs w:val="32"/>
          <w:shd w:val="clear" w:fill="FFFFFF"/>
        </w:rPr>
        <w:t>“双随机、一公开”工作实施细则</w:t>
      </w:r>
      <w:r>
        <w:rPr>
          <w:rFonts w:hint="eastAsia" w:ascii="仿宋" w:hAnsi="仿宋" w:eastAsia="仿宋" w:cs="仿宋"/>
          <w:b w:val="0"/>
          <w:bCs w:val="0"/>
          <w:sz w:val="32"/>
          <w:szCs w:val="32"/>
        </w:rPr>
        <w:t>》要求，强化规范执法意识，转变执法理念，坚持依法行政，不断提高执法监管能力。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(三)认真做好“双随机一公开”抽查的总结工作。对检查中好的做法和经验要认真总结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更好地完成“双随机一公开”工作</w:t>
      </w:r>
      <w:r>
        <w:rPr>
          <w:rFonts w:hint="eastAsia" w:ascii="仿宋" w:hAnsi="仿宋" w:eastAsia="仿宋" w:cs="仿宋"/>
          <w:sz w:val="32"/>
          <w:szCs w:val="32"/>
          <w:lang w:eastAsia="zh-CN"/>
        </w:rPr>
        <w:t>。</w:t>
      </w:r>
    </w:p>
    <w:p>
      <w:pPr>
        <w:spacing w:line="600" w:lineRule="exact"/>
        <w:jc w:val="both"/>
        <w:rPr>
          <w:rFonts w:hint="eastAsia" w:ascii="仿宋" w:hAnsi="仿宋" w:eastAsia="仿宋" w:cs="仿宋"/>
          <w:sz w:val="32"/>
          <w:szCs w:val="32"/>
          <w:lang w:val="en-US" w:eastAsia="zh-CN"/>
        </w:rPr>
      </w:pPr>
    </w:p>
    <w:p>
      <w:pPr>
        <w:spacing w:line="600" w:lineRule="exact"/>
        <w:ind w:left="1918" w:leftChars="304" w:hanging="1280" w:hangingChars="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附件：1.2023年度叶县住房和城乡建设局</w:t>
      </w:r>
      <w:r>
        <w:rPr>
          <w:rFonts w:hint="eastAsia" w:ascii="仿宋" w:hAnsi="仿宋" w:eastAsia="仿宋" w:cs="仿宋"/>
          <w:sz w:val="32"/>
          <w:szCs w:val="32"/>
        </w:rPr>
        <w:t>“双随机、一公开”随机抽查</w:t>
      </w:r>
      <w:r>
        <w:rPr>
          <w:rFonts w:hint="eastAsia" w:ascii="仿宋" w:hAnsi="仿宋" w:eastAsia="仿宋" w:cs="仿宋"/>
          <w:sz w:val="32"/>
          <w:szCs w:val="32"/>
          <w:lang w:eastAsia="zh-CN"/>
        </w:rPr>
        <w:t>检查</w:t>
      </w:r>
      <w:r>
        <w:rPr>
          <w:rFonts w:hint="eastAsia" w:ascii="仿宋" w:hAnsi="仿宋" w:eastAsia="仿宋" w:cs="仿宋"/>
          <w:sz w:val="32"/>
          <w:szCs w:val="32"/>
        </w:rPr>
        <w:t>事项</w:t>
      </w:r>
      <w:r>
        <w:rPr>
          <w:rFonts w:hint="eastAsia" w:ascii="仿宋" w:hAnsi="仿宋" w:eastAsia="仿宋" w:cs="仿宋"/>
          <w:sz w:val="32"/>
          <w:szCs w:val="32"/>
          <w:lang w:val="en-US" w:eastAsia="zh-CN"/>
        </w:rPr>
        <w:t>清单</w:t>
      </w:r>
    </w:p>
    <w:p>
      <w:pPr>
        <w:pStyle w:val="2"/>
        <w:ind w:firstLine="1600" w:firstLineChars="5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2.2023年度叶县住房和城乡建设局“双随机、一</w:t>
      </w:r>
    </w:p>
    <w:p>
      <w:pPr>
        <w:pStyle w:val="2"/>
        <w:ind w:firstLine="1920" w:firstLineChars="60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公开”抽查工作计划表</w:t>
      </w:r>
    </w:p>
    <w:p>
      <w:pPr>
        <w:rPr>
          <w:rFonts w:hint="default" w:ascii="仿宋" w:hAnsi="仿宋" w:eastAsia="仿宋" w:cs="仿宋"/>
          <w:sz w:val="32"/>
          <w:szCs w:val="32"/>
          <w:lang w:val="en-US"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2023年3月28日</w:t>
      </w:r>
    </w:p>
    <w:p/>
    <w:p/>
    <w:p/>
    <w:p/>
    <w:p/>
    <w:p/>
    <w:p/>
    <w:p/>
    <w:p/>
    <w:p/>
    <w:p/>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2023年度叶县住房和城乡建设局</w:t>
      </w:r>
      <w:r>
        <w:rPr>
          <w:rFonts w:hint="eastAsia" w:ascii="方正小标宋简体" w:hAnsi="方正小标宋简体" w:eastAsia="方正小标宋简体" w:cs="方正小标宋简体"/>
          <w:b w:val="0"/>
          <w:bCs/>
          <w:sz w:val="44"/>
          <w:szCs w:val="44"/>
        </w:rPr>
        <w:t>“双随机、一公开”随机抽查</w:t>
      </w:r>
      <w:r>
        <w:rPr>
          <w:rFonts w:hint="eastAsia" w:ascii="方正小标宋简体" w:hAnsi="方正小标宋简体" w:eastAsia="方正小标宋简体" w:cs="方正小标宋简体"/>
          <w:b w:val="0"/>
          <w:bCs/>
          <w:sz w:val="44"/>
          <w:szCs w:val="44"/>
          <w:lang w:eastAsia="zh-CN"/>
        </w:rPr>
        <w:t>检查</w:t>
      </w:r>
      <w:r>
        <w:rPr>
          <w:rFonts w:hint="eastAsia" w:ascii="方正小标宋简体" w:hAnsi="方正小标宋简体" w:eastAsia="方正小标宋简体" w:cs="方正小标宋简体"/>
          <w:b w:val="0"/>
          <w:bCs/>
          <w:sz w:val="44"/>
          <w:szCs w:val="44"/>
        </w:rPr>
        <w:t>事项清</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单</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3"/>
        <w:gridCol w:w="1330"/>
        <w:gridCol w:w="1837"/>
        <w:gridCol w:w="3109"/>
        <w:gridCol w:w="1173"/>
        <w:gridCol w:w="945"/>
        <w:gridCol w:w="1688"/>
        <w:gridCol w:w="800"/>
        <w:gridCol w:w="812"/>
        <w:gridCol w:w="914"/>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0" w:hRule="atLeast"/>
          <w:tblHeader/>
          <w:jc w:val="center"/>
        </w:trPr>
        <w:tc>
          <w:tcPr>
            <w:tcW w:w="733"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序号</w:t>
            </w:r>
          </w:p>
        </w:tc>
        <w:tc>
          <w:tcPr>
            <w:tcW w:w="1330"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部门名称</w:t>
            </w:r>
          </w:p>
        </w:tc>
        <w:tc>
          <w:tcPr>
            <w:tcW w:w="1837"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抽查事项</w:t>
            </w:r>
          </w:p>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名    称</w:t>
            </w:r>
          </w:p>
        </w:tc>
        <w:tc>
          <w:tcPr>
            <w:tcW w:w="3109"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抽查依据</w:t>
            </w:r>
          </w:p>
        </w:tc>
        <w:tc>
          <w:tcPr>
            <w:tcW w:w="1173"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检查</w:t>
            </w:r>
          </w:p>
          <w:p>
            <w:pPr>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主体</w:t>
            </w:r>
          </w:p>
        </w:tc>
        <w:tc>
          <w:tcPr>
            <w:tcW w:w="945"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事项</w:t>
            </w:r>
          </w:p>
          <w:p>
            <w:pPr>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类别</w:t>
            </w:r>
          </w:p>
        </w:tc>
        <w:tc>
          <w:tcPr>
            <w:tcW w:w="1688"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检查对象</w:t>
            </w:r>
          </w:p>
        </w:tc>
        <w:tc>
          <w:tcPr>
            <w:tcW w:w="800"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抽查</w:t>
            </w:r>
          </w:p>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比例</w:t>
            </w:r>
          </w:p>
        </w:tc>
        <w:tc>
          <w:tcPr>
            <w:tcW w:w="812"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抽查频次次/年</w:t>
            </w:r>
          </w:p>
        </w:tc>
        <w:tc>
          <w:tcPr>
            <w:tcW w:w="914"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检查</w:t>
            </w:r>
            <w:r>
              <w:rPr>
                <w:rFonts w:hint="eastAsia" w:ascii="黑体" w:hAnsi="黑体" w:eastAsia="黑体" w:cs="黑体"/>
                <w:b w:val="0"/>
                <w:bCs w:val="0"/>
                <w:color w:val="000000"/>
                <w:kern w:val="0"/>
                <w:sz w:val="30"/>
                <w:szCs w:val="30"/>
                <w:lang w:val="en-US" w:eastAsia="zh-CN"/>
              </w:rPr>
              <w:t xml:space="preserve"> </w:t>
            </w:r>
            <w:r>
              <w:rPr>
                <w:rFonts w:hint="eastAsia" w:ascii="黑体" w:hAnsi="黑体" w:eastAsia="黑体" w:cs="黑体"/>
                <w:b w:val="0"/>
                <w:bCs w:val="0"/>
                <w:color w:val="000000"/>
                <w:kern w:val="0"/>
                <w:sz w:val="30"/>
                <w:szCs w:val="30"/>
              </w:rPr>
              <w:t>方式</w:t>
            </w:r>
          </w:p>
        </w:tc>
        <w:tc>
          <w:tcPr>
            <w:tcW w:w="1022" w:type="dxa"/>
            <w:noWrap w:val="0"/>
            <w:vAlign w:val="center"/>
          </w:tcPr>
          <w:p>
            <w:pPr>
              <w:widowControl/>
              <w:snapToGrid w:val="0"/>
              <w:spacing w:line="340" w:lineRule="exact"/>
              <w:jc w:val="center"/>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0"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1</w:t>
            </w:r>
          </w:p>
        </w:tc>
        <w:tc>
          <w:tcPr>
            <w:tcW w:w="1330"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2"/>
                <w:szCs w:val="22"/>
                <w:lang w:val="en-US" w:eastAsia="zh-CN"/>
              </w:rPr>
              <w:t>房地产开发企业监督检查</w:t>
            </w:r>
          </w:p>
        </w:tc>
        <w:tc>
          <w:tcPr>
            <w:tcW w:w="3109"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房地产开发企业资质管理规定</w:t>
            </w: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建设部令第77号</w:t>
            </w: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第四条、第十一条；</w:t>
            </w:r>
          </w:p>
        </w:tc>
        <w:tc>
          <w:tcPr>
            <w:tcW w:w="1173"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三级以下房地产开发企业</w:t>
            </w:r>
          </w:p>
        </w:tc>
        <w:tc>
          <w:tcPr>
            <w:tcW w:w="800"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5%</w:t>
            </w:r>
          </w:p>
        </w:tc>
        <w:tc>
          <w:tcPr>
            <w:tcW w:w="812"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1</w:t>
            </w:r>
          </w:p>
        </w:tc>
        <w:tc>
          <w:tcPr>
            <w:tcW w:w="914"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18"/>
                <w:szCs w:val="18"/>
                <w:lang w:val="en-US" w:eastAsia="zh-CN"/>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2</w:t>
            </w:r>
          </w:p>
        </w:tc>
        <w:tc>
          <w:tcPr>
            <w:tcW w:w="1330"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房屋建筑工程发包与承包监督检查</w:t>
            </w:r>
          </w:p>
        </w:tc>
        <w:tc>
          <w:tcPr>
            <w:tcW w:w="3109"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《住房和城乡建设部关于印发建筑工程施工发包与承包违法行为认定查处管理办法的通知》第三条、《保障农民工工资支付条例》第三十九条</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在建房屋建筑工程</w:t>
            </w:r>
          </w:p>
        </w:tc>
        <w:tc>
          <w:tcPr>
            <w:tcW w:w="800"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2%</w:t>
            </w:r>
          </w:p>
        </w:tc>
        <w:tc>
          <w:tcPr>
            <w:tcW w:w="812"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1</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5"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3</w:t>
            </w:r>
          </w:p>
        </w:tc>
        <w:tc>
          <w:tcPr>
            <w:tcW w:w="1330"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建设工程质量监督检查</w:t>
            </w:r>
          </w:p>
        </w:tc>
        <w:tc>
          <w:tcPr>
            <w:tcW w:w="3109"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《建设工程质量管理条例》第四条、第四十七条。</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在建房屋建筑和市政基础设施工程</w:t>
            </w:r>
          </w:p>
        </w:tc>
        <w:tc>
          <w:tcPr>
            <w:tcW w:w="800"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5%</w:t>
            </w:r>
          </w:p>
        </w:tc>
        <w:tc>
          <w:tcPr>
            <w:tcW w:w="812"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1</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30"/>
                <w:szCs w:val="30"/>
              </w:rPr>
              <w:t>4</w:t>
            </w:r>
          </w:p>
        </w:tc>
        <w:tc>
          <w:tcPr>
            <w:tcW w:w="1330" w:type="dxa"/>
            <w:noWrap w:val="0"/>
            <w:vAlign w:val="center"/>
          </w:tcPr>
          <w:p>
            <w:pPr>
              <w:widowControl/>
              <w:snapToGrid w:val="0"/>
              <w:spacing w:line="240" w:lineRule="exact"/>
              <w:jc w:val="center"/>
              <w:rPr>
                <w:rFonts w:hint="eastAsia" w:ascii="仿宋_GB2312" w:hAnsi="仿宋_GB2312" w:eastAsia="仿宋_GB2312" w:cs="仿宋_GB2312"/>
                <w:b w:val="0"/>
                <w:bCs w:val="0"/>
                <w:color w:val="000000"/>
                <w:kern w:val="0"/>
                <w:sz w:val="30"/>
                <w:szCs w:val="30"/>
                <w:lang w:val="en-US" w:eastAsia="zh-CN" w:bidi="ar-SA"/>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建设工程安全监督检查</w:t>
            </w:r>
          </w:p>
        </w:tc>
        <w:tc>
          <w:tcPr>
            <w:tcW w:w="3109"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《中华人民共和国建筑法》第四十三条；《建设工程安全生产管理条例》第四十条第二款；《安全生产许可证条例》第四条</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重点检查事项</w:t>
            </w:r>
          </w:p>
        </w:tc>
        <w:tc>
          <w:tcPr>
            <w:tcW w:w="1688"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在建房屋建筑和市政基础设施工程</w:t>
            </w:r>
          </w:p>
        </w:tc>
        <w:tc>
          <w:tcPr>
            <w:tcW w:w="800"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不少于5%</w:t>
            </w:r>
          </w:p>
        </w:tc>
        <w:tc>
          <w:tcPr>
            <w:tcW w:w="812"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不少于2次</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5"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30"/>
                <w:szCs w:val="30"/>
                <w:lang w:val="en-US" w:eastAsia="zh-CN"/>
              </w:rPr>
              <w:t>5</w:t>
            </w:r>
          </w:p>
        </w:tc>
        <w:tc>
          <w:tcPr>
            <w:tcW w:w="1330" w:type="dxa"/>
            <w:noWrap w:val="0"/>
            <w:vAlign w:val="center"/>
          </w:tcPr>
          <w:p>
            <w:pPr>
              <w:widowControl/>
              <w:snapToGrid w:val="0"/>
              <w:spacing w:line="240" w:lineRule="exact"/>
              <w:jc w:val="center"/>
              <w:rPr>
                <w:rFonts w:hint="eastAsia" w:ascii="仿宋_GB2312" w:hAnsi="仿宋_GB2312" w:eastAsia="仿宋_GB2312" w:cs="仿宋_GB2312"/>
                <w:b w:val="0"/>
                <w:bCs w:val="0"/>
                <w:color w:val="000000"/>
                <w:kern w:val="0"/>
                <w:sz w:val="30"/>
                <w:szCs w:val="30"/>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建筑业企业资质监督检查</w:t>
            </w:r>
          </w:p>
        </w:tc>
        <w:tc>
          <w:tcPr>
            <w:tcW w:w="3109"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《建筑业企业资质管理规定》（住房和城乡建设部令第22号）第二十四条第一款。</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权限内审批的建筑业企业</w:t>
            </w:r>
          </w:p>
        </w:tc>
        <w:tc>
          <w:tcPr>
            <w:tcW w:w="800"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2%</w:t>
            </w:r>
          </w:p>
        </w:tc>
        <w:tc>
          <w:tcPr>
            <w:tcW w:w="812"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1</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30"/>
                <w:szCs w:val="30"/>
                <w:lang w:val="en-US" w:eastAsia="zh-CN"/>
              </w:rPr>
              <w:t>6</w:t>
            </w:r>
          </w:p>
        </w:tc>
        <w:tc>
          <w:tcPr>
            <w:tcW w:w="1330" w:type="dxa"/>
            <w:noWrap w:val="0"/>
            <w:vAlign w:val="center"/>
          </w:tcPr>
          <w:p>
            <w:pPr>
              <w:widowControl/>
              <w:snapToGrid w:val="0"/>
              <w:spacing w:line="240" w:lineRule="exact"/>
              <w:jc w:val="center"/>
              <w:rPr>
                <w:rFonts w:hint="default" w:ascii="仿宋_GB2312" w:hAnsi="仿宋_GB2312" w:eastAsia="仿宋_GB2312" w:cs="仿宋_GB2312"/>
                <w:b w:val="0"/>
                <w:bCs w:val="0"/>
                <w:i w:val="0"/>
                <w:color w:val="000000"/>
                <w:sz w:val="30"/>
                <w:szCs w:val="30"/>
                <w:lang w:val="en-US" w:eastAsia="zh-CN"/>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i w:val="0"/>
                <w:color w:val="000000"/>
                <w:sz w:val="22"/>
                <w:szCs w:val="22"/>
                <w:lang w:val="en-US" w:eastAsia="zh-CN"/>
              </w:rPr>
            </w:pPr>
            <w:r>
              <w:rPr>
                <w:rFonts w:hint="eastAsia" w:ascii="仿宋_GB2312" w:hAnsi="仿宋_GB2312" w:eastAsia="仿宋_GB2312" w:cs="仿宋_GB2312"/>
                <w:b w:val="0"/>
                <w:bCs w:val="0"/>
                <w:i w:val="0"/>
                <w:color w:val="000000"/>
                <w:sz w:val="22"/>
                <w:szCs w:val="22"/>
                <w:lang w:val="en-US" w:eastAsia="zh-CN"/>
              </w:rPr>
              <w:t>工程建设强制性标准监督检查</w:t>
            </w:r>
          </w:p>
        </w:tc>
        <w:tc>
          <w:tcPr>
            <w:tcW w:w="3109"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实施工程建设强制性标准监督规定</w:t>
            </w: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建设部令第81号</w:t>
            </w:r>
            <w:r>
              <w:rPr>
                <w:rFonts w:hint="eastAsia" w:ascii="仿宋_GB2312" w:hAnsi="仿宋_GB2312" w:eastAsia="仿宋_GB2312" w:cs="仿宋_GB2312"/>
                <w:b w:val="0"/>
                <w:bCs w:val="0"/>
                <w:color w:val="000000"/>
                <w:kern w:val="0"/>
                <w:sz w:val="22"/>
                <w:szCs w:val="22"/>
                <w:lang w:eastAsia="zh-CN"/>
              </w:rPr>
              <w:t>）</w:t>
            </w:r>
            <w:r>
              <w:rPr>
                <w:rFonts w:hint="eastAsia" w:ascii="仿宋_GB2312" w:hAnsi="仿宋_GB2312" w:eastAsia="仿宋_GB2312" w:cs="仿宋_GB2312"/>
                <w:b w:val="0"/>
                <w:bCs w:val="0"/>
                <w:color w:val="000000"/>
                <w:kern w:val="0"/>
                <w:sz w:val="22"/>
                <w:szCs w:val="22"/>
                <w:lang w:val="en-US" w:eastAsia="zh-CN"/>
              </w:rPr>
              <w:t>第四条第三款、第九条。</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snapToGrid w:val="0"/>
              <w:spacing w:line="240" w:lineRule="exact"/>
              <w:jc w:val="center"/>
              <w:rPr>
                <w:rFonts w:hint="default" w:ascii="仿宋_GB2312" w:hAnsi="仿宋_GB2312" w:eastAsia="仿宋_GB2312" w:cs="仿宋_GB2312"/>
                <w:b w:val="0"/>
                <w:bCs w:val="0"/>
                <w:i w:val="0"/>
                <w:color w:val="000000"/>
                <w:sz w:val="22"/>
                <w:szCs w:val="22"/>
                <w:lang w:val="en-US" w:eastAsia="zh-CN"/>
              </w:rPr>
            </w:pPr>
            <w:r>
              <w:rPr>
                <w:rFonts w:hint="eastAsia" w:ascii="仿宋_GB2312" w:hAnsi="仿宋_GB2312" w:eastAsia="仿宋_GB2312" w:cs="仿宋_GB2312"/>
                <w:b w:val="0"/>
                <w:bCs w:val="0"/>
                <w:i w:val="0"/>
                <w:color w:val="000000"/>
                <w:sz w:val="22"/>
                <w:szCs w:val="22"/>
                <w:lang w:val="en-US" w:eastAsia="zh-CN"/>
              </w:rPr>
              <w:t>在建房屋建筑和市政基础设施工程</w:t>
            </w:r>
          </w:p>
        </w:tc>
        <w:tc>
          <w:tcPr>
            <w:tcW w:w="800"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5%</w:t>
            </w:r>
          </w:p>
        </w:tc>
        <w:tc>
          <w:tcPr>
            <w:tcW w:w="812"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1</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5" w:hRule="atLeast"/>
          <w:jc w:val="center"/>
        </w:trPr>
        <w:tc>
          <w:tcPr>
            <w:tcW w:w="73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eastAsia="zh-CN"/>
              </w:rPr>
            </w:pPr>
            <w:r>
              <w:rPr>
                <w:rFonts w:hint="eastAsia" w:ascii="仿宋_GB2312" w:hAnsi="仿宋_GB2312" w:eastAsia="仿宋_GB2312" w:cs="仿宋_GB2312"/>
                <w:b w:val="0"/>
                <w:bCs w:val="0"/>
                <w:color w:val="000000"/>
                <w:kern w:val="0"/>
                <w:sz w:val="30"/>
                <w:szCs w:val="30"/>
                <w:lang w:val="en-US" w:eastAsia="zh-CN"/>
              </w:rPr>
              <w:t>7</w:t>
            </w:r>
          </w:p>
        </w:tc>
        <w:tc>
          <w:tcPr>
            <w:tcW w:w="1330" w:type="dxa"/>
            <w:noWrap w:val="0"/>
            <w:vAlign w:val="center"/>
          </w:tcPr>
          <w:p>
            <w:pPr>
              <w:widowControl/>
              <w:snapToGrid w:val="0"/>
              <w:spacing w:line="240" w:lineRule="exact"/>
              <w:jc w:val="center"/>
              <w:rPr>
                <w:rFonts w:hint="eastAsia" w:ascii="仿宋_GB2312" w:hAnsi="仿宋_GB2312" w:eastAsia="仿宋_GB2312" w:cs="仿宋_GB2312"/>
                <w:b w:val="0"/>
                <w:bCs w:val="0"/>
                <w:color w:val="000000"/>
                <w:kern w:val="0"/>
                <w:sz w:val="30"/>
                <w:szCs w:val="30"/>
                <w:lang w:val="en-US" w:eastAsia="zh-CN" w:bidi="ar-SA"/>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spacing w:val="-8"/>
                <w:kern w:val="0"/>
                <w:sz w:val="22"/>
                <w:szCs w:val="22"/>
                <w:lang w:val="en-US" w:eastAsia="zh-CN" w:bidi="ar-SA"/>
              </w:rPr>
            </w:pPr>
            <w:r>
              <w:rPr>
                <w:rFonts w:hint="eastAsia" w:ascii="仿宋_GB2312" w:hAnsi="仿宋_GB2312" w:eastAsia="仿宋_GB2312" w:cs="仿宋_GB2312"/>
                <w:b w:val="0"/>
                <w:bCs w:val="0"/>
                <w:color w:val="000000"/>
                <w:spacing w:val="-8"/>
                <w:kern w:val="0"/>
                <w:sz w:val="22"/>
                <w:szCs w:val="22"/>
                <w:lang w:val="en-US" w:eastAsia="zh-CN" w:bidi="ar-SA"/>
              </w:rPr>
              <w:t>新型墙体材料监督检查</w:t>
            </w:r>
          </w:p>
        </w:tc>
        <w:tc>
          <w:tcPr>
            <w:tcW w:w="3109" w:type="dxa"/>
            <w:noWrap w:val="0"/>
            <w:vAlign w:val="center"/>
          </w:tcPr>
          <w:p>
            <w:pPr>
              <w:widowControl/>
              <w:snapToGrid w:val="0"/>
              <w:spacing w:line="2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《河南省住房和城乡建设厅关于改革完善墙体材料革新管理制度的通知》</w:t>
            </w:r>
          </w:p>
        </w:tc>
        <w:tc>
          <w:tcPr>
            <w:tcW w:w="1173"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在建房屋建筑工程</w:t>
            </w:r>
          </w:p>
        </w:tc>
        <w:tc>
          <w:tcPr>
            <w:tcW w:w="800"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10%</w:t>
            </w:r>
          </w:p>
        </w:tc>
        <w:tc>
          <w:tcPr>
            <w:tcW w:w="812"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1</w:t>
            </w:r>
          </w:p>
        </w:tc>
        <w:tc>
          <w:tcPr>
            <w:tcW w:w="914"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18"/>
                <w:szCs w:val="18"/>
                <w:lang w:val="en-US" w:eastAsia="zh-CN" w:bidi="ar-SA"/>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5" w:hRule="atLeast"/>
          <w:jc w:val="center"/>
        </w:trPr>
        <w:tc>
          <w:tcPr>
            <w:tcW w:w="733"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30"/>
                <w:szCs w:val="30"/>
                <w:lang w:val="en-US" w:eastAsia="zh-CN"/>
              </w:rPr>
            </w:pPr>
            <w:r>
              <w:rPr>
                <w:rFonts w:hint="eastAsia" w:ascii="仿宋_GB2312" w:hAnsi="仿宋_GB2312" w:eastAsia="仿宋_GB2312" w:cs="仿宋_GB2312"/>
                <w:b w:val="0"/>
                <w:bCs w:val="0"/>
                <w:color w:val="000000"/>
                <w:kern w:val="0"/>
                <w:sz w:val="30"/>
                <w:szCs w:val="30"/>
                <w:lang w:val="en-US" w:eastAsia="zh-CN"/>
              </w:rPr>
              <w:t>8</w:t>
            </w:r>
          </w:p>
        </w:tc>
        <w:tc>
          <w:tcPr>
            <w:tcW w:w="1330" w:type="dxa"/>
            <w:noWrap w:val="0"/>
            <w:vAlign w:val="center"/>
          </w:tcPr>
          <w:p>
            <w:pPr>
              <w:widowControl/>
              <w:snapToGrid w:val="0"/>
              <w:spacing w:line="240" w:lineRule="exact"/>
              <w:jc w:val="center"/>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叶县住房和城乡建设局</w:t>
            </w:r>
          </w:p>
        </w:tc>
        <w:tc>
          <w:tcPr>
            <w:tcW w:w="1837"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spacing w:val="-8"/>
                <w:kern w:val="0"/>
                <w:sz w:val="22"/>
                <w:szCs w:val="22"/>
                <w:lang w:val="en-US" w:eastAsia="zh-CN" w:bidi="ar-SA"/>
              </w:rPr>
            </w:pPr>
            <w:r>
              <w:rPr>
                <w:rFonts w:hint="eastAsia" w:ascii="仿宋_GB2312" w:hAnsi="仿宋_GB2312" w:eastAsia="仿宋_GB2312" w:cs="仿宋_GB2312"/>
                <w:b w:val="0"/>
                <w:bCs w:val="0"/>
                <w:color w:val="000000"/>
                <w:spacing w:val="-8"/>
                <w:kern w:val="0"/>
                <w:sz w:val="22"/>
                <w:szCs w:val="22"/>
                <w:lang w:val="en-US" w:eastAsia="zh-CN" w:bidi="ar-SA"/>
              </w:rPr>
              <w:t>建设工程招标投标检查</w:t>
            </w:r>
          </w:p>
        </w:tc>
        <w:tc>
          <w:tcPr>
            <w:tcW w:w="3109"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河南省住房和城乡建设厅关于印发《河南省房屋建筑和市政工程项目招标投标监督管理办法》的通知（豫建【2012】197号）</w:t>
            </w:r>
          </w:p>
        </w:tc>
        <w:tc>
          <w:tcPr>
            <w:tcW w:w="1173"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叶县住房和城乡建设局</w:t>
            </w:r>
          </w:p>
        </w:tc>
        <w:tc>
          <w:tcPr>
            <w:tcW w:w="945"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一般检查事项</w:t>
            </w:r>
          </w:p>
        </w:tc>
        <w:tc>
          <w:tcPr>
            <w:tcW w:w="1688" w:type="dxa"/>
            <w:noWrap w:val="0"/>
            <w:vAlign w:val="center"/>
          </w:tcPr>
          <w:p>
            <w:pPr>
              <w:snapToGrid w:val="0"/>
              <w:spacing w:line="240" w:lineRule="exact"/>
              <w:jc w:val="center"/>
              <w:rPr>
                <w:rFonts w:hint="default" w:ascii="仿宋_GB2312" w:hAnsi="仿宋_GB2312" w:eastAsia="仿宋_GB2312" w:cs="仿宋_GB2312"/>
                <w:b w:val="0"/>
                <w:bCs w:val="0"/>
                <w:color w:val="000000"/>
                <w:kern w:val="0"/>
                <w:sz w:val="22"/>
                <w:szCs w:val="22"/>
                <w:lang w:val="en-US" w:eastAsia="zh-CN"/>
              </w:rPr>
            </w:pPr>
            <w:r>
              <w:rPr>
                <w:rFonts w:hint="eastAsia" w:ascii="仿宋_GB2312" w:hAnsi="仿宋_GB2312" w:eastAsia="仿宋_GB2312" w:cs="仿宋_GB2312"/>
                <w:b w:val="0"/>
                <w:bCs w:val="0"/>
                <w:color w:val="000000"/>
                <w:kern w:val="0"/>
                <w:sz w:val="22"/>
                <w:szCs w:val="22"/>
                <w:lang w:val="en-US" w:eastAsia="zh-CN"/>
              </w:rPr>
              <w:t>公开招标且必须进行招标的项目</w:t>
            </w:r>
          </w:p>
        </w:tc>
        <w:tc>
          <w:tcPr>
            <w:tcW w:w="800"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3%</w:t>
            </w:r>
          </w:p>
        </w:tc>
        <w:tc>
          <w:tcPr>
            <w:tcW w:w="812" w:type="dxa"/>
            <w:noWrap w:val="0"/>
            <w:vAlign w:val="center"/>
          </w:tcPr>
          <w:p>
            <w:pPr>
              <w:widowControl/>
              <w:snapToGrid w:val="0"/>
              <w:spacing w:line="240" w:lineRule="exact"/>
              <w:jc w:val="center"/>
              <w:rPr>
                <w:rFonts w:hint="default" w:ascii="仿宋_GB2312" w:hAnsi="仿宋_GB2312" w:eastAsia="仿宋_GB2312" w:cs="仿宋_GB2312"/>
                <w:b w:val="0"/>
                <w:bCs w:val="0"/>
                <w:color w:val="000000"/>
                <w:kern w:val="0"/>
                <w:sz w:val="22"/>
                <w:szCs w:val="22"/>
                <w:lang w:val="en-US" w:eastAsia="zh-CN" w:bidi="ar-SA"/>
              </w:rPr>
            </w:pPr>
            <w:r>
              <w:rPr>
                <w:rFonts w:hint="eastAsia" w:ascii="仿宋_GB2312" w:hAnsi="仿宋_GB2312" w:eastAsia="仿宋_GB2312" w:cs="仿宋_GB2312"/>
                <w:b w:val="0"/>
                <w:bCs w:val="0"/>
                <w:color w:val="000000"/>
                <w:kern w:val="0"/>
                <w:sz w:val="22"/>
                <w:szCs w:val="22"/>
                <w:lang w:val="en-US" w:eastAsia="zh-CN" w:bidi="ar-SA"/>
              </w:rPr>
              <w:t>2</w:t>
            </w:r>
          </w:p>
        </w:tc>
        <w:tc>
          <w:tcPr>
            <w:tcW w:w="914" w:type="dxa"/>
            <w:noWrap w:val="0"/>
            <w:vAlign w:val="center"/>
          </w:tcPr>
          <w:p>
            <w:pPr>
              <w:widowControl/>
              <w:snapToGrid w:val="0"/>
              <w:spacing w:line="340" w:lineRule="exact"/>
              <w:jc w:val="center"/>
              <w:rPr>
                <w:rFonts w:hint="default" w:ascii="仿宋_GB2312" w:hAnsi="仿宋_GB2312" w:eastAsia="仿宋_GB2312" w:cs="仿宋_GB2312"/>
                <w:b w:val="0"/>
                <w:bCs w:val="0"/>
                <w:color w:val="000000"/>
                <w:kern w:val="0"/>
                <w:sz w:val="18"/>
                <w:szCs w:val="18"/>
                <w:lang w:val="en-US" w:eastAsia="zh-CN"/>
              </w:rPr>
            </w:pPr>
            <w:r>
              <w:rPr>
                <w:rFonts w:hint="eastAsia" w:ascii="仿宋_GB2312" w:hAnsi="仿宋_GB2312" w:eastAsia="仿宋_GB2312" w:cs="仿宋_GB2312"/>
                <w:b w:val="0"/>
                <w:bCs w:val="0"/>
                <w:color w:val="000000"/>
                <w:kern w:val="0"/>
                <w:sz w:val="18"/>
                <w:szCs w:val="18"/>
                <w:lang w:val="en-US" w:eastAsia="zh-CN"/>
              </w:rPr>
              <w:t>现场检查、书面检查</w:t>
            </w:r>
          </w:p>
        </w:tc>
        <w:tc>
          <w:tcPr>
            <w:tcW w:w="1022" w:type="dxa"/>
            <w:noWrap w:val="0"/>
            <w:vAlign w:val="center"/>
          </w:tcPr>
          <w:p>
            <w:pPr>
              <w:widowControl/>
              <w:snapToGrid w:val="0"/>
              <w:spacing w:line="340" w:lineRule="exact"/>
              <w:jc w:val="center"/>
              <w:rPr>
                <w:rFonts w:hint="eastAsia" w:ascii="仿宋_GB2312" w:hAnsi="仿宋_GB2312" w:eastAsia="仿宋_GB2312" w:cs="仿宋_GB2312"/>
                <w:b w:val="0"/>
                <w:bCs w:val="0"/>
                <w:color w:val="000000"/>
                <w:kern w:val="0"/>
                <w:sz w:val="30"/>
                <w:szCs w:val="30"/>
                <w:lang w:val="en-US" w:eastAsia="zh-CN" w:bidi="ar-SA"/>
              </w:rPr>
            </w:pPr>
          </w:p>
        </w:tc>
      </w:tr>
    </w:tbl>
    <w:p>
      <w:pPr>
        <w:spacing w:after="0"/>
        <w:jc w:val="center"/>
        <w:rPr>
          <w:rFonts w:hint="eastAsia" w:ascii="方正小标宋简体" w:hAnsi="方正小标宋简体" w:eastAsia="方正小标宋简体" w:cs="方正小标宋简体"/>
          <w:b w:val="0"/>
          <w:bCs/>
          <w:color w:val="000000"/>
          <w:sz w:val="44"/>
          <w:szCs w:val="44"/>
          <w:lang w:val="en-US" w:eastAsia="zh-CN"/>
        </w:rPr>
      </w:pPr>
      <w:bookmarkStart w:id="0" w:name="_GoBack"/>
      <w:bookmarkEnd w:id="0"/>
    </w:p>
    <w:p>
      <w:pPr>
        <w:spacing w:after="0"/>
        <w:jc w:val="both"/>
        <w:rPr>
          <w:rFonts w:hint="eastAsia" w:ascii="黑体" w:hAnsi="黑体" w:eastAsia="黑体" w:cs="黑体"/>
          <w:b w:val="0"/>
          <w:bCs/>
          <w:color w:val="000000"/>
          <w:sz w:val="32"/>
          <w:szCs w:val="32"/>
          <w:lang w:val="en-US" w:eastAsia="zh-CN"/>
        </w:rPr>
      </w:pPr>
    </w:p>
    <w:p>
      <w:pPr>
        <w:spacing w:after="0"/>
        <w:jc w:val="both"/>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p>
      <w:pPr>
        <w:spacing w:after="0"/>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2023年度叶县住房和城乡建设</w:t>
      </w:r>
      <w:r>
        <w:rPr>
          <w:rFonts w:hint="eastAsia" w:ascii="方正小标宋简体" w:hAnsi="方正小标宋简体" w:eastAsia="方正小标宋简体" w:cs="方正小标宋简体"/>
          <w:b w:val="0"/>
          <w:bCs/>
          <w:color w:val="000000"/>
          <w:sz w:val="44"/>
          <w:szCs w:val="44"/>
        </w:rPr>
        <w:t>局</w:t>
      </w:r>
      <w:r>
        <w:rPr>
          <w:rFonts w:hint="eastAsia" w:ascii="方正小标宋简体" w:hAnsi="方正小标宋简体" w:eastAsia="方正小标宋简体" w:cs="方正小标宋简体"/>
          <w:b w:val="0"/>
          <w:bCs/>
          <w:color w:val="000000"/>
          <w:sz w:val="44"/>
          <w:szCs w:val="44"/>
          <w:lang w:val="en-US" w:eastAsia="zh-CN"/>
        </w:rPr>
        <w:t>“双随机、一公开”抽查工作计划表</w:t>
      </w:r>
    </w:p>
    <w:p>
      <w:pPr>
        <w:spacing w:after="0"/>
        <w:jc w:val="center"/>
        <w:rPr>
          <w:rFonts w:hint="eastAsia" w:ascii="方正小标宋简体" w:hAnsi="方正小标宋简体" w:eastAsia="方正小标宋简体" w:cs="方正小标宋简体"/>
          <w:b w:val="0"/>
          <w:bCs/>
          <w:color w:val="000000"/>
          <w:sz w:val="13"/>
          <w:szCs w:val="13"/>
          <w:lang w:val="en-US" w:eastAsia="zh-CN"/>
        </w:rPr>
      </w:pPr>
    </w:p>
    <w:tbl>
      <w:tblPr>
        <w:tblStyle w:val="6"/>
        <w:tblW w:w="1514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169"/>
        <w:gridCol w:w="2656"/>
        <w:gridCol w:w="1290"/>
        <w:gridCol w:w="690"/>
        <w:gridCol w:w="1005"/>
        <w:gridCol w:w="930"/>
        <w:gridCol w:w="5190"/>
        <w:gridCol w:w="8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74"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序号</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抽查事项名称</w:t>
            </w:r>
          </w:p>
        </w:tc>
        <w:tc>
          <w:tcPr>
            <w:tcW w:w="2656"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抽查依据</w:t>
            </w:r>
          </w:p>
        </w:tc>
        <w:tc>
          <w:tcPr>
            <w:tcW w:w="12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抽查对象</w:t>
            </w:r>
          </w:p>
        </w:tc>
        <w:tc>
          <w:tcPr>
            <w:tcW w:w="690" w:type="dxa"/>
            <w:vAlign w:val="center"/>
          </w:tcPr>
          <w:p>
            <w:pPr>
              <w:tabs>
                <w:tab w:val="left" w:pos="281"/>
              </w:tabs>
              <w:spacing w:after="0" w:line="220" w:lineRule="atLeast"/>
              <w:jc w:val="left"/>
              <w:rPr>
                <w:rFonts w:hint="eastAsia"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事项</w:t>
            </w:r>
          </w:p>
          <w:p>
            <w:pPr>
              <w:tabs>
                <w:tab w:val="left" w:pos="281"/>
              </w:tabs>
              <w:spacing w:after="0" w:line="220" w:lineRule="atLeast"/>
              <w:jc w:val="left"/>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类别</w:t>
            </w:r>
          </w:p>
        </w:tc>
        <w:tc>
          <w:tcPr>
            <w:tcW w:w="1005"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lang w:val="en-US" w:eastAsia="zh-CN"/>
              </w:rPr>
              <w:t>抽查比例/</w:t>
            </w:r>
            <w:r>
              <w:rPr>
                <w:rFonts w:hint="eastAsia" w:ascii="宋体" w:hAnsi="宋体" w:eastAsia="宋体"/>
                <w:sz w:val="21"/>
                <w:szCs w:val="21"/>
              </w:rPr>
              <w:t>频次</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抽查方式</w:t>
            </w: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抽查内容</w:t>
            </w:r>
          </w:p>
        </w:tc>
        <w:tc>
          <w:tcPr>
            <w:tcW w:w="84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抽查</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时间</w:t>
            </w:r>
          </w:p>
        </w:tc>
        <w:tc>
          <w:tcPr>
            <w:tcW w:w="90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责任</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74" w:type="dxa"/>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1</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房地产开</w:t>
            </w:r>
          </w:p>
          <w:p>
            <w:pPr>
              <w:spacing w:after="0" w:line="220" w:lineRule="atLeast"/>
              <w:jc w:val="center"/>
              <w:rPr>
                <w:rFonts w:ascii="宋体" w:hAnsi="宋体" w:eastAsia="宋体"/>
                <w:sz w:val="21"/>
                <w:szCs w:val="21"/>
              </w:rPr>
            </w:pPr>
            <w:r>
              <w:rPr>
                <w:rFonts w:hint="eastAsia" w:ascii="宋体" w:hAnsi="宋体" w:eastAsia="宋体"/>
                <w:sz w:val="21"/>
                <w:szCs w:val="21"/>
              </w:rPr>
              <w:t>发企业监</w:t>
            </w:r>
          </w:p>
          <w:p>
            <w:pPr>
              <w:spacing w:after="0" w:line="220" w:lineRule="atLeast"/>
              <w:jc w:val="center"/>
              <w:rPr>
                <w:rFonts w:ascii="宋体" w:hAnsi="宋体" w:eastAsia="宋体"/>
                <w:sz w:val="21"/>
                <w:szCs w:val="21"/>
              </w:rPr>
            </w:pPr>
            <w:r>
              <w:rPr>
                <w:rFonts w:hint="eastAsia" w:ascii="宋体" w:hAnsi="宋体" w:eastAsia="宋体"/>
                <w:sz w:val="21"/>
                <w:szCs w:val="21"/>
              </w:rPr>
              <w:t>督检查</w:t>
            </w:r>
          </w:p>
        </w:tc>
        <w:tc>
          <w:tcPr>
            <w:tcW w:w="2656"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房地产开发企业资质管理规定》( 建设部令第 7 7号)第四条、第十一条。</w:t>
            </w:r>
          </w:p>
        </w:tc>
        <w:tc>
          <w:tcPr>
            <w:tcW w:w="12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lang w:val="en-US" w:eastAsia="zh-CN"/>
              </w:rPr>
              <w:t>三级</w:t>
            </w:r>
            <w:r>
              <w:rPr>
                <w:rFonts w:hint="eastAsia" w:ascii="宋体" w:hAnsi="宋体" w:eastAsia="宋体"/>
                <w:sz w:val="21"/>
                <w:szCs w:val="21"/>
              </w:rPr>
              <w:t>以</w:t>
            </w:r>
            <w:r>
              <w:rPr>
                <w:rFonts w:hint="eastAsia" w:ascii="宋体" w:hAnsi="宋体" w:eastAsia="宋体"/>
                <w:sz w:val="21"/>
                <w:szCs w:val="21"/>
                <w:lang w:val="en-US" w:eastAsia="zh-CN"/>
              </w:rPr>
              <w:t>下</w:t>
            </w:r>
            <w:r>
              <w:rPr>
                <w:rFonts w:hint="eastAsia" w:ascii="宋体" w:hAnsi="宋体" w:eastAsia="宋体"/>
                <w:sz w:val="21"/>
                <w:szCs w:val="21"/>
              </w:rPr>
              <w:t>房地产开发企业</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center"/>
              <w:rPr>
                <w:rFonts w:ascii="宋体" w:hAnsi="宋体" w:eastAsia="宋体"/>
                <w:sz w:val="21"/>
                <w:szCs w:val="21"/>
              </w:rPr>
            </w:pPr>
            <w:r>
              <w:rPr>
                <w:rFonts w:hint="eastAsia" w:ascii="宋体" w:hAnsi="宋体" w:eastAsia="宋体"/>
                <w:sz w:val="21"/>
                <w:szCs w:val="21"/>
              </w:rPr>
              <w:t>1 次/年</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p>
            <w:pPr>
              <w:spacing w:after="0" w:line="220" w:lineRule="atLeast"/>
              <w:jc w:val="center"/>
              <w:rPr>
                <w:rFonts w:ascii="宋体" w:hAnsi="宋体" w:eastAsia="宋体"/>
                <w:sz w:val="21"/>
                <w:szCs w:val="21"/>
              </w:rPr>
            </w:pP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1.专业技术人员力量、开发建设项目业绩情况；2.质量控制制度建立和实施情况； 3.房地产开发项目手册制定和报送情况； 4.住宅质量保证书、住宅使用说明书 执行情况； 5.依法、依规及诚信经营情况。</w:t>
            </w:r>
          </w:p>
        </w:tc>
        <w:tc>
          <w:tcPr>
            <w:tcW w:w="840" w:type="dxa"/>
            <w:vAlign w:val="center"/>
          </w:tcPr>
          <w:p>
            <w:pPr>
              <w:tabs>
                <w:tab w:val="left" w:pos="296"/>
              </w:tabs>
              <w:spacing w:after="0" w:line="220" w:lineRule="atLeast"/>
              <w:jc w:val="left"/>
              <w:rPr>
                <w:rFonts w:hint="default" w:ascii="宋体" w:hAnsi="宋体" w:eastAsia="宋体"/>
                <w:sz w:val="21"/>
                <w:szCs w:val="21"/>
                <w:lang w:val="en-US" w:eastAsia="zh-CN"/>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74"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建设工程</w:t>
            </w:r>
          </w:p>
          <w:p>
            <w:pPr>
              <w:spacing w:after="0" w:line="220" w:lineRule="atLeast"/>
              <w:jc w:val="center"/>
              <w:rPr>
                <w:rFonts w:ascii="宋体" w:hAnsi="宋体" w:eastAsia="宋体"/>
                <w:sz w:val="21"/>
                <w:szCs w:val="21"/>
              </w:rPr>
            </w:pPr>
            <w:r>
              <w:rPr>
                <w:rFonts w:hint="eastAsia" w:ascii="宋体" w:hAnsi="宋体" w:eastAsia="宋体"/>
                <w:sz w:val="21"/>
                <w:szCs w:val="21"/>
              </w:rPr>
              <w:t>质量监督</w:t>
            </w:r>
          </w:p>
          <w:p>
            <w:pPr>
              <w:spacing w:after="0" w:line="220" w:lineRule="atLeast"/>
              <w:jc w:val="center"/>
              <w:rPr>
                <w:rFonts w:ascii="宋体" w:hAnsi="宋体" w:eastAsia="宋体"/>
                <w:sz w:val="21"/>
                <w:szCs w:val="21"/>
              </w:rPr>
            </w:pPr>
            <w:r>
              <w:rPr>
                <w:rFonts w:hint="eastAsia" w:ascii="宋体" w:hAnsi="宋体" w:eastAsia="宋体"/>
                <w:sz w:val="21"/>
                <w:szCs w:val="21"/>
              </w:rPr>
              <w:t>检查</w:t>
            </w:r>
          </w:p>
        </w:tc>
        <w:tc>
          <w:tcPr>
            <w:tcW w:w="2656"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建设工程质量管理条例》第四条、第四十七条。</w:t>
            </w:r>
          </w:p>
        </w:tc>
        <w:tc>
          <w:tcPr>
            <w:tcW w:w="129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rPr>
              <w:t>在建房屋建筑工程</w:t>
            </w:r>
            <w:r>
              <w:rPr>
                <w:rFonts w:hint="eastAsia" w:ascii="宋体" w:hAnsi="宋体" w:eastAsia="宋体"/>
                <w:sz w:val="21"/>
                <w:szCs w:val="21"/>
                <w:lang w:val="en-US" w:eastAsia="zh-CN"/>
              </w:rPr>
              <w:t>和市政基础设施工程</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both"/>
              <w:rPr>
                <w:rFonts w:ascii="宋体" w:hAnsi="宋体" w:eastAsia="宋体"/>
                <w:sz w:val="21"/>
                <w:szCs w:val="21"/>
              </w:rPr>
            </w:pPr>
            <w:r>
              <w:rPr>
                <w:rFonts w:hint="eastAsia" w:ascii="宋体" w:hAnsi="宋体" w:eastAsia="宋体"/>
                <w:sz w:val="21"/>
                <w:szCs w:val="21"/>
              </w:rPr>
              <w:t>1次/年</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1.质量行为；2.工程实体质量和进场建筑材料、设备情况；3.工程质量检测机构、监督机构履职情况。</w:t>
            </w:r>
          </w:p>
        </w:tc>
        <w:tc>
          <w:tcPr>
            <w:tcW w:w="840" w:type="dxa"/>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质监站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474" w:type="dxa"/>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建设工程</w:t>
            </w:r>
          </w:p>
          <w:p>
            <w:pPr>
              <w:spacing w:after="0" w:line="220" w:lineRule="atLeast"/>
              <w:jc w:val="center"/>
              <w:rPr>
                <w:rFonts w:ascii="宋体" w:hAnsi="宋体" w:eastAsia="宋体"/>
                <w:sz w:val="21"/>
                <w:szCs w:val="21"/>
              </w:rPr>
            </w:pPr>
            <w:r>
              <w:rPr>
                <w:rFonts w:hint="eastAsia" w:ascii="宋体" w:hAnsi="宋体" w:eastAsia="宋体"/>
                <w:sz w:val="21"/>
                <w:szCs w:val="21"/>
              </w:rPr>
              <w:t>安全监督</w:t>
            </w:r>
          </w:p>
          <w:p>
            <w:pPr>
              <w:spacing w:after="0" w:line="220" w:lineRule="atLeast"/>
              <w:jc w:val="center"/>
              <w:rPr>
                <w:rFonts w:ascii="宋体" w:hAnsi="宋体" w:eastAsia="宋体"/>
                <w:sz w:val="21"/>
                <w:szCs w:val="21"/>
              </w:rPr>
            </w:pPr>
            <w:r>
              <w:rPr>
                <w:rFonts w:hint="eastAsia" w:ascii="宋体" w:hAnsi="宋体" w:eastAsia="宋体"/>
                <w:sz w:val="21"/>
                <w:szCs w:val="21"/>
              </w:rPr>
              <w:t>检查</w:t>
            </w:r>
          </w:p>
        </w:tc>
        <w:tc>
          <w:tcPr>
            <w:tcW w:w="2656"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rPr>
              <w:t>《 中华人民共和国建筑法》第四十三条；《建设工程安全生产管理条例》第四十条第二款。</w:t>
            </w:r>
            <w:r>
              <w:rPr>
                <w:rFonts w:hint="eastAsia" w:ascii="宋体" w:hAnsi="宋体" w:eastAsia="宋体"/>
                <w:sz w:val="21"/>
                <w:szCs w:val="21"/>
                <w:lang w:eastAsia="zh-CN"/>
              </w:rPr>
              <w:t>《</w:t>
            </w:r>
            <w:r>
              <w:rPr>
                <w:rFonts w:hint="eastAsia" w:ascii="宋体" w:hAnsi="宋体" w:eastAsia="宋体"/>
                <w:sz w:val="21"/>
                <w:szCs w:val="21"/>
                <w:lang w:val="en-US" w:eastAsia="zh-CN"/>
              </w:rPr>
              <w:t>安全生产许可证条例</w:t>
            </w:r>
            <w:r>
              <w:rPr>
                <w:rFonts w:hint="eastAsia" w:ascii="宋体" w:hAnsi="宋体" w:eastAsia="宋体"/>
                <w:sz w:val="21"/>
                <w:szCs w:val="21"/>
                <w:lang w:eastAsia="zh-CN"/>
              </w:rPr>
              <w:t>》</w:t>
            </w:r>
            <w:r>
              <w:rPr>
                <w:rFonts w:hint="eastAsia" w:ascii="宋体" w:hAnsi="宋体" w:eastAsia="宋体"/>
                <w:sz w:val="21"/>
                <w:szCs w:val="21"/>
                <w:lang w:val="en-US" w:eastAsia="zh-CN"/>
              </w:rPr>
              <w:t>第四条</w:t>
            </w:r>
          </w:p>
        </w:tc>
        <w:tc>
          <w:tcPr>
            <w:tcW w:w="12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在建房屋建筑和市政基础设施工程</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重点检查事项</w:t>
            </w:r>
          </w:p>
        </w:tc>
        <w:tc>
          <w:tcPr>
            <w:tcW w:w="1005" w:type="dxa"/>
            <w:vAlign w:val="center"/>
          </w:tcPr>
          <w:p>
            <w:pPr>
              <w:spacing w:after="0" w:line="220" w:lineRule="atLeast"/>
              <w:ind w:firstLine="210" w:firstLineChars="100"/>
              <w:jc w:val="both"/>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both"/>
              <w:rPr>
                <w:rFonts w:hint="default" w:ascii="宋体" w:hAnsi="宋体" w:eastAsia="宋体"/>
                <w:sz w:val="21"/>
                <w:szCs w:val="21"/>
                <w:lang w:val="en-US" w:eastAsia="zh-CN"/>
              </w:rPr>
            </w:pPr>
            <w:r>
              <w:rPr>
                <w:rFonts w:hint="eastAsia" w:ascii="宋体" w:hAnsi="宋体" w:eastAsia="宋体"/>
                <w:sz w:val="21"/>
                <w:szCs w:val="21"/>
                <w:lang w:val="en-US" w:eastAsia="zh-CN"/>
              </w:rPr>
              <w:t>2次/年</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1.安全生产法律法规、强制性标准、规范执行情况；2.安全管理措施和安全责任落 实情况；3.安全三类人员、特种作业人员持证上岗、教育培训和履职尽责情况；</w:t>
            </w:r>
          </w:p>
        </w:tc>
        <w:tc>
          <w:tcPr>
            <w:tcW w:w="840" w:type="dxa"/>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安监站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74" w:type="dxa"/>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4</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建筑业企</w:t>
            </w:r>
          </w:p>
          <w:p>
            <w:pPr>
              <w:spacing w:after="0" w:line="220" w:lineRule="atLeast"/>
              <w:jc w:val="center"/>
              <w:rPr>
                <w:rFonts w:ascii="宋体" w:hAnsi="宋体" w:eastAsia="宋体"/>
                <w:sz w:val="21"/>
                <w:szCs w:val="21"/>
              </w:rPr>
            </w:pPr>
            <w:r>
              <w:rPr>
                <w:rFonts w:hint="eastAsia" w:ascii="宋体" w:hAnsi="宋体" w:eastAsia="宋体"/>
                <w:sz w:val="21"/>
                <w:szCs w:val="21"/>
              </w:rPr>
              <w:t>业资质监</w:t>
            </w:r>
          </w:p>
          <w:p>
            <w:pPr>
              <w:spacing w:after="0" w:line="220" w:lineRule="atLeast"/>
              <w:jc w:val="center"/>
              <w:rPr>
                <w:rFonts w:ascii="宋体" w:hAnsi="宋体" w:eastAsia="宋体"/>
                <w:sz w:val="21"/>
                <w:szCs w:val="21"/>
              </w:rPr>
            </w:pPr>
            <w:r>
              <w:rPr>
                <w:rFonts w:hint="eastAsia" w:ascii="宋体" w:hAnsi="宋体" w:eastAsia="宋体"/>
                <w:sz w:val="21"/>
                <w:szCs w:val="21"/>
              </w:rPr>
              <w:t>督检查</w:t>
            </w:r>
          </w:p>
        </w:tc>
        <w:tc>
          <w:tcPr>
            <w:tcW w:w="2656"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 建筑业企业资质管理规定》 ( 住房和城乡建设部令第 2 2 号)第二十四条第一款。</w:t>
            </w:r>
          </w:p>
        </w:tc>
        <w:tc>
          <w:tcPr>
            <w:tcW w:w="129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权限内审批的建筑业企业</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p>
            <w:pPr>
              <w:spacing w:after="0" w:line="220" w:lineRule="atLeast"/>
              <w:jc w:val="center"/>
              <w:rPr>
                <w:rFonts w:ascii="宋体" w:hAnsi="宋体" w:eastAsia="宋体"/>
                <w:sz w:val="21"/>
                <w:szCs w:val="21"/>
              </w:rPr>
            </w:pPr>
            <w:r>
              <w:rPr>
                <w:rFonts w:hint="eastAsia" w:ascii="宋体" w:hAnsi="宋体" w:eastAsia="宋体"/>
                <w:sz w:val="21"/>
                <w:szCs w:val="21"/>
              </w:rPr>
              <w:t>1次/年</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1.资质证书及资产、人员、设备、场地等有关证明材料； 2.施工业务有关文档；3.质量管理、安全生产管理、合同管理、档案管理、财务管理等企业内部管理制度落实情况。</w:t>
            </w:r>
          </w:p>
        </w:tc>
        <w:tc>
          <w:tcPr>
            <w:tcW w:w="840" w:type="dxa"/>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474" w:type="dxa"/>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5</w:t>
            </w:r>
          </w:p>
        </w:tc>
        <w:tc>
          <w:tcPr>
            <w:tcW w:w="1169"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工程建设</w:t>
            </w:r>
          </w:p>
          <w:p>
            <w:pPr>
              <w:spacing w:after="0" w:line="220" w:lineRule="atLeast"/>
              <w:jc w:val="center"/>
              <w:rPr>
                <w:rFonts w:ascii="宋体" w:hAnsi="宋体" w:eastAsia="宋体"/>
                <w:sz w:val="21"/>
                <w:szCs w:val="21"/>
              </w:rPr>
            </w:pPr>
            <w:r>
              <w:rPr>
                <w:rFonts w:hint="eastAsia" w:ascii="宋体" w:hAnsi="宋体" w:eastAsia="宋体"/>
                <w:sz w:val="21"/>
                <w:szCs w:val="21"/>
              </w:rPr>
              <w:t>强制性标</w:t>
            </w:r>
          </w:p>
          <w:p>
            <w:pPr>
              <w:spacing w:after="0" w:line="220" w:lineRule="atLeast"/>
              <w:jc w:val="center"/>
              <w:rPr>
                <w:rFonts w:ascii="宋体" w:hAnsi="宋体" w:eastAsia="宋体"/>
                <w:sz w:val="21"/>
                <w:szCs w:val="21"/>
              </w:rPr>
            </w:pPr>
            <w:r>
              <w:rPr>
                <w:rFonts w:hint="eastAsia" w:ascii="宋体" w:hAnsi="宋体" w:eastAsia="宋体"/>
                <w:sz w:val="21"/>
                <w:szCs w:val="21"/>
              </w:rPr>
              <w:t>准监督检</w:t>
            </w:r>
          </w:p>
          <w:p>
            <w:pPr>
              <w:spacing w:after="0" w:line="220" w:lineRule="atLeast"/>
              <w:jc w:val="center"/>
              <w:rPr>
                <w:rFonts w:ascii="宋体" w:hAnsi="宋体" w:eastAsia="宋体"/>
                <w:sz w:val="21"/>
                <w:szCs w:val="21"/>
              </w:rPr>
            </w:pPr>
            <w:r>
              <w:rPr>
                <w:rFonts w:hint="eastAsia" w:ascii="宋体" w:hAnsi="宋体" w:eastAsia="宋体"/>
                <w:sz w:val="21"/>
                <w:szCs w:val="21"/>
              </w:rPr>
              <w:t>查</w:t>
            </w:r>
          </w:p>
        </w:tc>
        <w:tc>
          <w:tcPr>
            <w:tcW w:w="2656"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《实施工程建设强制性标准监督规定》 (建设部令第81 号)第四条第三款、第九条。</w:t>
            </w:r>
          </w:p>
        </w:tc>
        <w:tc>
          <w:tcPr>
            <w:tcW w:w="1290" w:type="dxa"/>
            <w:vAlign w:val="center"/>
          </w:tcPr>
          <w:p>
            <w:pPr>
              <w:spacing w:after="0" w:line="220" w:lineRule="atLeast"/>
              <w:jc w:val="center"/>
              <w:rPr>
                <w:rFonts w:ascii="宋体" w:hAnsi="宋体" w:eastAsia="宋体"/>
                <w:sz w:val="21"/>
                <w:szCs w:val="21"/>
              </w:rPr>
            </w:pPr>
            <w:r>
              <w:rPr>
                <w:rFonts w:hint="eastAsia" w:ascii="宋体" w:hAnsi="宋体" w:eastAsia="宋体" w:cs="宋体"/>
                <w:sz w:val="21"/>
                <w:szCs w:val="21"/>
              </w:rPr>
              <w:t>在建房屋建筑和市政基础设施工程</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p>
            <w:pPr>
              <w:spacing w:after="0" w:line="220" w:lineRule="atLeast"/>
              <w:jc w:val="center"/>
              <w:rPr>
                <w:rFonts w:ascii="宋体" w:hAnsi="宋体" w:eastAsia="宋体"/>
                <w:sz w:val="21"/>
                <w:szCs w:val="21"/>
              </w:rPr>
            </w:pPr>
            <w:r>
              <w:rPr>
                <w:rFonts w:hint="eastAsia" w:ascii="宋体" w:hAnsi="宋体" w:eastAsia="宋体"/>
                <w:sz w:val="21"/>
                <w:szCs w:val="21"/>
              </w:rPr>
              <w:t>1次/年</w:t>
            </w:r>
          </w:p>
        </w:tc>
        <w:tc>
          <w:tcPr>
            <w:tcW w:w="93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现场检查、书面检查</w:t>
            </w:r>
          </w:p>
        </w:tc>
        <w:tc>
          <w:tcPr>
            <w:tcW w:w="5190" w:type="dxa"/>
            <w:vAlign w:val="center"/>
          </w:tcPr>
          <w:p>
            <w:pPr>
              <w:spacing w:after="0" w:line="220" w:lineRule="atLeast"/>
              <w:jc w:val="center"/>
              <w:rPr>
                <w:rFonts w:ascii="宋体" w:hAnsi="宋体" w:eastAsia="宋体"/>
                <w:sz w:val="21"/>
                <w:szCs w:val="21"/>
              </w:rPr>
            </w:pPr>
            <w:r>
              <w:rPr>
                <w:rFonts w:hint="eastAsia" w:ascii="宋体" w:hAnsi="宋体" w:eastAsia="宋体"/>
                <w:sz w:val="21"/>
                <w:szCs w:val="21"/>
              </w:rPr>
              <w:t>1.工程技术人员是否熟悉、掌握强制性标准；2.规划、勘察、设计、施工、验收等是否符合强制性标准规定；3. 采用的材料、设备是否符合强制性标准规定；4.安全、质量是否符合强制性标准规定；5.工程中采用的导则、指南、手册、计算机软件的内容是否符合强制性标准规定。</w:t>
            </w:r>
          </w:p>
        </w:tc>
        <w:tc>
          <w:tcPr>
            <w:tcW w:w="840" w:type="dxa"/>
            <w:vAlign w:val="center"/>
          </w:tcPr>
          <w:p>
            <w:pPr>
              <w:spacing w:after="0" w:line="220" w:lineRule="atLeast"/>
              <w:jc w:val="center"/>
              <w:rPr>
                <w:rFonts w:hint="eastAsia" w:ascii="宋体" w:hAnsi="宋体" w:eastAsia="宋体"/>
                <w:sz w:val="21"/>
                <w:szCs w:val="21"/>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质监站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474"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6</w:t>
            </w:r>
          </w:p>
        </w:tc>
        <w:tc>
          <w:tcPr>
            <w:tcW w:w="1169"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房屋建筑工程发包与承包监督检查</w:t>
            </w:r>
          </w:p>
        </w:tc>
        <w:tc>
          <w:tcPr>
            <w:tcW w:w="2656"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住房和城乡建设部关于印发建筑工程施工发包与承包违法行为认定查处管理办法的通知</w:t>
            </w:r>
            <w:r>
              <w:rPr>
                <w:rFonts w:hint="eastAsia" w:ascii="宋体" w:hAnsi="宋体" w:eastAsia="宋体"/>
                <w:sz w:val="21"/>
                <w:szCs w:val="21"/>
                <w:lang w:eastAsia="zh-CN"/>
              </w:rPr>
              <w:t>》</w:t>
            </w:r>
            <w:r>
              <w:rPr>
                <w:rFonts w:hint="eastAsia" w:ascii="宋体" w:hAnsi="宋体" w:eastAsia="宋体"/>
                <w:sz w:val="21"/>
                <w:szCs w:val="21"/>
                <w:lang w:val="en-US" w:eastAsia="zh-CN"/>
              </w:rPr>
              <w:t>第三条、《保障农民工工资支付条例》第三十九条</w:t>
            </w:r>
          </w:p>
        </w:tc>
        <w:tc>
          <w:tcPr>
            <w:tcW w:w="1290" w:type="dxa"/>
            <w:vAlign w:val="center"/>
          </w:tcPr>
          <w:p>
            <w:pPr>
              <w:spacing w:after="0" w:line="22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在建房屋建筑工程</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1次/年</w:t>
            </w:r>
          </w:p>
        </w:tc>
        <w:tc>
          <w:tcPr>
            <w:tcW w:w="93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现场检查、书面检查</w:t>
            </w:r>
          </w:p>
        </w:tc>
        <w:tc>
          <w:tcPr>
            <w:tcW w:w="5190" w:type="dxa"/>
            <w:vAlign w:val="center"/>
          </w:tcPr>
          <w:p>
            <w:pPr>
              <w:numPr>
                <w:ilvl w:val="0"/>
                <w:numId w:val="1"/>
              </w:num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建筑工程施工是否存在发包与承包；</w:t>
            </w:r>
          </w:p>
          <w:p>
            <w:pPr>
              <w:numPr>
                <w:ilvl w:val="0"/>
                <w:numId w:val="0"/>
              </w:numPr>
              <w:spacing w:after="0" w:line="220" w:lineRule="atLeast"/>
              <w:ind w:firstLine="630" w:firstLineChars="300"/>
              <w:jc w:val="both"/>
              <w:rPr>
                <w:rFonts w:hint="default" w:ascii="宋体" w:hAnsi="宋体" w:eastAsia="宋体"/>
                <w:sz w:val="21"/>
                <w:szCs w:val="21"/>
                <w:lang w:val="en-US" w:eastAsia="zh-CN"/>
              </w:rPr>
            </w:pPr>
            <w:r>
              <w:rPr>
                <w:rFonts w:hint="eastAsia" w:ascii="宋体" w:hAnsi="宋体" w:eastAsia="宋体"/>
                <w:sz w:val="21"/>
                <w:szCs w:val="21"/>
                <w:lang w:val="en-US" w:eastAsia="zh-CN"/>
              </w:rPr>
              <w:t>2.农民工工资支付情况。</w:t>
            </w:r>
          </w:p>
        </w:tc>
        <w:tc>
          <w:tcPr>
            <w:tcW w:w="84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建工股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74"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7</w:t>
            </w:r>
          </w:p>
        </w:tc>
        <w:tc>
          <w:tcPr>
            <w:tcW w:w="1169"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新型墙体材料监督检查</w:t>
            </w:r>
          </w:p>
        </w:tc>
        <w:tc>
          <w:tcPr>
            <w:tcW w:w="2656" w:type="dxa"/>
            <w:vAlign w:val="center"/>
          </w:tcPr>
          <w:p>
            <w:pPr>
              <w:spacing w:after="0" w:line="220" w:lineRule="atLeast"/>
              <w:jc w:val="center"/>
              <w:rPr>
                <w:rFonts w:hint="eastAsia" w:ascii="宋体" w:hAnsi="宋体" w:eastAsia="宋体"/>
                <w:sz w:val="21"/>
                <w:szCs w:val="21"/>
                <w:lang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河南省住房和城乡建设厅关于改革完善墙体材料革新管理制度的通知</w:t>
            </w:r>
            <w:r>
              <w:rPr>
                <w:rFonts w:hint="eastAsia" w:ascii="宋体" w:hAnsi="宋体" w:eastAsia="宋体"/>
                <w:sz w:val="21"/>
                <w:szCs w:val="21"/>
                <w:lang w:eastAsia="zh-CN"/>
              </w:rPr>
              <w:t>》</w:t>
            </w:r>
          </w:p>
        </w:tc>
        <w:tc>
          <w:tcPr>
            <w:tcW w:w="1290" w:type="dxa"/>
            <w:vAlign w:val="center"/>
          </w:tcPr>
          <w:p>
            <w:pPr>
              <w:spacing w:after="0" w:line="22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在建房屋建筑工程</w:t>
            </w:r>
          </w:p>
        </w:tc>
        <w:tc>
          <w:tcPr>
            <w:tcW w:w="690" w:type="dxa"/>
            <w:vAlign w:val="center"/>
          </w:tcPr>
          <w:p>
            <w:pPr>
              <w:spacing w:after="0" w:line="220" w:lineRule="atLeast"/>
              <w:jc w:val="center"/>
              <w:rPr>
                <w:rFonts w:hint="default"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1次/年</w:t>
            </w:r>
          </w:p>
        </w:tc>
        <w:tc>
          <w:tcPr>
            <w:tcW w:w="93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现场检查、书面检查</w:t>
            </w:r>
          </w:p>
        </w:tc>
        <w:tc>
          <w:tcPr>
            <w:tcW w:w="519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1.新型墙材应用；2.建筑节能；3.绿色建筑标准执行情况；4.绿色建材使用情况。</w:t>
            </w:r>
          </w:p>
        </w:tc>
        <w:tc>
          <w:tcPr>
            <w:tcW w:w="84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墙改办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74"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8</w:t>
            </w:r>
          </w:p>
        </w:tc>
        <w:tc>
          <w:tcPr>
            <w:tcW w:w="1169" w:type="dxa"/>
            <w:vAlign w:val="center"/>
          </w:tcPr>
          <w:p>
            <w:pPr>
              <w:spacing w:after="0" w:line="220" w:lineRule="atLeast"/>
              <w:jc w:val="center"/>
              <w:rPr>
                <w:rFonts w:hint="eastAsia" w:ascii="宋体" w:hAnsi="宋体" w:eastAsia="宋体"/>
                <w:sz w:val="21"/>
                <w:szCs w:val="21"/>
                <w:lang w:val="en-US" w:eastAsia="zh-CN"/>
              </w:rPr>
            </w:pPr>
            <w:r>
              <w:rPr>
                <w:rFonts w:hint="eastAsia" w:ascii="仿宋_GB2312" w:hAnsi="仿宋_GB2312" w:eastAsia="仿宋_GB2312" w:cs="仿宋_GB2312"/>
                <w:b w:val="0"/>
                <w:bCs w:val="0"/>
                <w:color w:val="000000"/>
                <w:spacing w:val="-8"/>
                <w:kern w:val="0"/>
                <w:sz w:val="22"/>
                <w:szCs w:val="22"/>
                <w:lang w:val="en-US" w:eastAsia="zh-CN" w:bidi="ar-SA"/>
              </w:rPr>
              <w:t>建设工程招标投标检查</w:t>
            </w:r>
          </w:p>
        </w:tc>
        <w:tc>
          <w:tcPr>
            <w:tcW w:w="2656" w:type="dxa"/>
            <w:vAlign w:val="center"/>
          </w:tcPr>
          <w:p>
            <w:pPr>
              <w:spacing w:after="0" w:line="220" w:lineRule="atLeast"/>
              <w:jc w:val="center"/>
              <w:rPr>
                <w:rFonts w:hint="eastAsia" w:ascii="宋体" w:hAnsi="宋体" w:eastAsia="宋体"/>
                <w:sz w:val="21"/>
                <w:szCs w:val="21"/>
                <w:lang w:eastAsia="zh-CN"/>
              </w:rPr>
            </w:pPr>
            <w:r>
              <w:rPr>
                <w:rFonts w:hint="eastAsia" w:ascii="仿宋_GB2312" w:hAnsi="仿宋_GB2312" w:eastAsia="仿宋_GB2312" w:cs="仿宋_GB2312"/>
                <w:b w:val="0"/>
                <w:bCs w:val="0"/>
                <w:color w:val="000000"/>
                <w:kern w:val="0"/>
                <w:sz w:val="22"/>
                <w:szCs w:val="22"/>
                <w:lang w:val="en-US" w:eastAsia="zh-CN" w:bidi="ar-SA"/>
              </w:rPr>
              <w:t>河南省住房和城乡建设厅关于印发《河南省房屋建筑和市政工程项目招标投标监督管理办法》的通知（豫建【2012】197号）</w:t>
            </w:r>
          </w:p>
        </w:tc>
        <w:tc>
          <w:tcPr>
            <w:tcW w:w="1290" w:type="dxa"/>
            <w:vAlign w:val="center"/>
          </w:tcPr>
          <w:p>
            <w:pPr>
              <w:spacing w:after="0" w:line="220" w:lineRule="atLeast"/>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000000"/>
                <w:kern w:val="0"/>
                <w:sz w:val="22"/>
                <w:szCs w:val="22"/>
                <w:lang w:val="en-US" w:eastAsia="zh-CN"/>
              </w:rPr>
              <w:t>公开招标且必须进行招标的项目</w:t>
            </w:r>
          </w:p>
        </w:tc>
        <w:tc>
          <w:tcPr>
            <w:tcW w:w="690" w:type="dxa"/>
            <w:vAlign w:val="center"/>
          </w:tcPr>
          <w:p>
            <w:pPr>
              <w:spacing w:after="0" w:line="220" w:lineRule="atLeast"/>
              <w:jc w:val="center"/>
              <w:rPr>
                <w:rFonts w:hint="eastAsia" w:ascii="宋体" w:hAnsi="宋体" w:eastAsia="宋体" w:cstheme="minorBidi"/>
                <w:sz w:val="21"/>
                <w:szCs w:val="21"/>
                <w:lang w:val="en-US" w:eastAsia="zh-CN" w:bidi="ar-SA"/>
              </w:rPr>
            </w:pPr>
            <w:r>
              <w:rPr>
                <w:rFonts w:hint="eastAsia" w:ascii="宋体" w:hAnsi="宋体" w:eastAsia="宋体" w:cstheme="minorBidi"/>
                <w:sz w:val="21"/>
                <w:szCs w:val="21"/>
                <w:lang w:val="en-US" w:eastAsia="zh-CN" w:bidi="ar-SA"/>
              </w:rPr>
              <w:t>一般检查事项</w:t>
            </w:r>
          </w:p>
        </w:tc>
        <w:tc>
          <w:tcPr>
            <w:tcW w:w="1005" w:type="dxa"/>
            <w:vAlign w:val="center"/>
          </w:tcPr>
          <w:p>
            <w:pPr>
              <w:spacing w:after="0" w:line="220" w:lineRule="atLeast"/>
              <w:jc w:val="center"/>
              <w:rPr>
                <w:rFonts w:hint="default"/>
                <w:lang w:val="en-US" w:eastAsia="zh-CN"/>
              </w:rPr>
            </w:pPr>
            <w:r>
              <w:rPr>
                <w:rFonts w:hint="eastAsia" w:ascii="宋体" w:hAnsi="宋体" w:eastAsia="宋体"/>
                <w:sz w:val="21"/>
                <w:szCs w:val="21"/>
                <w:lang w:val="en-US" w:eastAsia="zh-CN"/>
              </w:rPr>
              <w:t>3%     2次/年</w:t>
            </w:r>
          </w:p>
        </w:tc>
        <w:tc>
          <w:tcPr>
            <w:tcW w:w="930" w:type="dxa"/>
            <w:vAlign w:val="center"/>
          </w:tcPr>
          <w:p>
            <w:pPr>
              <w:spacing w:after="0"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现场检查、书面检查</w:t>
            </w:r>
          </w:p>
        </w:tc>
        <w:tc>
          <w:tcPr>
            <w:tcW w:w="519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施工、监理合同的履约情况，工程的合同价是否与中标价相符，是否存在“阴阳合同”及不履约行为。2.施工现场主要管理人员在岗履职情况。3.招标代理机构依法依规从业情况。4.依法必须招标项目的招标投标活动行为主体是否遵守法律、法规和有关管理规定。</w:t>
            </w:r>
          </w:p>
        </w:tc>
        <w:tc>
          <w:tcPr>
            <w:tcW w:w="84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4-10月</w:t>
            </w:r>
          </w:p>
        </w:tc>
        <w:tc>
          <w:tcPr>
            <w:tcW w:w="900" w:type="dxa"/>
            <w:vAlign w:val="center"/>
          </w:tcPr>
          <w:p>
            <w:pPr>
              <w:spacing w:after="0" w:line="220" w:lineRule="atLeas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招标办</w:t>
            </w:r>
          </w:p>
        </w:tc>
      </w:tr>
    </w:tbl>
    <w:p/>
    <w:sectPr>
      <w:pgSz w:w="16838" w:h="11906" w:orient="landscape"/>
      <w:pgMar w:top="1800"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5510A"/>
    <w:multiLevelType w:val="singleLevel"/>
    <w:tmpl w:val="4245510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Y2QwOGFiMGYxYzliNzA0ZGQxOTUzODQ3YzBkMDkifQ=="/>
  </w:docVars>
  <w:rsids>
    <w:rsidRoot w:val="667B74E8"/>
    <w:rsid w:val="667B74E8"/>
    <w:rsid w:val="73DE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789</Words>
  <Characters>831</Characters>
  <Lines>0</Lines>
  <Paragraphs>0</Paragraphs>
  <TotalTime>7</TotalTime>
  <ScaleCrop>false</ScaleCrop>
  <LinksUpToDate>false</LinksUpToDate>
  <CharactersWithSpaces>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2023-03-28T00:52:00Z</dcterms:created>
  <dc:creator>Administrator</dc:creator>
  <cp:lastModifiedBy>Administrator</cp:lastModifiedBy>
  <cp:lastPrinted>2023-03-28T01:05:08Z</cp:lastPrinted>
  <dcterms:modified xsi:type="dcterms:W3CDTF">2023-03-28T01:05:59Z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45C5F1AE8E59485BB0B952F11E938DF9</vt:lpwstr>
  </property>
</Properties>
</file>