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20" w:lineRule="exact"/>
        <w:ind w:left="0" w:leftChars="0" w:right="0" w:firstLine="0" w:firstLineChars="0"/>
        <w:jc w:val="center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kern w:val="0"/>
          <w:sz w:val="44"/>
          <w:szCs w:val="44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kern w:val="0"/>
          <w:sz w:val="44"/>
          <w:szCs w:val="44"/>
          <w:shd w:val="clear" w:fill="FFFFFF"/>
          <w:lang w:val="en-US" w:eastAsia="zh-CN" w:bidi="ar"/>
        </w:rPr>
        <w:t>叶县自然资源局关于《叶县田庄乡U12-01地块（红光220KV变电站）控制性详细规划》的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20" w:lineRule="exact"/>
        <w:ind w:left="0" w:leftChars="0" w:right="0" w:firstLine="0" w:firstLineChars="0"/>
        <w:jc w:val="center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kern w:val="0"/>
          <w:sz w:val="44"/>
          <w:szCs w:val="44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kern w:val="0"/>
          <w:sz w:val="44"/>
          <w:szCs w:val="44"/>
          <w:shd w:val="clear" w:fill="FFFFFF"/>
          <w:lang w:val="en-US" w:eastAsia="zh-CN" w:bidi="ar"/>
        </w:rPr>
        <w:t>批前公示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叶县田庄乡2023年第一次规划委员会于6月21日召开全体会议，审议通过了《叶县田庄乡U12-01地块（红光220KV变电站）控制性详细规划》，现将该地块相关经济技术控制指标公示如下：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333333"/>
          <w:sz w:val="32"/>
          <w:szCs w:val="32"/>
        </w:rPr>
      </w:pPr>
      <w:r>
        <w:rPr>
          <w:rStyle w:val="6"/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一、用地位置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规划地块位于叶县位于田庄乡三官庙村西南，规划地块北、东、南侧均临农田。总用地面积为14565.31平方米。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333333"/>
          <w:sz w:val="32"/>
          <w:szCs w:val="32"/>
        </w:rPr>
      </w:pPr>
      <w:r>
        <w:rPr>
          <w:rStyle w:val="6"/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二、用地性质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规划用地性质为供电用地（1303）。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333333"/>
          <w:sz w:val="32"/>
          <w:szCs w:val="32"/>
        </w:rPr>
      </w:pPr>
      <w:r>
        <w:rPr>
          <w:rStyle w:val="6"/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三、地块控制指标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 xml:space="preserve">1.规划用地面积：14565.31平方米；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 xml:space="preserve">2.容积率：小于1.0；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 xml:space="preserve">3.建筑密度：小于40.0%；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 xml:space="preserve">4.绿地率：大于20.0%；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5.建筑限高：小于24米。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四、建筑退让距离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1.建筑退让距离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zh-CN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规划建筑东退用地边界不少于3.0米，南退用地边界不少于3.0米，西退用地边界不少于3.0米，</w:t>
      </w: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zh-CN" w:eastAsia="zh-CN" w:bidi="ar"/>
        </w:rPr>
        <w:t>北退</w:t>
      </w: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用地边界</w:t>
      </w: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zh-CN" w:eastAsia="zh-CN" w:bidi="ar"/>
        </w:rPr>
        <w:t>不少于</w:t>
      </w: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3.0米</w:t>
      </w: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zh-CN" w:eastAsia="zh-CN" w:bidi="ar"/>
        </w:rPr>
        <w:t>。（详见附图）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2.交通出入口方位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通向西侧村庄道路</w:t>
      </w: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zh-CN" w:eastAsia="zh-CN" w:bidi="ar"/>
        </w:rPr>
        <w:t>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五、建筑设计要求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1、本规划用地分类依据《国土空间调查、规划、用途管制用地用海分类指南（试行）》执行。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2、图中所标地上建筑控制线距离为地上建筑的退路退界最小控制距离，建筑物的具体定位应根据其性质、体量进行控制，并严格满足国家相关规范及省、市法律、法规及地方相关技术管理规定等要求。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3、修建性详细规划和建筑设计须满足人防、消防等要求，建筑风格应以现代风格为主，简洁大方，外观造型应简约明快，同一功能建筑群落应统一风貌，服从整体空间形态要求，同时要处理好与周边建筑及道路的空间关系。建筑色彩应与自身功能、形式、体量相协调，宜以高明度、较低彩度、暖色系的色彩为主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4、施工前应进行详细的工程地质勘察，并做好地质灾害的治理工作，确保地面工程设施的安全性和稳定性。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 xml:space="preserve">六、配建设施要求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1.地块需配套垃圾收集点。配建的建设，需同步规划、同步建设，同步验收、同步交付使用(平发〔2019〕13号)。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2.停车设施配建应结合自身使用要求进行配建，且满足国家相关规范。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3.市政配建设施要求：地块内部布局自备水井，满足用水需求；地块内布局排水泵坑，并通过管网就近排入附近沟渠；地块内布局化粪池，并通过管网接入村庄污水处理系统；电讯管线接田庄乡通信管网。</w:t>
      </w:r>
    </w:p>
    <w:p>
      <w:pPr>
        <w:pStyle w:val="2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default" w:ascii="仿宋" w:hAnsi="仿宋" w:eastAsia="仿宋" w:cs="仿宋"/>
          <w:b w:val="0"/>
          <w:bCs w:val="0"/>
          <w:color w:val="333333"/>
          <w:sz w:val="32"/>
          <w:szCs w:val="32"/>
          <w:lang w:val="en-US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公示日期：</w:t>
      </w: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2023年6月22日-2023年7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月22日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详见附图：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区位图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土地使用规划图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道路交通规划图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控规图则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Chars="200"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经办单位：田庄乡人民政府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备注：若有意见和建议，请向田庄乡人民政府反馈。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</w:p>
    <w:p>
      <w:pP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br w:type="page"/>
      </w:r>
    </w:p>
    <w:p>
      <w:pPr>
        <w:pStyle w:val="2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drawing>
          <wp:inline distT="0" distB="0" distL="114300" distR="114300">
            <wp:extent cx="11874500" cy="8393430"/>
            <wp:effectExtent l="0" t="0" r="12700" b="7620"/>
            <wp:docPr id="4" name="图片 4" descr="01区位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01区位图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1874500" cy="8393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drawing>
          <wp:inline distT="0" distB="0" distL="114300" distR="114300">
            <wp:extent cx="11874500" cy="8393430"/>
            <wp:effectExtent l="0" t="0" r="12700" b="7620"/>
            <wp:docPr id="3" name="图片 3" descr="06土地使用规划图-模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06土地使用规划图-模型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1874500" cy="8393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drawing>
          <wp:inline distT="0" distB="0" distL="114300" distR="114300">
            <wp:extent cx="11874500" cy="8393430"/>
            <wp:effectExtent l="0" t="0" r="12700" b="7620"/>
            <wp:docPr id="2" name="图片 2" descr="07道路系统规划图-模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7道路系统规划图-模型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1874500" cy="8393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drawing>
          <wp:inline distT="0" distB="0" distL="114300" distR="114300">
            <wp:extent cx="11874500" cy="8393430"/>
            <wp:effectExtent l="0" t="0" r="12700" b="7620"/>
            <wp:docPr id="1" name="图片 1" descr="12图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2图则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1874500" cy="8393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23811" w:h="16838" w:orient="landscape"/>
      <w:pgMar w:top="1803" w:right="1440" w:bottom="1803" w:left="1440" w:header="851" w:footer="992" w:gutter="0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A2FF235"/>
    <w:multiLevelType w:val="singleLevel"/>
    <w:tmpl w:val="FA2FF23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FhZDNmMmIwNWI3ZmViMTYwMDY4ZTA1NDk0NWM0NzkifQ=="/>
  </w:docVars>
  <w:rsids>
    <w:rsidRoot w:val="21D21BB1"/>
    <w:rsid w:val="05352736"/>
    <w:rsid w:val="063E0995"/>
    <w:rsid w:val="15DB5153"/>
    <w:rsid w:val="16F93F87"/>
    <w:rsid w:val="1B9118D8"/>
    <w:rsid w:val="200F46C5"/>
    <w:rsid w:val="21D21BB1"/>
    <w:rsid w:val="238531F1"/>
    <w:rsid w:val="27473701"/>
    <w:rsid w:val="2A194C0A"/>
    <w:rsid w:val="2EBB1AE8"/>
    <w:rsid w:val="34DE074D"/>
    <w:rsid w:val="3DE96EFA"/>
    <w:rsid w:val="55396AAB"/>
    <w:rsid w:val="575D7149"/>
    <w:rsid w:val="67FD2F5F"/>
    <w:rsid w:val="680B2152"/>
    <w:rsid w:val="6C5C722A"/>
    <w:rsid w:val="6D0843F7"/>
    <w:rsid w:val="7CEB1DDA"/>
    <w:rsid w:val="7F496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924</Words>
  <Characters>1003</Characters>
  <Lines>0</Lines>
  <Paragraphs>0</Paragraphs>
  <TotalTime>1</TotalTime>
  <ScaleCrop>false</ScaleCrop>
  <LinksUpToDate>false</LinksUpToDate>
  <CharactersWithSpaces>1008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2022-01-06T01:03:00Z</dcterms:created>
  <dc:creator>Administrator</dc:creator>
  <cp:lastModifiedBy>pc</cp:lastModifiedBy>
  <dcterms:modified xsi:type="dcterms:W3CDTF">2023-07-05T02:52:14Z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62E9B815E65A4D879982DD49C4F24B99_13</vt:lpwstr>
  </property>
</Properties>
</file>