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spacing w:before="100" w:beforeLines="0" w:beforeAutospacing="1" w:after="100" w:afterLines="0" w:afterAutospacing="1"/>
        <w:jc w:val="center"/>
        <w:rPr>
          <w:rFonts w:hint="default"/>
          <w:sz w:val="24"/>
          <w:szCs w:val="2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关于2022年县本级转移支付安排</w:t>
      </w:r>
    </w:p>
    <w:p>
      <w:pPr>
        <w:pStyle w:val="2"/>
        <w:widowControl/>
        <w:spacing w:before="100" w:beforeLines="0" w:beforeAutospacing="1" w:after="100" w:afterLines="0" w:afterAutospacing="1"/>
        <w:jc w:val="center"/>
        <w:rPr>
          <w:rFonts w:hint="default"/>
          <w:sz w:val="24"/>
          <w:szCs w:val="24"/>
        </w:rPr>
      </w:pPr>
      <w:r>
        <w:rPr>
          <w:rFonts w:hint="eastAsia"/>
          <w:b/>
          <w:sz w:val="44"/>
          <w:szCs w:val="44"/>
        </w:rPr>
        <w:t>情况的说明</w:t>
      </w:r>
    </w:p>
    <w:p>
      <w:pPr>
        <w:pStyle w:val="2"/>
        <w:widowControl/>
        <w:spacing w:before="100" w:beforeLines="0" w:beforeAutospacing="1" w:after="100" w:afterLines="0" w:afterAutospacing="1" w:line="572" w:lineRule="atLeast"/>
        <w:ind w:firstLine="640"/>
        <w:rPr>
          <w:rFonts w:hint="default"/>
          <w:color w:val="000000"/>
          <w:sz w:val="32"/>
          <w:szCs w:val="32"/>
        </w:rPr>
      </w:pPr>
    </w:p>
    <w:p>
      <w:pPr>
        <w:pStyle w:val="2"/>
        <w:widowControl/>
        <w:spacing w:before="100" w:beforeLines="0" w:beforeAutospacing="1" w:after="100" w:afterLines="0" w:afterAutospacing="1" w:line="572" w:lineRule="atLeast"/>
        <w:ind w:firstLine="640"/>
        <w:rPr>
          <w:rFonts w:hint="default"/>
          <w:sz w:val="24"/>
          <w:szCs w:val="24"/>
        </w:rPr>
      </w:pPr>
      <w:r>
        <w:rPr>
          <w:rFonts w:hint="eastAsia"/>
          <w:color w:val="000000"/>
          <w:sz w:val="32"/>
          <w:szCs w:val="32"/>
        </w:rPr>
        <w:t>上级补助收入208627万元，其中：返还性收入5910万元，一般性转移支付收入200135万元，专项转移支付收入2582万元。主要项目情况是：</w:t>
      </w:r>
      <w:r>
        <w:rPr>
          <w:rFonts w:hint="default"/>
          <w:sz w:val="24"/>
          <w:szCs w:val="24"/>
        </w:rPr>
        <w:t xml:space="preserve"> </w:t>
      </w:r>
    </w:p>
    <w:p>
      <w:pPr>
        <w:pStyle w:val="2"/>
        <w:widowControl/>
        <w:spacing w:before="100" w:beforeLines="0" w:beforeAutospacing="1" w:after="100" w:afterLines="0" w:afterAutospacing="1" w:line="572" w:lineRule="atLeast"/>
        <w:ind w:firstLine="640"/>
        <w:rPr>
          <w:rFonts w:hint="default"/>
          <w:sz w:val="24"/>
          <w:szCs w:val="24"/>
        </w:rPr>
      </w:pPr>
      <w:r>
        <w:rPr>
          <w:rFonts w:hint="default"/>
          <w:color w:val="000000"/>
          <w:sz w:val="32"/>
          <w:szCs w:val="32"/>
        </w:rPr>
        <w:t>1</w:t>
      </w:r>
      <w:r>
        <w:rPr>
          <w:rFonts w:hint="eastAsia"/>
          <w:color w:val="000000"/>
          <w:sz w:val="32"/>
          <w:szCs w:val="32"/>
        </w:rPr>
        <w:t>．返还性收入5910万元，其中：所得税基数返还212万元，成品油税费改革税收返还1497万元，增值税税收返还734万元，消费税税收返还253万元，增值税五五分享税收返还3214万元。</w:t>
      </w:r>
      <w:r>
        <w:rPr>
          <w:rFonts w:hint="default"/>
          <w:sz w:val="24"/>
          <w:szCs w:val="24"/>
        </w:rPr>
        <w:t xml:space="preserve"> </w:t>
      </w:r>
    </w:p>
    <w:p>
      <w:pPr>
        <w:pStyle w:val="2"/>
        <w:widowControl/>
        <w:spacing w:before="100" w:beforeLines="0" w:beforeAutospacing="1" w:after="100" w:afterLines="0" w:afterAutospacing="1" w:line="572" w:lineRule="atLeast"/>
        <w:ind w:firstLine="640"/>
        <w:rPr>
          <w:rFonts w:hint="default"/>
          <w:sz w:val="24"/>
          <w:szCs w:val="24"/>
        </w:rPr>
      </w:pPr>
      <w:r>
        <w:rPr>
          <w:rFonts w:hint="default"/>
          <w:color w:val="000000"/>
          <w:sz w:val="32"/>
          <w:szCs w:val="32"/>
        </w:rPr>
        <w:t>2</w:t>
      </w:r>
      <w:r>
        <w:rPr>
          <w:rFonts w:hint="eastAsia"/>
          <w:color w:val="000000"/>
          <w:sz w:val="32"/>
          <w:szCs w:val="32"/>
        </w:rPr>
        <w:t>．一般性转移支付收入200135万元，其中：体制补助收入13236万元，均衡性转移支付58282万元，县级基本财力保障机制奖补资金收入21002万元，结算补助收入3594万元，产粮（油）大县奖励资金收入4376万元，重点生态功能区转移支付收入2474万元，固定数额补助收入18839万元，民族地区转移支付收入200万元，欠发达地区转移支付收入5420万元，公共安全共同财政事权转移支付收入1562万元， 教育共同财政事权转移支付收入22241万元，文化旅游体育与传媒共同财政事权转移支付收入887万元，社会保障和就业共同财政事权转移支付收入15307万元，医疗卫生共同财政事权转移支付收入9714万元，农林水共同财政事权转移支付收入21945万元，交通运输共同财政事权转移支付收入141万元，其他一般转移支付收入915万元。</w:t>
      </w:r>
      <w:r>
        <w:rPr>
          <w:rFonts w:hint="default"/>
          <w:sz w:val="24"/>
          <w:szCs w:val="24"/>
        </w:rPr>
        <w:t xml:space="preserve"> </w:t>
      </w:r>
    </w:p>
    <w:p>
      <w:pPr>
        <w:pStyle w:val="2"/>
        <w:widowControl/>
        <w:spacing w:before="100" w:beforeLines="0" w:beforeAutospacing="1" w:after="100" w:afterLines="0" w:afterAutospacing="1" w:line="600" w:lineRule="atLeast"/>
        <w:ind w:firstLine="640"/>
        <w:rPr>
          <w:rFonts w:hint="default"/>
          <w:sz w:val="24"/>
          <w:szCs w:val="24"/>
        </w:rPr>
      </w:pPr>
      <w:r>
        <w:rPr>
          <w:rFonts w:hint="default"/>
          <w:color w:val="000000"/>
          <w:sz w:val="32"/>
          <w:szCs w:val="32"/>
        </w:rPr>
        <w:t>3</w:t>
      </w:r>
      <w:r>
        <w:rPr>
          <w:rFonts w:hint="eastAsia"/>
          <w:color w:val="000000"/>
          <w:sz w:val="32"/>
          <w:szCs w:val="32"/>
        </w:rPr>
        <w:t>．专项转移支付收入2582万元，其中：一般公共服务转移支付16万元，科学技术转移支付64万元，卫生健康转移支付212万元，农林水转移支付2290万元。</w:t>
      </w:r>
      <w:r>
        <w:rPr>
          <w:rFonts w:hint="default"/>
          <w:sz w:val="24"/>
          <w:szCs w:val="24"/>
        </w:rPr>
        <w:t xml:space="preserve"> </w:t>
      </w:r>
    </w:p>
    <w:p>
      <w:pPr>
        <w:spacing w:beforeLines="0" w:afterLines="0"/>
        <w:rPr>
          <w:rFonts w:hint="default"/>
          <w:sz w:val="21"/>
          <w:szCs w:val="24"/>
        </w:rPr>
      </w:pPr>
    </w:p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OGE2YTA1N2VlNzE0Y2UwYzhkZjRmN2MzNjc4N2YifQ=="/>
  </w:docVars>
  <w:rsids>
    <w:rsidRoot w:val="00172A27"/>
    <w:rsid w:val="18332A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0"/>
    <w:rPr>
      <w:rFonts w:hint="default"/>
      <w:sz w:val="24"/>
      <w:szCs w:val="24"/>
    </w:rPr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0"/>
    <w:pPr>
      <w:spacing w:beforeLines="0" w:afterLines="0"/>
    </w:pPr>
    <w:rPr>
      <w:rFonts w:hint="default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519</Words>
  <Characters>622</Characters>
  <TotalTime>0</TotalTime>
  <ScaleCrop>false</ScaleCrop>
  <LinksUpToDate>false</LinksUpToDate>
  <CharactersWithSpaces>627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2023-09-12T10:23:06Z</dcterms:created>
  <dc:creator>YX</dc:creator>
  <cp:lastModifiedBy>YX</cp:lastModifiedBy>
  <dcterms:modified xsi:type="dcterms:W3CDTF">2023-09-12T10:23:29Z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E93D6EC71C4841758FC61CC7F2D7D2DC_13</vt:lpwstr>
  </property>
</Properties>
</file>